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SECURITIES AND EXCHANGE COMMISSION</w:t>
      </w: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60"/>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PURSUANT TO SECTION 13 OR 15(d)</w:t>
      </w:r>
    </w:p>
    <w:p>
      <w:pPr>
        <w:jc w:val="center"/>
        <w:ind w:right="-5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740"/>
        <w:spacing w:after="0"/>
        <w:rPr>
          <w:sz w:val="20"/>
          <w:szCs w:val="20"/>
          <w:color w:val="auto"/>
        </w:rPr>
      </w:pPr>
      <w:r>
        <w:rPr>
          <w:rFonts w:ascii="Arial" w:cs="Arial" w:eastAsia="Arial" w:hAnsi="Arial"/>
          <w:sz w:val="21"/>
          <w:szCs w:val="21"/>
          <w:b w:val="1"/>
          <w:bCs w:val="1"/>
          <w:color w:val="auto"/>
        </w:rPr>
        <w:t>Date of Report (Date of earliest event reported): August 29,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429895</wp:posOffset>
            </wp:positionV>
            <wp:extent cx="626110" cy="626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59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820" w:space="720"/>
            <w:col w:w="2900" w:space="720"/>
            <w:col w:w="1660"/>
          </w:cols>
          <w:pgMar w:left="240" w:top="368" w:right="8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780"/>
          </w:cols>
          <w:pgMar w:left="240" w:top="368" w:right="839" w:bottom="1440" w:gutter="0" w:footer="0" w:header="0"/>
          <w:type w:val="continuous"/>
        </w:sectPr>
      </w:pPr>
    </w:p>
    <w:p>
      <w:pPr>
        <w:spacing w:after="0" w:line="33" w:lineRule="exact"/>
        <w:rPr>
          <w:sz w:val="24"/>
          <w:szCs w:val="24"/>
          <w:color w:val="auto"/>
        </w:rPr>
      </w:pPr>
    </w:p>
    <w:p>
      <w:pPr>
        <w:ind w:left="980"/>
        <w:spacing w:after="0"/>
        <w:rPr>
          <w:sz w:val="20"/>
          <w:szCs w:val="20"/>
          <w:color w:val="auto"/>
        </w:rPr>
      </w:pPr>
      <w:r>
        <w:rPr>
          <w:rFonts w:ascii="Arial" w:cs="Arial" w:eastAsia="Arial" w:hAnsi="Arial"/>
          <w:sz w:val="15"/>
          <w:szCs w:val="15"/>
          <w:b w:val="1"/>
          <w:bCs w:val="1"/>
          <w:color w:val="auto"/>
        </w:rPr>
        <w:t>2000 Waters Edge Drive, Johnson City, Tennessee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37604</w:t>
      </w:r>
    </w:p>
    <w:p>
      <w:pPr>
        <w:spacing w:after="0" w:line="50" w:lineRule="exact"/>
        <w:rPr>
          <w:sz w:val="24"/>
          <w:szCs w:val="24"/>
          <w:color w:val="auto"/>
        </w:rPr>
      </w:pPr>
    </w:p>
    <w:p>
      <w:pPr>
        <w:sectPr>
          <w:pgSz w:w="11900" w:h="16838" w:orient="portrait"/>
          <w:cols w:equalWidth="0" w:num="2">
            <w:col w:w="7700" w:space="720"/>
            <w:col w:w="2400"/>
          </w:cols>
          <w:pgMar w:left="240" w:top="368" w:right="83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500"/>
          </w:cols>
          <w:pgMar w:left="240" w:top="368" w:right="839" w:bottom="1440" w:gutter="0" w:footer="0" w:header="0"/>
          <w:type w:val="continuous"/>
        </w:sectPr>
      </w:pPr>
    </w:p>
    <w:p>
      <w:pPr>
        <w:jc w:val="center"/>
        <w:ind w:right="-619"/>
        <w:spacing w:after="0"/>
        <w:rPr>
          <w:sz w:val="20"/>
          <w:szCs w:val="20"/>
          <w:color w:val="auto"/>
        </w:rPr>
      </w:pPr>
      <w:r>
        <w:rPr>
          <w:rFonts w:ascii="Arial" w:cs="Arial" w:eastAsia="Arial" w:hAnsi="Arial"/>
          <w:sz w:val="18"/>
          <w:szCs w:val="18"/>
          <w:b w:val="1"/>
          <w:bCs w:val="1"/>
          <w:color w:val="auto"/>
        </w:rPr>
        <w:t>(423) 743-9151</w:t>
      </w:r>
    </w:p>
    <w:p>
      <w:pPr>
        <w:spacing w:after="0" w:line="21" w:lineRule="exact"/>
        <w:rPr>
          <w:sz w:val="24"/>
          <w:szCs w:val="24"/>
          <w:color w:val="auto"/>
        </w:rPr>
      </w:pPr>
    </w:p>
    <w:p>
      <w:pPr>
        <w:jc w:val="center"/>
        <w:ind w:right="-6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August 29, 2014, NN, Inc., a Delaware corporation (“NN”), completed the previously announced merger contemplated by that certain Agreement and Plan of Merger (the “Merger Agreement”) by and among NN, PMC Global Acquisition Corporation, a Michigan corporation and a wholly owned subsidiary of NN (“Merger Sub”), Autocam Corporation, a Michigan corporation (“Autocam”), Newport Global Advisors, L.P., a Delaware limited partnership, solely in its capacity as a shareholder representative, and John C. Kennedy.</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Amendment to Current Report on Form 8-K (this “Amendment”) amends NN’s Current Report on Form 8-K filed on September 2, 2014. This Amendment files the financial statements for Autocam and furnishes NN’s and Autocam’s unaudited pro forma combined condensed consolidated financial statements and related notes thereto, both of which are in connection with NN’s acquisition of Autocam.</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13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Statements of Businesses Acquired</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Autocam’s audited consolidated balance sheets at December 31, 2013, 2012 and 2011, and Autocam’s audited consolidated statements of operations and comprehensive income, shareholders’ equity and cash flows for the years ended December 31, 2013, 2012 and 2011, the notes and independent auditors’ report of Deloitte &amp; Touche LLP related thereto are filed as Exhibit 99.1 hereto and are incorporated in this report by reference.</w:t>
      </w:r>
    </w:p>
    <w:p>
      <w:pPr>
        <w:spacing w:after="0" w:line="166"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Autocam’s unaudited condensed consolidated balance sheets at June 30, 2014, and Autocam’s unaudited condensed consolidated statements of operations and comprehensive income (loss), cash flows and shareholders’ equity for the six months ended June 30, 2014 and the notes related thereto are filed as Exhibit 99.2 hereto and are incorporated in this report by reference.</w:t>
      </w:r>
    </w:p>
    <w:p>
      <w:pPr>
        <w:spacing w:after="0" w:line="32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 Forma Financial Information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NN’s and Autocam’s unaudited pro forma condensed combined consolidated balance sheet as of June 30, 2014, and the unaudited pro forma condensed combined consolidated statements of income for the year ended December 31, 2013 and the six months ended June 30, 2014 and the notes related thereto are furnished as Exhibit 99.3 hereto and are incorporated in this report by reference.</w:t>
      </w:r>
    </w:p>
    <w:p>
      <w:pPr>
        <w:spacing w:after="0" w:line="32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Exhibits</w:t>
      </w:r>
      <w:r>
        <w:rPr>
          <w:rFonts w:ascii="Arial" w:cs="Arial" w:eastAsia="Arial" w:hAnsi="Arial"/>
          <w:sz w:val="18"/>
          <w:szCs w:val="18"/>
          <w:b w:val="1"/>
          <w:bCs w:val="1"/>
          <w:color w:val="auto"/>
        </w:rPr>
        <w:t>.</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 independent auditors.</w:t>
      </w:r>
    </w:p>
    <w:p>
      <w:pPr>
        <w:spacing w:after="0" w:line="117" w:lineRule="exact"/>
        <w:rPr>
          <w:sz w:val="20"/>
          <w:szCs w:val="20"/>
          <w:color w:val="auto"/>
        </w:rPr>
      </w:pPr>
    </w:p>
    <w:p>
      <w:pPr>
        <w:ind w:left="700" w:right="160" w:hanging="688"/>
        <w:spacing w:after="0" w:line="264" w:lineRule="auto"/>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Audited consolidated balance sheets at December 31, 2013, 2012 and 2011, and audited consolidated statements of operations and comprehensive income, shareholders’ equity and cash flows of Autocam Corporation for the years ended December 31, 2013, 2012 and 2011, the notes and independent auditors’ report of Deloitte &amp; Touche LLP related thereto.</w:t>
      </w:r>
    </w:p>
    <w:p>
      <w:pPr>
        <w:spacing w:after="0" w:line="73" w:lineRule="exact"/>
        <w:rPr>
          <w:sz w:val="20"/>
          <w:szCs w:val="20"/>
          <w:color w:val="auto"/>
        </w:rPr>
      </w:pPr>
    </w:p>
    <w:p>
      <w:pPr>
        <w:ind w:left="700" w:right="220" w:hanging="688"/>
        <w:spacing w:after="0" w:line="264" w:lineRule="auto"/>
        <w:tabs>
          <w:tab w:leader="none" w:pos="6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color w:val="auto"/>
        </w:rPr>
        <w:t>Unaudited condensed consolidated balance sheets at June 30, 2014, and unaudited condensed consolidated statements of operations and comprehensive income (loss), cash flows and shareholders’ equity of Autocam Corporation for the six months ended June 30, 2014 and the notes related thereto.</w:t>
      </w:r>
    </w:p>
    <w:p>
      <w:pPr>
        <w:spacing w:after="0" w:line="73" w:lineRule="exact"/>
        <w:rPr>
          <w:sz w:val="20"/>
          <w:szCs w:val="20"/>
          <w:color w:val="auto"/>
        </w:rPr>
      </w:pPr>
    </w:p>
    <w:p>
      <w:pPr>
        <w:ind w:left="700" w:right="80" w:hanging="688"/>
        <w:spacing w:after="0" w:line="264" w:lineRule="auto"/>
        <w:tabs>
          <w:tab w:leader="none" w:pos="68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8"/>
          <w:szCs w:val="18"/>
          <w:color w:val="auto"/>
        </w:rPr>
        <w:t>Unaudited pro forma condensed combined consolidated balance sheet as of June 30, 2014, and the unaudited pro forma condensed combined consolidated statements of income of NN, Inc. and Autocam Corporation for the year ended December 31, 2013 and the six months ended June 30, 2014, and the notes related thereto.</w:t>
      </w:r>
    </w:p>
    <w:p>
      <w:pPr>
        <w:sectPr>
          <w:pgSz w:w="11900" w:h="16838" w:orient="portrait"/>
          <w:cols w:equalWidth="0" w:num="1">
            <w:col w:w="11380"/>
          </w:cols>
          <w:pgMar w:left="240" w:top="270"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2014</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William C. Kelly, Jr.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 and Chief</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Administrative Officer</w:t>
      </w:r>
    </w:p>
    <w:p>
      <w:pPr>
        <w:sectPr>
          <w:pgSz w:w="11900" w:h="16838" w:orient="portrait"/>
          <w:cols w:equalWidth="0" w:num="1">
            <w:col w:w="11220"/>
          </w:cols>
          <w:pgMar w:left="240" w:top="27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560" w:type="dxa"/>
            <w:vAlign w:val="bottom"/>
            <w:gridSpan w:val="3"/>
          </w:tcPr>
          <w:p>
            <w:pPr>
              <w:ind w:left="430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38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460" w:type="dxa"/>
            <w:vAlign w:val="bottom"/>
          </w:tcPr>
          <w:p>
            <w:pPr>
              <w:spacing w:after="0"/>
              <w:rPr>
                <w:sz w:val="24"/>
                <w:szCs w:val="24"/>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560" w:type="dxa"/>
            <w:vAlign w:val="bottom"/>
            <w:gridSpan w:val="3"/>
          </w:tcPr>
          <w:p>
            <w:pPr>
              <w:ind w:left="780"/>
              <w:spacing w:after="0"/>
              <w:rPr>
                <w:sz w:val="20"/>
                <w:szCs w:val="20"/>
                <w:color w:val="auto"/>
              </w:rPr>
            </w:pPr>
            <w:r>
              <w:rPr>
                <w:rFonts w:ascii="Arial" w:cs="Arial" w:eastAsia="Arial" w:hAnsi="Arial"/>
                <w:sz w:val="18"/>
                <w:szCs w:val="18"/>
                <w:color w:val="auto"/>
              </w:rPr>
              <w:t>Consent of Deloitte &amp; Touche LLP, independent auditors.</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10560" w:type="dxa"/>
            <w:vAlign w:val="bottom"/>
            <w:gridSpan w:val="3"/>
          </w:tcPr>
          <w:p>
            <w:pPr>
              <w:ind w:left="780"/>
              <w:spacing w:after="0"/>
              <w:rPr>
                <w:sz w:val="20"/>
                <w:szCs w:val="20"/>
                <w:color w:val="auto"/>
              </w:rPr>
            </w:pPr>
            <w:r>
              <w:rPr>
                <w:rFonts w:ascii="Arial" w:cs="Arial" w:eastAsia="Arial" w:hAnsi="Arial"/>
                <w:sz w:val="18"/>
                <w:szCs w:val="18"/>
                <w:color w:val="auto"/>
                <w:w w:val="92"/>
              </w:rPr>
              <w:t>Audited consolidated balance sheets at December 31, 2013, 2012 and 2011, and audited consolidated statements of operations and</w:t>
            </w:r>
          </w:p>
        </w:tc>
      </w:tr>
      <w:tr>
        <w:trPr>
          <w:trHeight w:val="216"/>
        </w:trPr>
        <w:tc>
          <w:tcPr>
            <w:tcW w:w="720" w:type="dxa"/>
            <w:vAlign w:val="bottom"/>
          </w:tcPr>
          <w:p>
            <w:pPr>
              <w:spacing w:after="0"/>
              <w:rPr>
                <w:sz w:val="18"/>
                <w:szCs w:val="18"/>
                <w:color w:val="auto"/>
              </w:rPr>
            </w:pPr>
          </w:p>
        </w:tc>
        <w:tc>
          <w:tcPr>
            <w:tcW w:w="10560" w:type="dxa"/>
            <w:vAlign w:val="bottom"/>
            <w:gridSpan w:val="3"/>
          </w:tcPr>
          <w:p>
            <w:pPr>
              <w:ind w:left="780"/>
              <w:spacing w:after="0"/>
              <w:rPr>
                <w:sz w:val="20"/>
                <w:szCs w:val="20"/>
                <w:color w:val="auto"/>
              </w:rPr>
            </w:pPr>
            <w:r>
              <w:rPr>
                <w:rFonts w:ascii="Arial" w:cs="Arial" w:eastAsia="Arial" w:hAnsi="Arial"/>
                <w:sz w:val="18"/>
                <w:szCs w:val="18"/>
                <w:color w:val="auto"/>
                <w:w w:val="90"/>
              </w:rPr>
              <w:t>comprehensive income, shareholders’ equity and cash flows of Autocam Corporation for the years ended December 31, 2013, 2012 and</w:t>
            </w:r>
          </w:p>
        </w:tc>
      </w:tr>
      <w:tr>
        <w:trPr>
          <w:trHeight w:val="230"/>
        </w:trPr>
        <w:tc>
          <w:tcPr>
            <w:tcW w:w="720" w:type="dxa"/>
            <w:vAlign w:val="bottom"/>
          </w:tcPr>
          <w:p>
            <w:pPr>
              <w:spacing w:after="0"/>
              <w:rPr>
                <w:sz w:val="20"/>
                <w:szCs w:val="20"/>
                <w:color w:val="auto"/>
              </w:rPr>
            </w:pPr>
          </w:p>
        </w:tc>
        <w:tc>
          <w:tcPr>
            <w:tcW w:w="10560" w:type="dxa"/>
            <w:vAlign w:val="bottom"/>
            <w:gridSpan w:val="3"/>
          </w:tcPr>
          <w:p>
            <w:pPr>
              <w:ind w:left="780"/>
              <w:spacing w:after="0"/>
              <w:rPr>
                <w:sz w:val="20"/>
                <w:szCs w:val="20"/>
                <w:color w:val="auto"/>
              </w:rPr>
            </w:pPr>
            <w:r>
              <w:rPr>
                <w:rFonts w:ascii="Arial" w:cs="Arial" w:eastAsia="Arial" w:hAnsi="Arial"/>
                <w:sz w:val="18"/>
                <w:szCs w:val="18"/>
                <w:color w:val="auto"/>
              </w:rPr>
              <w:t>2011, the notes and independent auditors’ report of Deloitte &amp; Touche LLP related thereto.</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10560" w:type="dxa"/>
            <w:vAlign w:val="bottom"/>
            <w:gridSpan w:val="3"/>
          </w:tcPr>
          <w:p>
            <w:pPr>
              <w:ind w:left="780"/>
              <w:spacing w:after="0"/>
              <w:rPr>
                <w:sz w:val="20"/>
                <w:szCs w:val="20"/>
                <w:color w:val="auto"/>
              </w:rPr>
            </w:pPr>
            <w:r>
              <w:rPr>
                <w:rFonts w:ascii="Arial" w:cs="Arial" w:eastAsia="Arial" w:hAnsi="Arial"/>
                <w:sz w:val="18"/>
                <w:szCs w:val="18"/>
                <w:color w:val="auto"/>
                <w:w w:val="88"/>
              </w:rPr>
              <w:t>Unaudited condensed consolidated balance sheets at June 30, 2014, and unaudited condensed consolidated statements of operations and</w:t>
            </w:r>
          </w:p>
        </w:tc>
      </w:tr>
      <w:tr>
        <w:trPr>
          <w:trHeight w:val="216"/>
        </w:trPr>
        <w:tc>
          <w:tcPr>
            <w:tcW w:w="720" w:type="dxa"/>
            <w:vAlign w:val="bottom"/>
          </w:tcPr>
          <w:p>
            <w:pPr>
              <w:spacing w:after="0"/>
              <w:rPr>
                <w:sz w:val="18"/>
                <w:szCs w:val="18"/>
                <w:color w:val="auto"/>
              </w:rPr>
            </w:pPr>
          </w:p>
        </w:tc>
        <w:tc>
          <w:tcPr>
            <w:tcW w:w="10560" w:type="dxa"/>
            <w:vAlign w:val="bottom"/>
            <w:gridSpan w:val="3"/>
          </w:tcPr>
          <w:p>
            <w:pPr>
              <w:ind w:left="780"/>
              <w:spacing w:after="0"/>
              <w:rPr>
                <w:sz w:val="20"/>
                <w:szCs w:val="20"/>
                <w:color w:val="auto"/>
              </w:rPr>
            </w:pPr>
            <w:r>
              <w:rPr>
                <w:rFonts w:ascii="Arial" w:cs="Arial" w:eastAsia="Arial" w:hAnsi="Arial"/>
                <w:sz w:val="18"/>
                <w:szCs w:val="18"/>
                <w:color w:val="auto"/>
                <w:w w:val="90"/>
              </w:rPr>
              <w:t>comprehensive income (loss), cash flows and shareholders’ equity of Autocam Corporation for the six months ended June 30, 2014 and</w:t>
            </w:r>
          </w:p>
        </w:tc>
      </w:tr>
      <w:tr>
        <w:trPr>
          <w:trHeight w:val="230"/>
        </w:trPr>
        <w:tc>
          <w:tcPr>
            <w:tcW w:w="720" w:type="dxa"/>
            <w:vAlign w:val="bottom"/>
          </w:tcPr>
          <w:p>
            <w:pPr>
              <w:spacing w:after="0"/>
              <w:rPr>
                <w:sz w:val="20"/>
                <w:szCs w:val="20"/>
                <w:color w:val="auto"/>
              </w:rPr>
            </w:pPr>
          </w:p>
        </w:tc>
        <w:tc>
          <w:tcPr>
            <w:tcW w:w="10560" w:type="dxa"/>
            <w:vAlign w:val="bottom"/>
            <w:gridSpan w:val="3"/>
          </w:tcPr>
          <w:p>
            <w:pPr>
              <w:ind w:left="780"/>
              <w:spacing w:after="0"/>
              <w:rPr>
                <w:sz w:val="20"/>
                <w:szCs w:val="20"/>
                <w:color w:val="auto"/>
              </w:rPr>
            </w:pPr>
            <w:r>
              <w:rPr>
                <w:rFonts w:ascii="Arial" w:cs="Arial" w:eastAsia="Arial" w:hAnsi="Arial"/>
                <w:sz w:val="18"/>
                <w:szCs w:val="18"/>
                <w:color w:val="auto"/>
              </w:rPr>
              <w:t>the notes related thereto.</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99.3</w:t>
            </w:r>
          </w:p>
        </w:tc>
        <w:tc>
          <w:tcPr>
            <w:tcW w:w="10560" w:type="dxa"/>
            <w:vAlign w:val="bottom"/>
            <w:gridSpan w:val="3"/>
          </w:tcPr>
          <w:p>
            <w:pPr>
              <w:ind w:left="780"/>
              <w:spacing w:after="0"/>
              <w:rPr>
                <w:sz w:val="20"/>
                <w:szCs w:val="20"/>
                <w:color w:val="auto"/>
              </w:rPr>
            </w:pPr>
            <w:r>
              <w:rPr>
                <w:rFonts w:ascii="Arial" w:cs="Arial" w:eastAsia="Arial" w:hAnsi="Arial"/>
                <w:sz w:val="18"/>
                <w:szCs w:val="18"/>
                <w:color w:val="auto"/>
                <w:w w:val="92"/>
              </w:rPr>
              <w:t>Unaudited pro forma condensed combined consolidated balance sheet as of June 30, 2014, and the unaudited pro forma condensed</w:t>
            </w:r>
          </w:p>
        </w:tc>
      </w:tr>
      <w:tr>
        <w:trPr>
          <w:trHeight w:val="216"/>
        </w:trPr>
        <w:tc>
          <w:tcPr>
            <w:tcW w:w="720" w:type="dxa"/>
            <w:vAlign w:val="bottom"/>
          </w:tcPr>
          <w:p>
            <w:pPr>
              <w:spacing w:after="0"/>
              <w:rPr>
                <w:sz w:val="18"/>
                <w:szCs w:val="18"/>
                <w:color w:val="auto"/>
              </w:rPr>
            </w:pPr>
          </w:p>
        </w:tc>
        <w:tc>
          <w:tcPr>
            <w:tcW w:w="10560" w:type="dxa"/>
            <w:vAlign w:val="bottom"/>
            <w:gridSpan w:val="3"/>
          </w:tcPr>
          <w:p>
            <w:pPr>
              <w:ind w:left="780"/>
              <w:spacing w:after="0"/>
              <w:rPr>
                <w:sz w:val="20"/>
                <w:szCs w:val="20"/>
                <w:color w:val="auto"/>
              </w:rPr>
            </w:pPr>
            <w:r>
              <w:rPr>
                <w:rFonts w:ascii="Arial" w:cs="Arial" w:eastAsia="Arial" w:hAnsi="Arial"/>
                <w:sz w:val="18"/>
                <w:szCs w:val="18"/>
                <w:color w:val="auto"/>
                <w:w w:val="91"/>
              </w:rPr>
              <w:t>combined consolidated statements of income of NN, Inc. and Autocam Corporation for the year ended December 31, 2013 and the six</w:t>
            </w:r>
          </w:p>
        </w:tc>
      </w:tr>
      <w:tr>
        <w:trPr>
          <w:trHeight w:val="230"/>
        </w:trPr>
        <w:tc>
          <w:tcPr>
            <w:tcW w:w="720" w:type="dxa"/>
            <w:vAlign w:val="bottom"/>
          </w:tcPr>
          <w:p>
            <w:pPr>
              <w:spacing w:after="0"/>
              <w:rPr>
                <w:sz w:val="20"/>
                <w:szCs w:val="20"/>
                <w:color w:val="auto"/>
              </w:rPr>
            </w:pPr>
          </w:p>
        </w:tc>
        <w:tc>
          <w:tcPr>
            <w:tcW w:w="10560" w:type="dxa"/>
            <w:vAlign w:val="bottom"/>
            <w:gridSpan w:val="3"/>
          </w:tcPr>
          <w:p>
            <w:pPr>
              <w:ind w:left="780"/>
              <w:spacing w:after="0"/>
              <w:rPr>
                <w:sz w:val="20"/>
                <w:szCs w:val="20"/>
                <w:color w:val="auto"/>
              </w:rPr>
            </w:pPr>
            <w:r>
              <w:rPr>
                <w:rFonts w:ascii="Arial" w:cs="Arial" w:eastAsia="Arial" w:hAnsi="Arial"/>
                <w:sz w:val="18"/>
                <w:szCs w:val="18"/>
                <w:color w:val="auto"/>
              </w:rPr>
              <w:t>months ended June 30, 2014, and the notes related thereto.</w:t>
            </w:r>
          </w:p>
        </w:tc>
      </w:tr>
    </w:tbl>
    <w:p>
      <w:pPr>
        <w:ind w:left="780"/>
        <w:spacing w:after="0"/>
        <w:rPr>
          <w:sz w:val="20"/>
          <w:szCs w:val="20"/>
          <w:color w:val="auto"/>
        </w:rPr>
        <w:sectPr>
          <w:pgSz w:w="11900" w:h="16838" w:orient="portrait"/>
          <w:cols w:equalWidth="0" w:num="1">
            <w:col w:w="11280"/>
          </w:cols>
          <w:pgMar w:left="240" w:top="270" w:right="3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AUDITORS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Statements on Form S-8 (No. 333-174519, No. 333-130395, No. 333-69588, and No. 333-50934) of NN, Inc. of our report dated March 28, 2014 relating to the consolidated financial statements of Autocam Corporation for the years ended December 31, 2013, 2012 and 2011 appearing in the Amendment to the Current Report on Form 8-K of NN, Inc., dated October 27,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2014</w:t>
      </w:r>
    </w:p>
    <w:p>
      <w:pPr>
        <w:sectPr>
          <w:pgSz w:w="11900" w:h="16838" w:orient="portrait"/>
          <w:cols w:equalWidth="0" w:num="1">
            <w:col w:w="11420"/>
          </w:cols>
          <w:pgMar w:left="240" w:top="12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172085</wp:posOffset>
            </wp:positionV>
            <wp:extent cx="1449070"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90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AUTOCAM CORPORATION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CONSOLIDATED FINANCIAL STATEMENTS</w:t>
      </w:r>
    </w:p>
    <w:p>
      <w:pPr>
        <w:spacing w:after="0" w:line="237"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DECEMBER 31, 2012 AND 2013</w:t>
      </w:r>
    </w:p>
    <w:p>
      <w:pPr>
        <w:sectPr>
          <w:pgSz w:w="11900" w:h="16838" w:orient="portrait"/>
          <w:cols w:equalWidth="0" w:num="1">
            <w:col w:w="10220"/>
          </w:cols>
          <w:pgMar w:left="1440" w:top="121" w:right="2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AUTOCAM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vMerge w:val="restart"/>
          </w:tcPr>
          <w:p>
            <w:pPr>
              <w:spacing w:after="0"/>
              <w:rPr>
                <w:sz w:val="20"/>
                <w:szCs w:val="20"/>
                <w:color w:val="auto"/>
              </w:rPr>
            </w:pPr>
            <w:r>
              <w:rPr>
                <w:rFonts w:ascii="Arial" w:cs="Arial" w:eastAsia="Arial" w:hAnsi="Arial"/>
                <w:sz w:val="18"/>
                <w:szCs w:val="18"/>
                <w:b w:val="1"/>
                <w:bCs w:val="1"/>
                <w:color w:val="auto"/>
              </w:rPr>
              <w:t>Audited Consolidated Financial Statements for the years ended December 31, 2012 and 2013: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1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20" w:type="dxa"/>
            <w:vAlign w:val="bottom"/>
          </w:tcPr>
          <w:p>
            <w:pPr>
              <w:ind w:left="360"/>
              <w:spacing w:after="0"/>
              <w:rPr>
                <w:sz w:val="20"/>
                <w:szCs w:val="20"/>
                <w:color w:val="auto"/>
              </w:rPr>
            </w:pPr>
            <w:r>
              <w:rPr>
                <w:rFonts w:ascii="Arial" w:cs="Arial" w:eastAsia="Arial" w:hAnsi="Arial"/>
                <w:sz w:val="18"/>
                <w:szCs w:val="18"/>
                <w:color w:val="auto"/>
              </w:rPr>
              <w:t>Independent Auditors’ Report</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020" w:type="dxa"/>
            <w:vAlign w:val="bottom"/>
          </w:tcPr>
          <w:p>
            <w:pPr>
              <w:ind w:left="360"/>
              <w:spacing w:after="0"/>
              <w:rPr>
                <w:sz w:val="20"/>
                <w:szCs w:val="20"/>
                <w:color w:val="auto"/>
              </w:rPr>
            </w:pPr>
            <w:r>
              <w:rPr>
                <w:rFonts w:ascii="Arial" w:cs="Arial" w:eastAsia="Arial" w:hAnsi="Arial"/>
                <w:sz w:val="18"/>
                <w:szCs w:val="18"/>
                <w:color w:val="auto"/>
              </w:rPr>
              <w:t>Consolidated Balance Sheets</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020" w:type="dxa"/>
            <w:vAlign w:val="bottom"/>
          </w:tcPr>
          <w:p>
            <w:pPr>
              <w:ind w:left="360"/>
              <w:spacing w:after="0"/>
              <w:rPr>
                <w:sz w:val="20"/>
                <w:szCs w:val="20"/>
                <w:color w:val="auto"/>
              </w:rPr>
            </w:pPr>
            <w:r>
              <w:rPr>
                <w:rFonts w:ascii="Arial" w:cs="Arial" w:eastAsia="Arial" w:hAnsi="Arial"/>
                <w:sz w:val="18"/>
                <w:szCs w:val="18"/>
                <w:color w:val="auto"/>
              </w:rPr>
              <w:t>Consolidated Statements of Operations and Comprehensive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20" w:type="dxa"/>
            <w:vAlign w:val="bottom"/>
          </w:tcPr>
          <w:p>
            <w:pPr>
              <w:ind w:left="360"/>
              <w:spacing w:after="0"/>
              <w:rPr>
                <w:sz w:val="20"/>
                <w:szCs w:val="20"/>
                <w:color w:val="auto"/>
              </w:rPr>
            </w:pPr>
            <w:r>
              <w:rPr>
                <w:rFonts w:ascii="Arial" w:cs="Arial" w:eastAsia="Arial" w:hAnsi="Arial"/>
                <w:sz w:val="18"/>
                <w:szCs w:val="18"/>
                <w:color w:val="auto"/>
              </w:rPr>
              <w:t>Consolidated Statements of Shareholders’ Equity</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020" w:type="dxa"/>
            <w:vAlign w:val="bottom"/>
          </w:tcPr>
          <w:p>
            <w:pPr>
              <w:ind w:left="360"/>
              <w:spacing w:after="0"/>
              <w:rPr>
                <w:sz w:val="20"/>
                <w:szCs w:val="20"/>
                <w:color w:val="auto"/>
              </w:rPr>
            </w:pPr>
            <w:r>
              <w:rPr>
                <w:rFonts w:ascii="Arial" w:cs="Arial" w:eastAsia="Arial" w:hAnsi="Arial"/>
                <w:sz w:val="18"/>
                <w:szCs w:val="18"/>
                <w:color w:val="auto"/>
              </w:rPr>
              <w:t>Consolidated Statements of Cash Flows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1020" w:type="dxa"/>
            <w:vAlign w:val="bottom"/>
          </w:tcPr>
          <w:p>
            <w:pPr>
              <w:ind w:left="360"/>
              <w:spacing w:after="0"/>
              <w:rPr>
                <w:sz w:val="20"/>
                <w:szCs w:val="20"/>
                <w:color w:val="auto"/>
              </w:rPr>
            </w:pPr>
            <w:r>
              <w:rPr>
                <w:rFonts w:ascii="Arial" w:cs="Arial" w:eastAsia="Arial" w:hAnsi="Arial"/>
                <w:sz w:val="18"/>
                <w:szCs w:val="18"/>
                <w:color w:val="auto"/>
              </w:rPr>
              <w:t>Notes to Consolidated Financial Statements</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65"/>
        </w:trPr>
        <w:tc>
          <w:tcPr>
            <w:tcW w:w="11020" w:type="dxa"/>
            <w:vAlign w:val="bottom"/>
          </w:tcPr>
          <w:p>
            <w:pPr>
              <w:ind w:left="566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AUDITORS’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Autocam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Kentwood, Michigan</w:t>
      </w:r>
    </w:p>
    <w:p>
      <w:pPr>
        <w:spacing w:after="0" w:line="103"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We have audited the accompanying consolidated financial statements of Autocam Corporation and its subsidiaries (the “Company”), which comprise the consolidated balance sheets as of December 31, 2013, 2012, and 2011, and the related consolidated statements of operations and comprehensive income, shareholders’ equity, and cash flows for the years then ended, and the related notes to the consolidated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Consolidated Financial Statements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Our responsibility is to express an opinion on these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Autocam Corporation and subsidiaries as of December 31, 2013, 2012, and 2011, and the results of their operations and their cash flows for the years then ended in accordance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LEFT INTENTIONALLY BLANK]</w:t>
      </w:r>
    </w:p>
    <w:p>
      <w:pPr>
        <w:sectPr>
          <w:pgSz w:w="11900" w:h="16838" w:orient="portrait"/>
          <w:cols w:equalWidth="0" w:num="1">
            <w:col w:w="9019"/>
          </w:cols>
          <w:pgMar w:left="1440" w:top="274"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274" w:right="1440"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AUTOCAM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Amounts in thousands, except share information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and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i w:val="1"/>
                <w:iCs w:val="1"/>
                <w:color w:val="auto"/>
              </w:rPr>
              <w:t>Accounts receivable, net of allowances of $275 and $324, respectively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28,387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Inventories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i w:val="1"/>
                <w:iCs w:val="1"/>
                <w:color w:val="auto"/>
              </w:rPr>
              <w:t>Prepaid expenses and other current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68,563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121,862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136,390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Other long-term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207,687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224,945</w:t>
            </w: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i w:val="1"/>
                <w:iCs w:val="1"/>
                <w:color w:val="auto"/>
              </w:rPr>
              <w:t>Current maturities of long-term obligations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14,269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Accounts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17,708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i w:val="1"/>
                <w:iCs w:val="1"/>
                <w:color w:val="auto"/>
              </w:rPr>
              <w:t>Accrued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39,824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43,465</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Long-term obligations, net of current maturities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36,025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affiliate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Deferred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23,228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6"/>
              </w:rPr>
              <w:t>Common stock – no par value; 10,200,000 shares authorized; 106,550 issued and outstanding as of December 31, 2012 and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96,550 issued and outstanding as of December 31, 2013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i w:val="1"/>
                <w:iCs w:val="1"/>
                <w:color w:val="auto"/>
              </w:rPr>
              <w:t>Additional 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194,890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182,890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other comprehensive income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i w:val="1"/>
                <w:iCs w:val="1"/>
                <w:color w:val="auto"/>
              </w:rPr>
              <w:t>Accumulated deficit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(92,091)</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(79,224)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103,358</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102,681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207,687</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224,945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AUTOCAM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7500" w:type="dxa"/>
            <w:vAlign w:val="bottom"/>
            <w:gridSpan w:val="2"/>
            <w:vMerge w:val="continue"/>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2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181,568</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233,484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Cost of sales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(163,809)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(203,749)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17,759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(12,323)</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stock-based compensation income (expense)</w:t>
            </w:r>
          </w:p>
        </w:tc>
        <w:tc>
          <w:tcPr>
            <w:tcW w:w="2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Stock-based compensation income (expense)</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Interest expense, net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(2,040)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Income before taxes and joint venture income</w:t>
            </w:r>
          </w:p>
        </w:tc>
        <w:tc>
          <w:tcPr>
            <w:tcW w:w="2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Share of net income from joint venture</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12,867</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Statements of Comprehensive Income:</w:t>
            </w: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gridSpan w:val="2"/>
            <w:vMerge w:val="continue"/>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Other comprehensive income (losses):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Foreign currency translation adjustments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i w:val="1"/>
                <w:iCs w:val="1"/>
                <w:color w:val="auto"/>
              </w:rPr>
              <w:t>Change in fair value of interest rate hedge</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AUTOCAM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4"/>
                <w:szCs w:val="14"/>
                <w:color w:val="auto"/>
              </w:rPr>
            </w:pPr>
          </w:p>
        </w:tc>
        <w:tc>
          <w:tcPr>
            <w:tcW w:w="14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rPr>
              <w:t>Other</w:t>
            </w: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4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300" w:type="dxa"/>
            <w:vAlign w:val="bottom"/>
            <w:gridSpan w:val="3"/>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700" w:type="dxa"/>
            <w:vAlign w:val="bottom"/>
            <w:gridSpan w:val="2"/>
          </w:tcPr>
          <w:p>
            <w:pPr>
              <w:spacing w:after="0"/>
              <w:rPr>
                <w:sz w:val="20"/>
                <w:szCs w:val="20"/>
                <w:color w:val="auto"/>
              </w:rPr>
            </w:pPr>
            <w:r>
              <w:rPr>
                <w:rFonts w:ascii="Arial" w:cs="Arial" w:eastAsia="Arial" w:hAnsi="Arial"/>
                <w:sz w:val="14"/>
                <w:szCs w:val="14"/>
                <w:i w:val="1"/>
                <w:iCs w:val="1"/>
                <w:color w:val="auto"/>
              </w:rPr>
              <w:t>Amounts in thousands</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4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3"/>
              </w:rPr>
              <w:t>Deficit</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2012</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$194,890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88,421)</w:t>
            </w: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$108,295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4,705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Cash dividends paid to non-Manager Shareholders </w:t>
            </w:r>
            <w:r>
              <w:rPr>
                <w:rFonts w:ascii="Arial" w:cs="Arial" w:eastAsia="Arial" w:hAnsi="Arial"/>
                <w:sz w:val="15"/>
                <w:szCs w:val="15"/>
                <w:color w:val="auto"/>
              </w:rPr>
              <w:t>1</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(8,375)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(1,296)</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interest rate hedge</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Balance, December 31, 2012</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194,890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(92,091)</w:t>
            </w:r>
          </w:p>
        </w:tc>
        <w:tc>
          <w:tcPr>
            <w:tcW w:w="4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12,867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Repurchase of common shares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(1,641)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Change in fair value of interest rate hedge</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182,890</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985)</w:t>
            </w:r>
          </w:p>
        </w:tc>
        <w:tc>
          <w:tcPr>
            <w:tcW w:w="18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79,224)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102,681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4"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5"/>
          <w:szCs w:val="15"/>
          <w:color w:val="auto"/>
        </w:rPr>
      </w:pPr>
      <w:r>
        <w:rPr>
          <w:rFonts w:ascii="Arial" w:cs="Arial" w:eastAsia="Arial" w:hAnsi="Arial"/>
          <w:sz w:val="18"/>
          <w:szCs w:val="18"/>
          <w:color w:val="auto"/>
        </w:rPr>
        <w:t>Payments of $46.25 per share were made in January, 2012 and $37.55 per share in August, 2012.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AUTOCAM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95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i w:val="1"/>
                <w:iCs w:val="1"/>
                <w:color w:val="auto"/>
              </w:rPr>
              <w:t>Cash received from customers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178,735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228,273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paid to suppliers and employees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(163,555)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(201,600)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i w:val="1"/>
                <w:iCs w:val="1"/>
                <w:color w:val="auto"/>
              </w:rPr>
              <w:t>Cash received from joint venture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taxes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i w:val="1"/>
                <w:iCs w:val="1"/>
                <w:color w:val="auto"/>
              </w:rPr>
              <w:t>Income taxes refunded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Interest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30"/>
        </w:trPr>
        <w:tc>
          <w:tcPr>
            <w:tcW w:w="95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i w:val="1"/>
                <w:iCs w:val="1"/>
                <w:color w:val="auto"/>
              </w:rPr>
              <w:t>Capital expenditures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(36,246)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Proceeds from sales of fixed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i w:val="1"/>
                <w:iCs w:val="1"/>
                <w:color w:val="auto"/>
              </w:rPr>
              <w:t>Increases in restricted cash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95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(36,011)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(29,542)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i w:val="1"/>
                <w:iCs w:val="1"/>
                <w:color w:val="auto"/>
              </w:rPr>
              <w:t>Borrowings under lines of credit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66,458</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Repayments on lines of credit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(54,654)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i w:val="1"/>
                <w:iCs w:val="1"/>
                <w:color w:val="auto"/>
              </w:rPr>
              <w:t>Proceeds from issuance of long-term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22,156</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Proceeds from issuance of note payable to affiliate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i w:val="1"/>
                <w:iCs w:val="1"/>
                <w:color w:val="auto"/>
              </w:rPr>
              <w:t>Principal payments of long-term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(7,694)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Repurchase of common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i w:val="1"/>
                <w:iCs w:val="1"/>
                <w:color w:val="auto"/>
              </w:rPr>
              <w:t>Dividends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(8,375)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Debt issue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95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Increase (decrease) in cash and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Cash and equivalents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AUTOCAM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Operations and Summary of Significant Accounting Policies</w:t>
      </w:r>
    </w:p>
    <w:p>
      <w:pPr>
        <w:spacing w:after="0" w:line="121"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color w:val="auto"/>
        </w:rPr>
        <w:t>In these notes, unless the context otherwise requires, “we,” “our” or “us” refer to Autocam Corporation together with its consolidated subsidiaries (“Autocam”). All currency figures, except per share data, referenced in these notes are reflected in thousands of U.S. dollars.</w:t>
      </w:r>
    </w:p>
    <w:p>
      <w:pPr>
        <w:spacing w:after="0" w:line="14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 xml:space="preserve">Principles of Consolidation </w:t>
      </w:r>
      <w:r>
        <w:rPr>
          <w:rFonts w:ascii="Arial" w:cs="Arial" w:eastAsia="Arial" w:hAnsi="Arial"/>
          <w:sz w:val="17"/>
          <w:szCs w:val="17"/>
          <w:color w:val="auto"/>
        </w:rPr>
        <w:t>– Our consolidated financial statements are prepared in accordance with accounting principles generally accepted in the United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States of America (“U.S.”). All of our significant intercompany accounts and transactions have been eliminated in consolidation.</w:t>
      </w:r>
    </w:p>
    <w:p>
      <w:pPr>
        <w:spacing w:after="0" w:line="14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 xml:space="preserve">Nature of Operations </w:t>
      </w:r>
      <w:r>
        <w:rPr>
          <w:rFonts w:ascii="Arial" w:cs="Arial" w:eastAsia="Arial" w:hAnsi="Arial"/>
          <w:sz w:val="17"/>
          <w:szCs w:val="17"/>
          <w:color w:val="auto"/>
        </w:rPr>
        <w:t>– We design and manufacture close-tolerance, specialty metal alloy components for mechanical and electromechanical systems using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turning, grinding and milling processes. Currently, we manufacture components for use on fuel delivery, electromechanical motor, steering and braking systems for the transportation industry. We have three manufacturing locations in the U.S., two in Brazil and one each in France, Poland and China. Our customers are located in virtually all areas of the world, with the exception of the continent of Africa.</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Estimates </w:t>
      </w:r>
      <w:r>
        <w:rPr>
          <w:rFonts w:ascii="Arial" w:cs="Arial" w:eastAsia="Arial" w:hAnsi="Arial"/>
          <w:sz w:val="18"/>
          <w:szCs w:val="18"/>
          <w:color w:val="auto"/>
        </w:rPr>
        <w:t>– The preparation of financial statements in conformity with accounting principles generally accepted in the U.S. requires our management to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estimates and assumptions that affect the reported amounts of assets and liabilities and disclosures of contingent assets and liabilities at the date of the financial statements and the reported amounts of revenues and expenses during the reporting period. Although our management believes the estimates are reasonable, actual results could differ from those estimates.</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 xml:space="preserve">Financial Instruments </w:t>
      </w:r>
      <w:r>
        <w:rPr>
          <w:rFonts w:ascii="Arial" w:cs="Arial" w:eastAsia="Arial" w:hAnsi="Arial"/>
          <w:sz w:val="17"/>
          <w:szCs w:val="17"/>
          <w:color w:val="auto"/>
        </w:rPr>
        <w:t>consist principally of cash and equivalents, accounts receivable and payable and indebtedness. We have determined the estimated fair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amounts for indebtedness using available market information and valuation methodologies (see Note 4). We have determined the estimated fair value of accounts receivable and payable as approximating their book values given their possessing short-term maturities.</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Set forth below is information about the fair value of our financial assets and liabilities at December 31, 2012 and December 31, 2013, according to the valuation techniques we used to determine their fair values: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780" w:type="dxa"/>
            <w:vAlign w:val="bottom"/>
            <w:gridSpan w:val="4"/>
          </w:tcPr>
          <w:p>
            <w:pPr>
              <w:ind w:left="440"/>
              <w:spacing w:after="0"/>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2"/>
                <w:szCs w:val="12"/>
                <w:b w:val="1"/>
                <w:bCs w:val="1"/>
                <w:color w:val="auto"/>
              </w:rPr>
              <w:t>1</w:t>
            </w:r>
          </w:p>
        </w:tc>
        <w:tc>
          <w:tcPr>
            <w:tcW w:w="1220" w:type="dxa"/>
            <w:vAlign w:val="bottom"/>
            <w:gridSpan w:val="5"/>
          </w:tcPr>
          <w:p>
            <w:pPr>
              <w:ind w:left="300"/>
              <w:spacing w:after="0"/>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2"/>
                <w:szCs w:val="12"/>
                <w:b w:val="1"/>
                <w:bCs w:val="1"/>
                <w:color w:val="auto"/>
              </w:rPr>
              <w:t>2</w:t>
            </w:r>
          </w:p>
        </w:tc>
      </w:tr>
      <w:tr>
        <w:trPr>
          <w:trHeight w:val="142"/>
        </w:trPr>
        <w:tc>
          <w:tcPr>
            <w:tcW w:w="49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0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 -</w:t>
            </w:r>
          </w:p>
        </w:tc>
        <w:tc>
          <w:tcPr>
            <w:tcW w:w="2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Cash and equivalents</w:t>
            </w:r>
          </w:p>
        </w:tc>
        <w:tc>
          <w:tcPr>
            <w:tcW w:w="3500" w:type="dxa"/>
            <w:vAlign w:val="bottom"/>
            <w:gridSpan w:val="3"/>
          </w:tcPr>
          <w:p>
            <w:pPr>
              <w:jc w:val="right"/>
              <w:ind w:right="400"/>
              <w:spacing w:after="0"/>
              <w:rPr>
                <w:sz w:val="20"/>
                <w:szCs w:val="20"/>
                <w:color w:val="auto"/>
              </w:rPr>
            </w:pPr>
            <w:r>
              <w:rPr>
                <w:rFonts w:ascii="Arial" w:cs="Arial" w:eastAsia="Arial" w:hAnsi="Arial"/>
                <w:sz w:val="18"/>
                <w:szCs w:val="18"/>
                <w:color w:val="auto"/>
              </w:rPr>
              <w:t>$9,492</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$9,974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Liability -</w:t>
            </w:r>
          </w:p>
        </w:tc>
        <w:tc>
          <w:tcPr>
            <w:tcW w:w="2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Interest rate swap arrangements</w:t>
            </w:r>
          </w:p>
        </w:tc>
        <w:tc>
          <w:tcPr>
            <w:tcW w:w="2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$280</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5"/>
          <w:szCs w:val="15"/>
          <w:color w:val="auto"/>
        </w:rPr>
      </w:pPr>
      <w:r>
        <w:rPr>
          <w:rFonts w:ascii="Arial" w:cs="Arial" w:eastAsia="Arial" w:hAnsi="Arial"/>
          <w:sz w:val="18"/>
          <w:szCs w:val="18"/>
          <w:color w:val="auto"/>
        </w:rPr>
        <w:t>Quoted prices in active markets for identical assets or liabilities.</w:t>
      </w:r>
    </w:p>
    <w:p>
      <w:pPr>
        <w:spacing w:after="0" w:line="22" w:lineRule="exact"/>
        <w:rPr>
          <w:sz w:val="20"/>
          <w:szCs w:val="20"/>
          <w:color w:val="auto"/>
        </w:rPr>
      </w:pPr>
    </w:p>
    <w:p>
      <w:pPr>
        <w:ind w:left="5660" w:right="4360" w:hanging="5652"/>
        <w:spacing w:after="0" w:line="434" w:lineRule="auto"/>
        <w:tabs>
          <w:tab w:leader="none" w:pos="215" w:val="left"/>
        </w:tabs>
        <w:numPr>
          <w:ilvl w:val="0"/>
          <w:numId w:val="7"/>
        </w:numPr>
        <w:rPr>
          <w:rFonts w:ascii="Arial" w:cs="Arial" w:eastAsia="Arial" w:hAnsi="Arial"/>
          <w:sz w:val="15"/>
          <w:szCs w:val="15"/>
          <w:color w:val="auto"/>
        </w:rPr>
      </w:pPr>
      <w:r>
        <w:rPr>
          <w:rFonts w:ascii="Arial" w:cs="Arial" w:eastAsia="Arial" w:hAnsi="Arial"/>
          <w:sz w:val="18"/>
          <w:szCs w:val="18"/>
          <w:color w:val="auto"/>
        </w:rPr>
        <w:t>Observable inputs other than quoted prices in active markets for identical assets and liabilities. 9</w:t>
      </w:r>
    </w:p>
    <w:p>
      <w:pPr>
        <w:sectPr>
          <w:pgSz w:w="11900" w:h="16838" w:orient="portrait"/>
          <w:cols w:equalWidth="0" w:num="1">
            <w:col w:w="11400"/>
          </w:cols>
          <w:pgMar w:left="240" w:top="270" w:right="259" w:bottom="1440" w:gutter="0" w:footer="0" w:header="0"/>
        </w:sectPr>
      </w:pPr>
    </w:p>
    <w:bookmarkStart w:id="14" w:name="page15"/>
    <w:bookmarkEnd w:id="14"/>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equivalents consist of highly-liquid investments with original maturities of three months or less at the date of purchase, including money market accounts with an active market valuation Level 1 estimate.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are stated at the lower of actual cost, on a first-in, first-out (FIFO) basis, or market.</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 xml:space="preserve">Property, Plant and Equipment </w:t>
      </w:r>
      <w:r>
        <w:rPr>
          <w:rFonts w:ascii="Arial" w:cs="Arial" w:eastAsia="Arial" w:hAnsi="Arial"/>
          <w:sz w:val="18"/>
          <w:szCs w:val="18"/>
          <w:color w:val="auto"/>
        </w:rPr>
        <w:t>is stated at cost. Depreciation is computed using the straight-line method over the estimated useful lives of the assets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360" w:type="dxa"/>
            <w:vAlign w:val="bottom"/>
            <w:shd w:val="clear" w:color="auto" w:fill="CCEEFF"/>
          </w:tcPr>
          <w:p>
            <w:pPr>
              <w:ind w:left="2320"/>
              <w:spacing w:after="0"/>
              <w:rPr>
                <w:sz w:val="20"/>
                <w:szCs w:val="20"/>
                <w:color w:val="auto"/>
              </w:rPr>
            </w:pPr>
            <w:r>
              <w:rPr>
                <w:rFonts w:ascii="Arial" w:cs="Arial" w:eastAsia="Arial" w:hAnsi="Arial"/>
                <w:sz w:val="18"/>
                <w:szCs w:val="18"/>
                <w:color w:val="auto"/>
              </w:rPr>
              <w:t>31 years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360" w:type="dxa"/>
            <w:vAlign w:val="bottom"/>
          </w:tcPr>
          <w:p>
            <w:pPr>
              <w:ind w:left="2320"/>
              <w:spacing w:after="0"/>
              <w:rPr>
                <w:sz w:val="20"/>
                <w:szCs w:val="20"/>
                <w:color w:val="auto"/>
              </w:rPr>
            </w:pPr>
            <w:r>
              <w:rPr>
                <w:rFonts w:ascii="Arial" w:cs="Arial" w:eastAsia="Arial" w:hAnsi="Arial"/>
                <w:sz w:val="18"/>
                <w:szCs w:val="18"/>
                <w:color w:val="auto"/>
                <w:w w:val="97"/>
              </w:rPr>
              <w:t>3 to 12 years</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360" w:type="dxa"/>
            <w:vAlign w:val="bottom"/>
            <w:shd w:val="clear" w:color="auto" w:fill="CCEEFF"/>
          </w:tcPr>
          <w:p>
            <w:pPr>
              <w:ind w:left="2320"/>
              <w:spacing w:after="0"/>
              <w:rPr>
                <w:sz w:val="20"/>
                <w:szCs w:val="20"/>
                <w:color w:val="auto"/>
              </w:rPr>
            </w:pPr>
            <w:r>
              <w:rPr>
                <w:rFonts w:ascii="Arial" w:cs="Arial" w:eastAsia="Arial" w:hAnsi="Arial"/>
                <w:sz w:val="18"/>
                <w:szCs w:val="18"/>
                <w:color w:val="auto"/>
                <w:w w:val="97"/>
              </w:rPr>
              <w:t>3 to 12 years</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360" w:type="dxa"/>
            <w:vAlign w:val="bottom"/>
          </w:tcPr>
          <w:p>
            <w:pPr>
              <w:ind w:left="2320"/>
              <w:spacing w:after="0"/>
              <w:rPr>
                <w:sz w:val="20"/>
                <w:szCs w:val="20"/>
                <w:color w:val="auto"/>
              </w:rPr>
            </w:pPr>
            <w:r>
              <w:rPr>
                <w:rFonts w:ascii="Arial" w:cs="Arial" w:eastAsia="Arial" w:hAnsi="Arial"/>
                <w:sz w:val="18"/>
                <w:szCs w:val="18"/>
                <w:color w:val="auto"/>
                <w:w w:val="97"/>
              </w:rPr>
              <w:t>5 to 10 years</w:t>
            </w:r>
          </w:p>
        </w:tc>
      </w:tr>
    </w:tbl>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Maintenance and repairs that do not improve or extend the lives of the respective assets are charged to expense. When properties are retired or sold, the related cost and accumulated depreciation are removed from the accounts and any gain or loss on disposition is recognized in the results of operations. Gains arising from sale and leaseback transactions are deferred for amortization to income over the lives of the related operating leases. Leasehold improvements are amortized over the lesser of their useful lives or the lease term.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Long-Term Assets </w:t>
      </w:r>
      <w:r>
        <w:rPr>
          <w:rFonts w:ascii="Arial" w:cs="Arial" w:eastAsia="Arial" w:hAnsi="Arial"/>
          <w:sz w:val="18"/>
          <w:szCs w:val="18"/>
          <w:color w:val="auto"/>
        </w:rPr>
        <w:t>consists of the following as of December 31:</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30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2012</w:t>
            </w:r>
          </w:p>
        </w:tc>
        <w:tc>
          <w:tcPr>
            <w:tcW w:w="9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Equipment deposits</w:t>
            </w:r>
          </w:p>
        </w:tc>
        <w:tc>
          <w:tcPr>
            <w:tcW w:w="2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$5,844</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Restricted cash</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Value-added taxes receivable</w:t>
            </w:r>
          </w:p>
        </w:tc>
        <w:tc>
          <w:tcPr>
            <w:tcW w:w="2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Employee receivables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issue costs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Revenue bonds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Rent deposits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Other</w:t>
            </w:r>
          </w:p>
        </w:tc>
        <w:tc>
          <w:tcPr>
            <w:tcW w:w="2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4,129</w:t>
            </w:r>
          </w:p>
        </w:tc>
        <w:tc>
          <w:tcPr>
            <w:tcW w:w="100" w:type="dxa"/>
            <w:vAlign w:val="bottom"/>
            <w:shd w:val="clear" w:color="auto" w:fill="CCEEFF"/>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Equipment deposits – Represents deposits paid on purchase commitments for machinery and equipment totaling $9,546 as of December 31, 2013, some of which may be assigned to financing companies under lease agreements. In accordance with terms of the purchase agreements, final acceptance of the equipment is contingent upon the equipment demonstrating certain capabilities as documented in our purchase orders.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Restricted cash – Represents funds held in escrow by Brazilian courts as compensating balances against certain potential judgments against us in connection with benefits that may be due terminated Brazilian employees.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Unamortized debt issue costs – Debt issue costs paid are amortized over the terms of the debt instruments. Debt issue cost amortization expense was $35 in 2012 and $57 in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expected debt issue cost amortization expense to be recorded by us in the years following 2013:</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2015</w:t>
            </w:r>
          </w:p>
        </w:tc>
        <w:tc>
          <w:tcPr>
            <w:tcW w:w="5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2017</w:t>
            </w:r>
          </w:p>
        </w:tc>
        <w:tc>
          <w:tcPr>
            <w:tcW w:w="5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80" w:type="dxa"/>
            <w:vAlign w:val="bottom"/>
          </w:tcPr>
          <w:p>
            <w:pPr>
              <w:spacing w:after="0"/>
              <w:rPr>
                <w:sz w:val="20"/>
                <w:szCs w:val="20"/>
                <w:color w:val="auto"/>
              </w:rPr>
            </w:pPr>
            <w:r>
              <w:rPr>
                <w:rFonts w:ascii="Arial" w:cs="Arial" w:eastAsia="Arial" w:hAnsi="Arial"/>
                <w:sz w:val="18"/>
                <w:szCs w:val="18"/>
                <w:color w:val="auto"/>
              </w:rPr>
              <w:t>Total</w:t>
            </w:r>
          </w:p>
        </w:tc>
        <w:tc>
          <w:tcPr>
            <w:tcW w:w="5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5220" w:type="dxa"/>
            <w:vAlign w:val="bottom"/>
            <w:vMerge w:val="restart"/>
          </w:tcPr>
          <w:p>
            <w:pPr>
              <w:jc w:val="right"/>
              <w:ind w:right="3250"/>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8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274" w:right="359" w:bottom="1440" w:gutter="0" w:footer="0" w:header="0"/>
        </w:sectPr>
      </w:pPr>
    </w:p>
    <w:bookmarkStart w:id="15" w:name="page16"/>
    <w:bookmarkEnd w:id="1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bonds – Represents Michigan New Jobs Training Program bonds we purchased in 2011 and 2012 to fund new machinist apprenticeship program training costs at Grand Rapids Community College. The underlying agreement between us and the State of Michigan (the “State”) contemplates our receiving repayment of the bonds over a 20-year period expiring in July 2030 through remittance to us by the State of payroll taxes withheld from employees that participate in the program.</w:t>
      </w:r>
    </w:p>
    <w:p>
      <w:pPr>
        <w:spacing w:after="0" w:line="1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 xml:space="preserve">Accounts Payable </w:t>
      </w:r>
      <w:r>
        <w:rPr>
          <w:rFonts w:ascii="Arial" w:cs="Arial" w:eastAsia="Arial" w:hAnsi="Arial"/>
          <w:sz w:val="18"/>
          <w:szCs w:val="18"/>
          <w:color w:val="auto"/>
        </w:rPr>
        <w:t>includes the reclassification from Cash and Equivalents of outstanding checks, net of related cash balances, totaling $2,600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2012 and $2,283 as of December 31, 2013.</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 Sales are recognized at the time product is shipped to the customer, at which time title and risk of ownership transfer to the purchaser.</w:t>
      </w:r>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Deferred income tax assets and liabilities are computed for differences between the financial statement and tax bases of assets and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will result in taxable or deductible amounts in the future. Such deferred income tax asset and liability computations are based on enacted tax laws and rates applicable to periods in which the differences are expected to affect taxable income. Valuation allowances are established when necessary to reduce deferred tax assets to the amounts expected to be realized. Income tax expense is the tax payable or refundable for the period plus or minus the change during the period in deferred tax assets and liabilities (see Note 6).</w:t>
      </w:r>
    </w:p>
    <w:p>
      <w:pPr>
        <w:spacing w:after="0" w:line="18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 xml:space="preserve">Derivative and Hedging Activities </w:t>
      </w:r>
      <w:r>
        <w:rPr>
          <w:rFonts w:ascii="Arial" w:cs="Arial" w:eastAsia="Arial" w:hAnsi="Arial"/>
          <w:sz w:val="18"/>
          <w:szCs w:val="18"/>
          <w:color w:val="auto"/>
        </w:rPr>
        <w:t>– From time to time, we manage interest rate risk through the use of interest rate swap agreements. The following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were in effect as of December 31, 2012 and 2013 and were intended to hedge our interest rate risk on the term notes subject to our senior credit facilities agreement and certain of the equipment term notes with bank (see Note 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LIBOR</w:t>
            </w:r>
          </w:p>
        </w:tc>
        <w:tc>
          <w:tcPr>
            <w:tcW w:w="1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5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Derivative Instrument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0"/>
              </w:rPr>
              <w:t>Notional Amounts as of</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Component</w:t>
            </w:r>
          </w:p>
        </w:tc>
        <w:tc>
          <w:tcPr>
            <w:tcW w:w="12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20" w:type="dxa"/>
            <w:vAlign w:val="bottom"/>
            <w:vMerge w:val="restart"/>
          </w:tcPr>
          <w:p>
            <w:pPr>
              <w:ind w:left="2020"/>
              <w:spacing w:after="0"/>
              <w:rPr>
                <w:sz w:val="20"/>
                <w:szCs w:val="20"/>
                <w:color w:val="auto"/>
              </w:rPr>
            </w:pPr>
            <w:r>
              <w:rPr>
                <w:rFonts w:ascii="Arial" w:cs="Arial" w:eastAsia="Arial" w:hAnsi="Arial"/>
                <w:sz w:val="14"/>
                <w:szCs w:val="14"/>
                <w:b w:val="1"/>
                <w:bCs w:val="1"/>
                <w:color w:val="auto"/>
                <w:w w:val="99"/>
              </w:rPr>
              <w:t>Dates</w:t>
            </w:r>
          </w:p>
        </w:tc>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Fixed</w:t>
            </w:r>
          </w:p>
        </w:tc>
        <w:tc>
          <w:tcPr>
            <w:tcW w:w="12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2"/>
                <w:szCs w:val="12"/>
                <w:color w:val="auto"/>
              </w:rPr>
            </w:pPr>
          </w:p>
        </w:tc>
        <w:tc>
          <w:tcPr>
            <w:tcW w:w="152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rPr>
              <w:t>Liability Recorded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20" w:type="dxa"/>
            <w:vAlign w:val="bottom"/>
            <w:vMerge w:val="continue"/>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Interest</w:t>
            </w:r>
          </w:p>
        </w:tc>
        <w:tc>
          <w:tcPr>
            <w:tcW w:w="1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 xml:space="preserve">Recorded </w:t>
            </w:r>
            <w:r>
              <w:rPr>
                <w:rFonts w:ascii="Arial" w:cs="Arial" w:eastAsia="Arial" w:hAnsi="Arial"/>
                <w:sz w:val="12"/>
                <w:szCs w:val="12"/>
                <w:b w:val="1"/>
                <w:bCs w:val="1"/>
                <w:color w:val="auto"/>
                <w:w w:val="90"/>
              </w:rPr>
              <w:t>1</w:t>
            </w:r>
          </w:p>
        </w:tc>
        <w:tc>
          <w:tcPr>
            <w:tcW w:w="120" w:type="dxa"/>
            <w:vAlign w:val="bottom"/>
          </w:tcPr>
          <w:p>
            <w:pPr>
              <w:spacing w:after="0"/>
              <w:rPr>
                <w:sz w:val="14"/>
                <w:szCs w:val="14"/>
                <w:color w:val="auto"/>
              </w:rPr>
            </w:pPr>
          </w:p>
        </w:tc>
        <w:tc>
          <w:tcPr>
            <w:tcW w:w="1520" w:type="dxa"/>
            <w:vAlign w:val="bottom"/>
            <w:gridSpan w:val="4"/>
          </w:tcPr>
          <w:p>
            <w:pPr>
              <w:ind w:left="1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Effective</w:t>
            </w:r>
          </w:p>
        </w:tc>
        <w:tc>
          <w:tcPr>
            <w:tcW w:w="2480" w:type="dxa"/>
            <w:vAlign w:val="bottom"/>
            <w:tcBorders>
              <w:top w:val="single" w:sz="8" w:color="auto"/>
            </w:tcBorders>
          </w:tcPr>
          <w:p>
            <w:pPr>
              <w:ind w:left="960"/>
              <w:spacing w:after="0" w:line="142" w:lineRule="exact"/>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2"/>
                <w:szCs w:val="12"/>
                <w:color w:val="auto"/>
              </w:rPr>
            </w:pPr>
          </w:p>
        </w:tc>
        <w:tc>
          <w:tcPr>
            <w:tcW w:w="60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110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2"/>
              </w:rPr>
              <w:t>Rate</w:t>
            </w: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June 2010</w:t>
            </w:r>
          </w:p>
        </w:tc>
        <w:tc>
          <w:tcPr>
            <w:tcW w:w="24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June 2015</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$ 4,750</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2,850</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2.17%</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46</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$ 46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110</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January 2011</w:t>
            </w:r>
          </w:p>
        </w:tc>
        <w:tc>
          <w:tcPr>
            <w:tcW w:w="2480" w:type="dxa"/>
            <w:vAlign w:val="bottom"/>
          </w:tcPr>
          <w:p>
            <w:pPr>
              <w:spacing w:after="0"/>
              <w:rPr>
                <w:sz w:val="20"/>
                <w:szCs w:val="20"/>
                <w:color w:val="auto"/>
              </w:rPr>
            </w:pPr>
            <w:r>
              <w:rPr>
                <w:rFonts w:ascii="Arial" w:cs="Arial" w:eastAsia="Arial" w:hAnsi="Arial"/>
                <w:sz w:val="18"/>
                <w:szCs w:val="18"/>
                <w:color w:val="auto"/>
              </w:rPr>
              <w:t>December 2015</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2,100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1,400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52</w:t>
            </w: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2011</w:t>
            </w: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July 2016</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2,764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August 2012</w:t>
            </w:r>
          </w:p>
        </w:tc>
        <w:tc>
          <w:tcPr>
            <w:tcW w:w="2480" w:type="dxa"/>
            <w:vAlign w:val="bottom"/>
          </w:tcPr>
          <w:p>
            <w:pPr>
              <w:spacing w:after="0"/>
              <w:rPr>
                <w:sz w:val="20"/>
                <w:szCs w:val="20"/>
                <w:color w:val="auto"/>
              </w:rPr>
            </w:pPr>
            <w:r>
              <w:rPr>
                <w:rFonts w:ascii="Arial" w:cs="Arial" w:eastAsia="Arial" w:hAnsi="Arial"/>
                <w:sz w:val="18"/>
                <w:szCs w:val="18"/>
                <w:color w:val="auto"/>
              </w:rPr>
              <w:t>August 2016</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7,333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5,333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0.75%</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55</w:t>
            </w: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2013</w:t>
            </w: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October 2018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tabs>
          <w:tab w:leader="none" w:pos="2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6"/>
          <w:szCs w:val="16"/>
          <w:color w:val="auto"/>
        </w:rPr>
        <w:t>Net of related income tax</w:t>
      </w:r>
    </w:p>
    <w:p>
      <w:pPr>
        <w:spacing w:after="0" w:line="24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 In accordance with Financial Accounting Standards Board Accounting Standards Codification (“ASC”) 718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compensation costs related to share-based payment transactions are recognized in our financial statements. Compensation cost is measured based on the grant date fair value of the equity or liability instruments issued and is recognized over the period that an employee provides services in exchange for the award.</w:t>
      </w:r>
    </w:p>
    <w:p>
      <w:pPr>
        <w:spacing w:after="0" w:line="18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Autocam’s Board of Directors has reserved 8,650 shares of its common stock for issuance to employees under the 2010 Stock Option Plan (the “Option Plan”). In 2010, our Board of Directors granted to certain key employees and entities controlled by certain non-shareholder members of our Board of Directors (together, the “Manager Shareholders”) options to purchase 6,650 shares exercisable at $40 per share. As of December 31, 2013, all such options have been exercised and no other options have been granted. In 2012, 100 shares were repurchased from a former Manager Shareholder. As defined in ASC 718, these awards are classified as liability awards as the shareholders and we can require repayment under certain circumstances based on a formula of earnings before interest, depreciation and amortization expense. The awards are recorded at their intrinsic value, and the expense is recognized over each employee’s expected future service until an expected retirement date. We recognized stock-based compensation income of $128 in 2012 and stock-based compensation expense of $38 in 2013 related to these awards.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6" w:name="page17"/>
    <w:bookmarkEnd w:id="16"/>
    <w:p>
      <w:pPr>
        <w:spacing w:after="0" w:line="25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French Safeguard Restructuring </w:t>
      </w:r>
      <w:r>
        <w:rPr>
          <w:rFonts w:ascii="Arial" w:cs="Arial" w:eastAsia="Arial" w:hAnsi="Arial"/>
          <w:sz w:val="18"/>
          <w:szCs w:val="18"/>
          <w:color w:val="auto"/>
        </w:rPr>
        <w:t>– In 2008, we filed “Procedure de Sauvegarde” (“Safeguard”) on behalf of each of our French subsidiaries, Autocam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France, SARL and Bouverat Industries, SAS (“Bouverat”). We reached agreement with our creditors with claims subject to Safeguard protection in 2009. Provisions of the agreements allowed, at each creditor’s option, for the payment of a portion of the obligation in January 2010, or the entire obligation over a 10-year period. Amounts due as of December 31, 2013 from those creditors opting to be paid over a 10-year period totaled $3,235 and are included in Current Maturities of Long-Term Obligations ($285) and Long-Term Obligations ($2,950).</w:t>
      </w:r>
    </w:p>
    <w:p>
      <w:pPr>
        <w:spacing w:after="0" w:line="18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b w:val="1"/>
          <w:bCs w:val="1"/>
          <w:i w:val="1"/>
          <w:iCs w:val="1"/>
          <w:color w:val="auto"/>
        </w:rPr>
        <w:t xml:space="preserve">Dividends Paid </w:t>
      </w:r>
      <w:r>
        <w:rPr>
          <w:rFonts w:ascii="Arial" w:cs="Arial" w:eastAsia="Arial" w:hAnsi="Arial"/>
          <w:sz w:val="16"/>
          <w:szCs w:val="16"/>
          <w:color w:val="auto"/>
        </w:rPr>
        <w:t>– On January 24, 2012, our Board of Directors declared a $4,928 cash dividend, which was distributed on January 30, 2012. The portion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amount granted to the Manager Shareholders, and therefore recorded as Stock-based Compensation Expense in our Consolidated Statement of Operations, was $303. On May 1, 2012, our Board of Directors declared a cash dividend of not more than $12,000 to be distributed in one or more installments as determined by our majority shareholder between July 1, 2012 and January 31, 2013. On August 10, 2012, a $3,998 cash dividend was distributed, and no further distributions were made. The portion of this amount granted to the Manager Shareholders, and therefore recorded as stock-based compensation expense in our Consolidated Statement of Operations, was $246. All 2012 cash payments were funded with cash on hand, revolving line of credit borrowings and proceeds from the issuance of a term note to our bank. No dividends were declared or paid in 2013.</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components of Inventories as of December 31: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10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$10,464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$10,407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Production supplies</w:t>
            </w:r>
          </w:p>
        </w:tc>
        <w:tc>
          <w:tcPr>
            <w:tcW w:w="1460" w:type="dxa"/>
            <w:vAlign w:val="bottom"/>
            <w:gridSpan w:val="4"/>
          </w:tcPr>
          <w:p>
            <w:pPr>
              <w:jc w:val="right"/>
              <w:ind w:right="20"/>
              <w:spacing w:after="0"/>
              <w:rPr>
                <w:sz w:val="20"/>
                <w:szCs w:val="20"/>
                <w:color w:val="auto"/>
              </w:rPr>
            </w:pPr>
            <w:r>
              <w:rPr>
                <w:rFonts w:ascii="Arial" w:cs="Arial" w:eastAsia="Arial" w:hAnsi="Arial"/>
                <w:sz w:val="18"/>
                <w:szCs w:val="18"/>
                <w:color w:val="auto"/>
              </w:rPr>
              <w:t>4,538</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Work in-process</w:t>
            </w:r>
          </w:p>
        </w:tc>
        <w:tc>
          <w:tcPr>
            <w:tcW w:w="1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7,159</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Finished goods</w:t>
            </w:r>
          </w:p>
        </w:tc>
        <w:tc>
          <w:tcPr>
            <w:tcW w:w="860" w:type="dxa"/>
            <w:vAlign w:val="bottom"/>
            <w:gridSpan w:val="2"/>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2,634</w:t>
            </w:r>
          </w:p>
        </w:tc>
        <w:tc>
          <w:tcPr>
            <w:tcW w:w="420" w:type="dxa"/>
            <w:vAlign w:val="bottom"/>
            <w:gridSpan w:val="2"/>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24,795</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Property, Plant and Equipment</w:t>
            </w: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80" w:type="dxa"/>
            <w:vAlign w:val="bottom"/>
            <w:gridSpan w:val="2"/>
          </w:tcPr>
          <w:p>
            <w:pPr>
              <w:spacing w:after="0"/>
              <w:rPr>
                <w:sz w:val="20"/>
                <w:szCs w:val="20"/>
                <w:color w:val="auto"/>
              </w:rPr>
            </w:pPr>
            <w:r>
              <w:rPr>
                <w:rFonts w:ascii="Arial" w:cs="Arial" w:eastAsia="Arial" w:hAnsi="Arial"/>
                <w:sz w:val="18"/>
                <w:szCs w:val="18"/>
                <w:color w:val="auto"/>
                <w:w w:val="98"/>
              </w:rPr>
              <w:t>Set forth below are the components of Property, Plant and Equipment, Net as of December 31:</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3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4"/>
                <w:szCs w:val="24"/>
                <w:color w:val="auto"/>
              </w:rPr>
            </w:pPr>
          </w:p>
        </w:tc>
        <w:tc>
          <w:tcPr>
            <w:tcW w:w="10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Buildings and land</w:t>
            </w:r>
          </w:p>
        </w:tc>
        <w:tc>
          <w:tcPr>
            <w:tcW w:w="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$ 20,227</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$ 22,940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147,712</w:t>
            </w: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173,930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80" w:type="dxa"/>
            <w:vAlign w:val="bottom"/>
            <w:gridSpan w:val="2"/>
          </w:tcPr>
          <w:p>
            <w:pPr>
              <w:ind w:left="1380"/>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173,301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203,052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4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(51,439)</w:t>
            </w: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(66,662)</w:t>
            </w:r>
          </w:p>
        </w:tc>
        <w:tc>
          <w:tcPr>
            <w:tcW w:w="0" w:type="dxa"/>
            <w:vAlign w:val="bottom"/>
          </w:tcPr>
          <w:p>
            <w:pPr>
              <w:spacing w:after="0"/>
              <w:rPr>
                <w:sz w:val="1"/>
                <w:szCs w:val="1"/>
                <w:color w:val="auto"/>
              </w:rPr>
            </w:pPr>
          </w:p>
        </w:tc>
      </w:tr>
      <w:tr>
        <w:trPr>
          <w:trHeight w:val="223"/>
        </w:trPr>
        <w:tc>
          <w:tcPr>
            <w:tcW w:w="7480" w:type="dxa"/>
            <w:vAlign w:val="bottom"/>
            <w:gridSpan w:val="2"/>
          </w:tcPr>
          <w:p>
            <w:pPr>
              <w:ind w:left="1380"/>
              <w:spacing w:after="0"/>
              <w:rPr>
                <w:sz w:val="20"/>
                <w:szCs w:val="20"/>
                <w:color w:val="auto"/>
              </w:rPr>
            </w:pPr>
            <w:r>
              <w:rPr>
                <w:rFonts w:ascii="Arial" w:cs="Arial" w:eastAsia="Arial" w:hAnsi="Arial"/>
                <w:sz w:val="18"/>
                <w:szCs w:val="18"/>
                <w:color w:val="auto"/>
              </w:rPr>
              <w:t>Total property, plant and equipment, net</w:t>
            </w: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121,862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136,390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ind w:left="5620"/>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Long-Term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are the components of Long-Term Obligations as of December 31 (percentages represent interest rates as of December 31, 2013):</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Senior credit facilities: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Term notes with bank:</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5"/>
              </w:rPr>
              <w:t>August 2012—</w:t>
            </w:r>
            <w:r>
              <w:rPr>
                <w:rFonts w:ascii="Arial" w:cs="Arial" w:eastAsia="Arial" w:hAnsi="Arial"/>
                <w:sz w:val="18"/>
                <w:szCs w:val="18"/>
                <w:i w:val="1"/>
                <w:iCs w:val="1"/>
                <w:color w:val="auto"/>
                <w:w w:val="95"/>
              </w:rPr>
              <w:t>Interest payable monthly at a variable rate based on LIBOR</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80"/>
              <w:spacing w:after="0"/>
              <w:rPr>
                <w:sz w:val="20"/>
                <w:szCs w:val="20"/>
                <w:color w:val="auto"/>
              </w:rPr>
            </w:pPr>
            <w:r>
              <w:rPr>
                <w:rFonts w:ascii="Arial" w:cs="Arial" w:eastAsia="Arial" w:hAnsi="Arial"/>
                <w:sz w:val="18"/>
                <w:szCs w:val="18"/>
                <w:i w:val="1"/>
                <w:iCs w:val="1"/>
                <w:color w:val="auto"/>
                <w:w w:val="99"/>
              </w:rPr>
              <w:t>plus 2% (2.1875% per annum); principal due monthly through August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880"/>
              <w:spacing w:after="0"/>
              <w:rPr>
                <w:sz w:val="20"/>
                <w:szCs w:val="20"/>
                <w:color w:val="auto"/>
              </w:rPr>
            </w:pPr>
            <w:r>
              <w:rPr>
                <w:rFonts w:ascii="Arial" w:cs="Arial" w:eastAsia="Arial" w:hAnsi="Arial"/>
                <w:sz w:val="18"/>
                <w:szCs w:val="18"/>
                <w:i w:val="1"/>
                <w:iCs w:val="1"/>
                <w:color w:val="auto"/>
              </w:rPr>
              <w:t>2015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3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700"/>
              <w:spacing w:after="0" w:line="201" w:lineRule="exact"/>
              <w:rPr>
                <w:sz w:val="20"/>
                <w:szCs w:val="20"/>
                <w:color w:val="auto"/>
              </w:rPr>
            </w:pPr>
            <w:r>
              <w:rPr>
                <w:rFonts w:ascii="Arial" w:cs="Arial" w:eastAsia="Arial" w:hAnsi="Arial"/>
                <w:sz w:val="18"/>
                <w:szCs w:val="18"/>
                <w:color w:val="auto"/>
              </w:rPr>
              <w:t>October 2013—</w:t>
            </w:r>
            <w:r>
              <w:rPr>
                <w:rFonts w:ascii="Arial" w:cs="Arial" w:eastAsia="Arial" w:hAnsi="Arial"/>
                <w:sz w:val="18"/>
                <w:szCs w:val="18"/>
                <w:i w:val="1"/>
                <w:iCs w:val="1"/>
                <w:color w:val="auto"/>
              </w:rPr>
              <w:t>Interest payable monthly at a variable rate based on</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80"/>
              <w:spacing w:after="0"/>
              <w:rPr>
                <w:sz w:val="20"/>
                <w:szCs w:val="20"/>
                <w:color w:val="auto"/>
              </w:rPr>
            </w:pPr>
            <w:r>
              <w:rPr>
                <w:rFonts w:ascii="Arial" w:cs="Arial" w:eastAsia="Arial" w:hAnsi="Arial"/>
                <w:sz w:val="18"/>
                <w:szCs w:val="18"/>
                <w:i w:val="1"/>
                <w:iCs w:val="1"/>
                <w:color w:val="auto"/>
                <w:w w:val="97"/>
              </w:rPr>
              <w:t>LIBOR plus 2.5% (2.6875% per annum); principal due monthly through</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880"/>
              <w:spacing w:after="0"/>
              <w:rPr>
                <w:sz w:val="20"/>
                <w:szCs w:val="20"/>
                <w:color w:val="auto"/>
              </w:rPr>
            </w:pPr>
            <w:r>
              <w:rPr>
                <w:rFonts w:ascii="Arial" w:cs="Arial" w:eastAsia="Arial" w:hAnsi="Arial"/>
                <w:sz w:val="18"/>
                <w:szCs w:val="18"/>
                <w:i w:val="1"/>
                <w:iCs w:val="1"/>
                <w:color w:val="auto"/>
              </w:rPr>
              <w:t>October 2018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16,184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June 2010—refinanced in October 2013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January 2011—refinanced in October 2013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Revolving line of credit with bank—</w:t>
            </w:r>
            <w:r>
              <w:rPr>
                <w:rFonts w:ascii="Arial" w:cs="Arial" w:eastAsia="Arial" w:hAnsi="Arial"/>
                <w:sz w:val="18"/>
                <w:szCs w:val="18"/>
                <w:i w:val="1"/>
                <w:iCs w:val="1"/>
                <w:color w:val="auto"/>
              </w:rPr>
              <w:t>Principal due August 2016; Interest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520"/>
              <w:spacing w:after="0"/>
              <w:rPr>
                <w:sz w:val="20"/>
                <w:szCs w:val="20"/>
                <w:color w:val="auto"/>
              </w:rPr>
            </w:pPr>
            <w:r>
              <w:rPr>
                <w:rFonts w:ascii="Arial" w:cs="Arial" w:eastAsia="Arial" w:hAnsi="Arial"/>
                <w:sz w:val="18"/>
                <w:szCs w:val="18"/>
                <w:i w:val="1"/>
                <w:iCs w:val="1"/>
                <w:color w:val="auto"/>
              </w:rPr>
              <w:t>payable monthly at a variable rate based on the bank’s prime rate minus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520"/>
              <w:spacing w:after="0"/>
              <w:rPr>
                <w:sz w:val="20"/>
                <w:szCs w:val="20"/>
                <w:color w:val="auto"/>
              </w:rPr>
            </w:pPr>
            <w:r>
              <w:rPr>
                <w:rFonts w:ascii="Arial" w:cs="Arial" w:eastAsia="Arial" w:hAnsi="Arial"/>
                <w:sz w:val="18"/>
                <w:szCs w:val="18"/>
                <w:i w:val="1"/>
                <w:iCs w:val="1"/>
                <w:color w:val="auto"/>
              </w:rPr>
              <w:t>0.25% (3% per annum)</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Equipment term notes with bank:</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July 2011—</w:t>
            </w:r>
            <w:r>
              <w:rPr>
                <w:rFonts w:ascii="Arial" w:cs="Arial" w:eastAsia="Arial" w:hAnsi="Arial"/>
                <w:sz w:val="18"/>
                <w:szCs w:val="18"/>
                <w:i w:val="1"/>
                <w:iCs w:val="1"/>
                <w:color w:val="auto"/>
                <w:w w:val="96"/>
              </w:rPr>
              <w:t>Interest payable monthly at LIBOR plus 2% (2.1875% per annum);</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520"/>
              <w:spacing w:after="0"/>
              <w:rPr>
                <w:sz w:val="20"/>
                <w:szCs w:val="20"/>
                <w:color w:val="auto"/>
              </w:rPr>
            </w:pPr>
            <w:r>
              <w:rPr>
                <w:rFonts w:ascii="Arial" w:cs="Arial" w:eastAsia="Arial" w:hAnsi="Arial"/>
                <w:sz w:val="18"/>
                <w:szCs w:val="18"/>
                <w:i w:val="1"/>
                <w:iCs w:val="1"/>
                <w:color w:val="auto"/>
              </w:rPr>
              <w:t>principal due monthly through July 2016</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340"/>
              <w:spacing w:after="0" w:line="201" w:lineRule="exact"/>
              <w:rPr>
                <w:sz w:val="20"/>
                <w:szCs w:val="20"/>
                <w:color w:val="auto"/>
              </w:rPr>
            </w:pPr>
            <w:r>
              <w:rPr>
                <w:rFonts w:ascii="Arial" w:cs="Arial" w:eastAsia="Arial" w:hAnsi="Arial"/>
                <w:sz w:val="18"/>
                <w:szCs w:val="18"/>
                <w:color w:val="auto"/>
                <w:w w:val="99"/>
              </w:rPr>
              <w:t>February 2012—</w:t>
            </w:r>
            <w:r>
              <w:rPr>
                <w:rFonts w:ascii="Arial" w:cs="Arial" w:eastAsia="Arial" w:hAnsi="Arial"/>
                <w:sz w:val="18"/>
                <w:szCs w:val="18"/>
                <w:i w:val="1"/>
                <w:iCs w:val="1"/>
                <w:color w:val="auto"/>
                <w:w w:val="99"/>
              </w:rPr>
              <w:t>Interest payable monthly at LIBOR plus 2.1% (2.2875% per</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520"/>
              <w:spacing w:after="0"/>
              <w:rPr>
                <w:sz w:val="20"/>
                <w:szCs w:val="20"/>
                <w:color w:val="auto"/>
              </w:rPr>
            </w:pPr>
            <w:r>
              <w:rPr>
                <w:rFonts w:ascii="Arial" w:cs="Arial" w:eastAsia="Arial" w:hAnsi="Arial"/>
                <w:sz w:val="18"/>
                <w:szCs w:val="18"/>
                <w:i w:val="1"/>
                <w:iCs w:val="1"/>
                <w:color w:val="auto"/>
              </w:rPr>
              <w:t>annum); principal due monthly through February 2017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affiliate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rPr>
              <w:t>Capital leases obligations—</w:t>
            </w:r>
            <w:r>
              <w:rPr>
                <w:rFonts w:ascii="Arial" w:cs="Arial" w:eastAsia="Arial" w:hAnsi="Arial"/>
                <w:sz w:val="18"/>
                <w:szCs w:val="18"/>
                <w:i w:val="1"/>
                <w:iCs w:val="1"/>
                <w:color w:val="auto"/>
              </w:rPr>
              <w:t>Payable in monthly installments, including interest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i w:val="1"/>
                <w:iCs w:val="1"/>
                <w:color w:val="auto"/>
              </w:rPr>
              <w:t>imputed at rates ranging from 1.7% to 5.78%; due through September 2019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12,879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20,431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French Safeguard obligations (Note 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10,510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obligations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50,294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64,108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portion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(14,269)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(18,537)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36,025</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borrowing rates currently available to us for bank loans with similar terms and average maturities, the fair value of long-term debt approximated its carrying value as of December 31, 2012 and December 31, 2013.</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senior credit facilities include the above referenced term notes and a revolving credit commitment from a bank equal to the lesser of $23,500 and a borrowing base. Borrowing availability under this commitment based on the borrowing base calculation, as defined in our senior credit facilities agreement, as amended (the “Credit Agreement”), was $15,989 as of December 31, 2013 with the maximum availability being reduced by $450 representing the amount of an outstanding letter of credit associated with our self-funded workers’ compensation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Significant terms of the Credit Agreement are as follows: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 xml:space="preserve">Financial and Restrictive Covenants </w:t>
      </w:r>
      <w:r>
        <w:rPr>
          <w:rFonts w:ascii="Arial" w:cs="Arial" w:eastAsia="Arial" w:hAnsi="Arial"/>
          <w:sz w:val="18"/>
          <w:szCs w:val="18"/>
          <w:color w:val="auto"/>
        </w:rPr>
        <w:t>– The Credit Agreement requires us to maintain the following, measured on a trailing-twelve-month basis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reporting requirement: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0" w:right="279" w:bottom="1440" w:gutter="0" w:footer="0" w:header="0"/>
        </w:sectPr>
      </w:pPr>
    </w:p>
    <w:bookmarkStart w:id="18" w:name="page19"/>
    <w:bookmarkEnd w:id="18"/>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Maximum consolidated leverage ratios for our domestic and global operations;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Minimum fixed charge coverage ratio for our global operations.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Collateral </w:t>
      </w:r>
      <w:r>
        <w:rPr>
          <w:rFonts w:ascii="Arial" w:cs="Arial" w:eastAsia="Arial" w:hAnsi="Arial"/>
          <w:sz w:val="18"/>
          <w:szCs w:val="18"/>
          <w:color w:val="auto"/>
        </w:rPr>
        <w:t>– Borrowings under the Credit Agreement are secured by substantially all North American machinery and equipment and capital stock of certain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domestic subsidiaries.</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 xml:space="preserve">Note Payable to Affiliate </w:t>
      </w:r>
      <w:r>
        <w:rPr>
          <w:rFonts w:ascii="Arial" w:cs="Arial" w:eastAsia="Arial" w:hAnsi="Arial"/>
          <w:sz w:val="17"/>
          <w:szCs w:val="17"/>
          <w:color w:val="auto"/>
        </w:rPr>
        <w:t>– In March 2013, we issued an unsecured $5,000 promissory note payable to Autocam Medical Devices, LLC (“AMD”), an affiliate</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common ownership, which is subordinate in priority to borrowings under the Credit Agreement. This promissory note bears interest at 3.35% per annum, payable monthly. Monthly principal repayments of $147 are to begin in May 2015 and continue through March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annual aggregate maturities of our long-term obligations at December 31, 2013:</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3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39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2015</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13,820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2017</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9,304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Thereafter</w:t>
            </w:r>
          </w:p>
        </w:tc>
        <w:tc>
          <w:tcPr>
            <w:tcW w:w="3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lease certain buildings and equipment under capital leases. The cost of assets purchased subject to capital leases was $10,065 in 2012 and $11,518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2013. The cost of the assets subject to capital lease obligations as reflected in Net Property, Plant and Equipment in our Consolidated Balance Sheet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$22,646 as of December 31, 2012 and $34,278 as of December 31, 2013. The accumulated amortization of such assets as reflected in Net Property, Plant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Equipment in our Consolidated Balance Sheet was $3,847 as of December 31, 2012 and $5,737 as of December 31, 2013.</w:t>
      </w:r>
    </w:p>
    <w:p>
      <w:pPr>
        <w:spacing w:after="0" w:line="21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lease buildings and equipment under non-cancelable operating leases, which generally contain renewal and purchase options at fair market value at the end of the lease terms. Set forth below are minimum future lease payments under all capital and operating leases as of December 31, 2013:</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Ending December 31,</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1000" w:type="dxa"/>
            <w:vAlign w:val="bottom"/>
            <w:gridSpan w:val="4"/>
          </w:tcPr>
          <w:p>
            <w:pPr>
              <w:ind w:left="26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4"/>
              </w:rPr>
              <w:t>Leases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2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2015</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5,641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2017</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3,313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Thereafter</w:t>
            </w:r>
          </w:p>
        </w:tc>
        <w:tc>
          <w:tcPr>
            <w:tcW w:w="2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22,203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Less imputed interest</w:t>
            </w: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4"/>
              </w:rPr>
              <w:t>(1,772)</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2"/>
            <w:vMerge w:val="continue"/>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20,431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Rent expense under operating leases was $2,131 in 2012 and $2,055 in 2013. Rent expense includes building and equipment lease payments made to a company owned by our majority shareholder of $131 in 2012 and $9 in 2013. We also recorded $7 in rent income related to certain equipment leased to a company owned by our majority shareholder.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 Income Taxes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Set forth below is our Income Before Taxes and Joint Venture Income as disclosed in our Consolidated Statements of Operations and Comprehensive Income separated between those generated by our U.S. operations and those generated by our foreign operations: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Foreign</w:t>
            </w:r>
          </w:p>
        </w:tc>
        <w:tc>
          <w:tcPr>
            <w:tcW w:w="2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6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Set forth below is our Taxes Expense as disclosed in our Consolidated Statements of Operations and Comprehensive Income separated by current and deferred taxes generated within the United States and within our foreign operations: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3540" w:type="dxa"/>
            <w:vAlign w:val="bottom"/>
            <w:gridSpan w:val="3"/>
          </w:tcPr>
          <w:p>
            <w:pPr>
              <w:jc w:val="right"/>
              <w:ind w:right="30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($2,236)</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3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(633)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18"/>
                <w:szCs w:val="18"/>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26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755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26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taxes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596</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not provided for federal income tax on the remaining undistributed earnings of foreign subsidiaries, except for specific amounts related to our Chinese joint venture and Brazilian subsidiary where provision has been made for book versus tax basis differences with respect to certain distributable earnings. Other than the specific foreign earnings mentioned, recording of deferred income taxes on these undistributed foreign earnings is not required because they are expected to be permanently invested in the foreign subsidiaries. It is not practicable to estimate the amount of additional taxes in the event that foreign subsidiaries’ earnings are distributed.</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gross unrecognized tax liabilities were increased by $199 in 2012 and increased by $413 in 2013, which relates to the impacts of foreign currency translation. With few exceptions, we are no longer subject to U.S. federal, state and local, or non-U.S. income tax examinations by tax authorities for years before 2010. We recognize interest and penalties accrued related to unrecognized tax benefits in Taxes Expense. We had no amounts accrued for the payment of interest and penalties as of December 31, 2012 or 2013.</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70" w:right="31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 forth below are reconciliations of the differences between Taxes Expense as disclosed in our Statements of Operations and Comprehensive Income and income tax expense computed at the U.S. Federal statutory tax rate:</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Tax provision at United States Federal statutory rate</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Effect of:</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operations, net of related tax credits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Refundable tax credits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dividends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Tax provision as reported</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Deferred income tax assets and liabilities as of December 31, 2012 and December 31, 2013 reflect the effect of temporary differences between amounts of assets, liabilities and equity for financial reporting purposes and the bases of such assets, liabilities, and equity as measured by tax laws, as well as tax loss and tax credit carryforwards.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temporary differences that gave rise to deferred tax assets and liabilities as of December 31: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600" w:type="dxa"/>
            <w:vAlign w:val="bottom"/>
            <w:gridSpan w:val="8"/>
          </w:tcPr>
          <w:p>
            <w:pPr>
              <w:jc w:val="center"/>
              <w:spacing w:after="0" w:line="119" w:lineRule="exact"/>
              <w:rPr>
                <w:sz w:val="20"/>
                <w:szCs w:val="20"/>
                <w:color w:val="auto"/>
              </w:rPr>
            </w:pPr>
            <w:r>
              <w:rPr>
                <w:rFonts w:ascii="Arial" w:cs="Arial" w:eastAsia="Arial" w:hAnsi="Arial"/>
                <w:sz w:val="13"/>
                <w:szCs w:val="13"/>
                <w:b w:val="1"/>
                <w:bCs w:val="1"/>
                <w:color w:val="auto"/>
              </w:rPr>
              <w:t>Deferred Tax</w:t>
            </w:r>
          </w:p>
        </w:tc>
        <w:tc>
          <w:tcPr>
            <w:tcW w:w="420" w:type="dxa"/>
            <w:vAlign w:val="bottom"/>
          </w:tcPr>
          <w:p>
            <w:pPr>
              <w:spacing w:after="0"/>
              <w:rPr>
                <w:sz w:val="10"/>
                <w:szCs w:val="10"/>
                <w:color w:val="auto"/>
              </w:rPr>
            </w:pPr>
          </w:p>
        </w:tc>
        <w:tc>
          <w:tcPr>
            <w:tcW w:w="1580" w:type="dxa"/>
            <w:vAlign w:val="bottom"/>
            <w:gridSpan w:val="7"/>
          </w:tcPr>
          <w:p>
            <w:pPr>
              <w:jc w:val="center"/>
              <w:spacing w:after="0" w:line="119" w:lineRule="exact"/>
              <w:rPr>
                <w:sz w:val="20"/>
                <w:szCs w:val="20"/>
                <w:color w:val="auto"/>
              </w:rPr>
            </w:pPr>
            <w:r>
              <w:rPr>
                <w:rFonts w:ascii="Arial" w:cs="Arial" w:eastAsia="Arial" w:hAnsi="Arial"/>
                <w:sz w:val="13"/>
                <w:szCs w:val="13"/>
                <w:b w:val="1"/>
                <w:bCs w:val="1"/>
                <w:color w:val="auto"/>
              </w:rPr>
              <w:t>Deferred Tax</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2"/>
              </w:rPr>
              <w:t>Liabilities</w:t>
            </w:r>
          </w:p>
        </w:tc>
        <w:tc>
          <w:tcPr>
            <w:tcW w:w="9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5"/>
              </w:rPr>
              <w:t>Assets</w:t>
            </w:r>
          </w:p>
        </w:tc>
        <w:tc>
          <w:tcPr>
            <w:tcW w:w="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$ 3,215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$ 3,835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Foreign tax and other credits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11,133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Depreciation and other</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w w:val="87"/>
              </w:rPr>
              <w:t>34,892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39,141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14,776</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spacing w:after="0"/>
              <w:rPr>
                <w:sz w:val="18"/>
                <w:szCs w:val="18"/>
                <w:color w:val="auto"/>
              </w:rPr>
            </w:pPr>
          </w:p>
        </w:tc>
        <w:tc>
          <w:tcPr>
            <w:tcW w:w="1040" w:type="dxa"/>
            <w:vAlign w:val="bottom"/>
            <w:tcBorders>
              <w:right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color w:val="auto"/>
                <w:w w:val="85"/>
              </w:rPr>
              <w:t>$ 35,171</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14,292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39,427</w:t>
            </w: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60" w:type="dxa"/>
            <w:vAlign w:val="bottom"/>
            <w:gridSpan w:val="9"/>
          </w:tcPr>
          <w:p>
            <w:pPr>
              <w:jc w:val="right"/>
              <w:spacing w:after="0"/>
              <w:rPr>
                <w:sz w:val="20"/>
                <w:szCs w:val="20"/>
                <w:color w:val="auto"/>
              </w:rPr>
            </w:pPr>
            <w:r>
              <w:rPr>
                <w:rFonts w:ascii="Arial" w:cs="Arial" w:eastAsia="Arial" w:hAnsi="Arial"/>
                <w:sz w:val="18"/>
                <w:szCs w:val="18"/>
                <w:color w:val="auto"/>
                <w:w w:val="89"/>
              </w:rPr>
              <w:t>Set forth below is the deferred tax detail above as reflected in our Consolidated Balance Sheets as of December 31:</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jc w:val="right"/>
              <w:ind w:right="16"/>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deferred tax assets</w:t>
            </w:r>
          </w:p>
        </w:tc>
        <w:tc>
          <w:tcPr>
            <w:tcW w:w="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($2,735)</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($3,058)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Long-term deferred tax assets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4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liabilities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23,228</w:t>
            </w:r>
          </w:p>
        </w:tc>
        <w:tc>
          <w:tcPr>
            <w:tcW w:w="1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28,238</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800" w:type="dxa"/>
            <w:vAlign w:val="bottom"/>
            <w:gridSpan w:val="2"/>
          </w:tcPr>
          <w:p>
            <w:pPr>
              <w:ind w:left="920"/>
              <w:spacing w:after="0"/>
              <w:rPr>
                <w:sz w:val="20"/>
                <w:szCs w:val="20"/>
                <w:color w:val="auto"/>
              </w:rPr>
            </w:pPr>
            <w:r>
              <w:rPr>
                <w:rFonts w:ascii="Arial" w:cs="Arial" w:eastAsia="Arial" w:hAnsi="Arial"/>
                <w:sz w:val="18"/>
                <w:szCs w:val="18"/>
                <w:color w:val="auto"/>
              </w:rPr>
              <w:t>Net deferred tax liabilities</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$ 20,395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$ 25,135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had net foreign operating loss carryforwards available to offset future taxable income of $27,152 as of December 31, 2013, which have no expiration dates. In addition, we have U.S. net operating losses of $1,627, which can be carried forward through 2033.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Significant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sales to customers that exceeded 10% of consolidated sales: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35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29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$33,609</w:t>
            </w: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$45,432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Customer B</w:t>
            </w:r>
          </w:p>
        </w:tc>
        <w:tc>
          <w:tcPr>
            <w:tcW w:w="2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25,783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Less than 10% during this period.</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60"/>
          </w:cols>
          <w:pgMar w:left="240" w:top="274" w:right="4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 Other Related Party Transactions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provide certain supervisory and support services to AMD. Our Selling, General and Administrative expenses included income of $1,764 pertaining to such services in 2012 and $1,813 in 2013.</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produce and sell precision-machined components to AMD, and conversely, it produces and sells such components to us. During 2012, we sold $4 of such components to AMD, while during 2012 AMD sold $40 of such components to us. During 2013, we sold $1 of such components to AMD, while during 2012 AMD sold $13 of such components to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paid management fees and expense reimbursements of $237 in 2012 and $228 in 2013 to our Shareholders.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the lessee of a private aircraft under an operating lease agreement. We recorded sublease income from our majority shareholder for his personal use of the aircraft of $68 in 2012 and $55 in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maintain a self-funded medical and dental plan for the majority of our North American full-time employees. A third-party administrator makes benefit payments, and an estimate of our liability for unpaid and incurred but not reported claims is included in Other Accrued Liabilities. Certain employees of our other subsidiaries are enrolled in various insured group or governmental health plans.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sponsor a 401(k) savings plan (the “401k Plan”) for all qualified full-time employees resident in the U.S. The 401k Plan provides for an annual discretionary employer matching contribution that has historically been dollar-for-dollar up to two thousand dollars. Expense incurred in connection with the 401k Plan was $553 in 2012 and $752 in 2013.</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sponsor a defined benefit pension plan for substantially all employees of Bouverat (the “Pension Plan”). These benefits are calculated based on each employee’s years of credited service and most recent monthly compensation and service category. Employees become vested in accordance with governmental regulations in place at the time of retirement.</w:t>
      </w:r>
    </w:p>
    <w:p>
      <w:pPr>
        <w:spacing w:after="0" w:line="18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For the purpose of calculating the actuarial present value of the benefit obligation under the Pension Plan, the discount rates assumed were 3.3% for all periods presented. The compensation growth rate was assumed at 3% for all periods presented. The measurement date was December 31 of each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projected benefit obligation information for the Pension Plan:</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5"/>
              </w:rPr>
              <w:t>Accumulated benefit obligation at measurement date</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Effect of salary increases</w:t>
            </w:r>
          </w:p>
        </w:tc>
        <w:tc>
          <w:tcPr>
            <w:tcW w:w="3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measurement date</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1,219</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Projected benefit obligation at beginning of year</w:t>
            </w:r>
          </w:p>
        </w:tc>
        <w:tc>
          <w:tcPr>
            <w:tcW w:w="3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30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Service and interest costs</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Actuarial gains (losses)</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5"/>
              </w:rPr>
              <w:t>Effect of foreign currency translation gains and other</w:t>
            </w:r>
          </w:p>
        </w:tc>
        <w:tc>
          <w:tcPr>
            <w:tcW w:w="3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measurement date</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1,219</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20" w:type="dxa"/>
            <w:vAlign w:val="bottom"/>
            <w:vMerge w:val="restart"/>
          </w:tcPr>
          <w:p>
            <w:pPr>
              <w:jc w:val="right"/>
              <w:ind w:right="2550"/>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Set forth below is net periodic benefit cost information for the Pension Plan: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and interest costs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$ 91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00" w:type="dxa"/>
            <w:vAlign w:val="bottom"/>
            <w:gridSpan w:val="2"/>
          </w:tcPr>
          <w:p>
            <w:pPr>
              <w:ind w:left="1380"/>
              <w:spacing w:after="0"/>
              <w:rPr>
                <w:sz w:val="20"/>
                <w:szCs w:val="20"/>
                <w:color w:val="auto"/>
              </w:rPr>
            </w:pPr>
            <w:r>
              <w:rPr>
                <w:rFonts w:ascii="Arial" w:cs="Arial" w:eastAsia="Arial" w:hAnsi="Arial"/>
                <w:sz w:val="18"/>
                <w:szCs w:val="18"/>
                <w:color w:val="auto"/>
              </w:rPr>
              <w:t>Net periodic benefit cost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$ 77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w w:val="91"/>
              </w:rPr>
              <w:t>We expect benefit payments under the Pension Plan to be $18 for 2016, $9 in 2018 and $494 from 2019-2023.</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spacing w:after="0"/>
              <w:rPr>
                <w:sz w:val="20"/>
                <w:szCs w:val="20"/>
                <w:color w:val="auto"/>
              </w:rPr>
            </w:pPr>
            <w:r>
              <w:rPr>
                <w:rFonts w:ascii="Arial" w:cs="Arial" w:eastAsia="Arial" w:hAnsi="Arial"/>
                <w:sz w:val="18"/>
                <w:szCs w:val="18"/>
                <w:color w:val="auto"/>
              </w:rPr>
              <w:t>Set forth below is plan asset information for the Pension Plan: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Plan assets at fair value at measurement date</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Projected benefit obligations at measurement date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(1,219)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5"/>
          </w:tcPr>
          <w:p>
            <w:pPr>
              <w:jc w:val="right"/>
              <w:ind w:right="6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($561)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ind w:left="1380"/>
              <w:spacing w:after="0"/>
              <w:rPr>
                <w:sz w:val="20"/>
                <w:szCs w:val="20"/>
                <w:color w:val="auto"/>
              </w:rPr>
            </w:pPr>
            <w:r>
              <w:rPr>
                <w:rFonts w:ascii="Arial" w:cs="Arial" w:eastAsia="Arial" w:hAnsi="Arial"/>
                <w:sz w:val="18"/>
                <w:szCs w:val="18"/>
                <w:color w:val="auto"/>
              </w:rPr>
              <w:t>Plan assets at fair value at beginning of year</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Benefits paid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 gains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00" w:type="dxa"/>
            <w:vAlign w:val="bottom"/>
            <w:gridSpan w:val="2"/>
          </w:tcPr>
          <w:p>
            <w:pPr>
              <w:ind w:left="1380"/>
              <w:spacing w:after="0"/>
              <w:rPr>
                <w:sz w:val="20"/>
                <w:szCs w:val="20"/>
                <w:color w:val="auto"/>
              </w:rPr>
            </w:pPr>
            <w:r>
              <w:rPr>
                <w:rFonts w:ascii="Arial" w:cs="Arial" w:eastAsia="Arial" w:hAnsi="Arial"/>
                <w:sz w:val="18"/>
                <w:szCs w:val="18"/>
                <w:color w:val="auto"/>
              </w:rPr>
              <w:t>Plan assets at fair value at measurement date</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assumed rate of return on assets of the Pension Plan was 3.8% in 2012 and 2.0% in 2013. We have a targeted goal of allocating plan assets one-third to equity and two-thirds to fixed income securities. Actual allocations of Pension Plan assets between equity and fixed income securities were 19% and 81%, respectively, as of December 31, 2012 and 2013. We do not expect to have any funding obligations under the Pension Plan in 2014.</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Investment in Non-Consolidated Joint Venture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and an unrelated entity jointly own and operate Wuxi Weifu Autocam Precision Machinery Company, Ltd. (“JV”), a Chinese company located in the city of Wuxi, China. The JV sold fuel delivery systems components for a customer’s Asian operations totaling $26,189 in 2012 and $40,651 in 2013. During 2013, we sold to our joint venture partner 1% of the JV for $205, but control of the board of directors remained split evenly between our partner and us. Our remaining 49% investment in JV is being accounted for under the equity method. Set forth below are the components of our JV investment balance as of December 31:</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320" w:type="dxa"/>
            <w:vAlign w:val="bottom"/>
            <w:tcBorders>
              <w:bottom w:val="single" w:sz="8" w:color="CCEEFF"/>
            </w:tcBorders>
          </w:tcPr>
          <w:p>
            <w:pPr>
              <w:spacing w:after="0"/>
              <w:rPr>
                <w:sz w:val="14"/>
                <w:szCs w:val="14"/>
                <w:color w:val="auto"/>
              </w:rPr>
            </w:pPr>
          </w:p>
        </w:tc>
        <w:tc>
          <w:tcPr>
            <w:tcW w:w="3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Our share of cumulative earnings</w:t>
            </w: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10,627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14,455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Dividends received</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(5,883)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(7,593)</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11,657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480" w:type="dxa"/>
            <w:vAlign w:val="bottom"/>
            <w:vMerge w:val="restart"/>
          </w:tcPr>
          <w:p>
            <w:pPr>
              <w:jc w:val="right"/>
              <w:ind w:right="2290"/>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 forth below is summarized balance sheet information for JV:</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15,609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$21,488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Non-current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14,272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29,881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7,834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13,235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Dividends declared by JV were $3,894 in 2012 and $3,421 in 2013. Our ownership portion of these amounts (50% in both years) was received by us net of a 10% withholding tax levied by the Chinese government. We had sales to JV of $40 in 2012 and $291 in 2013. Amounts due to us from JV were $279 as of December 31, 2012 and $308 as of December 31,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reconciliation of net income to net cash provided by operating activities: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Year Ended December 31,</w:t>
            </w: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Joint venture net income in excess of cash received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(1,773)</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income to cash provided by operating activities: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i w:val="1"/>
                <w:iCs w:val="1"/>
                <w:color w:val="auto"/>
              </w:rPr>
              <w:t>Depreciation and amortization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13,555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16,663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Deferred taxes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i w:val="1"/>
                <w:iCs w:val="1"/>
                <w:color w:val="auto"/>
              </w:rPr>
              <w:t>Other</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Changes in assets and liabilities that provided (used) cash:</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(1,599)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(5,832)</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(1,085)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long-term assets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r>
      <w:tr>
        <w:trPr>
          <w:trHeight w:val="216"/>
        </w:trPr>
        <w:tc>
          <w:tcPr>
            <w:tcW w:w="20" w:type="dxa"/>
            <w:vAlign w:val="bottom"/>
          </w:tcPr>
          <w:p>
            <w:pPr>
              <w:spacing w:after="0"/>
              <w:rPr>
                <w:sz w:val="18"/>
                <w:szCs w:val="18"/>
                <w:color w:val="auto"/>
              </w:rPr>
            </w:pPr>
          </w:p>
        </w:tc>
        <w:tc>
          <w:tcPr>
            <w:tcW w:w="60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(3,250)</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liabilities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700"/>
              <w:spacing w:after="0"/>
              <w:rPr>
                <w:sz w:val="20"/>
                <w:szCs w:val="20"/>
                <w:color w:val="auto"/>
              </w:rPr>
            </w:pPr>
            <w:r>
              <w:rPr>
                <w:rFonts w:ascii="Arial" w:cs="Arial" w:eastAsia="Arial" w:hAnsi="Arial"/>
                <w:sz w:val="18"/>
                <w:szCs w:val="18"/>
                <w:color w:val="auto"/>
              </w:rPr>
              <w:t>Deferred credits and other</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16,088</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Events or transactions occurring after the Consolidated Balance Sheet date have been evaluated through March 28, 2014, the date the financial statements were issued. The financial statements do not reflect events or transactions after this date.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240" w:top="274" w:right="359" w:bottom="1440" w:gutter="0" w:footer="0" w:header="0"/>
        </w:sectPr>
      </w:pPr>
    </w:p>
    <w:bookmarkStart w:id="24" w:name="page25"/>
    <w:bookmarkEnd w:id="24"/>
    <w:p>
      <w:pPr>
        <w:spacing w:after="0" w:line="3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1449070" cy="445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449070" cy="44577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AUTOCAM CORPORATION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CONSOLIDATED FINANCIAL STATEMENTS</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DECEMBER 31, 2011 AND 2012</w:t>
      </w:r>
    </w:p>
    <w:p>
      <w:pPr>
        <w:sectPr>
          <w:pgSz w:w="11900" w:h="16838" w:orient="portrait"/>
          <w:cols w:equalWidth="0" w:num="1">
            <w:col w:w="9019"/>
          </w:cols>
          <w:pgMar w:left="1440" w:top="1440" w:right="1440" w:bottom="1440" w:gutter="0" w:footer="0" w:header="0"/>
        </w:sectPr>
      </w:pPr>
    </w:p>
    <w:bookmarkStart w:id="25" w:name="page26"/>
    <w:bookmarkEnd w:id="2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AUTOCAM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vMerge w:val="restart"/>
          </w:tcPr>
          <w:p>
            <w:pPr>
              <w:spacing w:after="0"/>
              <w:rPr>
                <w:sz w:val="20"/>
                <w:szCs w:val="20"/>
                <w:color w:val="auto"/>
              </w:rPr>
            </w:pPr>
            <w:r>
              <w:rPr>
                <w:rFonts w:ascii="Arial" w:cs="Arial" w:eastAsia="Arial" w:hAnsi="Arial"/>
                <w:sz w:val="18"/>
                <w:szCs w:val="18"/>
                <w:b w:val="1"/>
                <w:bCs w:val="1"/>
                <w:color w:val="auto"/>
              </w:rPr>
              <w:t>Audited Consolidated Financial Statements for the years ended December 31, 2011 and 2012: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1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20" w:type="dxa"/>
            <w:vAlign w:val="bottom"/>
          </w:tcPr>
          <w:p>
            <w:pPr>
              <w:ind w:left="360"/>
              <w:spacing w:after="0"/>
              <w:rPr>
                <w:sz w:val="20"/>
                <w:szCs w:val="20"/>
                <w:color w:val="auto"/>
              </w:rPr>
            </w:pPr>
            <w:r>
              <w:rPr>
                <w:rFonts w:ascii="Arial" w:cs="Arial" w:eastAsia="Arial" w:hAnsi="Arial"/>
                <w:sz w:val="18"/>
                <w:szCs w:val="18"/>
                <w:color w:val="auto"/>
              </w:rPr>
              <w:t>Independent Auditors’ Report</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020" w:type="dxa"/>
            <w:vAlign w:val="bottom"/>
          </w:tcPr>
          <w:p>
            <w:pPr>
              <w:ind w:left="360"/>
              <w:spacing w:after="0"/>
              <w:rPr>
                <w:sz w:val="20"/>
                <w:szCs w:val="20"/>
                <w:color w:val="auto"/>
              </w:rPr>
            </w:pPr>
            <w:r>
              <w:rPr>
                <w:rFonts w:ascii="Arial" w:cs="Arial" w:eastAsia="Arial" w:hAnsi="Arial"/>
                <w:sz w:val="18"/>
                <w:szCs w:val="18"/>
                <w:color w:val="auto"/>
              </w:rPr>
              <w:t>Consolidated Balance Sheets</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020" w:type="dxa"/>
            <w:vAlign w:val="bottom"/>
          </w:tcPr>
          <w:p>
            <w:pPr>
              <w:ind w:left="360"/>
              <w:spacing w:after="0"/>
              <w:rPr>
                <w:sz w:val="20"/>
                <w:szCs w:val="20"/>
                <w:color w:val="auto"/>
              </w:rPr>
            </w:pPr>
            <w:r>
              <w:rPr>
                <w:rFonts w:ascii="Arial" w:cs="Arial" w:eastAsia="Arial" w:hAnsi="Arial"/>
                <w:sz w:val="18"/>
                <w:szCs w:val="18"/>
                <w:color w:val="auto"/>
              </w:rPr>
              <w:t>Consolidated Statements of Operations and Comprehensive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20" w:type="dxa"/>
            <w:vAlign w:val="bottom"/>
          </w:tcPr>
          <w:p>
            <w:pPr>
              <w:ind w:left="360"/>
              <w:spacing w:after="0"/>
              <w:rPr>
                <w:sz w:val="20"/>
                <w:szCs w:val="20"/>
                <w:color w:val="auto"/>
              </w:rPr>
            </w:pPr>
            <w:r>
              <w:rPr>
                <w:rFonts w:ascii="Arial" w:cs="Arial" w:eastAsia="Arial" w:hAnsi="Arial"/>
                <w:sz w:val="18"/>
                <w:szCs w:val="18"/>
                <w:color w:val="auto"/>
              </w:rPr>
              <w:t>Consolidated Statements of Shareholders’ Equity</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020" w:type="dxa"/>
            <w:vAlign w:val="bottom"/>
          </w:tcPr>
          <w:p>
            <w:pPr>
              <w:ind w:left="360"/>
              <w:spacing w:after="0"/>
              <w:rPr>
                <w:sz w:val="20"/>
                <w:szCs w:val="20"/>
                <w:color w:val="auto"/>
              </w:rPr>
            </w:pPr>
            <w:r>
              <w:rPr>
                <w:rFonts w:ascii="Arial" w:cs="Arial" w:eastAsia="Arial" w:hAnsi="Arial"/>
                <w:sz w:val="18"/>
                <w:szCs w:val="18"/>
                <w:color w:val="auto"/>
              </w:rPr>
              <w:t>Consolidated Statements of Cash Flows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1020" w:type="dxa"/>
            <w:vAlign w:val="bottom"/>
          </w:tcPr>
          <w:p>
            <w:pPr>
              <w:ind w:left="360"/>
              <w:spacing w:after="0"/>
              <w:rPr>
                <w:sz w:val="20"/>
                <w:szCs w:val="20"/>
                <w:color w:val="auto"/>
              </w:rPr>
            </w:pPr>
            <w:r>
              <w:rPr>
                <w:rFonts w:ascii="Arial" w:cs="Arial" w:eastAsia="Arial" w:hAnsi="Arial"/>
                <w:sz w:val="18"/>
                <w:szCs w:val="18"/>
                <w:color w:val="auto"/>
              </w:rPr>
              <w:t>Notes to Consolidated Financial Statements</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65"/>
        </w:trPr>
        <w:tc>
          <w:tcPr>
            <w:tcW w:w="11020" w:type="dxa"/>
            <w:vAlign w:val="bottom"/>
          </w:tcPr>
          <w:p>
            <w:pPr>
              <w:ind w:left="566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0" w:right="339" w:bottom="1440" w:gutter="0" w:footer="0" w:header="0"/>
        </w:sectPr>
      </w:pPr>
    </w:p>
    <w:bookmarkStart w:id="26" w:name="page27"/>
    <w:bookmarkEnd w:id="26"/>
    <w:p>
      <w:pPr>
        <w:jc w:val="cente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INDEPENDENT AUDITORS’ REPORT, PLEASE SEE PAGE 3 OF AUTOCAM CORPORATION’S CONSOLIDATED FINANCIAL STATEMENTS FOR DECEMBER 31, 2012 AND 2013]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280"/>
          </w:cols>
          <w:pgMar w:left="1320" w:top="274" w:right="1299" w:bottom="1440" w:gutter="0" w:footer="0" w:header="0"/>
        </w:sectPr>
      </w:pPr>
    </w:p>
    <w:bookmarkStart w:id="27" w:name="page28"/>
    <w:bookmarkEnd w:id="27"/>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LEFT INTENTIONALLY BLANK]</w:t>
      </w:r>
    </w:p>
    <w:p>
      <w:pPr>
        <w:sectPr>
          <w:pgSz w:w="11900" w:h="16838" w:orient="portrait"/>
          <w:cols w:equalWidth="0" w:num="1">
            <w:col w:w="9019"/>
          </w:cols>
          <w:pgMar w:left="1440" w:top="274"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274" w:right="1440"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AUTOCAM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Amounts in thousands, except share information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and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i w:val="1"/>
                <w:iCs w:val="1"/>
                <w:color w:val="auto"/>
              </w:rPr>
              <w:t>Accounts receivable, net of allowances of $213 and $275, respectively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26,715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Inventories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i w:val="1"/>
                <w:iCs w:val="1"/>
                <w:color w:val="auto"/>
              </w:rPr>
              <w:t>Prepaid expenses and other current assets</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62,430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104,546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181,800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207,687</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i w:val="1"/>
                <w:iCs w:val="1"/>
                <w:color w:val="auto"/>
              </w:rPr>
              <w:t>Current maturities of long-term obligations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8,554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Accounts payable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i w:val="1"/>
                <w:iCs w:val="1"/>
                <w:color w:val="auto"/>
              </w:rPr>
              <w:t>Accrued liabilities: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30,166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39,824</w:t>
            </w:r>
          </w:p>
        </w:tc>
        <w:tc>
          <w:tcPr>
            <w:tcW w:w="0" w:type="dxa"/>
            <w:vAlign w:val="bottom"/>
          </w:tcPr>
          <w:p>
            <w:pPr>
              <w:spacing w:after="0"/>
              <w:rPr>
                <w:sz w:val="1"/>
                <w:szCs w:val="1"/>
                <w:color w:val="auto"/>
              </w:rPr>
            </w:pPr>
          </w:p>
        </w:tc>
      </w:tr>
      <w:tr>
        <w:trPr>
          <w:trHeight w:val="223"/>
        </w:trPr>
        <w:tc>
          <w:tcPr>
            <w:tcW w:w="9480" w:type="dxa"/>
            <w:vAlign w:val="bottom"/>
            <w:gridSpan w:val="2"/>
          </w:tcPr>
          <w:p>
            <w:pPr>
              <w:spacing w:after="0"/>
              <w:rPr>
                <w:sz w:val="20"/>
                <w:szCs w:val="20"/>
                <w:color w:val="auto"/>
              </w:rPr>
            </w:pPr>
            <w:r>
              <w:rPr>
                <w:rFonts w:ascii="Arial" w:cs="Arial" w:eastAsia="Arial" w:hAnsi="Arial"/>
                <w:sz w:val="18"/>
                <w:szCs w:val="18"/>
                <w:color w:val="auto"/>
              </w:rPr>
              <w:t>Long-term obligations, net of current maturities</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21,514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i w:val="1"/>
                <w:iCs w:val="1"/>
                <w:color w:val="auto"/>
                <w:w w:val="90"/>
              </w:rPr>
              <w:t>Common stock – no par value; 10,200,000 shares authorized; 106,550 issued and outstanding as of December 31, 2011 and 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Additional paid-in capital</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194,890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194,890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i w:val="1"/>
                <w:iCs w:val="1"/>
                <w:color w:val="auto"/>
              </w:rPr>
              <w:t>Accumulated other comprehensive income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deficit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(88,421)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(92,091)</w:t>
            </w:r>
          </w:p>
        </w:tc>
        <w:tc>
          <w:tcPr>
            <w:tcW w:w="0" w:type="dxa"/>
            <w:vAlign w:val="bottom"/>
          </w:tcPr>
          <w:p>
            <w:pPr>
              <w:spacing w:after="0"/>
              <w:rPr>
                <w:sz w:val="1"/>
                <w:szCs w:val="1"/>
                <w:color w:val="auto"/>
              </w:rPr>
            </w:pPr>
          </w:p>
        </w:tc>
      </w:tr>
      <w:tr>
        <w:trPr>
          <w:trHeight w:val="230"/>
        </w:trPr>
        <w:tc>
          <w:tcPr>
            <w:tcW w:w="948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108,295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103,358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181,800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207,687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AUTOCAM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7500" w:type="dxa"/>
            <w:vAlign w:val="bottom"/>
            <w:gridSpan w:val="2"/>
            <w:vMerge w:val="continue"/>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2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182,064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181,568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Cost of sales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(152,529)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(163,809)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29,535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(13,158)</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stock-based compensation income (expense)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16,377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Stock-based compensation income (expense)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13,072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Interest expense, net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2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(4,712)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Share of net income from joint venture</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Statements of Comprehensive Income:</w:t>
            </w: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gridSpan w:val="2"/>
            <w:vMerge w:val="continue"/>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Other comprehensive income (losses):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Foreign currency translation adjustments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(4,030)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i w:val="1"/>
                <w:iCs w:val="1"/>
                <w:color w:val="auto"/>
              </w:rPr>
              <w:t>Change in fair value of interest rate hedge</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AUTOCAM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12"/>
                <w:szCs w:val="12"/>
                <w:color w:val="auto"/>
              </w:rPr>
            </w:pPr>
          </w:p>
        </w:tc>
        <w:tc>
          <w:tcPr>
            <w:tcW w:w="12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660" w:type="dxa"/>
            <w:vAlign w:val="bottom"/>
            <w:gridSpan w:val="2"/>
          </w:tcPr>
          <w:p>
            <w:pPr>
              <w:spacing w:after="0"/>
              <w:rPr>
                <w:sz w:val="20"/>
                <w:szCs w:val="20"/>
                <w:color w:val="auto"/>
              </w:rPr>
            </w:pPr>
            <w:r>
              <w:rPr>
                <w:rFonts w:ascii="Arial" w:cs="Arial" w:eastAsia="Arial" w:hAnsi="Arial"/>
                <w:sz w:val="14"/>
                <w:szCs w:val="14"/>
                <w:i w:val="1"/>
                <w:iCs w:val="1"/>
                <w:color w:val="auto"/>
              </w:rPr>
              <w:t>Amounts in thousands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8"/>
              </w:rPr>
              <w:t>Deficit</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$194,890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73,688)</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$127,146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8,374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non-Manager Shareholders in the form of:</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5"/>
                <w:szCs w:val="15"/>
                <w:color w:val="auto"/>
              </w:rPr>
              <w:t>1</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(15,000)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Note receivable </w:t>
            </w:r>
            <w:r>
              <w:rPr>
                <w:rFonts w:ascii="Arial" w:cs="Arial" w:eastAsia="Arial" w:hAnsi="Arial"/>
                <w:sz w:val="15"/>
                <w:szCs w:val="15"/>
                <w:color w:val="auto"/>
              </w:rPr>
              <w:t>2</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(8,107)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(4,030)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interest rate hedge</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Balance, December 31, 2011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194,890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(88,421)</w:t>
            </w:r>
          </w:p>
        </w:tc>
        <w:tc>
          <w:tcPr>
            <w:tcW w:w="5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4,705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 xml:space="preserve">Cash dividends paid to non-Manager Shareholders </w:t>
            </w:r>
            <w:r>
              <w:rPr>
                <w:rFonts w:ascii="Arial" w:cs="Arial" w:eastAsia="Arial" w:hAnsi="Arial"/>
                <w:sz w:val="15"/>
                <w:szCs w:val="15"/>
                <w:color w:val="auto"/>
              </w:rPr>
              <w:t>3</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(8,375)</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Change in fair value of interest rate hedge</w:t>
            </w: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194,890</w:t>
            </w:r>
          </w:p>
        </w:tc>
        <w:tc>
          <w:tcPr>
            <w:tcW w:w="4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559</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92,091)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103,358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4"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5"/>
          <w:szCs w:val="15"/>
          <w:color w:val="auto"/>
        </w:rPr>
      </w:pPr>
      <w:r>
        <w:rPr>
          <w:rFonts w:ascii="Arial" w:cs="Arial" w:eastAsia="Arial" w:hAnsi="Arial"/>
          <w:sz w:val="18"/>
          <w:szCs w:val="18"/>
          <w:color w:val="auto"/>
        </w:rPr>
        <w:t>$151.75 per share.</w:t>
      </w:r>
    </w:p>
    <w:p>
      <w:pPr>
        <w:spacing w:after="0" w:line="2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2  </w:t>
      </w:r>
      <w:r>
        <w:rPr>
          <w:rFonts w:ascii="Arial" w:cs="Arial" w:eastAsia="Arial" w:hAnsi="Arial"/>
          <w:sz w:val="18"/>
          <w:szCs w:val="18"/>
          <w:color w:val="auto"/>
        </w:rPr>
        <w:t>$79.32 per share.</w:t>
      </w:r>
    </w:p>
    <w:p>
      <w:pPr>
        <w:spacing w:after="0" w:line="8"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Payments of $46.25 per share were made in January, 2012 and $37.55 per share in August, 2012.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AUTOCAM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95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i w:val="1"/>
                <w:iCs w:val="1"/>
                <w:color w:val="auto"/>
              </w:rPr>
              <w:t>Cash received from customers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179,495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178,735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paid to suppliers and employees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(158,218)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(163,555)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i w:val="1"/>
                <w:iCs w:val="1"/>
                <w:color w:val="auto"/>
              </w:rPr>
              <w:t>Cash received from joint venture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taxes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i w:val="1"/>
                <w:iCs w:val="1"/>
                <w:color w:val="auto"/>
              </w:rPr>
              <w:t>Income taxes refunded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Interest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i w:val="1"/>
                <w:iCs w:val="1"/>
                <w:color w:val="auto"/>
              </w:rPr>
              <w:t>Interest received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20,815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16,088</w:t>
            </w:r>
          </w:p>
        </w:tc>
        <w:tc>
          <w:tcPr>
            <w:tcW w:w="0" w:type="dxa"/>
            <w:vAlign w:val="bottom"/>
          </w:tcPr>
          <w:p>
            <w:pPr>
              <w:spacing w:after="0"/>
              <w:rPr>
                <w:sz w:val="1"/>
                <w:szCs w:val="1"/>
                <w:color w:val="auto"/>
              </w:rPr>
            </w:pP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Capital expenditures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(24,844)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i w:val="1"/>
                <w:iCs w:val="1"/>
                <w:color w:val="auto"/>
              </w:rPr>
              <w:t>Proceeds from sales of fixed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Proceeds from notes receivable repayments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i w:val="1"/>
                <w:iCs w:val="1"/>
                <w:color w:val="auto"/>
              </w:rPr>
              <w:t>Restricted cash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95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(21,487)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i w:val="1"/>
                <w:iCs w:val="1"/>
                <w:color w:val="auto"/>
              </w:rPr>
              <w:t>Borrowings under lines of credit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44,957</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Repayments on lines of credit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(46,088)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i w:val="1"/>
                <w:iCs w:val="1"/>
                <w:color w:val="auto"/>
              </w:rPr>
              <w:t>Proceeds from issuance of long-term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Principal payments of long-term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i w:val="1"/>
                <w:iCs w:val="1"/>
                <w:color w:val="auto"/>
              </w:rPr>
              <w:t>Dividends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Debt issue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950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(11,549)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Decreases in cash and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(12,428)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23,704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11,276</w:t>
            </w:r>
          </w:p>
        </w:tc>
        <w:tc>
          <w:tcPr>
            <w:tcW w:w="0" w:type="dxa"/>
            <w:vAlign w:val="bottom"/>
          </w:tcPr>
          <w:p>
            <w:pPr>
              <w:spacing w:after="0"/>
              <w:rPr>
                <w:sz w:val="1"/>
                <w:szCs w:val="1"/>
                <w:color w:val="auto"/>
              </w:rPr>
            </w:pP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Cash and equivalents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AUTOCAM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Operations and Summary of Significant Accounting Policies</w:t>
      </w:r>
    </w:p>
    <w:p>
      <w:pPr>
        <w:spacing w:after="0" w:line="121"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color w:val="auto"/>
        </w:rPr>
        <w:t>In these notes, unless the context otherwise requires, “we,” “our” or “us” refer to Autocam Corporation together with its consolidated subsidiaries (“Autocam”). All currency figures, except per share data, referenced in these notes are reflected in thousands of U.S. dollars.</w:t>
      </w:r>
    </w:p>
    <w:p>
      <w:pPr>
        <w:spacing w:after="0" w:line="14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 xml:space="preserve">Principles of Consolidation </w:t>
      </w:r>
      <w:r>
        <w:rPr>
          <w:rFonts w:ascii="Arial" w:cs="Arial" w:eastAsia="Arial" w:hAnsi="Arial"/>
          <w:sz w:val="17"/>
          <w:szCs w:val="17"/>
          <w:color w:val="auto"/>
        </w:rPr>
        <w:t>– Our consolidated financial statements are prepared in accordance with accounting principles generally accepted in the United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States of America (“U.S.”). All of our significant intercompany accounts and transactions have been eliminated in consolidation.</w:t>
      </w:r>
    </w:p>
    <w:p>
      <w:pPr>
        <w:spacing w:after="0" w:line="14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 xml:space="preserve">Nature of Operations </w:t>
      </w:r>
      <w:r>
        <w:rPr>
          <w:rFonts w:ascii="Arial" w:cs="Arial" w:eastAsia="Arial" w:hAnsi="Arial"/>
          <w:sz w:val="17"/>
          <w:szCs w:val="17"/>
          <w:color w:val="auto"/>
        </w:rPr>
        <w:t>– We design and manufacture close-tolerance, specialty metal alloy components for mechanical and electromechanical systems using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turning, grinding and milling processes. Currently, we manufacture components for use on fuel delivery, electromechanical motor, steering and braking systems for the transportation industry. We have three manufacturing locations in the U.S., two in Brazil and one each in France, Poland and China. Our customers are located in virtually all areas of the world, with the exception of the continent of Africa.</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Estimates </w:t>
      </w:r>
      <w:r>
        <w:rPr>
          <w:rFonts w:ascii="Arial" w:cs="Arial" w:eastAsia="Arial" w:hAnsi="Arial"/>
          <w:sz w:val="18"/>
          <w:szCs w:val="18"/>
          <w:color w:val="auto"/>
        </w:rPr>
        <w:t>– The preparation of financial statements in conformity with accounting principles generally accepted in the U.S. requires our management to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estimates and assumptions that affect the reported amounts of assets and liabilities and disclosures of contingent assets and liabilities at the date of the financial statements and the reported amounts of revenues and expenses during the reporting period. Although our management believes the estimates are reasonable, actual results could differ from those estimates.</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 xml:space="preserve">Financial Instruments </w:t>
      </w:r>
      <w:r>
        <w:rPr>
          <w:rFonts w:ascii="Arial" w:cs="Arial" w:eastAsia="Arial" w:hAnsi="Arial"/>
          <w:sz w:val="17"/>
          <w:szCs w:val="17"/>
          <w:color w:val="auto"/>
        </w:rPr>
        <w:t>consist principally of cash and equivalents, accounts receivable and payable and indebtedness. We have determined the estimated fair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amounts for indebtedness using available market information and valuation methodologies (see Note 4). We have determined the estimated fair value of accounts receivable and payable as approximating their book values given their possessing short-term maturities.</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Set forth below is information about the fair value of our financial assets and liabilities at December 31, 2011 and December 31, 2012, according to the valuation techniques we used to determine their fair values: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80" w:type="dxa"/>
            <w:vAlign w:val="bottom"/>
            <w:gridSpan w:val="4"/>
          </w:tcPr>
          <w:p>
            <w:pPr>
              <w:ind w:left="480"/>
              <w:spacing w:after="0"/>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2"/>
                <w:szCs w:val="12"/>
                <w:b w:val="1"/>
                <w:bCs w:val="1"/>
                <w:color w:val="auto"/>
              </w:rPr>
              <w:t>1</w:t>
            </w:r>
          </w:p>
        </w:tc>
        <w:tc>
          <w:tcPr>
            <w:tcW w:w="1220" w:type="dxa"/>
            <w:vAlign w:val="bottom"/>
            <w:gridSpan w:val="5"/>
          </w:tcPr>
          <w:p>
            <w:pPr>
              <w:ind w:left="300"/>
              <w:spacing w:after="0"/>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2"/>
                <w:szCs w:val="12"/>
                <w:b w:val="1"/>
                <w:bCs w:val="1"/>
                <w:color w:val="auto"/>
              </w:rPr>
              <w:t>2</w:t>
            </w:r>
          </w:p>
        </w:tc>
      </w:tr>
      <w:tr>
        <w:trPr>
          <w:trHeight w:val="142"/>
        </w:trPr>
        <w:tc>
          <w:tcPr>
            <w:tcW w:w="48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0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 -</w:t>
            </w:r>
          </w:p>
        </w:tc>
        <w:tc>
          <w:tcPr>
            <w:tcW w:w="25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Cash equivalents</w:t>
            </w:r>
          </w:p>
        </w:tc>
        <w:tc>
          <w:tcPr>
            <w:tcW w:w="3560" w:type="dxa"/>
            <w:vAlign w:val="bottom"/>
            <w:gridSpan w:val="3"/>
          </w:tcPr>
          <w:p>
            <w:pPr>
              <w:jc w:val="right"/>
              <w:ind w:right="400"/>
              <w:spacing w:after="0"/>
              <w:rPr>
                <w:sz w:val="20"/>
                <w:szCs w:val="20"/>
                <w:color w:val="auto"/>
              </w:rPr>
            </w:pPr>
            <w:r>
              <w:rPr>
                <w:rFonts w:ascii="Arial" w:cs="Arial" w:eastAsia="Arial" w:hAnsi="Arial"/>
                <w:sz w:val="18"/>
                <w:szCs w:val="18"/>
                <w:color w:val="auto"/>
              </w:rPr>
              <w:t>$11,276</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$9,492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Liability -</w:t>
            </w:r>
          </w:p>
        </w:tc>
        <w:tc>
          <w:tcPr>
            <w:tcW w:w="2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Interest rate swap arrangements</w:t>
            </w:r>
          </w:p>
        </w:tc>
        <w:tc>
          <w:tcPr>
            <w:tcW w:w="2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$324</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$280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Quoted prices in active markets for identical assets or liabilities.</w:t>
      </w:r>
    </w:p>
    <w:p>
      <w:pPr>
        <w:spacing w:after="0" w:line="22" w:lineRule="exact"/>
        <w:rPr>
          <w:sz w:val="20"/>
          <w:szCs w:val="20"/>
          <w:color w:val="auto"/>
        </w:rPr>
      </w:pPr>
    </w:p>
    <w:p>
      <w:pPr>
        <w:ind w:left="5660" w:right="4360" w:hanging="5652"/>
        <w:spacing w:after="0" w:line="434" w:lineRule="auto"/>
        <w:tabs>
          <w:tab w:leader="none" w:pos="215" w:val="left"/>
        </w:tabs>
        <w:numPr>
          <w:ilvl w:val="0"/>
          <w:numId w:val="12"/>
        </w:numPr>
        <w:rPr>
          <w:rFonts w:ascii="Arial" w:cs="Arial" w:eastAsia="Arial" w:hAnsi="Arial"/>
          <w:sz w:val="15"/>
          <w:szCs w:val="15"/>
          <w:color w:val="auto"/>
        </w:rPr>
      </w:pPr>
      <w:r>
        <w:rPr>
          <w:rFonts w:ascii="Arial" w:cs="Arial" w:eastAsia="Arial" w:hAnsi="Arial"/>
          <w:sz w:val="18"/>
          <w:szCs w:val="18"/>
          <w:color w:val="auto"/>
        </w:rPr>
        <w:t>Observable inputs other than quoted prices in active markets for identical assets and liabilities. 9</w:t>
      </w:r>
    </w:p>
    <w:p>
      <w:pPr>
        <w:sectPr>
          <w:pgSz w:w="11900" w:h="16838" w:orient="portrait"/>
          <w:cols w:equalWidth="0" w:num="1">
            <w:col w:w="11400"/>
          </w:cols>
          <w:pgMar w:left="240" w:top="270" w:right="259" w:bottom="1440" w:gutter="0" w:footer="0" w:header="0"/>
        </w:sectPr>
      </w:pPr>
    </w:p>
    <w:bookmarkStart w:id="33" w:name="page34"/>
    <w:bookmarkEnd w:id="33"/>
    <w:p>
      <w:pPr>
        <w:ind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equivalents consist of highly-liquid investments with original maturities of three months or less at the date of purchase, including money market accounts with an active market valuation Level 1 estimate.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are stated at the lower of actual cost, on a first-in, first-out (FIFO) basis, or market.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 xml:space="preserve">Property, Plant and Equipment </w:t>
      </w:r>
      <w:r>
        <w:rPr>
          <w:rFonts w:ascii="Arial" w:cs="Arial" w:eastAsia="Arial" w:hAnsi="Arial"/>
          <w:sz w:val="18"/>
          <w:szCs w:val="18"/>
          <w:color w:val="auto"/>
        </w:rPr>
        <w:t>is stated at cost. Depreciation is computed using the straight-line method over the estimated useful lives of the assets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360" w:type="dxa"/>
            <w:vAlign w:val="bottom"/>
            <w:shd w:val="clear" w:color="auto" w:fill="CCEEFF"/>
          </w:tcPr>
          <w:p>
            <w:pPr>
              <w:ind w:left="2320"/>
              <w:spacing w:after="0"/>
              <w:rPr>
                <w:sz w:val="20"/>
                <w:szCs w:val="20"/>
                <w:color w:val="auto"/>
              </w:rPr>
            </w:pPr>
            <w:r>
              <w:rPr>
                <w:rFonts w:ascii="Arial" w:cs="Arial" w:eastAsia="Arial" w:hAnsi="Arial"/>
                <w:sz w:val="18"/>
                <w:szCs w:val="18"/>
                <w:color w:val="auto"/>
              </w:rPr>
              <w:t>31 years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360" w:type="dxa"/>
            <w:vAlign w:val="bottom"/>
          </w:tcPr>
          <w:p>
            <w:pPr>
              <w:ind w:left="2320"/>
              <w:spacing w:after="0"/>
              <w:rPr>
                <w:sz w:val="20"/>
                <w:szCs w:val="20"/>
                <w:color w:val="auto"/>
              </w:rPr>
            </w:pPr>
            <w:r>
              <w:rPr>
                <w:rFonts w:ascii="Arial" w:cs="Arial" w:eastAsia="Arial" w:hAnsi="Arial"/>
                <w:sz w:val="18"/>
                <w:szCs w:val="18"/>
                <w:color w:val="auto"/>
                <w:w w:val="97"/>
              </w:rPr>
              <w:t>3 to 12 years</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360" w:type="dxa"/>
            <w:vAlign w:val="bottom"/>
            <w:shd w:val="clear" w:color="auto" w:fill="CCEEFF"/>
          </w:tcPr>
          <w:p>
            <w:pPr>
              <w:ind w:left="2320"/>
              <w:spacing w:after="0"/>
              <w:rPr>
                <w:sz w:val="20"/>
                <w:szCs w:val="20"/>
                <w:color w:val="auto"/>
              </w:rPr>
            </w:pPr>
            <w:r>
              <w:rPr>
                <w:rFonts w:ascii="Arial" w:cs="Arial" w:eastAsia="Arial" w:hAnsi="Arial"/>
                <w:sz w:val="18"/>
                <w:szCs w:val="18"/>
                <w:color w:val="auto"/>
                <w:w w:val="97"/>
              </w:rPr>
              <w:t>3 to 12 years</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360" w:type="dxa"/>
            <w:vAlign w:val="bottom"/>
          </w:tcPr>
          <w:p>
            <w:pPr>
              <w:ind w:left="2320"/>
              <w:spacing w:after="0"/>
              <w:rPr>
                <w:sz w:val="20"/>
                <w:szCs w:val="20"/>
                <w:color w:val="auto"/>
              </w:rPr>
            </w:pPr>
            <w:r>
              <w:rPr>
                <w:rFonts w:ascii="Arial" w:cs="Arial" w:eastAsia="Arial" w:hAnsi="Arial"/>
                <w:sz w:val="18"/>
                <w:szCs w:val="18"/>
                <w:color w:val="auto"/>
                <w:w w:val="97"/>
              </w:rPr>
              <w:t>5 to 10 years</w:t>
            </w:r>
          </w:p>
        </w:tc>
      </w:tr>
    </w:tbl>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Maintenance and repairs that do not improve or extend the lives of the respective assets are charged to expense. When properties are retired or sold, the related cost and accumulated depreciation are removed from the accounts and any gain or loss on disposition is recognized in the results of operations. Gains arising from sale and leaseback transactions are deferred for amortization to income over the lives of the related operating leases. Leasehold improvements are amortized over the lesser of their useful lives or the lease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Long-Term Assets </w:t>
      </w:r>
      <w:r>
        <w:rPr>
          <w:rFonts w:ascii="Arial" w:cs="Arial" w:eastAsia="Arial" w:hAnsi="Arial"/>
          <w:sz w:val="18"/>
          <w:szCs w:val="18"/>
          <w:color w:val="auto"/>
        </w:rPr>
        <w:t>consists of the following as of December 31:</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30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2011</w:t>
            </w:r>
          </w:p>
        </w:tc>
        <w:tc>
          <w:tcPr>
            <w:tcW w:w="9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Equipment deposits</w:t>
            </w:r>
          </w:p>
        </w:tc>
        <w:tc>
          <w:tcPr>
            <w:tcW w:w="2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$3,815</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Restricted cash</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756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Employee receivables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Unamortized debt issue costs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 bonds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Other</w:t>
            </w:r>
          </w:p>
        </w:tc>
        <w:tc>
          <w:tcPr>
            <w:tcW w:w="2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7,518</w:t>
            </w:r>
          </w:p>
        </w:tc>
        <w:tc>
          <w:tcPr>
            <w:tcW w:w="100" w:type="dxa"/>
            <w:vAlign w:val="bottom"/>
            <w:shd w:val="clear" w:color="auto" w:fill="CCEEFF"/>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Equipment deposits – Represents deposits paid on purchase commitments for machinery and equipment totaling $15,549 as of December 31, 2012, some of which may be assigned to financing companies under lease agreements. In accordance with terms of the purchase agreements, final acceptance of the equipment is contingent upon the equipment demonstrating certain capabilities as documented in our purchase orders.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Restricted cash – Represents funds held in escrow by Brazilian courts as compensating balances against certain potential judgments against us in connection with benefits that may be due terminated employees.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Unamortized debt issue costs – Debt issue costs paid are amortized over the terms of the debt instruments. Debt issue cost amortization expense was $33 in 2011 and $35 in 2012.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w w:val="95"/>
              </w:rPr>
              <w:t>Set forth below is expected debt issue cost amortization expense to be recorded by us in the years following 2012:</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2014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bonds – Represents Michigan New Jobs Training Program bonds we purchased in 2011 and 2012 to fund new machinist apprenticeship program training costs at Grand Rapids Community College. The underlying agreement between us and the State of Michigan (the “State”) contemplates repayment of the bonds over a 20-year period expiring in July 2030 through remittance to us by the State of payroll taxes withheld from employees that participate in the program.</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34" w:name="page35"/>
    <w:bookmarkEnd w:id="34"/>
    <w:p>
      <w:pPr>
        <w:ind w:right="78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Accounts Payable </w:t>
      </w:r>
      <w:r>
        <w:rPr>
          <w:rFonts w:ascii="Arial" w:cs="Arial" w:eastAsia="Arial" w:hAnsi="Arial"/>
          <w:sz w:val="18"/>
          <w:szCs w:val="18"/>
          <w:color w:val="auto"/>
        </w:rPr>
        <w:t>includes the reclassification from Cash and Equivalents of outstanding checks, net of related cash balances, totaling $1,433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2011 and $2,600 as of December 31, 2012.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 Sales are recognized at the time product is shipped to the customer, at which time title and risk of ownership transfer to the purchaser.</w:t>
      </w:r>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Deferred income tax assets and liabilities are computed for differences between the financial statement and tax bases of assets and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will result in taxable or deductible amounts in the future. Such deferred income tax asset and liability computations are based on enacted tax laws and rates applicable to periods in which the differences are expected to affect taxable income. Valuation allowances are established when necessary to reduce deferred tax assets to the amounts expected to be realized. Income tax expense is the tax payable or refundable for the period plus or minus the change during the period in deferred tax assets and liabilities (see Note 6).</w:t>
      </w:r>
    </w:p>
    <w:p>
      <w:pPr>
        <w:spacing w:after="0" w:line="18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 xml:space="preserve">Derivative and Hedging Activities </w:t>
      </w:r>
      <w:r>
        <w:rPr>
          <w:rFonts w:ascii="Arial" w:cs="Arial" w:eastAsia="Arial" w:hAnsi="Arial"/>
          <w:sz w:val="18"/>
          <w:szCs w:val="18"/>
          <w:color w:val="auto"/>
        </w:rPr>
        <w:t>– From time to time, we manage interest rate risk through the use of interest rate swap agreements. The following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were in effect as of December 31, 2011 and 2012 and were intended to hedge our interest rate risk on the term notes subject to our senior credit facilities agreement and certain of the equipment term notes with bank (see Note 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LIBOR</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5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Derivative Instrument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91"/>
              </w:rPr>
              <w:t>Notional Amounts as of</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Component</w:t>
            </w:r>
          </w:p>
        </w:tc>
        <w:tc>
          <w:tcPr>
            <w:tcW w:w="100" w:type="dxa"/>
            <w:vAlign w:val="bottom"/>
          </w:tcPr>
          <w:p>
            <w:pPr>
              <w:spacing w:after="0"/>
              <w:rPr>
                <w:sz w:val="12"/>
                <w:szCs w:val="12"/>
                <w:color w:val="auto"/>
              </w:rPr>
            </w:pPr>
          </w:p>
        </w:tc>
        <w:tc>
          <w:tcPr>
            <w:tcW w:w="126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6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Dates</w:t>
            </w:r>
          </w:p>
        </w:tc>
        <w:tc>
          <w:tcPr>
            <w:tcW w:w="1800" w:type="dxa"/>
            <w:vAlign w:val="bottom"/>
            <w:gridSpan w:val="5"/>
            <w:vMerge w:val="continue"/>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Fixed</w:t>
            </w:r>
          </w:p>
        </w:tc>
        <w:tc>
          <w:tcPr>
            <w:tcW w:w="100" w:type="dxa"/>
            <w:vAlign w:val="bottom"/>
          </w:tcPr>
          <w:p>
            <w:pPr>
              <w:spacing w:after="0"/>
              <w:rPr>
                <w:sz w:val="14"/>
                <w:szCs w:val="14"/>
                <w:color w:val="auto"/>
              </w:rPr>
            </w:pPr>
          </w:p>
        </w:tc>
        <w:tc>
          <w:tcPr>
            <w:tcW w:w="12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4"/>
                <w:szCs w:val="14"/>
                <w:color w:val="auto"/>
              </w:rPr>
            </w:pPr>
          </w:p>
        </w:tc>
        <w:tc>
          <w:tcPr>
            <w:tcW w:w="1520" w:type="dxa"/>
            <w:vAlign w:val="bottom"/>
            <w:gridSpan w:val="4"/>
          </w:tcPr>
          <w:p>
            <w:pPr>
              <w:ind w:left="140"/>
              <w:spacing w:after="0"/>
              <w:rPr>
                <w:sz w:val="20"/>
                <w:szCs w:val="20"/>
                <w:color w:val="auto"/>
              </w:rPr>
            </w:pPr>
            <w:r>
              <w:rPr>
                <w:rFonts w:ascii="Arial" w:cs="Arial" w:eastAsia="Arial" w:hAnsi="Arial"/>
                <w:sz w:val="14"/>
                <w:szCs w:val="14"/>
                <w:b w:val="1"/>
                <w:bCs w:val="1"/>
                <w:color w:val="auto"/>
              </w:rPr>
              <w:t>Liability Recorded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60" w:type="dxa"/>
            <w:vAlign w:val="bottom"/>
            <w:gridSpan w:val="3"/>
            <w:vMerge w:val="continue"/>
          </w:tcPr>
          <w:p>
            <w:pPr>
              <w:spacing w:after="0"/>
              <w:rPr>
                <w:sz w:val="14"/>
                <w:szCs w:val="14"/>
                <w:color w:val="auto"/>
              </w:rPr>
            </w:pPr>
          </w:p>
        </w:tc>
        <w:tc>
          <w:tcPr>
            <w:tcW w:w="18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4"/>
                <w:szCs w:val="14"/>
                <w:color w:val="auto"/>
              </w:rPr>
            </w:pPr>
          </w:p>
        </w:tc>
        <w:tc>
          <w:tcPr>
            <w:tcW w:w="12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 xml:space="preserve">Recorded </w:t>
            </w:r>
            <w:r>
              <w:rPr>
                <w:rFonts w:ascii="Arial" w:cs="Arial" w:eastAsia="Arial" w:hAnsi="Arial"/>
                <w:sz w:val="12"/>
                <w:szCs w:val="12"/>
                <w:b w:val="1"/>
                <w:bCs w:val="1"/>
                <w:color w:val="auto"/>
                <w:w w:val="93"/>
              </w:rPr>
              <w:t>1</w:t>
            </w:r>
          </w:p>
        </w:tc>
        <w:tc>
          <w:tcPr>
            <w:tcW w:w="120" w:type="dxa"/>
            <w:vAlign w:val="bottom"/>
          </w:tcPr>
          <w:p>
            <w:pPr>
              <w:spacing w:after="0"/>
              <w:rPr>
                <w:sz w:val="14"/>
                <w:szCs w:val="14"/>
                <w:color w:val="auto"/>
              </w:rPr>
            </w:pPr>
          </w:p>
        </w:tc>
        <w:tc>
          <w:tcPr>
            <w:tcW w:w="1520" w:type="dxa"/>
            <w:vAlign w:val="bottom"/>
            <w:gridSpan w:val="4"/>
          </w:tcPr>
          <w:p>
            <w:pPr>
              <w:ind w:left="1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Effective</w:t>
            </w:r>
          </w:p>
        </w:tc>
        <w:tc>
          <w:tcPr>
            <w:tcW w:w="106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tcPr>
          <w:p>
            <w:pPr>
              <w:ind w:left="1020"/>
              <w:spacing w:after="0" w:line="142" w:lineRule="exact"/>
              <w:rPr>
                <w:sz w:val="20"/>
                <w:szCs w:val="20"/>
                <w:color w:val="auto"/>
              </w:rPr>
            </w:pPr>
            <w:r>
              <w:rPr>
                <w:rFonts w:ascii="Arial" w:cs="Arial" w:eastAsia="Arial" w:hAnsi="Arial"/>
                <w:sz w:val="14"/>
                <w:szCs w:val="14"/>
                <w:b w:val="1"/>
                <w:bCs w:val="1"/>
                <w:color w:val="auto"/>
              </w:rPr>
              <w:t>Maturity</w:t>
            </w:r>
          </w:p>
        </w:tc>
        <w:tc>
          <w:tcPr>
            <w:tcW w:w="20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10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Rate</w:t>
            </w:r>
          </w:p>
        </w:tc>
        <w:tc>
          <w:tcPr>
            <w:tcW w:w="10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9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June 2010</w:t>
            </w:r>
          </w:p>
        </w:tc>
        <w:tc>
          <w:tcPr>
            <w:tcW w:w="106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June 2015</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$ 6,650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4,750</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46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181</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110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January 2011</w:t>
            </w:r>
          </w:p>
        </w:tc>
        <w:tc>
          <w:tcPr>
            <w:tcW w:w="10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December 2015</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2,800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2,100</w:t>
            </w: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640" w:type="dxa"/>
            <w:vAlign w:val="bottom"/>
            <w:gridSpan w:val="3"/>
          </w:tcPr>
          <w:p>
            <w:pPr>
              <w:jc w:val="right"/>
              <w:ind w:right="48"/>
              <w:spacing w:after="0"/>
              <w:rPr>
                <w:sz w:val="20"/>
                <w:szCs w:val="20"/>
                <w:color w:val="auto"/>
              </w:rPr>
            </w:pPr>
            <w:r>
              <w:rPr>
                <w:rFonts w:ascii="Arial" w:cs="Arial" w:eastAsia="Arial" w:hAnsi="Arial"/>
                <w:sz w:val="18"/>
                <w:szCs w:val="18"/>
                <w:color w:val="auto"/>
              </w:rPr>
              <w:t>(47)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2011</w:t>
            </w:r>
          </w:p>
        </w:tc>
        <w:tc>
          <w:tcPr>
            <w:tcW w:w="106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2016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6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(46)</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August 2012</w:t>
            </w:r>
          </w:p>
        </w:tc>
        <w:tc>
          <w:tcPr>
            <w:tcW w:w="106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August 2016</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7,333</w:t>
            </w:r>
          </w:p>
        </w:tc>
        <w:tc>
          <w:tcPr>
            <w:tcW w:w="2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5"/>
          <w:szCs w:val="15"/>
          <w:color w:val="auto"/>
        </w:rPr>
      </w:pPr>
      <w:r>
        <w:rPr>
          <w:rFonts w:ascii="Arial" w:cs="Arial" w:eastAsia="Arial" w:hAnsi="Arial"/>
          <w:sz w:val="18"/>
          <w:szCs w:val="18"/>
          <w:color w:val="auto"/>
        </w:rPr>
        <w:t>Net of related income tax</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 In accordance with Financial Accounting Standards Board Accounting Standards Codification (“ASC”) 718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compensation costs related to share-based payment transactions are recognized in our financial statements. Compensation cost is measured based on the grant date fair value of the equity or liability instruments issued and is recognized over the period that an employee provides services in exchange for the award.</w:t>
      </w:r>
    </w:p>
    <w:p>
      <w:pPr>
        <w:spacing w:after="0" w:line="1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Autocam’s Board of Directors has reserved 8,650 shares of its common stock for issuance to employees under the 2010 Stock Option Plan (the “Option Plan”). In 2010, our Board of Directors granted to certain key employees and entities controlled by certain non-shareholder members of our Board of Directors (together, the “Manager Shareholders”) options to purchase 6,650 shares exercisable at $40 per share. As of December 31, 2012, all such options have been exercised and no other options have been granted. As defined in ASC 718, these awards are classified as liability awards as the shareholders and we can require repayment under certain circumstances based on a formula of earnings before interest, depreciation and amortization expense. The awards are recorded at their intrinsic value, and the expense is recognized over each employee’s expected future service until an expected retirement date. We recognized stock-based compensation expense of $1,768 in 2011 and stock-based compensation income of $677 in 2012 related to these awards. In addition, we recognized stock-based compensation expense of $1,537 in 2011 and $549 in 2012 related to portions of the dividend paid to the Manager Shareholders during those respective years (see Dividends Paid below).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35" w:name="page36"/>
    <w:bookmarkEnd w:id="35"/>
    <w:p>
      <w:pPr>
        <w:spacing w:after="0" w:line="25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French Safeguard Restructuring </w:t>
      </w:r>
      <w:r>
        <w:rPr>
          <w:rFonts w:ascii="Arial" w:cs="Arial" w:eastAsia="Arial" w:hAnsi="Arial"/>
          <w:sz w:val="18"/>
          <w:szCs w:val="18"/>
          <w:color w:val="auto"/>
        </w:rPr>
        <w:t>– In 2008, we filed “Procedure de Sauvegarde” (“Safeguard”) on behalf of each of our French subsidiaries, Autocam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France, SARL and Bouverat Industries, SAS (“Bouverat”). We reached agreement with our creditors with claims subject to Safeguard protection in 2009. Provisions of the agreements allowed, at each creditor’s option, for the payment of a portion of the obligation in January 2010, or the entire obligation over a 10-year period. Amounts due as of December 31, 2012 from those creditors opting to be paid over a 10-year period totaled $3,289 and are included in Current Maturities of Long-Term Obligations ($183) and Long-Term Obligations ($3,106).</w:t>
      </w:r>
    </w:p>
    <w:p>
      <w:pPr>
        <w:spacing w:after="0" w:line="18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b w:val="1"/>
          <w:bCs w:val="1"/>
          <w:i w:val="1"/>
          <w:iCs w:val="1"/>
          <w:color w:val="auto"/>
        </w:rPr>
        <w:t xml:space="preserve">Dividends Paid – </w:t>
      </w:r>
      <w:r>
        <w:rPr>
          <w:rFonts w:ascii="Arial" w:cs="Arial" w:eastAsia="Arial" w:hAnsi="Arial"/>
          <w:sz w:val="16"/>
          <w:szCs w:val="16"/>
          <w:color w:val="auto"/>
        </w:rPr>
        <w:t>On January 3, 2011, our Board of Directors declared a $16,184 cash dividend and a dividend in-kind through the distribution of an $8,460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 receivable due from Autocam Medical Devices, LLC (“AMD”), an affiliate of ours through common ownership. The portions of these amounts granted to the Manager Shareholders, and therefore recorded as stock-based compensation expense in our Consolidated Statement of Operations, were $1,184 and $353, respectively. The cash payments and note receivable distributions occurred on January 4, 2011. The cash payment was funded with cash on hand, proceeds from the issuance of a term note to our bank, and proceeds from the early repayment of $3,540 of the note receivable from AMD.</w:t>
      </w:r>
    </w:p>
    <w:p>
      <w:pPr>
        <w:spacing w:after="0" w:line="1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January 24, 2012, our Board of Directors declared a $4,928 cash dividend, which was distributed on January 30, 2012. The portion of this amount granted to the Manager Shareholders, and therefore recorded as Stock-based Compensation Expense in our Consolidated Statement of Operations, was $303. On May 1, 2012, our Board of Directors declared a cash dividend of not more than $12,000 to be distributed in one or more installments as determined by our majority shareholder between July 1, 2012 and January 31, 2013. On August 10, 2012, a $3,998 cash dividend was distributed, and no further distributions are contemplated pursuant to the May 1 Board of Directors resolution. The portion of this amount granted to the Manager Shareholders, and therefore recorded as stock-based compensation expense in our Consolidated Statement of Operations, was $246. All 2012 cash payments were funded with cash on hand, revolving line of credit borrowings and proceeds from the issuance of a term note to our bank.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components of Inventories as of December 31: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10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$ 8,761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$10,464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Production supplies</w:t>
            </w:r>
          </w:p>
        </w:tc>
        <w:tc>
          <w:tcPr>
            <w:tcW w:w="1460" w:type="dxa"/>
            <w:vAlign w:val="bottom"/>
            <w:gridSpan w:val="4"/>
          </w:tcPr>
          <w:p>
            <w:pPr>
              <w:jc w:val="right"/>
              <w:ind w:right="20"/>
              <w:spacing w:after="0"/>
              <w:rPr>
                <w:sz w:val="20"/>
                <w:szCs w:val="20"/>
                <w:color w:val="auto"/>
              </w:rPr>
            </w:pPr>
            <w:r>
              <w:rPr>
                <w:rFonts w:ascii="Arial" w:cs="Arial" w:eastAsia="Arial" w:hAnsi="Arial"/>
                <w:sz w:val="18"/>
                <w:szCs w:val="18"/>
                <w:color w:val="auto"/>
              </w:rPr>
              <w:t>3,495</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4,538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Work in-process</w:t>
            </w:r>
          </w:p>
        </w:tc>
        <w:tc>
          <w:tcPr>
            <w:tcW w:w="1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5,823</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Finished goods</w:t>
            </w:r>
          </w:p>
        </w:tc>
        <w:tc>
          <w:tcPr>
            <w:tcW w:w="860" w:type="dxa"/>
            <w:vAlign w:val="bottom"/>
            <w:gridSpan w:val="2"/>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1,972</w:t>
            </w:r>
          </w:p>
        </w:tc>
        <w:tc>
          <w:tcPr>
            <w:tcW w:w="420" w:type="dxa"/>
            <w:vAlign w:val="bottom"/>
            <w:gridSpan w:val="2"/>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20,051</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Property, Plant and Equipment</w:t>
            </w: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80" w:type="dxa"/>
            <w:vAlign w:val="bottom"/>
            <w:gridSpan w:val="2"/>
          </w:tcPr>
          <w:p>
            <w:pPr>
              <w:spacing w:after="0"/>
              <w:rPr>
                <w:sz w:val="20"/>
                <w:szCs w:val="20"/>
                <w:color w:val="auto"/>
              </w:rPr>
            </w:pPr>
            <w:r>
              <w:rPr>
                <w:rFonts w:ascii="Arial" w:cs="Arial" w:eastAsia="Arial" w:hAnsi="Arial"/>
                <w:sz w:val="18"/>
                <w:szCs w:val="18"/>
                <w:color w:val="auto"/>
                <w:w w:val="98"/>
              </w:rPr>
              <w:t>Set forth below are the components of Property, Plant and Equipment, Net as of December 31:</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3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4"/>
                <w:szCs w:val="24"/>
                <w:color w:val="auto"/>
              </w:rPr>
            </w:pPr>
          </w:p>
        </w:tc>
        <w:tc>
          <w:tcPr>
            <w:tcW w:w="10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Buildings and land</w:t>
            </w:r>
          </w:p>
        </w:tc>
        <w:tc>
          <w:tcPr>
            <w:tcW w:w="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$ 17,257</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$ 20,227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122,355</w:t>
            </w: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147,712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80" w:type="dxa"/>
            <w:vAlign w:val="bottom"/>
            <w:gridSpan w:val="2"/>
          </w:tcPr>
          <w:p>
            <w:pPr>
              <w:ind w:left="1380"/>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144,513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173,301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4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(39,967)</w:t>
            </w: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(51,439)</w:t>
            </w:r>
          </w:p>
        </w:tc>
        <w:tc>
          <w:tcPr>
            <w:tcW w:w="0" w:type="dxa"/>
            <w:vAlign w:val="bottom"/>
          </w:tcPr>
          <w:p>
            <w:pPr>
              <w:spacing w:after="0"/>
              <w:rPr>
                <w:sz w:val="1"/>
                <w:szCs w:val="1"/>
                <w:color w:val="auto"/>
              </w:rPr>
            </w:pPr>
          </w:p>
        </w:tc>
      </w:tr>
      <w:tr>
        <w:trPr>
          <w:trHeight w:val="223"/>
        </w:trPr>
        <w:tc>
          <w:tcPr>
            <w:tcW w:w="7480" w:type="dxa"/>
            <w:vAlign w:val="bottom"/>
            <w:gridSpan w:val="2"/>
          </w:tcPr>
          <w:p>
            <w:pPr>
              <w:ind w:left="1380"/>
              <w:spacing w:after="0"/>
              <w:rPr>
                <w:sz w:val="20"/>
                <w:szCs w:val="20"/>
                <w:color w:val="auto"/>
              </w:rPr>
            </w:pPr>
            <w:r>
              <w:rPr>
                <w:rFonts w:ascii="Arial" w:cs="Arial" w:eastAsia="Arial" w:hAnsi="Arial"/>
                <w:sz w:val="18"/>
                <w:szCs w:val="18"/>
                <w:color w:val="auto"/>
              </w:rPr>
              <w:t>Total property, plant and equipment, net</w:t>
            </w: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104,546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121,862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ind w:left="5620"/>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Long-Term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are the components of Long-Term Obligations as of December 31 (percentages represent interest rates as of December 31, 2012):</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Senior credit facilities: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Term notes with bank:</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9"/>
              </w:rPr>
              <w:t>June 2010—</w:t>
            </w:r>
            <w:r>
              <w:rPr>
                <w:rFonts w:ascii="Arial" w:cs="Arial" w:eastAsia="Arial" w:hAnsi="Arial"/>
                <w:sz w:val="18"/>
                <w:szCs w:val="18"/>
                <w:i w:val="1"/>
                <w:iCs w:val="1"/>
                <w:color w:val="auto"/>
                <w:w w:val="99"/>
              </w:rPr>
              <w:t>Interest payable monthly at a variable rate based on LIBOR</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shd w:val="clear" w:color="auto" w:fill="CCEEFF"/>
          </w:tcPr>
          <w:p>
            <w:pPr>
              <w:ind w:left="880"/>
              <w:spacing w:after="0"/>
              <w:rPr>
                <w:sz w:val="20"/>
                <w:szCs w:val="20"/>
                <w:color w:val="auto"/>
              </w:rPr>
            </w:pPr>
            <w:r>
              <w:rPr>
                <w:rFonts w:ascii="Arial" w:cs="Arial" w:eastAsia="Arial" w:hAnsi="Arial"/>
                <w:sz w:val="18"/>
                <w:szCs w:val="18"/>
                <w:i w:val="1"/>
                <w:iCs w:val="1"/>
                <w:color w:val="auto"/>
                <w:w w:val="97"/>
              </w:rPr>
              <w:t>plus 2% (2.209% per annum); principal due monthly through June 2015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w:t>
            </w:r>
          </w:p>
        </w:tc>
        <w:tc>
          <w:tcPr>
            <w:tcW w:w="3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Pr>
          <w:p>
            <w:pPr>
              <w:ind w:left="700"/>
              <w:spacing w:after="0" w:line="201" w:lineRule="exact"/>
              <w:rPr>
                <w:sz w:val="20"/>
                <w:szCs w:val="20"/>
                <w:color w:val="auto"/>
              </w:rPr>
            </w:pPr>
            <w:r>
              <w:rPr>
                <w:rFonts w:ascii="Arial" w:cs="Arial" w:eastAsia="Arial" w:hAnsi="Arial"/>
                <w:sz w:val="18"/>
                <w:szCs w:val="18"/>
                <w:color w:val="auto"/>
                <w:w w:val="95"/>
              </w:rPr>
              <w:t>January 2011—</w:t>
            </w:r>
            <w:r>
              <w:rPr>
                <w:rFonts w:ascii="Arial" w:cs="Arial" w:eastAsia="Arial" w:hAnsi="Arial"/>
                <w:sz w:val="18"/>
                <w:szCs w:val="18"/>
                <w:i w:val="1"/>
                <w:iCs w:val="1"/>
                <w:color w:val="auto"/>
                <w:w w:val="95"/>
              </w:rPr>
              <w:t>Interest payable monthly at a variable rate based on LIBOR</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880"/>
              <w:spacing w:after="0"/>
              <w:rPr>
                <w:sz w:val="20"/>
                <w:szCs w:val="20"/>
                <w:color w:val="auto"/>
              </w:rPr>
            </w:pPr>
            <w:r>
              <w:rPr>
                <w:rFonts w:ascii="Arial" w:cs="Arial" w:eastAsia="Arial" w:hAnsi="Arial"/>
                <w:sz w:val="18"/>
                <w:szCs w:val="18"/>
                <w:i w:val="1"/>
                <w:iCs w:val="1"/>
                <w:color w:val="auto"/>
                <w:w w:val="97"/>
              </w:rPr>
              <w:t>plus 2% (2.209% per annum); principal due monthly through December</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ind w:left="900"/>
              <w:spacing w:after="0"/>
              <w:rPr>
                <w:sz w:val="20"/>
                <w:szCs w:val="20"/>
                <w:color w:val="auto"/>
              </w:rPr>
            </w:pPr>
            <w:r>
              <w:rPr>
                <w:rFonts w:ascii="Arial" w:cs="Arial" w:eastAsia="Arial" w:hAnsi="Arial"/>
                <w:sz w:val="18"/>
                <w:szCs w:val="18"/>
                <w:i w:val="1"/>
                <w:iCs w:val="1"/>
                <w:color w:val="auto"/>
              </w:rPr>
              <w:t>2015</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2,858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August 2012—</w:t>
            </w:r>
            <w:r>
              <w:rPr>
                <w:rFonts w:ascii="Arial" w:cs="Arial" w:eastAsia="Arial" w:hAnsi="Arial"/>
                <w:sz w:val="18"/>
                <w:szCs w:val="18"/>
                <w:i w:val="1"/>
                <w:iCs w:val="1"/>
                <w:color w:val="auto"/>
              </w:rPr>
              <w:t>Interest payable monthly at a variable rate based on the</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880"/>
              <w:spacing w:after="0"/>
              <w:rPr>
                <w:sz w:val="20"/>
                <w:szCs w:val="20"/>
                <w:color w:val="auto"/>
              </w:rPr>
            </w:pPr>
            <w:r>
              <w:rPr>
                <w:rFonts w:ascii="Arial" w:cs="Arial" w:eastAsia="Arial" w:hAnsi="Arial"/>
                <w:sz w:val="18"/>
                <w:szCs w:val="18"/>
                <w:i w:val="1"/>
                <w:iCs w:val="1"/>
                <w:color w:val="auto"/>
                <w:w w:val="96"/>
              </w:rPr>
              <w:t>bank’s prime rate minus 0.75% (2.5% per annum); principal due monthly</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shd w:val="clear" w:color="auto" w:fill="CCEEFF"/>
          </w:tcPr>
          <w:p>
            <w:pPr>
              <w:ind w:left="880"/>
              <w:spacing w:after="0"/>
              <w:rPr>
                <w:sz w:val="20"/>
                <w:szCs w:val="20"/>
                <w:color w:val="auto"/>
              </w:rPr>
            </w:pPr>
            <w:r>
              <w:rPr>
                <w:rFonts w:ascii="Arial" w:cs="Arial" w:eastAsia="Arial" w:hAnsi="Arial"/>
                <w:sz w:val="18"/>
                <w:szCs w:val="18"/>
                <w:i w:val="1"/>
                <w:iCs w:val="1"/>
                <w:color w:val="auto"/>
              </w:rPr>
              <w:t>through June 2015</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Pr>
          <w:p>
            <w:pPr>
              <w:ind w:left="340"/>
              <w:spacing w:after="0" w:line="201" w:lineRule="exact"/>
              <w:rPr>
                <w:sz w:val="20"/>
                <w:szCs w:val="20"/>
                <w:color w:val="auto"/>
              </w:rPr>
            </w:pPr>
            <w:r>
              <w:rPr>
                <w:rFonts w:ascii="Arial" w:cs="Arial" w:eastAsia="Arial" w:hAnsi="Arial"/>
                <w:sz w:val="18"/>
                <w:szCs w:val="18"/>
                <w:color w:val="auto"/>
                <w:w w:val="96"/>
              </w:rPr>
              <w:t>Revolving line of credit with bank—</w:t>
            </w:r>
            <w:r>
              <w:rPr>
                <w:rFonts w:ascii="Arial" w:cs="Arial" w:eastAsia="Arial" w:hAnsi="Arial"/>
                <w:sz w:val="18"/>
                <w:szCs w:val="18"/>
                <w:i w:val="1"/>
                <w:iCs w:val="1"/>
                <w:color w:val="auto"/>
                <w:w w:val="96"/>
              </w:rPr>
              <w:t>Principal due August 2014; Interest payable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520"/>
              <w:spacing w:after="0"/>
              <w:rPr>
                <w:sz w:val="20"/>
                <w:szCs w:val="20"/>
                <w:color w:val="auto"/>
              </w:rPr>
            </w:pPr>
            <w:r>
              <w:rPr>
                <w:rFonts w:ascii="Arial" w:cs="Arial" w:eastAsia="Arial" w:hAnsi="Arial"/>
                <w:sz w:val="18"/>
                <w:szCs w:val="18"/>
                <w:i w:val="1"/>
                <w:iCs w:val="1"/>
                <w:color w:val="auto"/>
                <w:w w:val="95"/>
              </w:rPr>
              <w:t>monthly at a variable rate based on the bank’s prime rate minus 0.75% (2.5%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ind w:left="520"/>
              <w:spacing w:after="0"/>
              <w:rPr>
                <w:sz w:val="20"/>
                <w:szCs w:val="20"/>
                <w:color w:val="auto"/>
              </w:rPr>
            </w:pPr>
            <w:r>
              <w:rPr>
                <w:rFonts w:ascii="Arial" w:cs="Arial" w:eastAsia="Arial" w:hAnsi="Arial"/>
                <w:sz w:val="18"/>
                <w:szCs w:val="18"/>
                <w:i w:val="1"/>
                <w:iCs w:val="1"/>
                <w:color w:val="auto"/>
              </w:rPr>
              <w:t>per annum)</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Equipment term notes with bank:</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Pr>
          <w:p>
            <w:pPr>
              <w:ind w:left="340"/>
              <w:spacing w:after="0" w:line="201" w:lineRule="exact"/>
              <w:rPr>
                <w:sz w:val="20"/>
                <w:szCs w:val="20"/>
                <w:color w:val="auto"/>
              </w:rPr>
            </w:pPr>
            <w:r>
              <w:rPr>
                <w:rFonts w:ascii="Arial" w:cs="Arial" w:eastAsia="Arial" w:hAnsi="Arial"/>
                <w:sz w:val="18"/>
                <w:szCs w:val="18"/>
                <w:color w:val="auto"/>
                <w:w w:val="99"/>
              </w:rPr>
              <w:t>July 2011—</w:t>
            </w:r>
            <w:r>
              <w:rPr>
                <w:rFonts w:ascii="Arial" w:cs="Arial" w:eastAsia="Arial" w:hAnsi="Arial"/>
                <w:sz w:val="18"/>
                <w:szCs w:val="18"/>
                <w:i w:val="1"/>
                <w:iCs w:val="1"/>
                <w:color w:val="auto"/>
                <w:w w:val="99"/>
              </w:rPr>
              <w:t>Interest payable monthly at LIBOR plus 2% (2.209% per annum);</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ind w:left="520"/>
              <w:spacing w:after="0"/>
              <w:rPr>
                <w:sz w:val="20"/>
                <w:szCs w:val="20"/>
                <w:color w:val="auto"/>
              </w:rPr>
            </w:pPr>
            <w:r>
              <w:rPr>
                <w:rFonts w:ascii="Arial" w:cs="Arial" w:eastAsia="Arial" w:hAnsi="Arial"/>
                <w:sz w:val="18"/>
                <w:szCs w:val="18"/>
                <w:i w:val="1"/>
                <w:iCs w:val="1"/>
                <w:color w:val="auto"/>
              </w:rPr>
              <w:t>principal due monthly through July 2016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1,341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February 2012—</w:t>
            </w:r>
            <w:r>
              <w:rPr>
                <w:rFonts w:ascii="Arial" w:cs="Arial" w:eastAsia="Arial" w:hAnsi="Arial"/>
                <w:sz w:val="18"/>
                <w:szCs w:val="18"/>
                <w:i w:val="1"/>
                <w:iCs w:val="1"/>
                <w:color w:val="auto"/>
              </w:rPr>
              <w:t>Interest payable monthly at LIBOR plus 2.1% (2.309% per</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shd w:val="clear" w:color="auto" w:fill="CCEEFF"/>
          </w:tcPr>
          <w:p>
            <w:pPr>
              <w:ind w:left="520"/>
              <w:spacing w:after="0"/>
              <w:rPr>
                <w:sz w:val="20"/>
                <w:szCs w:val="20"/>
                <w:color w:val="auto"/>
              </w:rPr>
            </w:pPr>
            <w:r>
              <w:rPr>
                <w:rFonts w:ascii="Arial" w:cs="Arial" w:eastAsia="Arial" w:hAnsi="Arial"/>
                <w:sz w:val="18"/>
                <w:szCs w:val="18"/>
                <w:i w:val="1"/>
                <w:iCs w:val="1"/>
                <w:color w:val="auto"/>
              </w:rPr>
              <w:t>annum); principal due monthly through February 2017</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Pr>
          <w:p>
            <w:pPr>
              <w:spacing w:after="0" w:line="201" w:lineRule="exact"/>
              <w:rPr>
                <w:sz w:val="20"/>
                <w:szCs w:val="20"/>
                <w:color w:val="auto"/>
              </w:rPr>
            </w:pPr>
            <w:r>
              <w:rPr>
                <w:rFonts w:ascii="Arial" w:cs="Arial" w:eastAsia="Arial" w:hAnsi="Arial"/>
                <w:sz w:val="18"/>
                <w:szCs w:val="18"/>
                <w:color w:val="auto"/>
              </w:rPr>
              <w:t>Capital leases obligations—</w:t>
            </w:r>
            <w:r>
              <w:rPr>
                <w:rFonts w:ascii="Arial" w:cs="Arial" w:eastAsia="Arial" w:hAnsi="Arial"/>
                <w:sz w:val="18"/>
                <w:szCs w:val="18"/>
                <w:i w:val="1"/>
                <w:iCs w:val="1"/>
                <w:color w:val="auto"/>
              </w:rPr>
              <w:t>Payable in monthly installments, including interest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ind w:left="160"/>
              <w:spacing w:after="0"/>
              <w:rPr>
                <w:sz w:val="20"/>
                <w:szCs w:val="20"/>
                <w:color w:val="auto"/>
              </w:rPr>
            </w:pPr>
            <w:r>
              <w:rPr>
                <w:rFonts w:ascii="Arial" w:cs="Arial" w:eastAsia="Arial" w:hAnsi="Arial"/>
                <w:sz w:val="18"/>
                <w:szCs w:val="18"/>
                <w:i w:val="1"/>
                <w:iCs w:val="1"/>
                <w:color w:val="auto"/>
              </w:rPr>
              <w:t>imputed at rates ranging from 1.7% to 19.26%; due through November 2018</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5,724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12,879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French Safeguard obligations (Note 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10,510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obligations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24,387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50,294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Current portion</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(8,554)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15,833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36,025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Based on the borrowing rates currently available to us for bank loans with similar terms and average maturities, the fair value of long-term debt approximated its carrying value as of December 31, 2011 and December 31, 2012.</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senior credit facilities include the above referenced term notes and a revolving credit commitment of $18,000 from a bank. Borrowing availability under this commitment based on the borrowing base calculation, as defined in the credit agreement, was $8,701 as of December 31, 2012 with the maximum availability being reduced by $300 representing the amount of an outstanding letter of credit associated with our self-funded workers’ compensation program. We were in violation of the domestic leverage and fixed charge ratios. On March 8, 2013, such violations were waived in connection with the execution of the eighth amendment to our senior credit facilities agreement (the “Amended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Significant terms of the Amended Agreement are as follows: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Financial and Restrictive Covenants </w:t>
      </w:r>
      <w:r>
        <w:rPr>
          <w:rFonts w:ascii="Arial" w:cs="Arial" w:eastAsia="Arial" w:hAnsi="Arial"/>
          <w:sz w:val="18"/>
          <w:szCs w:val="18"/>
          <w:color w:val="auto"/>
        </w:rPr>
        <w:t>– The Amended Agreement requires us to maintain the following, measured on a trailing-twelve-month basis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reporting requirement:</w:t>
      </w:r>
    </w:p>
    <w:p>
      <w:pPr>
        <w:spacing w:after="0" w:line="76" w:lineRule="exact"/>
        <w:rPr>
          <w:sz w:val="20"/>
          <w:szCs w:val="20"/>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Maximum consolidated leverage ratios for our domestic and global operations; and</w:t>
      </w:r>
    </w:p>
    <w:p>
      <w:pPr>
        <w:spacing w:after="0" w:line="130" w:lineRule="exact"/>
        <w:rPr>
          <w:rFonts w:ascii="Arial" w:cs="Arial" w:eastAsia="Arial" w:hAnsi="Arial"/>
          <w:sz w:val="18"/>
          <w:szCs w:val="18"/>
          <w:color w:val="auto"/>
        </w:rPr>
      </w:pPr>
    </w:p>
    <w:p>
      <w:pPr>
        <w:ind w:left="5620" w:right="5220" w:hanging="5504"/>
        <w:spacing w:after="0" w:line="536" w:lineRule="auto"/>
        <w:tabs>
          <w:tab w:leader="none" w:pos="4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Minimum global earnings, before interest, taxes, depreciation and amortization. 13</w:t>
      </w:r>
    </w:p>
    <w:p>
      <w:pPr>
        <w:sectPr>
          <w:pgSz w:w="11900" w:h="16838" w:orient="portrait"/>
          <w:cols w:equalWidth="0" w:num="1">
            <w:col w:w="11400"/>
          </w:cols>
          <w:pgMar w:left="240" w:top="270" w:right="259" w:bottom="1440" w:gutter="0" w:footer="0" w:header="0"/>
        </w:sectPr>
      </w:pPr>
    </w:p>
    <w:bookmarkStart w:id="37" w:name="page38"/>
    <w:bookmarkEnd w:id="37"/>
    <w:p>
      <w:pPr>
        <w:ind w:right="28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Collateral </w:t>
      </w:r>
      <w:r>
        <w:rPr>
          <w:rFonts w:ascii="Arial" w:cs="Arial" w:eastAsia="Arial" w:hAnsi="Arial"/>
          <w:sz w:val="18"/>
          <w:szCs w:val="18"/>
          <w:color w:val="auto"/>
        </w:rPr>
        <w:t>– The repayment of borrowings under the Amended Agreement are secured by substantially all North American machinery and equipment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stock of certain of our domestic subsidiaries.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Subordinated Promissory Note </w:t>
      </w:r>
      <w:r>
        <w:rPr>
          <w:rFonts w:ascii="Arial" w:cs="Arial" w:eastAsia="Arial" w:hAnsi="Arial"/>
          <w:sz w:val="18"/>
          <w:szCs w:val="18"/>
          <w:color w:val="auto"/>
        </w:rPr>
        <w:t>– In connection with the execution of the Amended Agreement, we issued a $5,000 promissory note payable to AMD, which</w:t>
      </w:r>
      <w:r>
        <w:rPr>
          <w:rFonts w:ascii="Arial" w:cs="Arial" w:eastAsia="Arial" w:hAnsi="Arial"/>
          <w:sz w:val="18"/>
          <w:szCs w:val="18"/>
          <w:i w:val="1"/>
          <w:iCs w:val="1"/>
          <w:color w:val="auto"/>
        </w:rPr>
        <w:t xml:space="preserve"> </w:t>
      </w:r>
      <w:r>
        <w:rPr>
          <w:rFonts w:ascii="Arial" w:cs="Arial" w:eastAsia="Arial" w:hAnsi="Arial"/>
          <w:sz w:val="18"/>
          <w:szCs w:val="18"/>
          <w:color w:val="auto"/>
        </w:rPr>
        <w:t>is subordinate in priority to borrowings under the Amended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annual aggregate maturities of our long-term obligations at December 31, 2012:</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3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39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2014</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18,827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2016</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4,984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Thereafter</w:t>
            </w:r>
          </w:p>
        </w:tc>
        <w:tc>
          <w:tcPr>
            <w:tcW w:w="3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lease certain buildings and equipment under capital leases. The cost of assets purchased subject to capital leases was $4,373 in 2011 and $10,065 in 2012. The cost of the assets subject to capital lease obligations as reflected in Net Property, Plant and Equipment in our Consolidated Balance Sheet was $12,443 as of December 31, 2011 and $22,646 as of December 31, 2012. The accumulated amortization of such assets as reflected in Net Property, Plant and Equipment in our Consolidated Balance Sheet was $2,657 as of December 31, 2011 and $3,847 as of December 31, 2012.</w:t>
      </w:r>
    </w:p>
    <w:p>
      <w:pPr>
        <w:spacing w:after="0" w:line="15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We lease buildings and equipment under non-cancelable operating leases, which generally contain renewal and purchase options at fair market value at the end of the lease terms. Set forth below are minimum future lease payments under all capital and operating leases as of December 31, 2012: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Ending December 31,</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10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4"/>
              </w:rPr>
              <w:t>Leases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2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2014</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3,379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2016</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2,115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Thereafter</w:t>
            </w:r>
          </w:p>
        </w:tc>
        <w:tc>
          <w:tcPr>
            <w:tcW w:w="2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14,037</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Less imputed interest</w:t>
            </w: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4"/>
              </w:rPr>
              <w:t>(1,158)</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2"/>
            <w:vMerge w:val="continue"/>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12,879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Rent expense under operating leases was $2,705 in 2011 and $2,131 in 2012. Expense reported in 2011 includes $87 in building lease payments made to a company owned by our majority shareholder. Expense reported in 2012 includes $131 in building lease payments made to a company owned by our majority shareholder.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 Income Taxes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Set forth below is our Income Before Taxes as disclosed in our Consolidated Statements of Operations and Comprehensive Income separated between those generated by our U.S. operations and those generated by our foreign operations: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Foreign</w:t>
            </w:r>
          </w:p>
        </w:tc>
        <w:tc>
          <w:tcPr>
            <w:tcW w:w="2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7,467</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Set forth below is our Taxes Expense as disclosed in our Consolidated Statements of Operations and Comprehensive Income separated by current and deferred taxes generated within the United States and within our foreign operations: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Year Ended December 31,</w:t>
            </w:r>
          </w:p>
        </w:tc>
      </w:tr>
      <w:tr>
        <w:trPr>
          <w:trHeight w:val="142"/>
        </w:trPr>
        <w:tc>
          <w:tcPr>
            <w:tcW w:w="20" w:type="dxa"/>
            <w:vAlign w:val="bottom"/>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($1,366)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w:t>
            </w: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26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3,735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8"/>
                <w:szCs w:val="18"/>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2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taxes</w:t>
            </w:r>
          </w:p>
        </w:tc>
        <w:tc>
          <w:tcPr>
            <w:tcW w:w="2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have not provided for federal income tax on the remaining undistributed earnings of foreign subsidiaries, except for specific amounts related to our Chinese joint venture and Brazilian subsidiary where provision has been made for book versus tax basis differences with respect to certain distributable earnings. Other than the specific foreign earnings mentioned, recording of deferred income taxes on these undistributed foreign earnings is not required because they are expected to be permanently invested in the foreign subsidiaries. It is not practicable to estimate the amount of additional taxes in the event that foreign subsidiaries’ earnings are distributed.</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gross unrecognized tax liabilities were reduced by $322 during 2011 and increased by $199 in 2012, the majority of which relates to the impacts of foreign currency translation and the reversal of $496 of unrecognized tax benefits in the U.S as of December 31, 2011. With few exceptions, we are no longer subject to U.S. federal, state and local, or non-U.S. income tax examinations by tax authorities for years before 2009. We recognize interest and penalties accrued related to unrecognized tax benefits in Taxes Expense. We had no amounts accrued for the payment of interest and penalties as of December 31, 2011 or 2012.</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0" w:right="279" w:bottom="1440" w:gutter="0" w:footer="0" w:header="0"/>
        </w:sectPr>
      </w:pPr>
    </w:p>
    <w:bookmarkStart w:id="39" w:name="page40"/>
    <w:bookmarkEnd w:id="39"/>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 forth below are reconciliations of the differences between Taxes Expense as disclosed in our Statements of Operations and Comprehensive Income and income tax expense computed at the U.S. Federal statutory tax rate:</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Tax provision at United States Federal statutory rate</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Effect of:</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operations, net of related tax credits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Refundable tax credits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Foreign dividends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allowances and asset bases reductions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Tax provision as reported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Deferred income tax assets and liabilities as of December 31, 2011 and December 31, 2012 reflect the effect of temporary differences between amounts of assets, liabilities and equity for financial reporting purposes and the bases of such assets, liabilities, and equity as measured by tax laws, as well as tax loss and tax credit carryforwards.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temporary differences that gave rise to deferred tax assets and liabilities as of December 31: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20" w:type="dxa"/>
            <w:vAlign w:val="bottom"/>
            <w:gridSpan w:val="8"/>
          </w:tcPr>
          <w:p>
            <w:pPr>
              <w:jc w:val="center"/>
              <w:spacing w:after="0" w:line="119" w:lineRule="exact"/>
              <w:rPr>
                <w:sz w:val="20"/>
                <w:szCs w:val="20"/>
                <w:color w:val="auto"/>
              </w:rPr>
            </w:pPr>
            <w:r>
              <w:rPr>
                <w:rFonts w:ascii="Arial" w:cs="Arial" w:eastAsia="Arial" w:hAnsi="Arial"/>
                <w:sz w:val="13"/>
                <w:szCs w:val="13"/>
                <w:b w:val="1"/>
                <w:bCs w:val="1"/>
                <w:color w:val="auto"/>
              </w:rPr>
              <w:t>Deferred Tax</w:t>
            </w:r>
          </w:p>
        </w:tc>
        <w:tc>
          <w:tcPr>
            <w:tcW w:w="420" w:type="dxa"/>
            <w:vAlign w:val="bottom"/>
          </w:tcPr>
          <w:p>
            <w:pPr>
              <w:spacing w:after="0"/>
              <w:rPr>
                <w:sz w:val="10"/>
                <w:szCs w:val="10"/>
                <w:color w:val="auto"/>
              </w:rPr>
            </w:pPr>
          </w:p>
        </w:tc>
        <w:tc>
          <w:tcPr>
            <w:tcW w:w="1580" w:type="dxa"/>
            <w:vAlign w:val="bottom"/>
            <w:gridSpan w:val="7"/>
          </w:tcPr>
          <w:p>
            <w:pPr>
              <w:jc w:val="center"/>
              <w:spacing w:after="0" w:line="119" w:lineRule="exact"/>
              <w:rPr>
                <w:sz w:val="20"/>
                <w:szCs w:val="20"/>
                <w:color w:val="auto"/>
              </w:rPr>
            </w:pPr>
            <w:r>
              <w:rPr>
                <w:rFonts w:ascii="Arial" w:cs="Arial" w:eastAsia="Arial" w:hAnsi="Arial"/>
                <w:sz w:val="13"/>
                <w:szCs w:val="13"/>
                <w:b w:val="1"/>
                <w:bCs w:val="1"/>
                <w:color w:val="auto"/>
              </w:rPr>
              <w:t>Deferred Tax</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Liabilities</w:t>
            </w:r>
          </w:p>
        </w:tc>
        <w:tc>
          <w:tcPr>
            <w:tcW w:w="9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5"/>
              </w:rPr>
              <w:t>Assets</w:t>
            </w:r>
          </w:p>
        </w:tc>
        <w:tc>
          <w:tcPr>
            <w:tcW w:w="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$ 2,266</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$ 3,215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Foreign tax and other credits</w:t>
            </w:r>
          </w:p>
        </w:tc>
        <w:tc>
          <w:tcPr>
            <w:tcW w:w="2400" w:type="dxa"/>
            <w:vAlign w:val="bottom"/>
            <w:gridSpan w:val="3"/>
          </w:tcPr>
          <w:p>
            <w:pPr>
              <w:jc w:val="right"/>
              <w:ind w:right="60"/>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2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Depreciation and other</w:t>
            </w:r>
          </w:p>
        </w:tc>
        <w:tc>
          <w:tcPr>
            <w:tcW w:w="1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w w:val="87"/>
              </w:rPr>
              <w:t>31,421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34,892</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w:t>
            </w:r>
          </w:p>
        </w:tc>
        <w:tc>
          <w:tcPr>
            <w:tcW w:w="1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7"/>
              </w:rPr>
              <w:t>31,696</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35,171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Less valuation allowance</w:t>
            </w:r>
          </w:p>
        </w:tc>
        <w:tc>
          <w:tcPr>
            <w:tcW w:w="17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taxes</w:t>
            </w:r>
          </w:p>
        </w:tc>
        <w:tc>
          <w:tcPr>
            <w:tcW w:w="1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12,360</w:t>
            </w:r>
          </w:p>
        </w:tc>
        <w:tc>
          <w:tcPr>
            <w:tcW w:w="1380" w:type="dxa"/>
            <w:vAlign w:val="bottom"/>
            <w:tcBorders>
              <w:right w:val="single" w:sz="8" w:color="CCEEFF"/>
            </w:tcBorders>
            <w:gridSpan w:val="7"/>
            <w:shd w:val="clear" w:color="auto" w:fill="CCEEFF"/>
          </w:tcPr>
          <w:p>
            <w:pPr>
              <w:jc w:val="right"/>
              <w:ind w:right="420"/>
              <w:spacing w:after="0"/>
              <w:rPr>
                <w:sz w:val="20"/>
                <w:szCs w:val="20"/>
                <w:color w:val="auto"/>
              </w:rPr>
            </w:pPr>
            <w:r>
              <w:rPr>
                <w:rFonts w:ascii="Arial" w:cs="Arial" w:eastAsia="Arial" w:hAnsi="Arial"/>
                <w:sz w:val="18"/>
                <w:szCs w:val="18"/>
                <w:color w:val="auto"/>
              </w:rPr>
              <w:t>$ 31,696</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14,776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35,171</w:t>
            </w: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60" w:type="dxa"/>
            <w:vAlign w:val="bottom"/>
            <w:gridSpan w:val="10"/>
          </w:tcPr>
          <w:p>
            <w:pPr>
              <w:spacing w:after="0"/>
              <w:rPr>
                <w:sz w:val="20"/>
                <w:szCs w:val="20"/>
                <w:color w:val="auto"/>
              </w:rPr>
            </w:pPr>
            <w:r>
              <w:rPr>
                <w:rFonts w:ascii="Arial" w:cs="Arial" w:eastAsia="Arial" w:hAnsi="Arial"/>
                <w:sz w:val="18"/>
                <w:szCs w:val="18"/>
                <w:color w:val="auto"/>
                <w:w w:val="90"/>
              </w:rPr>
              <w:t>Set forth below is the deferred tax detail above as reflected in our Consolidated Balance Sheets as of December 31:</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5"/>
          </w:tcPr>
          <w:p>
            <w:pPr>
              <w:ind w:left="32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jc w:val="right"/>
              <w:ind w:right="16"/>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deferred tax assets</w:t>
            </w:r>
          </w:p>
        </w:tc>
        <w:tc>
          <w:tcPr>
            <w:tcW w:w="1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($2,065)</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($2,735)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Long-term deferred tax assets</w:t>
            </w:r>
          </w:p>
        </w:tc>
        <w:tc>
          <w:tcPr>
            <w:tcW w:w="1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(113)</w:t>
            </w:r>
          </w:p>
        </w:tc>
        <w:tc>
          <w:tcPr>
            <w:tcW w:w="4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liabilities</w:t>
            </w:r>
          </w:p>
        </w:tc>
        <w:tc>
          <w:tcPr>
            <w:tcW w:w="1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21,514</w:t>
            </w:r>
          </w:p>
        </w:tc>
        <w:tc>
          <w:tcPr>
            <w:tcW w:w="1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23,228</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040" w:type="dxa"/>
            <w:vAlign w:val="bottom"/>
            <w:gridSpan w:val="2"/>
          </w:tcPr>
          <w:p>
            <w:pPr>
              <w:ind w:left="920"/>
              <w:spacing w:after="0"/>
              <w:rPr>
                <w:sz w:val="20"/>
                <w:szCs w:val="20"/>
                <w:color w:val="auto"/>
              </w:rPr>
            </w:pPr>
            <w:r>
              <w:rPr>
                <w:rFonts w:ascii="Arial" w:cs="Arial" w:eastAsia="Arial" w:hAnsi="Arial"/>
                <w:sz w:val="18"/>
                <w:szCs w:val="18"/>
                <w:color w:val="auto"/>
              </w:rPr>
              <w:t>Net deferred tax liabilities</w:t>
            </w:r>
          </w:p>
        </w:tc>
        <w:tc>
          <w:tcPr>
            <w:tcW w:w="1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$ 19,336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$ 20,395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had net foreign operating loss carryforwards available to offset future taxable income of $27,357 as of December 31, 2012, which have no expiration dates. In addition, we have U.S. net operating losses of $5,758 that are expected to be fully utilized in the 2009 and 2010 tax years. Any remaining U.S. net operating losses can be carried forward for up to twenty years.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274"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 Significant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sales to customers that exceeded 10% of consolidated sales: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35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2011</w:t>
            </w:r>
          </w:p>
        </w:tc>
        <w:tc>
          <w:tcPr>
            <w:tcW w:w="11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29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$28,377</w:t>
            </w:r>
          </w:p>
        </w:tc>
        <w:tc>
          <w:tcPr>
            <w:tcW w:w="5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$33,609</w:t>
            </w:r>
          </w:p>
        </w:tc>
        <w:tc>
          <w:tcPr>
            <w:tcW w:w="140" w:type="dxa"/>
            <w:vAlign w:val="bottom"/>
            <w:tcBorders>
              <w:top w:val="single" w:sz="8" w:color="CCEEFF"/>
            </w:tcBorders>
            <w:shd w:val="clear" w:color="auto" w:fill="CCEEFF"/>
          </w:tcPr>
          <w:p>
            <w:pPr>
              <w:spacing w:after="0"/>
              <w:rPr>
                <w:sz w:val="18"/>
                <w:szCs w:val="18"/>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Customer B</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20,370</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Less than 10% during this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provide certain supervisory and support services to AMD. Our Selling, General and Administrative expenses included income of $1,232 pertaining to such services in 2011 and $1,764 in 2012.</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From time to time, we produce and sell precision-machined components to AMD, and conversely, it produces and sells such components to us. During 2011, we sold $135 of such components to AMD, while during 2011 AMD sold $144 of such components to us. During 2012, we sold $4 of such components to AMD, while during 2012 AMD sold $40 of such components to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paid management fees and expense reimbursements of $243 in 2011 and $237 in 2012 to our Shareholders.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the lessee of a private aircraft under an operating lease agreement. We recorded sublease income from our majority shareholder for his personal use of the aircraft of $58 in 2011 and $68 in 2012.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maintain a self-funded medical and dental plan for the majority of our North American full-time employees. A third-party administrator makes benefit payments, and an estimate of our liability for unpaid and incurred but not reported claims is included in Other Accrued Liabilities. Certain employees of our other subsidiaries are enrolled in various insured group or governmental health plans.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sponsor a 401(k) savings plan (the “401k Plan”) for all qualified full-time employees resident in the U.S. The 401k Plan provides for an annual discretionary employer matching contribution that has historically been dollar-for-dollar up to two thousand dollars. Expense incurred in connection with the 401k Plan was $472 in 2011 and $553 in 2012.</w:t>
      </w:r>
    </w:p>
    <w:p>
      <w:pPr>
        <w:spacing w:after="0" w:line="18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sponsor a defined benefit pension plan for substantially all employees of Bouverat (the “Pension Plan”). These benefits are calculated based on each employee’s years of credited service and most recent monthly compensation and service category. Employees become vested in accordance with governmental regulations in place at the time of retirement.</w:t>
      </w:r>
    </w:p>
    <w:p>
      <w:pPr>
        <w:spacing w:after="0" w:line="18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For the purpose of calculating the actuarial present value of the benefit obligation under the Pension Plan, the discount rates assumed were 5.3% in 2011 and 3.3% in 2012. The compensation growth rate was assumed at 3% for all periods presented. The measurement date was December 31 of each year.</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0" w:right="29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 forth below is projected benefit obligation information for the Pension Plan:</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benefit obligation at measurement date</w:t>
            </w:r>
          </w:p>
        </w:tc>
        <w:tc>
          <w:tcPr>
            <w:tcW w:w="17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$541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Effect of salary increases</w:t>
            </w:r>
          </w:p>
        </w:tc>
        <w:tc>
          <w:tcPr>
            <w:tcW w:w="17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measurement date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Projected benefit obligation at beginning of year</w:t>
            </w:r>
          </w:p>
        </w:tc>
        <w:tc>
          <w:tcPr>
            <w:tcW w:w="1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9"/>
              </w:rPr>
              <w:t>$789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Service and interest costs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Actuarial gains (losses)</w:t>
            </w:r>
          </w:p>
        </w:tc>
        <w:tc>
          <w:tcPr>
            <w:tcW w:w="2340" w:type="dxa"/>
            <w:vAlign w:val="bottom"/>
            <w:gridSpan w:val="3"/>
          </w:tcPr>
          <w:p>
            <w:pPr>
              <w:jc w:val="right"/>
              <w:ind w:right="24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Effect of foreign currency translation gains and other</w:t>
            </w:r>
          </w:p>
        </w:tc>
        <w:tc>
          <w:tcPr>
            <w:tcW w:w="17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measurement date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net periodic benefit cost information for the Pension Plan:</w:t>
      </w:r>
    </w:p>
    <w:p>
      <w:pPr>
        <w:sectPr>
          <w:pgSz w:w="11900" w:h="16838" w:orient="portrait"/>
          <w:cols w:equalWidth="0" w:num="1">
            <w:col w:w="10660"/>
          </w:cols>
          <w:pgMar w:left="240" w:top="274" w:right="999" w:bottom="1440" w:gutter="0" w:footer="0" w:header="0"/>
        </w:sectPr>
      </w:pP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7380" w:type="dxa"/>
            <w:vAlign w:val="bottom"/>
            <w:vMerge w:val="restart"/>
          </w:tcPr>
          <w:p>
            <w:pPr>
              <w:spacing w:after="0"/>
              <w:rPr>
                <w:sz w:val="20"/>
                <w:szCs w:val="20"/>
                <w:color w:val="auto"/>
              </w:rPr>
            </w:pPr>
            <w:r>
              <w:rPr>
                <w:rFonts w:ascii="Arial" w:cs="Arial" w:eastAsia="Arial" w:hAnsi="Arial"/>
                <w:sz w:val="18"/>
                <w:szCs w:val="18"/>
                <w:color w:val="auto"/>
              </w:rPr>
              <w:t>Service and interest costs</w:t>
            </w: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3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5"/>
              </w:rPr>
              <w:t>$ 93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-599440</wp:posOffset>
            </wp:positionV>
            <wp:extent cx="550545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05450" cy="14605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-316865</wp:posOffset>
            </wp:positionV>
            <wp:extent cx="550545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We expect benefit payments under the Pension Plan to be $20 for 2015, $18 in 2016, $21 in 2017 and $427 from 2018-2022.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plan asset information for the Pension Plan:</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60" w:type="dxa"/>
            <w:vAlign w:val="bottom"/>
            <w:vMerge w:val="restart"/>
          </w:tcPr>
          <w:p>
            <w:pPr>
              <w:spacing w:after="0"/>
              <w:rPr>
                <w:sz w:val="20"/>
                <w:szCs w:val="20"/>
                <w:color w:val="auto"/>
              </w:rPr>
            </w:pPr>
            <w:r>
              <w:rPr>
                <w:rFonts w:ascii="Arial" w:cs="Arial" w:eastAsia="Arial" w:hAnsi="Arial"/>
                <w:sz w:val="18"/>
                <w:szCs w:val="18"/>
                <w:color w:val="auto"/>
              </w:rPr>
              <w:t>Plan assets at fair value at measurement date</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6"/>
              </w:rPr>
              <w:t>2011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7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95" w:lineRule="exact"/>
              <w:rPr>
                <w:sz w:val="20"/>
                <w:szCs w:val="20"/>
                <w:color w:val="auto"/>
              </w:rPr>
            </w:pPr>
            <w:r>
              <w:rPr>
                <w:rFonts w:ascii="Arial" w:cs="Arial" w:eastAsia="Arial" w:hAnsi="Arial"/>
                <w:sz w:val="18"/>
                <w:szCs w:val="18"/>
                <w:color w:val="auto"/>
              </w:rPr>
              <w:t>600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Projected benefit obligations at measurement date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Funded status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Plan assets at fair value at beginning of year</w:t>
            </w:r>
          </w:p>
        </w:tc>
        <w:tc>
          <w:tcPr>
            <w:tcW w:w="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Benefits paid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Effect of foreign currency translation gains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Plan assets at fair value at measurement date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-899795</wp:posOffset>
            </wp:positionV>
            <wp:extent cx="550545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-591185</wp:posOffset>
            </wp:positionV>
            <wp:extent cx="550545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-316865</wp:posOffset>
            </wp:positionV>
            <wp:extent cx="550545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-1200150</wp:posOffset>
            </wp:positionV>
            <wp:extent cx="550545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46"/>
        <w:spacing w:after="0"/>
        <w:rPr>
          <w:sz w:val="20"/>
          <w:szCs w:val="20"/>
          <w:color w:val="auto"/>
        </w:rPr>
      </w:pPr>
      <w:r>
        <w:rPr>
          <w:rFonts w:ascii="Arial" w:cs="Arial" w:eastAsia="Arial" w:hAnsi="Arial"/>
          <w:sz w:val="14"/>
          <w:szCs w:val="14"/>
          <w:b w:val="1"/>
          <w:bCs w:val="1"/>
          <w:u w:val="single" w:color="auto"/>
          <w:color w:val="auto"/>
        </w:rPr>
        <w:t>2012</w:t>
      </w:r>
    </w:p>
    <w:p>
      <w:pPr>
        <w:spacing w:after="0" w:line="25" w:lineRule="exact"/>
        <w:rPr>
          <w:sz w:val="20"/>
          <w:szCs w:val="20"/>
          <w:color w:val="auto"/>
        </w:rPr>
      </w:pPr>
    </w:p>
    <w:p>
      <w:pPr>
        <w:ind w:left="386" w:hanging="156"/>
        <w:spacing w:after="0"/>
        <w:tabs>
          <w:tab w:leader="none" w:pos="3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91</w:t>
      </w:r>
    </w:p>
    <w:p>
      <w:pPr>
        <w:spacing w:after="0" w:line="7" w:lineRule="exact"/>
        <w:rPr>
          <w:rFonts w:ascii="Arial" w:cs="Arial" w:eastAsia="Arial" w:hAnsi="Arial"/>
          <w:sz w:val="18"/>
          <w:szCs w:val="18"/>
          <w:color w:val="auto"/>
        </w:rPr>
      </w:pPr>
    </w:p>
    <w:p>
      <w:pPr>
        <w:ind w:left="326"/>
        <w:spacing w:after="0"/>
        <w:rPr>
          <w:rFonts w:ascii="Arial" w:cs="Arial" w:eastAsia="Arial" w:hAnsi="Arial"/>
          <w:sz w:val="18"/>
          <w:szCs w:val="18"/>
          <w:color w:val="auto"/>
        </w:rPr>
      </w:pPr>
      <w:r>
        <w:rPr>
          <w:rFonts w:ascii="Arial" w:cs="Arial" w:eastAsia="Arial" w:hAnsi="Arial"/>
          <w:sz w:val="16"/>
          <w:szCs w:val="16"/>
          <w:color w:val="auto"/>
        </w:rPr>
        <w:t>(23)</w:t>
      </w:r>
    </w:p>
    <w:p>
      <w:pPr>
        <w:spacing w:after="0" w:line="32" w:lineRule="exact"/>
        <w:rPr>
          <w:rFonts w:ascii="Arial" w:cs="Arial" w:eastAsia="Arial" w:hAnsi="Arial"/>
          <w:sz w:val="18"/>
          <w:szCs w:val="18"/>
          <w:color w:val="auto"/>
        </w:rPr>
      </w:pPr>
    </w:p>
    <w:p>
      <w:pPr>
        <w:ind w:left="486"/>
        <w:spacing w:after="0"/>
        <w:rPr>
          <w:rFonts w:ascii="Arial" w:cs="Arial" w:eastAsia="Arial" w:hAnsi="Arial"/>
          <w:sz w:val="18"/>
          <w:szCs w:val="18"/>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5715</wp:posOffset>
            </wp:positionV>
            <wp:extent cx="2146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2" w:lineRule="exact"/>
        <w:rPr>
          <w:sz w:val="20"/>
          <w:szCs w:val="20"/>
          <w:color w:val="auto"/>
        </w:rPr>
      </w:pPr>
    </w:p>
    <w:p>
      <w:pPr>
        <w:ind w:left="226"/>
        <w:spacing w:after="0"/>
        <w:rPr>
          <w:sz w:val="20"/>
          <w:szCs w:val="20"/>
          <w:color w:val="auto"/>
        </w:rPr>
      </w:pPr>
      <w:r>
        <w:rPr>
          <w:rFonts w:ascii="Arial" w:cs="Arial" w:eastAsia="Arial" w:hAnsi="Arial"/>
          <w:sz w:val="18"/>
          <w:szCs w:val="18"/>
          <w:u w:val="single" w:color="auto"/>
          <w:color w:val="auto"/>
        </w:rPr>
        <w:t>$ 77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31750</wp:posOffset>
            </wp:positionV>
            <wp:extent cx="2146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46"/>
        <w:spacing w:after="0"/>
        <w:rPr>
          <w:sz w:val="20"/>
          <w:szCs w:val="20"/>
          <w:color w:val="auto"/>
        </w:rPr>
      </w:pPr>
      <w:r>
        <w:rPr>
          <w:rFonts w:ascii="Arial" w:cs="Arial" w:eastAsia="Arial" w:hAnsi="Arial"/>
          <w:sz w:val="14"/>
          <w:szCs w:val="14"/>
          <w:b w:val="1"/>
          <w:bCs w:val="1"/>
          <w:color w:val="auto"/>
        </w:rPr>
        <w:t>2012</w:t>
      </w:r>
    </w:p>
    <w:p>
      <w:pPr>
        <w:spacing w:after="0" w:line="25" w:lineRule="exact"/>
        <w:rPr>
          <w:sz w:val="20"/>
          <w:szCs w:val="20"/>
          <w:color w:val="auto"/>
        </w:rPr>
      </w:pPr>
    </w:p>
    <w:p>
      <w:pPr>
        <w:ind w:left="306" w:hanging="306"/>
        <w:spacing w:after="0"/>
        <w:tabs>
          <w:tab w:leader="none" w:pos="3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658</w:t>
      </w:r>
    </w:p>
    <w:p>
      <w:pPr>
        <w:spacing w:after="0" w:line="7" w:lineRule="exact"/>
        <w:rPr>
          <w:rFonts w:ascii="Arial" w:cs="Arial" w:eastAsia="Arial" w:hAnsi="Arial"/>
          <w:sz w:val="18"/>
          <w:szCs w:val="18"/>
          <w:color w:val="auto"/>
        </w:rPr>
      </w:pPr>
    </w:p>
    <w:p>
      <w:pPr>
        <w:jc w:val="both"/>
        <w:ind w:left="146" w:right="660" w:hanging="45"/>
        <w:spacing w:after="0" w:line="325" w:lineRule="auto"/>
        <w:rPr>
          <w:rFonts w:ascii="Arial" w:cs="Arial" w:eastAsia="Arial" w:hAnsi="Arial"/>
          <w:sz w:val="18"/>
          <w:szCs w:val="18"/>
          <w:color w:val="auto"/>
        </w:rPr>
      </w:pPr>
      <w:r>
        <w:rPr>
          <w:rFonts w:ascii="Arial" w:cs="Arial" w:eastAsia="Arial" w:hAnsi="Arial"/>
          <w:sz w:val="16"/>
          <w:szCs w:val="16"/>
          <w:color w:val="auto"/>
        </w:rPr>
        <w:t>(1,219) ($561)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3600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-24130</wp:posOffset>
            </wp:positionV>
            <wp:extent cx="3600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-6985</wp:posOffset>
            </wp:positionV>
            <wp:extent cx="3600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306" w:hanging="306"/>
        <w:spacing w:after="0"/>
        <w:tabs>
          <w:tab w:leader="none" w:pos="306" w:val="left"/>
        </w:tabs>
        <w:numPr>
          <w:ilvl w:val="0"/>
          <w:numId w:val="17"/>
        </w:numPr>
        <w:rPr>
          <w:rFonts w:ascii="Arial" w:cs="Arial" w:eastAsia="Arial" w:hAnsi="Arial"/>
          <w:sz w:val="18"/>
          <w:szCs w:val="18"/>
          <w:color w:val="auto"/>
        </w:rPr>
      </w:pPr>
      <w:r>
        <w:rPr>
          <w:rFonts w:ascii="Arial" w:cs="Arial" w:eastAsia="Arial" w:hAnsi="Arial"/>
          <w:sz w:val="18"/>
          <w:szCs w:val="18"/>
          <w:color w:val="auto"/>
        </w:rPr>
        <w:t>600</w:t>
      </w:r>
    </w:p>
    <w:p>
      <w:pPr>
        <w:spacing w:after="0" w:line="23" w:lineRule="exact"/>
        <w:rPr>
          <w:rFonts w:ascii="Arial" w:cs="Arial" w:eastAsia="Arial" w:hAnsi="Arial"/>
          <w:sz w:val="18"/>
          <w:szCs w:val="18"/>
          <w:color w:val="auto"/>
        </w:rPr>
      </w:pPr>
    </w:p>
    <w:p>
      <w:pPr>
        <w:ind w:left="386"/>
        <w:spacing w:after="0"/>
        <w:rPr>
          <w:rFonts w:ascii="Arial" w:cs="Arial" w:eastAsia="Arial" w:hAnsi="Arial"/>
          <w:sz w:val="18"/>
          <w:szCs w:val="18"/>
          <w:color w:val="auto"/>
        </w:rPr>
      </w:pPr>
      <w:r>
        <w:rPr>
          <w:rFonts w:ascii="Arial" w:cs="Arial" w:eastAsia="Arial" w:hAnsi="Arial"/>
          <w:sz w:val="18"/>
          <w:szCs w:val="18"/>
          <w:color w:val="auto"/>
        </w:rPr>
        <w:t>49</w:t>
      </w:r>
    </w:p>
    <w:p>
      <w:pPr>
        <w:spacing w:after="0" w:line="9" w:lineRule="exact"/>
        <w:rPr>
          <w:rFonts w:ascii="Arial" w:cs="Arial" w:eastAsia="Arial" w:hAnsi="Arial"/>
          <w:sz w:val="18"/>
          <w:szCs w:val="18"/>
          <w:color w:val="auto"/>
        </w:rPr>
      </w:pPr>
    </w:p>
    <w:p>
      <w:pPr>
        <w:ind w:left="426"/>
        <w:spacing w:after="0"/>
        <w:rPr>
          <w:rFonts w:ascii="Arial" w:cs="Arial" w:eastAsia="Arial" w:hAnsi="Arial"/>
          <w:sz w:val="18"/>
          <w:szCs w:val="18"/>
          <w:color w:val="auto"/>
        </w:rPr>
      </w:pPr>
      <w:r>
        <w:rPr>
          <w:rFonts w:ascii="Arial" w:cs="Arial" w:eastAsia="Arial" w:hAnsi="Arial"/>
          <w:sz w:val="16"/>
          <w:szCs w:val="16"/>
          <w:color w:val="auto"/>
        </w:rPr>
        <w:t>(4)</w:t>
      </w:r>
    </w:p>
    <w:p>
      <w:pPr>
        <w:spacing w:after="0" w:line="32" w:lineRule="exact"/>
        <w:rPr>
          <w:rFonts w:ascii="Arial" w:cs="Arial" w:eastAsia="Arial" w:hAnsi="Arial"/>
          <w:sz w:val="18"/>
          <w:szCs w:val="18"/>
          <w:color w:val="auto"/>
        </w:rPr>
      </w:pPr>
    </w:p>
    <w:p>
      <w:pPr>
        <w:ind w:left="386"/>
        <w:spacing w:after="0"/>
        <w:rPr>
          <w:rFonts w:ascii="Arial" w:cs="Arial" w:eastAsia="Arial" w:hAnsi="Arial"/>
          <w:sz w:val="18"/>
          <w:szCs w:val="18"/>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600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 w:lineRule="exact"/>
        <w:rPr>
          <w:sz w:val="20"/>
          <w:szCs w:val="20"/>
          <w:color w:val="auto"/>
        </w:rPr>
      </w:pPr>
    </w:p>
    <w:p>
      <w:pPr>
        <w:ind w:left="306" w:hanging="306"/>
        <w:spacing w:after="0"/>
        <w:tabs>
          <w:tab w:leader="none" w:pos="306" w:val="left"/>
        </w:tabs>
        <w:numPr>
          <w:ilvl w:val="0"/>
          <w:numId w:val="1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658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3600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9160" w:space="214"/>
            <w:col w:w="1286"/>
          </w:cols>
          <w:pgMar w:left="240" w:top="274" w:right="999" w:bottom="1440" w:gutter="0" w:footer="0" w:header="0"/>
          <w:type w:val="continuous"/>
        </w:sectPr>
      </w:pPr>
    </w:p>
    <w:p>
      <w:pPr>
        <w:spacing w:after="0" w:line="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assumed rates of return on assets of the Pension Plan were 3.8% for 2011 and 2012, which is consistent with historical long-term rates of return experienced for each asset class.</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660"/>
          </w:cols>
          <w:pgMar w:left="240" w:top="274" w:right="99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a targeted goal of allocating plan assets one-third to equity and two-thirds to fixed income securities. Set forth below are actual allocations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Pension Plan assets between equity and fixed income securities as of December 31:</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7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2011</w:t>
            </w:r>
          </w:p>
        </w:tc>
        <w:tc>
          <w:tcPr>
            <w:tcW w:w="5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Fixed income</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81%</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r>
      <w:tr>
        <w:trPr>
          <w:trHeight w:val="27"/>
        </w:trPr>
        <w:tc>
          <w:tcPr>
            <w:tcW w:w="7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100%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100%</w:t>
            </w:r>
          </w:p>
        </w:tc>
      </w:tr>
      <w:tr>
        <w:trPr>
          <w:trHeight w:val="20"/>
        </w:trPr>
        <w:tc>
          <w:tcPr>
            <w:tcW w:w="7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have no expected funding obligations under the Pension Plan in 2013.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Investment in Non-Consolidated Joint Venture</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and an unrelated entity jointly own and operate Wuxi Weifu Autocam Precision Machinery Company, Ltd. (“JV”), a Chinese company located in the city of Wuxi, China. The JV sold fuel delivery systems components for a customer’s Asian operations totaling $25,346 in 2011 and $26,189 in 2012. Our 50% investment in JV is being accounted for under the equity method. Set forth below are the components of our JV investment balance as of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504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3"/>
              </w:rPr>
              <w:t>2011</w:t>
            </w:r>
          </w:p>
        </w:tc>
        <w:tc>
          <w:tcPr>
            <w:tcW w:w="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7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$ 5,000</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Our share of cumulative earnings</w:t>
            </w: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8,325</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10,627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Dividends received</w:t>
            </w:r>
          </w:p>
        </w:tc>
        <w:tc>
          <w:tcPr>
            <w:tcW w:w="24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(3,935)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(5,883)</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$ 9,390</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Set forth below is summarized balance sheet information for JV:</w:t>
            </w:r>
          </w:p>
        </w:tc>
        <w:tc>
          <w:tcPr>
            <w:tcW w:w="1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20" w:type="dxa"/>
            <w:vAlign w:val="bottom"/>
            <w:gridSpan w:val="2"/>
            <w:vMerge w:val="continue"/>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40" w:type="dxa"/>
            <w:vAlign w:val="bottom"/>
            <w:gridSpan w:val="3"/>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$12,957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Non-current assets</w:t>
            </w: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13,440</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14,272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2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26,397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ind w:left="1380"/>
              <w:spacing w:after="0"/>
              <w:rPr>
                <w:sz w:val="20"/>
                <w:szCs w:val="20"/>
                <w:color w:val="auto"/>
              </w:rPr>
            </w:pPr>
            <w:r>
              <w:rPr>
                <w:rFonts w:ascii="Arial" w:cs="Arial" w:eastAsia="Arial" w:hAnsi="Arial"/>
                <w:sz w:val="18"/>
                <w:szCs w:val="18"/>
                <w:color w:val="auto"/>
              </w:rPr>
              <w:t>Current liabilities</w:t>
            </w: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gridSpan w:val="2"/>
            <w:vMerge w:val="continue"/>
          </w:tcPr>
          <w:p>
            <w:pPr>
              <w:spacing w:after="0"/>
              <w:rPr>
                <w:sz w:val="18"/>
                <w:szCs w:val="18"/>
                <w:color w:val="auto"/>
              </w:rPr>
            </w:pPr>
          </w:p>
        </w:tc>
        <w:tc>
          <w:tcPr>
            <w:tcW w:w="18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4,999</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420" w:type="dxa"/>
            <w:vAlign w:val="bottom"/>
            <w:gridSpan w:val="2"/>
          </w:tcPr>
          <w:p>
            <w:pPr>
              <w:ind w:left="1380"/>
              <w:spacing w:after="0"/>
              <w:rPr>
                <w:sz w:val="20"/>
                <w:szCs w:val="20"/>
                <w:color w:val="auto"/>
              </w:rPr>
            </w:pPr>
            <w:r>
              <w:rPr>
                <w:rFonts w:ascii="Arial" w:cs="Arial" w:eastAsia="Arial" w:hAnsi="Arial"/>
                <w:sz w:val="18"/>
                <w:szCs w:val="18"/>
                <w:color w:val="auto"/>
              </w:rPr>
              <w:t>Total liabilities</w:t>
            </w:r>
          </w:p>
        </w:tc>
        <w:tc>
          <w:tcPr>
            <w:tcW w:w="18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5,223</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Dividends declared by JV were $3,770 in 2011 and $3,894 in 2012. Our 50% portion of these amounts was received by us in net of a 10% withholding tax levied by the Chinese government. We had sales to JV of $61 in 2011 and $40 in 2012. Amounts due to us from JV were $353 as of December 31, 2011 and $279 as of December 31, 2012.</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7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reconciliation of net income to net cash provided by operating activities: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Year Ended December 31,</w:t>
            </w: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Joint venture net income in excess of cash received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income to cash provided by operating activities: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i w:val="1"/>
                <w:iCs w:val="1"/>
                <w:color w:val="auto"/>
              </w:rPr>
              <w:t>Depreciation and amortization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11,806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13,555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Deferred taxes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i w:val="1"/>
                <w:iCs w:val="1"/>
                <w:color w:val="auto"/>
              </w:rPr>
              <w:t>Other</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(286)</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Changes in assets and liabilities that provided (used) cash:</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(2,392)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(1,599)</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(4,696)</w:t>
            </w:r>
          </w:p>
        </w:tc>
      </w:tr>
      <w:tr>
        <w:trPr>
          <w:trHeight w:val="216"/>
        </w:trPr>
        <w:tc>
          <w:tcPr>
            <w:tcW w:w="20" w:type="dxa"/>
            <w:vAlign w:val="bottom"/>
          </w:tcPr>
          <w:p>
            <w:pPr>
              <w:spacing w:after="0"/>
              <w:rPr>
                <w:sz w:val="18"/>
                <w:szCs w:val="18"/>
                <w:color w:val="auto"/>
              </w:rPr>
            </w:pPr>
          </w:p>
        </w:tc>
        <w:tc>
          <w:tcPr>
            <w:tcW w:w="608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(576)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(1,085)</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long-term assets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r>
      <w:tr>
        <w:trPr>
          <w:trHeight w:val="216"/>
        </w:trPr>
        <w:tc>
          <w:tcPr>
            <w:tcW w:w="20" w:type="dxa"/>
            <w:vAlign w:val="bottom"/>
          </w:tcPr>
          <w:p>
            <w:pPr>
              <w:spacing w:after="0"/>
              <w:rPr>
                <w:sz w:val="18"/>
                <w:szCs w:val="18"/>
                <w:color w:val="auto"/>
              </w:rPr>
            </w:pPr>
          </w:p>
        </w:tc>
        <w:tc>
          <w:tcPr>
            <w:tcW w:w="60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liabilities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700"/>
              <w:spacing w:after="0"/>
              <w:rPr>
                <w:sz w:val="20"/>
                <w:szCs w:val="20"/>
                <w:color w:val="auto"/>
              </w:rPr>
            </w:pPr>
            <w:r>
              <w:rPr>
                <w:rFonts w:ascii="Arial" w:cs="Arial" w:eastAsia="Arial" w:hAnsi="Arial"/>
                <w:sz w:val="18"/>
                <w:szCs w:val="18"/>
                <w:color w:val="auto"/>
              </w:rPr>
              <w:t>Deferred credits and other</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20,815</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Events or transactions occurring after the Consolidated Balance Sheet date have been evaluated through March 27, 2013, the date the financial statements were issued. The financial statements do not reflect events or transactions after this date.</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240" w:top="270" w:right="57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172085</wp:posOffset>
            </wp:positionV>
            <wp:extent cx="866140" cy="2660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6614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AUTOCAM CORPORATION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CONSOLIDATED FINANCIAL STATEMENTS</w:t>
      </w:r>
    </w:p>
    <w:p>
      <w:pPr>
        <w:spacing w:after="0" w:line="237"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JUNE 30, 2013 AND 2014</w:t>
      </w:r>
    </w:p>
    <w:p>
      <w:pPr>
        <w:sectPr>
          <w:pgSz w:w="11900" w:h="16838" w:orient="portrait"/>
          <w:cols w:equalWidth="0" w:num="1">
            <w:col w:w="10220"/>
          </w:cols>
          <w:pgMar w:left="1440" w:top="121" w:right="239" w:bottom="1440" w:gutter="0" w:footer="0" w:header="0"/>
        </w:sectPr>
      </w:pPr>
    </w:p>
    <w:bookmarkStart w:id="45" w:name="page46"/>
    <w:bookmarkEnd w:id="45"/>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AUTOCAM CORPORATION</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INDEX TO FINANCIAL INFORMATION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40" w:type="dxa"/>
            <w:vAlign w:val="bottom"/>
            <w:vMerge w:val="restart"/>
          </w:tcPr>
          <w:p>
            <w:pPr>
              <w:spacing w:after="0"/>
              <w:rPr>
                <w:sz w:val="20"/>
                <w:szCs w:val="20"/>
                <w:color w:val="auto"/>
              </w:rPr>
            </w:pPr>
            <w:r>
              <w:rPr>
                <w:rFonts w:ascii="Arial" w:cs="Arial" w:eastAsia="Arial" w:hAnsi="Arial"/>
                <w:sz w:val="18"/>
                <w:szCs w:val="18"/>
                <w:color w:val="auto"/>
              </w:rPr>
              <w:t>Autocam Corporation Financial Statements: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82"/>
        </w:trPr>
        <w:tc>
          <w:tcPr>
            <w:tcW w:w="11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Condensed Consolidated Balance Sheets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Condensed Consolidated Statements of Operations and Comprehensive Income (Loss)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040" w:type="dxa"/>
            <w:vAlign w:val="bottom"/>
          </w:tcPr>
          <w:p>
            <w:pPr>
              <w:ind w:left="360"/>
              <w:spacing w:after="0"/>
              <w:rPr>
                <w:sz w:val="20"/>
                <w:szCs w:val="20"/>
                <w:color w:val="auto"/>
              </w:rPr>
            </w:pPr>
            <w:r>
              <w:rPr>
                <w:rFonts w:ascii="Arial" w:cs="Arial" w:eastAsia="Arial" w:hAnsi="Arial"/>
                <w:sz w:val="18"/>
                <w:szCs w:val="18"/>
                <w:color w:val="auto"/>
              </w:rPr>
              <w:t>Condensed Consolidated Statements of Cash Flows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1040" w:type="dxa"/>
            <w:vAlign w:val="bottom"/>
          </w:tcPr>
          <w:p>
            <w:pPr>
              <w:ind w:left="360"/>
              <w:spacing w:after="0"/>
              <w:rPr>
                <w:sz w:val="20"/>
                <w:szCs w:val="20"/>
                <w:color w:val="auto"/>
              </w:rPr>
            </w:pPr>
            <w:r>
              <w:rPr>
                <w:rFonts w:ascii="Arial" w:cs="Arial" w:eastAsia="Arial" w:hAnsi="Arial"/>
                <w:sz w:val="18"/>
                <w:szCs w:val="18"/>
                <w:color w:val="auto"/>
              </w:rPr>
              <w:t>Notes to Condensed Consolidated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65"/>
        </w:trPr>
        <w:tc>
          <w:tcPr>
            <w:tcW w:w="11040" w:type="dxa"/>
            <w:vAlign w:val="bottom"/>
          </w:tcPr>
          <w:p>
            <w:pPr>
              <w:ind w:left="56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4"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AUTOCAM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1"/>
        </w:trPr>
        <w:tc>
          <w:tcPr>
            <w:tcW w:w="9340" w:type="dxa"/>
            <w:vAlign w:val="bottom"/>
            <w:gridSpan w:val="2"/>
          </w:tcPr>
          <w:p>
            <w:pPr>
              <w:spacing w:after="0"/>
              <w:rPr>
                <w:sz w:val="20"/>
                <w:szCs w:val="20"/>
                <w:color w:val="auto"/>
              </w:rPr>
            </w:pPr>
            <w:r>
              <w:rPr>
                <w:rFonts w:ascii="Arial" w:cs="Arial" w:eastAsia="Arial" w:hAnsi="Arial"/>
                <w:sz w:val="14"/>
                <w:szCs w:val="14"/>
                <w:i w:val="1"/>
                <w:iCs w:val="1"/>
                <w:color w:val="auto"/>
              </w:rPr>
              <w:t>Amounts in thousands, except share information</w:t>
            </w: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and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i w:val="1"/>
                <w:iCs w:val="1"/>
                <w:color w:val="auto"/>
              </w:rPr>
              <w:t>Accounts receivable, net of allowances of $324 and $246, respectively</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33,683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Inventories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24,472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i w:val="1"/>
                <w:iCs w:val="1"/>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72,769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136,390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135,218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11,657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Equipment deposits and other long-term assets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224,945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241,166</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i w:val="1"/>
                <w:iCs w:val="1"/>
                <w:color w:val="auto"/>
              </w:rPr>
              <w:t>Current maturities of long-term obligations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18,537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Accounts payable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16,436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i w:val="1"/>
                <w:iCs w:val="1"/>
                <w:color w:val="auto"/>
              </w:rPr>
              <w:t>Accrued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43,465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47,921</w:t>
            </w:r>
          </w:p>
        </w:tc>
        <w:tc>
          <w:tcPr>
            <w:tcW w:w="0" w:type="dxa"/>
            <w:vAlign w:val="bottom"/>
          </w:tcPr>
          <w:p>
            <w:pPr>
              <w:spacing w:after="0"/>
              <w:rPr>
                <w:sz w:val="1"/>
                <w:szCs w:val="1"/>
                <w:color w:val="auto"/>
              </w:rPr>
            </w:pP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Long-term obligations, net of current maturities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45,571</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28,238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4,990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tcPr>
          <w:p>
            <w:pPr>
              <w:spacing w:after="0" w:line="201" w:lineRule="exact"/>
              <w:rPr>
                <w:sz w:val="20"/>
                <w:szCs w:val="20"/>
                <w:color w:val="auto"/>
              </w:rPr>
            </w:pPr>
            <w:r>
              <w:rPr>
                <w:rFonts w:ascii="Arial" w:cs="Arial" w:eastAsia="Arial" w:hAnsi="Arial"/>
                <w:sz w:val="18"/>
                <w:szCs w:val="18"/>
                <w:i w:val="1"/>
                <w:iCs w:val="1"/>
                <w:color w:val="auto"/>
                <w:w w:val="96"/>
              </w:rPr>
              <w:t>Common stock – no par value; 10,200,000 shares authorized; 96,550 issued and outstanding at December 31, 2013 and</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160"/>
              <w:spacing w:after="0"/>
              <w:rPr>
                <w:sz w:val="20"/>
                <w:szCs w:val="20"/>
                <w:color w:val="auto"/>
              </w:rPr>
            </w:pPr>
            <w:r>
              <w:rPr>
                <w:rFonts w:ascii="Arial" w:cs="Arial" w:eastAsia="Arial" w:hAnsi="Arial"/>
                <w:sz w:val="18"/>
                <w:szCs w:val="18"/>
                <w:i w:val="1"/>
                <w:iCs w:val="1"/>
                <w:color w:val="auto"/>
              </w:rPr>
              <w:t>June 30, 2014</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Additional paid-in capital</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182,890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182,890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i w:val="1"/>
                <w:iCs w:val="1"/>
                <w:color w:val="auto"/>
              </w:rPr>
              <w:t>Accumulated other comprehensive losses</w:t>
            </w: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deficit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(79,224)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(70,735)</w:t>
            </w:r>
          </w:p>
        </w:tc>
        <w:tc>
          <w:tcPr>
            <w:tcW w:w="0" w:type="dxa"/>
            <w:vAlign w:val="bottom"/>
          </w:tcPr>
          <w:p>
            <w:pPr>
              <w:spacing w:after="0"/>
              <w:rPr>
                <w:sz w:val="1"/>
                <w:szCs w:val="1"/>
                <w:color w:val="auto"/>
              </w:rPr>
            </w:pP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102,681</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111,967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224,945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241,166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47" w:name="page48"/>
    <w:bookmarkEnd w:id="47"/>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AUTOCAM CORPORATION AND SUBSIDIARIES CONDENSED CONSOLIDATED STATEMENTS OF OPERATIONS AND COMPREHENSIVE INCOME (LOSS)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8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5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65,438</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114,656</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129,704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(51,898)</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(55,220)</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(101,455)</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(110,702)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10,218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13,201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(3,445)</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(3,831)</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(7,036)</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stock-based compensation expense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6,387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6,165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after stock-based compensation expense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6,099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6,129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Income before taxes and equity in net income of joint venture</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5,304</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4,447</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(1,486)</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Equity in net income of joint venture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Statements of Comprehensive Income (Loss):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Other comprehensive income (losses):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Foreign currency translation adjustments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i w:val="1"/>
                <w:iCs w:val="1"/>
                <w:color w:val="auto"/>
              </w:rPr>
              <w:t>Change in fair value of interest rate hedge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AUTOCAM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95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95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$ 10,962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Expenditures for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9"/>
              </w:rPr>
              <w:t>(15,687)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i w:val="1"/>
                <w:iCs w:val="1"/>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183</w:t>
            </w:r>
          </w:p>
        </w:tc>
        <w:tc>
          <w:tcPr>
            <w:tcW w:w="440" w:type="dxa"/>
            <w:vAlign w:val="bottom"/>
            <w:gridSpan w:val="2"/>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9"/>
              </w:rPr>
              <w:t>(15,504)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(10,523)</w:t>
            </w:r>
          </w:p>
        </w:tc>
        <w:tc>
          <w:tcPr>
            <w:tcW w:w="0" w:type="dxa"/>
            <w:vAlign w:val="bottom"/>
          </w:tcPr>
          <w:p>
            <w:pPr>
              <w:spacing w:after="0"/>
              <w:rPr>
                <w:sz w:val="1"/>
                <w:szCs w:val="1"/>
                <w:color w:val="auto"/>
              </w:rPr>
            </w:pPr>
          </w:p>
        </w:tc>
      </w:tr>
      <w:tr>
        <w:trPr>
          <w:trHeight w:val="223"/>
        </w:trPr>
        <w:tc>
          <w:tcPr>
            <w:tcW w:w="95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Borrowings under lines of credit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38,718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i w:val="1"/>
                <w:iCs w:val="1"/>
                <w:color w:val="auto"/>
              </w:rPr>
              <w:t>Repayments on lines of credit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(33,844)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Proceeds from issuance of long-term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10,562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i w:val="1"/>
                <w:iCs w:val="1"/>
                <w:color w:val="auto"/>
              </w:rPr>
              <w:t>Principal payments of long-term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(4,447)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956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11,140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9560" w:type="dxa"/>
            <w:vAlign w:val="bottom"/>
            <w:gridSpan w:val="2"/>
          </w:tcPr>
          <w:p>
            <w:pPr>
              <w:spacing w:after="0"/>
              <w:rPr>
                <w:sz w:val="20"/>
                <w:szCs w:val="20"/>
                <w:color w:val="auto"/>
              </w:rPr>
            </w:pPr>
            <w:r>
              <w:rPr>
                <w:rFonts w:ascii="Arial" w:cs="Arial" w:eastAsia="Arial" w:hAnsi="Arial"/>
                <w:sz w:val="18"/>
                <w:szCs w:val="18"/>
                <w:color w:val="auto"/>
              </w:rPr>
              <w:t>Increase (decrease) in cash and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(1,164)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9,492</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9,974</w:t>
            </w:r>
          </w:p>
        </w:tc>
        <w:tc>
          <w:tcPr>
            <w:tcW w:w="0" w:type="dxa"/>
            <w:vAlign w:val="bottom"/>
          </w:tcPr>
          <w:p>
            <w:pPr>
              <w:spacing w:after="0"/>
              <w:rPr>
                <w:sz w:val="1"/>
                <w:szCs w:val="1"/>
                <w:color w:val="auto"/>
              </w:rPr>
            </w:pPr>
          </w:p>
        </w:tc>
      </w:tr>
      <w:tr>
        <w:trPr>
          <w:trHeight w:val="223"/>
        </w:trPr>
        <w:tc>
          <w:tcPr>
            <w:tcW w:w="9560" w:type="dxa"/>
            <w:vAlign w:val="bottom"/>
            <w:gridSpan w:val="2"/>
          </w:tcPr>
          <w:p>
            <w:pPr>
              <w:spacing w:after="0"/>
              <w:rPr>
                <w:sz w:val="20"/>
                <w:szCs w:val="20"/>
                <w:color w:val="auto"/>
              </w:rPr>
            </w:pPr>
            <w:r>
              <w:rPr>
                <w:rFonts w:ascii="Arial" w:cs="Arial" w:eastAsia="Arial" w:hAnsi="Arial"/>
                <w:sz w:val="18"/>
                <w:szCs w:val="18"/>
                <w:color w:val="auto"/>
              </w:rPr>
              <w:t>Cash and Equivalents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8,328</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$ 10,755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49" w:name="page50"/>
    <w:bookmarkEnd w:id="49"/>
    <w:p>
      <w:pPr>
        <w:jc w:val="cente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AUTOCAM CORPORATION AND SUBSIDIARIES CONDENSED CONSOLIDATED STATEMENT OF SHAREHOLDERS’ EQUITY (unaudited)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Additional</w:t>
            </w: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0"/>
              </w:rPr>
              <w:t>Accumulated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Paid-In</w:t>
            </w: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40" w:type="dxa"/>
            <w:vAlign w:val="bottom"/>
            <w:gridSpan w:val="2"/>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80" w:type="dxa"/>
            <w:vAlign w:val="bottom"/>
            <w:gridSpan w:val="2"/>
          </w:tcPr>
          <w:p>
            <w:pPr>
              <w:spacing w:after="0"/>
              <w:rPr>
                <w:sz w:val="20"/>
                <w:szCs w:val="20"/>
                <w:color w:val="auto"/>
              </w:rPr>
            </w:pPr>
            <w:r>
              <w:rPr>
                <w:rFonts w:ascii="Arial" w:cs="Arial" w:eastAsia="Arial" w:hAnsi="Arial"/>
                <w:sz w:val="14"/>
                <w:szCs w:val="14"/>
                <w:i w:val="1"/>
                <w:iCs w:val="1"/>
                <w:color w:val="auto"/>
              </w:rPr>
              <w:t>Amounts in thousands</w:t>
            </w:r>
          </w:p>
        </w:tc>
        <w:tc>
          <w:tcPr>
            <w:tcW w:w="192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Income (Loss)</w:t>
            </w: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Deficit</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2014</w:t>
            </w:r>
          </w:p>
        </w:tc>
        <w:tc>
          <w:tcPr>
            <w:tcW w:w="19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$182,890</w:t>
            </w:r>
          </w:p>
        </w:tc>
        <w:tc>
          <w:tcPr>
            <w:tcW w:w="4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($79,224)</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$102,681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income</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8,489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814</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Change in fair value of interest rate hedge</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19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182,890</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($70,735)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$ 111,967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AUTOCAM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Interim Financial Statements– </w:t>
      </w:r>
      <w:r>
        <w:rPr>
          <w:rFonts w:ascii="Arial" w:cs="Arial" w:eastAsia="Arial" w:hAnsi="Arial"/>
          <w:sz w:val="17"/>
          <w:szCs w:val="17"/>
          <w:color w:val="auto"/>
        </w:rPr>
        <w:t>The accompanying condensed consolidated financial statements of Autocam have not been audited, except that the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balance sheet at December 31, 2013 was derived from our audited consolidated financial statements. In our opinion, these financial statements reflect all adjustments necessary to fairly state the results of operations for the three and six month periods ended June 30, 2014 and 2013, our financial position at June 30, 2014 and December 31, 2013, and the cash flows for the six month periods ended June 30, 2014 and 2013 on a basis consistent with our audited financial statements. These adjustments are of a normal recurring nature and are, in the opinion of management, necessary for fair statement of the financial position and operating results for the interim periods.</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Certain information and footnote disclosures normally included in the consolidated financial statements prepared in accordance with generally accepted accounting principles have been condensed or omitted from the interim financial statements. These unaudited, condensed and consolidated financial statements should be read in conjunction with our audited consolidated financial statements and the notes thereto. The results for the three and six month periods ended June 30, 2014 are not necessarily indicative of results for the year ending December 31, 2014 or any other future periods. In these notes, unless the context otherwise requires, “we,” “our” or “us” refer to Autocam Corporation together with its consolidated subsidiaries (“Autocam”). All currency figures referenced in these notes are reflected in thousands of U.S. dollars, unless otherwise noted.</w:t>
      </w:r>
    </w:p>
    <w:p>
      <w:pPr>
        <w:spacing w:after="0" w:line="17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color w:val="auto"/>
        </w:rPr>
        <w:t xml:space="preserve">Pension Plans – </w:t>
      </w:r>
      <w:r>
        <w:rPr>
          <w:rFonts w:ascii="Arial" w:cs="Arial" w:eastAsia="Arial" w:hAnsi="Arial"/>
          <w:sz w:val="18"/>
          <w:szCs w:val="18"/>
          <w:color w:val="auto"/>
        </w:rPr>
        <w:t>We sponsor a defined benefit pension plan for substantially all employees of our Bouverat plant in France. Set forth below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of net periodic benefit cost for the plan:</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42"/>
        </w:trPr>
        <w:tc>
          <w:tcPr>
            <w:tcW w:w="6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Service and interest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Financial Instruments </w:t>
      </w:r>
      <w:r>
        <w:rPr>
          <w:rFonts w:ascii="Arial" w:cs="Arial" w:eastAsia="Arial" w:hAnsi="Arial"/>
          <w:sz w:val="17"/>
          <w:szCs w:val="17"/>
          <w:color w:val="auto"/>
        </w:rPr>
        <w:t>consist principally of cash and equivalents, accounts receivable and payable and indebtedness. We have determined the estimated fair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amounts for indebtedness using available market information and valuation methodologies (see Note 4). We have determined the estimated fair value of accounts receivable and payable as approximating their book values given their possessing short-term maturities.</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0" w:right="279" w:bottom="1440" w:gutter="0" w:footer="0" w:header="0"/>
        </w:sectPr>
      </w:pPr>
    </w:p>
    <w:bookmarkStart w:id="51" w:name="page52"/>
    <w:bookmarkEnd w:id="51"/>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Set forth below is information about the fair value of our financial assets and liabilities at December 31, 2013 and June 30, 2014, according to the valuation techniques we used to determine their fair values: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2"/>
                <w:szCs w:val="12"/>
                <w:b w:val="1"/>
                <w:bCs w:val="1"/>
                <w:color w:val="auto"/>
              </w:rPr>
              <w:t>1</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2"/>
                <w:szCs w:val="12"/>
                <w:b w:val="1"/>
                <w:bCs w:val="1"/>
                <w:color w:val="auto"/>
              </w:rPr>
              <w:t>2</w:t>
            </w: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2013</w:t>
            </w:r>
          </w:p>
        </w:tc>
        <w:tc>
          <w:tcPr>
            <w:tcW w:w="120" w:type="dxa"/>
            <w:vAlign w:val="bottom"/>
          </w:tcPr>
          <w:p>
            <w:pPr>
              <w:spacing w:after="0"/>
              <w:rPr>
                <w:sz w:val="12"/>
                <w:szCs w:val="12"/>
                <w:color w:val="auto"/>
              </w:rPr>
            </w:pPr>
          </w:p>
        </w:tc>
        <w:tc>
          <w:tcPr>
            <w:tcW w:w="840" w:type="dxa"/>
            <w:vAlign w:val="bottom"/>
          </w:tcPr>
          <w:p>
            <w:pPr>
              <w:spacing w:after="0" w:line="142" w:lineRule="exact"/>
              <w:rPr>
                <w:sz w:val="20"/>
                <w:szCs w:val="20"/>
                <w:color w:val="auto"/>
              </w:rPr>
            </w:pPr>
            <w:r>
              <w:rPr>
                <w:rFonts w:ascii="Arial" w:cs="Arial" w:eastAsia="Arial" w:hAnsi="Arial"/>
                <w:sz w:val="14"/>
                <w:szCs w:val="14"/>
                <w:b w:val="1"/>
                <w:bCs w:val="1"/>
                <w:color w:val="auto"/>
                <w:w w:val="90"/>
              </w:rPr>
              <w:t>June 30, 2014</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6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w w:val="90"/>
              </w:rPr>
              <w:t>December 31, 2013</w:t>
            </w: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June 30, 2014</w:t>
            </w:r>
          </w:p>
        </w:tc>
        <w:tc>
          <w:tcPr>
            <w:tcW w:w="100" w:type="dxa"/>
            <w:vAlign w:val="bottom"/>
          </w:tcPr>
          <w:p>
            <w:pPr>
              <w:spacing w:after="0"/>
              <w:rPr>
                <w:sz w:val="12"/>
                <w:szCs w:val="12"/>
                <w:color w:val="auto"/>
              </w:rPr>
            </w:pPr>
          </w:p>
        </w:tc>
      </w:tr>
      <w:tr>
        <w:trPr>
          <w:trHeight w:val="196"/>
        </w:trPr>
        <w:tc>
          <w:tcPr>
            <w:tcW w:w="3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 -</w:t>
            </w:r>
          </w:p>
        </w:tc>
        <w:tc>
          <w:tcPr>
            <w:tcW w:w="9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Cash and equivalents</w:t>
            </w: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9,974</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   10,755</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Liability -</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Interest rate swap arrangements</w:t>
            </w: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5"/>
          <w:szCs w:val="15"/>
          <w:color w:val="auto"/>
        </w:rPr>
      </w:pPr>
      <w:r>
        <w:rPr>
          <w:rFonts w:ascii="Arial" w:cs="Arial" w:eastAsia="Arial" w:hAnsi="Arial"/>
          <w:sz w:val="18"/>
          <w:szCs w:val="18"/>
          <w:color w:val="auto"/>
        </w:rPr>
        <w:t>Quoted prices in active markets for identical assets or liabilities.</w:t>
      </w:r>
    </w:p>
    <w:p>
      <w:pPr>
        <w:spacing w:after="0" w:line="22"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5"/>
          <w:szCs w:val="15"/>
          <w:color w:val="auto"/>
        </w:rPr>
      </w:pPr>
      <w:r>
        <w:rPr>
          <w:rFonts w:ascii="Arial" w:cs="Arial" w:eastAsia="Arial" w:hAnsi="Arial"/>
          <w:sz w:val="18"/>
          <w:szCs w:val="18"/>
          <w:color w:val="auto"/>
        </w:rPr>
        <w:t>Observable inputs other than quoted prices in active markets for identical assets and liabilities.</w:t>
      </w:r>
    </w:p>
    <w:p>
      <w:pPr>
        <w:spacing w:after="0" w:line="21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Cash equivalents consist of highly-liquid investments with original maturities of three months or less at the date of purchase, including money market accounts with an active market valuation Level 1 estimate.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Derivative and hedging activity</w:t>
      </w:r>
      <w:r>
        <w:rPr>
          <w:rFonts w:ascii="Arial" w:cs="Arial" w:eastAsia="Arial" w:hAnsi="Arial"/>
          <w:sz w:val="18"/>
          <w:szCs w:val="18"/>
          <w:color w:val="auto"/>
        </w:rPr>
        <w:t>- We are exposed to interest rate risk on approximately one-half of our outstanding indebtedness. All indebtedness to to our</w:t>
      </w:r>
      <w:r>
        <w:rPr>
          <w:rFonts w:ascii="Arial" w:cs="Arial" w:eastAsia="Arial" w:hAnsi="Arial"/>
          <w:sz w:val="18"/>
          <w:szCs w:val="18"/>
          <w:i w:val="1"/>
          <w:iCs w:val="1"/>
          <w:color w:val="auto"/>
        </w:rPr>
        <w:t xml:space="preserve"> </w:t>
      </w:r>
      <w:r>
        <w:rPr>
          <w:rFonts w:ascii="Arial" w:cs="Arial" w:eastAsia="Arial" w:hAnsi="Arial"/>
          <w:sz w:val="18"/>
          <w:szCs w:val="18"/>
          <w:color w:val="auto"/>
        </w:rPr>
        <w:t>senior lender bears interest at variable rates.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we manage interest rate risk through the use of interest rate swap agreements. Set forth below are our interest rate swaps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0" w:type="dxa"/>
            <w:vAlign w:val="bottom"/>
          </w:tcPr>
          <w:p>
            <w:pPr>
              <w:spacing w:after="0"/>
              <w:rPr>
                <w:sz w:val="14"/>
                <w:szCs w:val="14"/>
                <w:color w:val="auto"/>
              </w:rPr>
            </w:pPr>
          </w:p>
        </w:tc>
        <w:tc>
          <w:tcPr>
            <w:tcW w:w="2260" w:type="dxa"/>
            <w:vAlign w:val="bottom"/>
            <w:gridSpan w:val="4"/>
          </w:tcPr>
          <w:p>
            <w:pPr>
              <w:jc w:val="right"/>
              <w:ind w:right="1820"/>
              <w:spacing w:after="0"/>
              <w:rPr>
                <w:sz w:val="20"/>
                <w:szCs w:val="20"/>
                <w:color w:val="auto"/>
              </w:rPr>
            </w:pPr>
            <w:r>
              <w:rPr>
                <w:rFonts w:ascii="Arial" w:cs="Arial" w:eastAsia="Arial" w:hAnsi="Arial"/>
                <w:sz w:val="14"/>
                <w:szCs w:val="14"/>
                <w:color w:val="auto"/>
              </w:rPr>
              <w:t>Dates</w:t>
            </w:r>
          </w:p>
        </w:tc>
        <w:tc>
          <w:tcPr>
            <w:tcW w:w="480" w:type="dxa"/>
            <w:vAlign w:val="bottom"/>
          </w:tcPr>
          <w:p>
            <w:pPr>
              <w:spacing w:after="0"/>
              <w:rPr>
                <w:sz w:val="14"/>
                <w:szCs w:val="14"/>
                <w:color w:val="auto"/>
              </w:rPr>
            </w:pPr>
          </w:p>
        </w:tc>
        <w:tc>
          <w:tcPr>
            <w:tcW w:w="1940" w:type="dxa"/>
            <w:vAlign w:val="bottom"/>
            <w:gridSpan w:val="2"/>
          </w:tcPr>
          <w:p>
            <w:pPr>
              <w:ind w:left="180"/>
              <w:spacing w:after="0"/>
              <w:rPr>
                <w:sz w:val="20"/>
                <w:szCs w:val="20"/>
                <w:color w:val="auto"/>
              </w:rPr>
            </w:pPr>
            <w:r>
              <w:rPr>
                <w:rFonts w:ascii="Arial" w:cs="Arial" w:eastAsia="Arial" w:hAnsi="Arial"/>
                <w:sz w:val="14"/>
                <w:szCs w:val="14"/>
                <w:color w:val="auto"/>
              </w:rPr>
              <w:t>Notional</w:t>
            </w:r>
          </w:p>
        </w:tc>
        <w:tc>
          <w:tcPr>
            <w:tcW w:w="240" w:type="dxa"/>
            <w:vAlign w:val="bottom"/>
          </w:tcPr>
          <w:p>
            <w:pPr>
              <w:spacing w:after="0"/>
              <w:rPr>
                <w:sz w:val="14"/>
                <w:szCs w:val="14"/>
                <w:color w:val="auto"/>
              </w:rPr>
            </w:pPr>
          </w:p>
        </w:tc>
        <w:tc>
          <w:tcPr>
            <w:tcW w:w="2060" w:type="dxa"/>
            <w:vAlign w:val="bottom"/>
            <w:gridSpan w:val="4"/>
          </w:tcPr>
          <w:p>
            <w:pPr>
              <w:ind w:left="300"/>
              <w:spacing w:after="0"/>
              <w:rPr>
                <w:sz w:val="20"/>
                <w:szCs w:val="20"/>
                <w:color w:val="auto"/>
              </w:rPr>
            </w:pPr>
            <w:r>
              <w:rPr>
                <w:rFonts w:ascii="Arial" w:cs="Arial" w:eastAsia="Arial" w:hAnsi="Arial"/>
                <w:sz w:val="14"/>
                <w:szCs w:val="14"/>
                <w:color w:val="auto"/>
              </w:rPr>
              <w:t>Monthly</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6"/>
          </w:tcPr>
          <w:p>
            <w:pPr>
              <w:ind w:left="400"/>
              <w:spacing w:after="0"/>
              <w:rPr>
                <w:sz w:val="20"/>
                <w:szCs w:val="20"/>
                <w:color w:val="auto"/>
              </w:rPr>
            </w:pPr>
            <w:r>
              <w:rPr>
                <w:rFonts w:ascii="Arial" w:cs="Arial" w:eastAsia="Arial" w:hAnsi="Arial"/>
                <w:sz w:val="14"/>
                <w:szCs w:val="14"/>
                <w:color w:val="auto"/>
              </w:rPr>
              <w:t>Rate Amounts</w:t>
            </w:r>
          </w:p>
        </w:tc>
      </w:tr>
      <w:tr>
        <w:trPr>
          <w:trHeight w:val="142"/>
        </w:trPr>
        <w:tc>
          <w:tcPr>
            <w:tcW w:w="110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Effective</w:t>
            </w:r>
          </w:p>
        </w:tc>
        <w:tc>
          <w:tcPr>
            <w:tcW w:w="2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color w:val="auto"/>
              </w:rPr>
              <w:t>Maturity</w:t>
            </w:r>
          </w:p>
        </w:tc>
        <w:tc>
          <w:tcPr>
            <w:tcW w:w="6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color w:val="auto"/>
              </w:rPr>
              <w:t>Amount</w:t>
            </w:r>
          </w:p>
        </w:tc>
        <w:tc>
          <w:tcPr>
            <w:tcW w:w="6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rPr>
              <w:t>Amortization</w:t>
            </w:r>
          </w:p>
        </w:tc>
        <w:tc>
          <w:tcPr>
            <w:tcW w:w="600" w:type="dxa"/>
            <w:vAlign w:val="bottom"/>
            <w:tcBorders>
              <w:bottom w:val="single" w:sz="8" w:color="CCEEFF"/>
            </w:tcBorders>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Fixed</w:t>
            </w:r>
          </w:p>
        </w:tc>
        <w:tc>
          <w:tcPr>
            <w:tcW w:w="1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Float</w:t>
            </w:r>
          </w:p>
        </w:tc>
        <w:tc>
          <w:tcPr>
            <w:tcW w:w="180" w:type="dxa"/>
            <w:vAlign w:val="bottom"/>
            <w:tcBorders>
              <w:bottom w:val="single" w:sz="8" w:color="CCEEFF"/>
            </w:tcBorders>
          </w:tcPr>
          <w:p>
            <w:pPr>
              <w:spacing w:after="0"/>
              <w:rPr>
                <w:sz w:val="12"/>
                <w:szCs w:val="12"/>
                <w:color w:val="auto"/>
              </w:rPr>
            </w:pPr>
          </w:p>
        </w:tc>
      </w:tr>
      <w:tr>
        <w:trPr>
          <w:trHeight w:val="210"/>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6/3/10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7"/>
              </w:rPr>
              <w:t>1,900,000.00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158,333.00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1 Mo LIBOR</w:t>
            </w:r>
          </w:p>
        </w:tc>
        <w:tc>
          <w:tcPr>
            <w:tcW w:w="180" w:type="dxa"/>
            <w:vAlign w:val="bottom"/>
            <w:shd w:val="clear" w:color="auto" w:fill="CCEEFF"/>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1/4/11</w:t>
            </w:r>
          </w:p>
        </w:tc>
        <w:tc>
          <w:tcPr>
            <w:tcW w:w="2260" w:type="dxa"/>
            <w:vAlign w:val="bottom"/>
            <w:gridSpan w:val="4"/>
          </w:tcPr>
          <w:p>
            <w:pPr>
              <w:jc w:val="right"/>
              <w:ind w:right="620"/>
              <w:spacing w:after="0"/>
              <w:rPr>
                <w:sz w:val="20"/>
                <w:szCs w:val="20"/>
                <w:color w:val="auto"/>
              </w:rPr>
            </w:pPr>
            <w:r>
              <w:rPr>
                <w:rFonts w:ascii="Arial" w:cs="Arial" w:eastAsia="Arial" w:hAnsi="Arial"/>
                <w:sz w:val="18"/>
                <w:szCs w:val="18"/>
                <w:color w:val="auto"/>
              </w:rPr>
              <w:t>12/31/15</w:t>
            </w:r>
          </w:p>
        </w:tc>
        <w:tc>
          <w:tcPr>
            <w:tcW w:w="480" w:type="dxa"/>
            <w:vAlign w:val="bottom"/>
          </w:tcPr>
          <w:p>
            <w:pPr>
              <w:spacing w:after="0"/>
              <w:rPr>
                <w:sz w:val="18"/>
                <w:szCs w:val="18"/>
                <w:color w:val="auto"/>
              </w:rPr>
            </w:pPr>
          </w:p>
        </w:tc>
        <w:tc>
          <w:tcPr>
            <w:tcW w:w="1940" w:type="dxa"/>
            <w:vAlign w:val="bottom"/>
            <w:gridSpan w:val="2"/>
          </w:tcPr>
          <w:p>
            <w:pPr>
              <w:ind w:left="380"/>
              <w:spacing w:after="0"/>
              <w:rPr>
                <w:sz w:val="20"/>
                <w:szCs w:val="20"/>
                <w:color w:val="auto"/>
              </w:rPr>
            </w:pPr>
            <w:r>
              <w:rPr>
                <w:rFonts w:ascii="Arial" w:cs="Arial" w:eastAsia="Arial" w:hAnsi="Arial"/>
                <w:sz w:val="18"/>
                <w:szCs w:val="18"/>
                <w:color w:val="auto"/>
              </w:rPr>
              <w:t>1,050,000.00</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58,333.00</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color w:val="auto"/>
              </w:rPr>
              <w:t>1 Mo LIBOR</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6/30/11</w:t>
            </w:r>
          </w:p>
        </w:tc>
        <w:tc>
          <w:tcPr>
            <w:tcW w:w="226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7/31/16</w:t>
            </w:r>
          </w:p>
        </w:tc>
        <w:tc>
          <w:tcPr>
            <w:tcW w:w="4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1,596,641.00</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64,845.00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 Mo LIBOR</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8/31/12</w:t>
            </w:r>
          </w:p>
        </w:tc>
        <w:tc>
          <w:tcPr>
            <w:tcW w:w="2260" w:type="dxa"/>
            <w:vAlign w:val="bottom"/>
            <w:gridSpan w:val="4"/>
          </w:tcPr>
          <w:p>
            <w:pPr>
              <w:jc w:val="right"/>
              <w:ind w:right="620"/>
              <w:spacing w:after="0"/>
              <w:rPr>
                <w:sz w:val="20"/>
                <w:szCs w:val="20"/>
                <w:color w:val="auto"/>
              </w:rPr>
            </w:pPr>
            <w:r>
              <w:rPr>
                <w:rFonts w:ascii="Arial" w:cs="Arial" w:eastAsia="Arial" w:hAnsi="Arial"/>
                <w:sz w:val="18"/>
                <w:szCs w:val="18"/>
                <w:color w:val="auto"/>
              </w:rPr>
              <w:t>8/31/16</w:t>
            </w:r>
          </w:p>
        </w:tc>
        <w:tc>
          <w:tcPr>
            <w:tcW w:w="480" w:type="dxa"/>
            <w:vAlign w:val="bottom"/>
          </w:tcPr>
          <w:p>
            <w:pPr>
              <w:spacing w:after="0"/>
              <w:rPr>
                <w:sz w:val="18"/>
                <w:szCs w:val="18"/>
                <w:color w:val="auto"/>
              </w:rPr>
            </w:pPr>
          </w:p>
        </w:tc>
        <w:tc>
          <w:tcPr>
            <w:tcW w:w="1940" w:type="dxa"/>
            <w:vAlign w:val="bottom"/>
            <w:gridSpan w:val="2"/>
          </w:tcPr>
          <w:p>
            <w:pPr>
              <w:ind w:left="380"/>
              <w:spacing w:after="0"/>
              <w:rPr>
                <w:sz w:val="20"/>
                <w:szCs w:val="20"/>
                <w:color w:val="auto"/>
              </w:rPr>
            </w:pPr>
            <w:r>
              <w:rPr>
                <w:rFonts w:ascii="Arial" w:cs="Arial" w:eastAsia="Arial" w:hAnsi="Arial"/>
                <w:sz w:val="18"/>
                <w:szCs w:val="18"/>
                <w:color w:val="auto"/>
              </w:rPr>
              <w:t>4,333,333.00</w:t>
            </w:r>
          </w:p>
        </w:tc>
        <w:tc>
          <w:tcPr>
            <w:tcW w:w="240" w:type="dxa"/>
            <w:vAlign w:val="bottom"/>
          </w:tcPr>
          <w:p>
            <w:pPr>
              <w:spacing w:after="0"/>
              <w:rPr>
                <w:sz w:val="18"/>
                <w:szCs w:val="18"/>
                <w:color w:val="auto"/>
              </w:rPr>
            </w:pPr>
          </w:p>
        </w:tc>
        <w:tc>
          <w:tcPr>
            <w:tcW w:w="1920" w:type="dxa"/>
            <w:vAlign w:val="bottom"/>
            <w:gridSpan w:val="2"/>
          </w:tcPr>
          <w:p>
            <w:pPr>
              <w:jc w:val="right"/>
              <w:ind w:right="508"/>
              <w:spacing w:after="0"/>
              <w:rPr>
                <w:sz w:val="20"/>
                <w:szCs w:val="20"/>
                <w:color w:val="auto"/>
              </w:rPr>
            </w:pPr>
            <w:r>
              <w:rPr>
                <w:rFonts w:ascii="Arial" w:cs="Arial" w:eastAsia="Arial" w:hAnsi="Arial"/>
                <w:sz w:val="18"/>
                <w:szCs w:val="18"/>
                <w:color w:val="auto"/>
              </w:rPr>
              <w:t>166,667.00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color w:val="auto"/>
              </w:rPr>
              <w:t>1 Mo LIBOR</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11/30/13</w:t>
            </w:r>
          </w:p>
        </w:tc>
        <w:tc>
          <w:tcPr>
            <w:tcW w:w="226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10/31/18</w:t>
            </w:r>
          </w:p>
        </w:tc>
        <w:tc>
          <w:tcPr>
            <w:tcW w:w="4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7,600,000.00</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279,033.00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 Mo LIBOR</w:t>
            </w:r>
          </w:p>
        </w:tc>
      </w:tr>
      <w:tr>
        <w:trPr>
          <w:trHeight w:val="540"/>
        </w:trPr>
        <w:tc>
          <w:tcPr>
            <w:tcW w:w="1100" w:type="dxa"/>
            <w:vAlign w:val="bottom"/>
          </w:tcPr>
          <w:p>
            <w:pPr>
              <w:spacing w:after="0"/>
              <w:rPr>
                <w:sz w:val="20"/>
                <w:szCs w:val="20"/>
                <w:color w:val="auto"/>
              </w:rPr>
            </w:pPr>
            <w:r>
              <w:rPr>
                <w:rFonts w:ascii="Arial" w:cs="Arial" w:eastAsia="Arial" w:hAnsi="Arial"/>
                <w:sz w:val="18"/>
                <w:szCs w:val="18"/>
                <w:b w:val="1"/>
                <w:bCs w:val="1"/>
                <w:color w:val="auto"/>
                <w:w w:val="93"/>
              </w:rPr>
              <w:t>2. Inventories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3840" w:type="dxa"/>
            <w:vAlign w:val="bottom"/>
            <w:gridSpan w:val="6"/>
          </w:tcPr>
          <w:p>
            <w:pPr>
              <w:spacing w:after="0"/>
              <w:rPr>
                <w:sz w:val="20"/>
                <w:szCs w:val="20"/>
                <w:color w:val="auto"/>
              </w:rPr>
            </w:pPr>
            <w:r>
              <w:rPr>
                <w:rFonts w:ascii="Arial" w:cs="Arial" w:eastAsia="Arial" w:hAnsi="Arial"/>
                <w:sz w:val="18"/>
                <w:szCs w:val="18"/>
                <w:color w:val="auto"/>
                <w:w w:val="94"/>
              </w:rPr>
              <w:t>Set forth below are the components of Inventories:</w:t>
            </w: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69"/>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gridSpan w:val="5"/>
          </w:tcPr>
          <w:p>
            <w:pPr>
              <w:ind w:left="580"/>
              <w:spacing w:after="0"/>
              <w:rPr>
                <w:sz w:val="20"/>
                <w:szCs w:val="20"/>
                <w:color w:val="auto"/>
              </w:rPr>
            </w:pPr>
            <w:r>
              <w:rPr>
                <w:rFonts w:ascii="Arial" w:cs="Arial" w:eastAsia="Arial" w:hAnsi="Arial"/>
                <w:sz w:val="14"/>
                <w:szCs w:val="14"/>
                <w:b w:val="1"/>
                <w:bCs w:val="1"/>
                <w:color w:val="auto"/>
                <w:w w:val="90"/>
              </w:rPr>
              <w:t>December 31,</w:t>
            </w:r>
          </w:p>
        </w:tc>
        <w:tc>
          <w:tcPr>
            <w:tcW w:w="580" w:type="dxa"/>
            <w:vAlign w:val="bottom"/>
          </w:tcPr>
          <w:p>
            <w:pPr>
              <w:spacing w:after="0"/>
              <w:rPr>
                <w:sz w:val="24"/>
                <w:szCs w:val="24"/>
                <w:color w:val="auto"/>
              </w:rPr>
            </w:pPr>
          </w:p>
        </w:tc>
        <w:tc>
          <w:tcPr>
            <w:tcW w:w="2060" w:type="dxa"/>
            <w:vAlign w:val="bottom"/>
            <w:gridSpan w:val="5"/>
          </w:tcPr>
          <w:p>
            <w:pPr>
              <w:ind w:left="4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33"/>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10,407</w:t>
            </w:r>
          </w:p>
        </w:tc>
        <w:tc>
          <w:tcPr>
            <w:tcW w:w="5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$11,514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auto"/>
              </w:rPr>
              <w:t>Production supplies</w:t>
            </w: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4,166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4,693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Work in-process</w:t>
            </w: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auto"/>
              </w:rPr>
              <w:t>Finished goods</w:t>
            </w: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2,814</w:t>
            </w:r>
          </w:p>
        </w:tc>
        <w:tc>
          <w:tcPr>
            <w:tcW w:w="58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60" w:type="dxa"/>
            <w:vAlign w:val="bottom"/>
            <w:gridSpan w:val="4"/>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24,472</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26,853</w:t>
            </w: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the lower of cost or market on a first-in, first-out (FIFO) basis.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Property, Plant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components of Property, Plant and Equipment, Net:</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June 30,</w:t>
            </w:r>
          </w:p>
        </w:tc>
      </w:tr>
      <w:tr>
        <w:trPr>
          <w:trHeight w:val="171"/>
        </w:trPr>
        <w:tc>
          <w:tcPr>
            <w:tcW w:w="6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land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24,296</w:t>
            </w: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173,930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179,390</w:t>
            </w:r>
          </w:p>
        </w:tc>
        <w:tc>
          <w:tcPr>
            <w:tcW w:w="1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120" w:type="dxa"/>
            <w:vAlign w:val="bottom"/>
            <w:shd w:val="clear" w:color="auto" w:fill="CCEEFF"/>
          </w:tcPr>
          <w:p>
            <w:pPr>
              <w:spacing w:after="0"/>
              <w:rPr>
                <w:sz w:val="18"/>
                <w:szCs w:val="18"/>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203,052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210,175</w:t>
            </w:r>
          </w:p>
        </w:tc>
        <w:tc>
          <w:tcPr>
            <w:tcW w:w="120" w:type="dxa"/>
            <w:vAlign w:val="bottom"/>
          </w:tcPr>
          <w:p>
            <w:pPr>
              <w:spacing w:after="0"/>
              <w:rPr>
                <w:sz w:val="19"/>
                <w:szCs w:val="19"/>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(66,662)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(74,957)</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136,390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135,218</w:t>
            </w:r>
          </w:p>
        </w:tc>
        <w:tc>
          <w:tcPr>
            <w:tcW w:w="12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components of Long-Term Obligations (percentages represent interest rates as of June 30, 2014):</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160" w:type="dxa"/>
            <w:vAlign w:val="bottom"/>
            <w:gridSpan w:val="4"/>
          </w:tcPr>
          <w:p>
            <w:pPr>
              <w:ind w:left="296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29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Senior indebtedness:</w:t>
            </w:r>
          </w:p>
        </w:tc>
        <w:tc>
          <w:tcPr>
            <w:tcW w:w="2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Term notes:</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August 2012 (2.18%)</w:t>
            </w:r>
          </w:p>
        </w:tc>
        <w:tc>
          <w:tcPr>
            <w:tcW w:w="3140" w:type="dxa"/>
            <w:vAlign w:val="bottom"/>
            <w:gridSpan w:val="2"/>
            <w:shd w:val="clear" w:color="auto" w:fill="CCEEFF"/>
          </w:tcPr>
          <w:p>
            <w:pPr>
              <w:ind w:left="29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700"/>
              <w:spacing w:after="0"/>
              <w:rPr>
                <w:sz w:val="20"/>
                <w:szCs w:val="20"/>
                <w:color w:val="auto"/>
              </w:rPr>
            </w:pPr>
            <w:r>
              <w:rPr>
                <w:rFonts w:ascii="Arial" w:cs="Arial" w:eastAsia="Arial" w:hAnsi="Arial"/>
                <w:sz w:val="18"/>
                <w:szCs w:val="18"/>
                <w:color w:val="auto"/>
              </w:rPr>
              <w:t>October 2013 (3.21%)</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16,184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14,510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Equipment term notes:</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700"/>
              <w:spacing w:after="0"/>
              <w:rPr>
                <w:sz w:val="20"/>
                <w:szCs w:val="20"/>
                <w:color w:val="auto"/>
              </w:rPr>
            </w:pPr>
            <w:r>
              <w:rPr>
                <w:rFonts w:ascii="Arial" w:cs="Arial" w:eastAsia="Arial" w:hAnsi="Arial"/>
                <w:sz w:val="18"/>
                <w:szCs w:val="18"/>
                <w:color w:val="auto"/>
              </w:rPr>
              <w:t>July 2011 (3.95%)</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February 2012 (3.78%)</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Mortgage payable (3.25%)</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Revolving line of credit (2.5%)</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20,431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18,001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Subordinated affiliate note</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French Safeguard obligations</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3,235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Brazilian lines of credit</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Other</w:t>
            </w:r>
          </w:p>
        </w:tc>
        <w:tc>
          <w:tcPr>
            <w:tcW w:w="2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obligations</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64,809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Current portion</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(18,537)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(18,427)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3140" w:type="dxa"/>
            <w:vAlign w:val="bottom"/>
            <w:gridSpan w:val="2"/>
            <w:shd w:val="clear" w:color="auto" w:fill="CCEEFF"/>
          </w:tcPr>
          <w:p>
            <w:pPr>
              <w:ind w:left="29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45,571</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980" w:type="dxa"/>
            <w:vAlign w:val="bottom"/>
            <w:vMerge w:val="restart"/>
          </w:tcPr>
          <w:p>
            <w:pPr>
              <w:jc w:val="right"/>
              <w:ind w:right="1974"/>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0" w:right="1440"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reconciliation of net income to net cash provided by operating activities:</w:t>
      </w:r>
    </w:p>
    <w:p>
      <w:pPr>
        <w:spacing w:after="0" w:line="244"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Six Months Ended</w:t>
      </w:r>
    </w:p>
    <w:p>
      <w:pPr>
        <w:jc w:val="center"/>
        <w:ind w:left="66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8,489</w:t>
            </w:r>
          </w:p>
        </w:tc>
        <w:tc>
          <w:tcPr>
            <w:tcW w:w="12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120" w:type="dxa"/>
            <w:vAlign w:val="bottom"/>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i w:val="1"/>
                <w:iCs w:val="1"/>
                <w:color w:val="auto"/>
              </w:rPr>
              <w:t>Deferred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8"/>
                <w:szCs w:val="18"/>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Other,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i w:val="1"/>
                <w:iCs w:val="1"/>
                <w:color w:val="auto"/>
              </w:rPr>
              <w:t>Changes in assets and liabilities that provided (used)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(11,878)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(7,945)</w:t>
            </w: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i w:val="1"/>
                <w:iCs w:val="1"/>
                <w:color w:val="auto"/>
              </w:rPr>
              <w:t>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(1,218)</w:t>
            </w: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w:t>
            </w: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i w:val="1"/>
                <w:iCs w:val="1"/>
                <w:color w:val="auto"/>
              </w:rPr>
              <w:t>Other long-term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(1,925)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(1,897)</w:t>
            </w: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8"/>
                <w:szCs w:val="18"/>
                <w:color w:val="auto"/>
              </w:rPr>
            </w:pP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i w:val="1"/>
                <w:iCs w:val="1"/>
                <w:color w:val="auto"/>
              </w:rPr>
              <w:t>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5,193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2,759</w:t>
            </w:r>
          </w:p>
        </w:tc>
        <w:tc>
          <w:tcPr>
            <w:tcW w:w="120" w:type="dxa"/>
            <w:vAlign w:val="bottom"/>
          </w:tcPr>
          <w:p>
            <w:pPr>
              <w:spacing w:after="0"/>
              <w:rPr>
                <w:sz w:val="18"/>
                <w:szCs w:val="18"/>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Deferred taxes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10,962</w:t>
            </w:r>
          </w:p>
        </w:tc>
        <w:tc>
          <w:tcPr>
            <w:tcW w:w="12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six month periods ended June 30, 2014 and 2013, our effective tax rates were 28% and 29%, respectively. The difference between the U.S. federal statutory tax rate of 35% and our effective tax rates for the six months ended June 30, 2014 was primarily due to the effective tax rate being impacted by non-U.S. based earnings being taxed at lower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2014, we do not foresee any significant changes to our unrecognized tax benefits within the next twelve months.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 in Non-Consolidated Joint Venture</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and an unrelated entity jointly own and operate Wuxi Weifu Autocam Precision Machinery Company, Ltd. (“JV”), a Chinese company located in the city of Wuxi, China. During 2013, we sold to our joint venture partner 1% of the JV for $205, but control of the board of directors remained split evenly between our partner and us. Our remaining 49% investment in JV is being accounted for under the equity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JV fuel delivery systems components sales to a customer’s Asian operations: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9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3220" w:type="dxa"/>
            <w:vAlign w:val="bottom"/>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3640" w:type="dxa"/>
            <w:vAlign w:val="bottom"/>
          </w:tcPr>
          <w:p>
            <w:pPr>
              <w:spacing w:after="0"/>
              <w:rPr>
                <w:sz w:val="14"/>
                <w:szCs w:val="14"/>
                <w:color w:val="auto"/>
              </w:rPr>
            </w:pPr>
          </w:p>
        </w:tc>
        <w:tc>
          <w:tcPr>
            <w:tcW w:w="19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3220" w:type="dxa"/>
            <w:vAlign w:val="bottom"/>
            <w:vMerge w:val="continue"/>
          </w:tcPr>
          <w:p>
            <w:pPr>
              <w:spacing w:after="0"/>
              <w:rPr>
                <w:sz w:val="12"/>
                <w:szCs w:val="12"/>
                <w:color w:val="auto"/>
              </w:rPr>
            </w:pPr>
          </w:p>
        </w:tc>
        <w:tc>
          <w:tcPr>
            <w:tcW w:w="3640" w:type="dxa"/>
            <w:vAlign w:val="bottom"/>
          </w:tcPr>
          <w:p>
            <w:pPr>
              <w:spacing w:after="0"/>
              <w:rPr>
                <w:sz w:val="12"/>
                <w:szCs w:val="12"/>
                <w:color w:val="auto"/>
              </w:rPr>
            </w:pPr>
          </w:p>
        </w:tc>
        <w:tc>
          <w:tcPr>
            <w:tcW w:w="5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2013</w:t>
            </w:r>
          </w:p>
        </w:tc>
        <w:tc>
          <w:tcPr>
            <w:tcW w:w="10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60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2013</w:t>
            </w:r>
          </w:p>
        </w:tc>
        <w:tc>
          <w:tcPr>
            <w:tcW w:w="9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36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$10,615</w:t>
            </w: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$12,271</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$19,106</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$24,217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220" w:type="dxa"/>
            <w:vAlign w:val="bottom"/>
          </w:tcPr>
          <w:p>
            <w:pPr>
              <w:spacing w:after="0"/>
              <w:rPr>
                <w:sz w:val="24"/>
                <w:szCs w:val="24"/>
                <w:color w:val="auto"/>
              </w:rPr>
            </w:pPr>
          </w:p>
        </w:tc>
        <w:tc>
          <w:tcPr>
            <w:tcW w:w="3640" w:type="dxa"/>
            <w:vAlign w:val="bottom"/>
          </w:tcPr>
          <w:p>
            <w:pPr>
              <w:jc w:val="right"/>
              <w:ind w:right="143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0" w:right="29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 forth below are the components of the change in our JV investment balance:</w:t>
      </w:r>
    </w:p>
    <w:p>
      <w:pPr>
        <w:spacing w:after="0" w:line="244"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Six Months Ended</w:t>
      </w:r>
    </w:p>
    <w:p>
      <w:pPr>
        <w:jc w:val="center"/>
        <w:ind w:left="67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4"/>
          </w:tcPr>
          <w:p>
            <w:pPr>
              <w:jc w:val="center"/>
              <w:ind w:left="356"/>
              <w:spacing w:after="0" w:line="142" w:lineRule="exact"/>
              <w:rPr>
                <w:sz w:val="20"/>
                <w:szCs w:val="20"/>
                <w:color w:val="auto"/>
              </w:rPr>
            </w:pPr>
            <w:r>
              <w:rPr>
                <w:rFonts w:ascii="Arial" w:cs="Arial" w:eastAsia="Arial" w:hAnsi="Arial"/>
                <w:sz w:val="14"/>
                <w:szCs w:val="14"/>
                <w:b w:val="1"/>
                <w:bCs w:val="1"/>
                <w:color w:val="auto"/>
                <w:w w:val="89"/>
              </w:rPr>
              <w:t>2014</w:t>
            </w: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6"/>
              </w:rPr>
              <w:t>$ 9,744</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$11,657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Investments</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Sale of 1% ownership interest</w:t>
            </w: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(205)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Our share of cumulative earnings</w:t>
            </w: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1,689</w:t>
            </w:r>
          </w:p>
        </w:tc>
        <w:tc>
          <w:tcPr>
            <w:tcW w:w="14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11,228</w:t>
            </w:r>
          </w:p>
        </w:tc>
        <w:tc>
          <w:tcPr>
            <w:tcW w:w="14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14,242</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8"/>
                <w:szCs w:val="18"/>
                <w:color w:val="auto"/>
              </w:rPr>
              <w:t>Set forth below is summarized balance sheet information for JV:</w:t>
            </w: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40" w:type="dxa"/>
            <w:vAlign w:val="bottom"/>
            <w:gridSpan w:val="3"/>
            <w:vMerge w:val="continue"/>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40" w:type="dxa"/>
            <w:vAlign w:val="bottom"/>
            <w:gridSpan w:val="8"/>
          </w:tcPr>
          <w:p>
            <w:pPr>
              <w:ind w:left="42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4"/>
          </w:tcPr>
          <w:p>
            <w:pPr>
              <w:jc w:val="center"/>
              <w:ind w:left="316"/>
              <w:spacing w:after="0"/>
              <w:rPr>
                <w:sz w:val="20"/>
                <w:szCs w:val="20"/>
                <w:color w:val="auto"/>
              </w:rPr>
            </w:pPr>
            <w:r>
              <w:rPr>
                <w:rFonts w:ascii="Arial" w:cs="Arial" w:eastAsia="Arial" w:hAnsi="Arial"/>
                <w:sz w:val="14"/>
                <w:szCs w:val="14"/>
                <w:b w:val="1"/>
                <w:bCs w:val="1"/>
                <w:color w:val="auto"/>
                <w:w w:val="89"/>
              </w:rPr>
              <w:t>2014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21,488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$29,539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Non-current assets</w:t>
            </w: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18,864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19,777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20" w:type="dxa"/>
            <w:vAlign w:val="bottom"/>
            <w:gridSpan w:val="2"/>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49,316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580" w:type="dxa"/>
            <w:vAlign w:val="bottom"/>
            <w:gridSpan w:val="2"/>
            <w:vMerge w:val="restart"/>
          </w:tcPr>
          <w:p>
            <w:pPr>
              <w:ind w:left="920"/>
              <w:spacing w:after="0"/>
              <w:rPr>
                <w:sz w:val="20"/>
                <w:szCs w:val="20"/>
                <w:color w:val="auto"/>
              </w:rPr>
            </w:pPr>
            <w:r>
              <w:rPr>
                <w:rFonts w:ascii="Arial" w:cs="Arial" w:eastAsia="Arial" w:hAnsi="Arial"/>
                <w:sz w:val="18"/>
                <w:szCs w:val="18"/>
                <w:color w:val="auto"/>
              </w:rPr>
              <w:t>Current liabilities</w:t>
            </w: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58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13,477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86"/>
              </w:rPr>
              <w:t>$17,392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108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580" w:type="dxa"/>
            <w:vAlign w:val="bottom"/>
            <w:gridSpan w:val="2"/>
          </w:tcPr>
          <w:p>
            <w:pPr>
              <w:ind w:left="920"/>
              <w:spacing w:after="0"/>
              <w:rPr>
                <w:sz w:val="20"/>
                <w:szCs w:val="20"/>
                <w:color w:val="auto"/>
              </w:rPr>
            </w:pPr>
            <w:r>
              <w:rPr>
                <w:rFonts w:ascii="Arial" w:cs="Arial" w:eastAsia="Arial" w:hAnsi="Arial"/>
                <w:sz w:val="18"/>
                <w:szCs w:val="18"/>
                <w:color w:val="auto"/>
              </w:rPr>
              <w:t>Total liabilities</w:t>
            </w: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13,235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17,142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8"/>
                <w:szCs w:val="18"/>
                <w:color w:val="auto"/>
              </w:rPr>
              <w:t>Set forth below are sales of product we made to the JV:</w:t>
            </w: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040" w:type="dxa"/>
            <w:vAlign w:val="bottom"/>
            <w:gridSpan w:val="3"/>
            <w:vMerge w:val="continue"/>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40" w:type="dxa"/>
            <w:vAlign w:val="bottom"/>
            <w:gridSpan w:val="8"/>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6040" w:type="dxa"/>
            <w:vAlign w:val="bottom"/>
            <w:gridSpan w:val="3"/>
            <w:vMerge w:val="restart"/>
          </w:tcPr>
          <w:p>
            <w:pPr>
              <w:ind w:left="460"/>
              <w:spacing w:after="0"/>
              <w:rPr>
                <w:sz w:val="20"/>
                <w:szCs w:val="20"/>
                <w:color w:val="auto"/>
              </w:rPr>
            </w:pPr>
            <w:r>
              <w:rPr>
                <w:rFonts w:ascii="Arial" w:cs="Arial" w:eastAsia="Arial" w:hAnsi="Arial"/>
                <w:sz w:val="14"/>
                <w:szCs w:val="14"/>
                <w:i w:val="1"/>
                <w:iCs w:val="1"/>
                <w:color w:val="auto"/>
              </w:rPr>
              <w:t>Amounts in thousands</w:t>
            </w:r>
          </w:p>
        </w:tc>
        <w:tc>
          <w:tcPr>
            <w:tcW w:w="14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5"/>
          </w:tcPr>
          <w:p>
            <w:pPr>
              <w:jc w:val="right"/>
              <w:ind w:right="10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gridSpan w:val="3"/>
          </w:tcPr>
          <w:p>
            <w:pPr>
              <w:spacing w:after="0"/>
              <w:rPr>
                <w:sz w:val="12"/>
                <w:szCs w:val="12"/>
                <w:color w:val="auto"/>
              </w:rPr>
            </w:pPr>
          </w:p>
        </w:tc>
        <w:tc>
          <w:tcPr>
            <w:tcW w:w="44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51</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   62</w:t>
            </w:r>
          </w:p>
        </w:tc>
        <w:tc>
          <w:tcPr>
            <w:tcW w:w="480" w:type="dxa"/>
            <w:vAlign w:val="bottom"/>
            <w:tcBorders>
              <w:top w:val="single" w:sz="8" w:color="CCEEFF"/>
            </w:tcBorders>
            <w:gridSpan w:val="3"/>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$ 150</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due to us from JV were $308 as of December 31, 2013 and $197 as of June 30,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July 21, 2014, we announced the signing of a definitive agreement to merge with NN, Inc. (“NN”). On August 29, 2014, we completed our merger with</w:t>
      </w:r>
    </w:p>
    <w:p>
      <w:pPr>
        <w:spacing w:after="0" w:line="46" w:lineRule="exact"/>
        <w:rPr>
          <w:sz w:val="20"/>
          <w:szCs w:val="20"/>
          <w:color w:val="auto"/>
        </w:rPr>
      </w:pPr>
    </w:p>
    <w:p>
      <w:pPr>
        <w:ind w:firstLine="8"/>
        <w:spacing w:after="0" w:line="255" w:lineRule="auto"/>
        <w:tabs>
          <w:tab w:leader="none" w:pos="3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$259,089 in cash, $29,830 in assumed debt and $31,707 in stock. This acquisition will leverage NN’s and Autocam’s complementary core strengths and values and will position NN’s Precision Metal Components business segment to take advantage of global market trends in fuel efficient technologies such as gasoline direct injection systems, high-pressure diesel injection systems and variable valve timing.</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CONSOLIDATED FINANCIAL STATEMENTS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Unaudited Pro Forma Condensed Combined Consolidated Financial Statements (referred to as the “pro forma financial statements”) have been primarily derived from the historical consolidated financial statements of NN, Inc. (“NN”) and Autocam Corporation (“Autocam”).</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On July 18, 2014, NN entered into a merger agreement with Autocam. On August 29, 2014, NN and Autocam completed the merger (referred to as the “Merger”) whereby a wholly owned subsidiary of NN merged with and into Autocam. As a result of the Merger, Autocam became a wholly owned subsidiary of NN.</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Unaudited Pro Forma Condensed Combined Consolidated Statements of Income (referred to as the “pro forma statements of income”) for the six months ended June 30, 2014 and the year ended December 31, 2013, give effect to the Merger as if it was consummated on January 1, 2013. The Unaudited Pro Forma Condensed Combined Consolidated Balance Sheet (referred to as the “pro forma balance sheet”) as of June 30, 2014, gives effect to the Merger as if it was consummated on June 30, 2014.</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historical consolidated financial information of NN has been adjusted in the pro forma financial statements to give effect to pro forma events that are: (i) directly attributable to the Merger; (ii) factually supportable; and (iii) with respect to the pro forma statements of income, expected to have a continuing impact on the combined results of NN and Autocam.</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Assumptions and estimates underlying the pro forma adjustments are described in the accompanying notes, which should be read in connection with the pro forma financial statements.</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the Merger is being accounted for under the acquisition method with NN as the acquirer of Autocam. As of the date hereof, NN has not completed the detailed valuation work necessary to arrive at the required estimates of the fair value of the Autocam assets to be acquired and the liabilities to be assumed and the related allocation of purchase price; however, for purposes of these pro forma financial statements, preliminary allocation estimates based on information known to us as of the date of this report have been included. The final fair values of the assets acquired and liabilities assumed as of the date of the Merger may differ materially from the information presented.</w:t>
      </w:r>
    </w:p>
    <w:p>
      <w:pPr>
        <w:spacing w:after="0" w:line="158" w:lineRule="exact"/>
        <w:rPr>
          <w:sz w:val="20"/>
          <w:szCs w:val="20"/>
          <w:color w:val="auto"/>
        </w:rPr>
      </w:pPr>
    </w:p>
    <w:p>
      <w:pPr>
        <w:ind w:right="260" w:firstLine="456"/>
        <w:spacing w:after="0" w:line="293" w:lineRule="auto"/>
        <w:rPr>
          <w:sz w:val="20"/>
          <w:szCs w:val="20"/>
          <w:color w:val="auto"/>
        </w:rPr>
      </w:pPr>
      <w:r>
        <w:rPr>
          <w:rFonts w:ascii="Arial" w:cs="Arial" w:eastAsia="Arial" w:hAnsi="Arial"/>
          <w:sz w:val="16"/>
          <w:szCs w:val="16"/>
          <w:color w:val="auto"/>
        </w:rPr>
        <w:t>The pro forma financial statements have been presented for illustrative purposes only and do not reflect the impact of synergies resulting from the Merger. NN expects to incur significant costs and achieve significant synergies in connection with integrating the operations of NN and Autocam. The pro forma financial statements do not reflect the costs of any integration activities or benefits that may result from realization of future cost savings from operating efficiencies, or any revenue, tax, or other synergies expected to result from the Merger. In addition, certain nonrecurring items, such as estimated transaction costs directly attributable to the Merger, have been excluded from the pro forma statements of income. The pro forma financial statements do reflect NN’s new $350 million term loan facility obtained in connection with the closing of the Merger, and the use of such proceeds.</w:t>
      </w:r>
    </w:p>
    <w:p>
      <w:pPr>
        <w:spacing w:after="0" w:line="165" w:lineRule="exact"/>
        <w:rPr>
          <w:sz w:val="20"/>
          <w:szCs w:val="20"/>
          <w:color w:val="auto"/>
        </w:rPr>
      </w:pPr>
    </w:p>
    <w:p>
      <w:pPr>
        <w:jc w:val="both"/>
        <w:ind w:right="620" w:firstLine="456"/>
        <w:spacing w:after="0" w:line="264" w:lineRule="auto"/>
        <w:rPr>
          <w:sz w:val="20"/>
          <w:szCs w:val="20"/>
          <w:color w:val="auto"/>
        </w:rPr>
      </w:pPr>
      <w:r>
        <w:rPr>
          <w:rFonts w:ascii="Arial" w:cs="Arial" w:eastAsia="Arial" w:hAnsi="Arial"/>
          <w:sz w:val="18"/>
          <w:szCs w:val="18"/>
          <w:color w:val="auto"/>
        </w:rPr>
        <w:t>These pro forma financial statements are for informational purposes only. They do not purport to indicate the results of operations and financial position that would have been achieved had the pro forma events taken place on the dates indicated, or the future consolidated results of operations or financial position of the combined company.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 forma financial statements should be read in conjunction with:</w:t>
      </w:r>
    </w:p>
    <w:p>
      <w:pPr>
        <w:spacing w:after="0" w:line="131" w:lineRule="exact"/>
        <w:rPr>
          <w:sz w:val="20"/>
          <w:szCs w:val="20"/>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accompanying notes to the pro forma financial statements;</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separate historical consolidated financial statements of NN as of and for the year ended December 31, 2013, included in NN’s Form 10-K filed with the SEC on March 14, 2014;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6" w:name="page57"/>
    <w:bookmarkEnd w:id="56"/>
    <w:p>
      <w:pPr>
        <w:ind w:left="446" w:right="400" w:hanging="446"/>
        <w:spacing w:after="0" w:line="277" w:lineRule="auto"/>
        <w:tabs>
          <w:tab w:leader="none" w:pos="446"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separate historical unaudited condensed consolidated interim financial statements of NN as of and for the quarter and six months ended June 30, 2014, included in NN’s Form 10-Q filed with the SEC on August 8, 2014;</w:t>
      </w:r>
    </w:p>
    <w:p>
      <w:pPr>
        <w:spacing w:after="0" w:line="75" w:lineRule="exact"/>
        <w:rPr>
          <w:rFonts w:ascii="Arial" w:cs="Arial" w:eastAsia="Arial" w:hAnsi="Arial"/>
          <w:sz w:val="18"/>
          <w:szCs w:val="18"/>
          <w:color w:val="auto"/>
        </w:rPr>
      </w:pPr>
    </w:p>
    <w:p>
      <w:pPr>
        <w:ind w:left="446" w:right="60" w:hanging="446"/>
        <w:spacing w:after="0" w:line="277" w:lineRule="auto"/>
        <w:tabs>
          <w:tab w:leader="none" w:pos="4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separate historical consolidated financial statements of Autocam as of and for the year ended December 31, 2013, included as Exhibit 99.1 to NN’s Amendment to Current Report on Form 8-K/A filed herewith; and</w:t>
      </w:r>
    </w:p>
    <w:p>
      <w:pPr>
        <w:spacing w:after="0" w:line="75" w:lineRule="exact"/>
        <w:rPr>
          <w:rFonts w:ascii="Arial" w:cs="Arial" w:eastAsia="Arial" w:hAnsi="Arial"/>
          <w:sz w:val="18"/>
          <w:szCs w:val="18"/>
          <w:color w:val="auto"/>
        </w:rPr>
      </w:pPr>
    </w:p>
    <w:p>
      <w:pPr>
        <w:ind w:left="446" w:hanging="446"/>
        <w:spacing w:after="0" w:line="308" w:lineRule="auto"/>
        <w:tabs>
          <w:tab w:leader="none" w:pos="44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separate historical unaudited condensed consolidated interim financial statements of Autocam as of and for the quarter and six months ended June 30, 2014, included as Exhibit 99.2 to NN’s Amendment to Current Report on Form 8-K/A filed herewith.</w:t>
      </w:r>
    </w:p>
    <w:p>
      <w:pPr>
        <w:spacing w:after="0" w:line="79" w:lineRule="exact"/>
        <w:rPr>
          <w:sz w:val="20"/>
          <w:szCs w:val="20"/>
          <w:color w:val="auto"/>
        </w:rPr>
      </w:pPr>
    </w:p>
    <w:p>
      <w:pPr>
        <w:ind w:left="462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86"/>
          </w:cols>
          <w:pgMar w:left="1274" w:top="27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 AND AUTOCAM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Reclassification</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to Presentation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of Historical</w:t>
            </w:r>
          </w:p>
        </w:tc>
        <w:tc>
          <w:tcPr>
            <w:tcW w:w="11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9"/>
              </w:rPr>
              <w:t>Pro Forma</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NN</w:t>
            </w: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Autocam</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Autocam</w:t>
            </w:r>
          </w:p>
        </w:tc>
        <w:tc>
          <w:tcPr>
            <w:tcW w:w="1160" w:type="dxa"/>
            <w:vAlign w:val="bottom"/>
            <w:gridSpan w:val="3"/>
            <w:vMerge w:val="continue"/>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(Note 1)</w:t>
            </w:r>
          </w:p>
        </w:tc>
        <w:tc>
          <w:tcPr>
            <w:tcW w:w="11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9"/>
              </w:rPr>
              <w:t>Adjustments</w:t>
            </w:r>
          </w:p>
        </w:tc>
        <w:tc>
          <w:tcPr>
            <w:tcW w:w="880" w:type="dxa"/>
            <w:vAlign w:val="bottom"/>
            <w:gridSpan w:val="2"/>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373,206</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$233,484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606,690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tcPr>
          <w:p>
            <w:pPr>
              <w:spacing w:after="0" w:line="201" w:lineRule="exact"/>
              <w:rPr>
                <w:sz w:val="20"/>
                <w:szCs w:val="20"/>
                <w:color w:val="auto"/>
              </w:rPr>
            </w:pPr>
            <w:r>
              <w:rPr>
                <w:rFonts w:ascii="Arial" w:cs="Arial" w:eastAsia="Arial" w:hAnsi="Arial"/>
                <w:sz w:val="18"/>
                <w:szCs w:val="18"/>
                <w:color w:val="auto"/>
                <w:w w:val="94"/>
              </w:rPr>
              <w:t>Cost of products sold (exclusive of depreciation and amortization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shown separately below)</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295,136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203,749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(16,318)</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482,567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33,281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16,957</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16,603</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1,259</w:t>
            </w: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3(a)</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4"/>
        </w:trPr>
        <w:tc>
          <w:tcPr>
            <w:tcW w:w="49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27,827</w:t>
            </w:r>
          </w:p>
        </w:tc>
        <w:tc>
          <w:tcPr>
            <w:tcW w:w="3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15,945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3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2,374</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2,741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19,744</w:t>
            </w: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3(c)</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Income before provision (benefit) for income taxes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25,178</w:t>
            </w:r>
          </w:p>
        </w:tc>
        <w:tc>
          <w:tcPr>
            <w:tcW w:w="3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(21,003)</w:t>
            </w:r>
          </w:p>
        </w:tc>
        <w:tc>
          <w:tcPr>
            <w:tcW w:w="3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(7,455)</w:t>
            </w: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Share of income from joint venture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(3,658)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17,178</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(13,548)</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16,497</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Basic income per share:</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17,176</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1,087</w:t>
            </w:r>
          </w:p>
        </w:tc>
        <w:tc>
          <w:tcPr>
            <w:tcW w:w="38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3(e)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share: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17,260</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1,087</w:t>
            </w: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18,347</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Cash dividends per common share</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3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 AND AUTOCAM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Reclassification</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to Presentation</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of Historical</w:t>
            </w:r>
          </w:p>
        </w:tc>
        <w:tc>
          <w:tcPr>
            <w:tcW w:w="11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9"/>
              </w:rPr>
              <w:t>Pro Forma</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NN</w:t>
            </w: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Autocam</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Autocam</w:t>
            </w:r>
          </w:p>
        </w:tc>
        <w:tc>
          <w:tcPr>
            <w:tcW w:w="1160" w:type="dxa"/>
            <w:vAlign w:val="bottom"/>
            <w:gridSpan w:val="3"/>
            <w:vMerge w:val="continue"/>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(Note 1)</w:t>
            </w:r>
          </w:p>
        </w:tc>
        <w:tc>
          <w:tcPr>
            <w:tcW w:w="11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9"/>
              </w:rPr>
              <w:t>Adjustments</w:t>
            </w:r>
          </w:p>
        </w:tc>
        <w:tc>
          <w:tcPr>
            <w:tcW w:w="880" w:type="dxa"/>
            <w:vAlign w:val="bottom"/>
            <w:gridSpan w:val="2"/>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209,208</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$129,704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338,912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Pr>
          <w:p>
            <w:pPr>
              <w:spacing w:after="0" w:line="201" w:lineRule="exact"/>
              <w:rPr>
                <w:sz w:val="20"/>
                <w:szCs w:val="20"/>
                <w:color w:val="auto"/>
              </w:rPr>
            </w:pPr>
            <w:r>
              <w:rPr>
                <w:rFonts w:ascii="Arial" w:cs="Arial" w:eastAsia="Arial" w:hAnsi="Arial"/>
                <w:sz w:val="18"/>
                <w:szCs w:val="18"/>
                <w:color w:val="auto"/>
                <w:w w:val="98"/>
              </w:rPr>
              <w:t>Cost of products sold (exclusive of depreciation and amortization</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shown separately below)</w:t>
            </w:r>
          </w:p>
        </w:tc>
        <w:tc>
          <w:tcPr>
            <w:tcW w:w="10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164,569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110,702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(9,272)</w:t>
            </w:r>
          </w:p>
        </w:tc>
        <w:tc>
          <w:tcPr>
            <w:tcW w:w="20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265,999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20,104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(744)</w:t>
            </w: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3(b)</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7,961</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9,321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(391)</w:t>
            </w: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3(a)</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4"/>
        </w:trPr>
        <w:tc>
          <w:tcPr>
            <w:tcW w:w="51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16,574</w:t>
            </w:r>
          </w:p>
        </w:tc>
        <w:tc>
          <w:tcPr>
            <w:tcW w:w="3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3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1,115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9,968</w:t>
            </w: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3(c)</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Income before provision (benefit) for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15,247</w:t>
            </w:r>
          </w:p>
        </w:tc>
        <w:tc>
          <w:tcPr>
            <w:tcW w:w="3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(8,833)</w:t>
            </w:r>
          </w:p>
        </w:tc>
        <w:tc>
          <w:tcPr>
            <w:tcW w:w="3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4,809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(3,210)</w:t>
            </w: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Share of income from joint venture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10,438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(5,623)</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13,304</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Basic income per share: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0.59</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70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17,700</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1,087</w:t>
            </w:r>
          </w:p>
        </w:tc>
        <w:tc>
          <w:tcPr>
            <w:tcW w:w="38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3(e)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0.58</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18,054</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1,087</w:t>
            </w: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19,141</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Cash dividends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3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 AND AUTOCAM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Reclassification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to Presentation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of Historical</w:t>
            </w:r>
          </w:p>
        </w:tc>
        <w:tc>
          <w:tcPr>
            <w:tcW w:w="140" w:type="dxa"/>
            <w:vAlign w:val="bottom"/>
          </w:tcPr>
          <w:p>
            <w:pPr>
              <w:spacing w:after="0"/>
              <w:rPr>
                <w:sz w:val="12"/>
                <w:szCs w:val="12"/>
                <w:color w:val="auto"/>
              </w:rPr>
            </w:pPr>
          </w:p>
        </w:tc>
        <w:tc>
          <w:tcPr>
            <w:tcW w:w="10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7"/>
              </w:rPr>
              <w:t>Pro Forma</w:t>
            </w: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Autocam</w:t>
            </w: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NN</w:t>
            </w: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Autocam</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(Note 1)</w:t>
            </w:r>
          </w:p>
        </w:tc>
        <w:tc>
          <w:tcPr>
            <w:tcW w:w="140" w:type="dxa"/>
            <w:vAlign w:val="bottom"/>
          </w:tcPr>
          <w:p>
            <w:pPr>
              <w:spacing w:after="0"/>
              <w:rPr>
                <w:sz w:val="16"/>
                <w:szCs w:val="16"/>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0"/>
              </w:rPr>
              <w:t>Adjustment</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6"/>
                <w:szCs w:val="16"/>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10,755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11,670</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3(f)</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w w:val="99"/>
              </w:rPr>
              <w:t>Accounts receivable, net of allowance for doubtful accounts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80,740</w:t>
            </w: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41,910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(1,005)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121,645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61,541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1,596</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2,449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17,716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158,027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13,266</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257,588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132,681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135,218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4,488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8,781</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3(h)</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281,168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86,194</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Intangible assets,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40,198</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3(i)</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14,242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21,353</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3(j)</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7,906</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307,420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241,166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177,698</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727,728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48,540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18,190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Accrued salaries, wages and benefits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13,408</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8,335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(4,000)</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(3,032)</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3(q)</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575</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75,336</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47,921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(6,457)</w:t>
            </w:r>
          </w:p>
        </w:tc>
        <w:tc>
          <w:tcPr>
            <w:tcW w:w="3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118,244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17,633</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53,500</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46,382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256,404</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3(n)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356,286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10,783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3(o)</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(4,136)</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3(o)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12,819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143,581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129,199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263,339</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537,563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163,839</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111,967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(85,641)</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3(p)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190,165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307,420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241,166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177,698</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727,728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311"/>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60" w:name="page61"/>
    <w:bookmarkEnd w:id="60"/>
    <w:p>
      <w:pPr>
        <w:ind w:right="1740"/>
        <w:spacing w:after="0" w:line="37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THE UNAUDITED PRO FORMA CONDENSED COMBINED CONSOLIDATED FINANCIAL STATEMENTS NOTE 1. DESCRIPTION OF TRANSACTION AND BASIS OF PRESENTATION</w:t>
      </w:r>
    </w:p>
    <w:p>
      <w:pPr>
        <w:ind w:right="60"/>
        <w:spacing w:after="0" w:line="293" w:lineRule="auto"/>
        <w:rPr>
          <w:sz w:val="20"/>
          <w:szCs w:val="20"/>
          <w:color w:val="auto"/>
        </w:rPr>
      </w:pPr>
      <w:r>
        <w:rPr>
          <w:rFonts w:ascii="Arial" w:cs="Arial" w:eastAsia="Arial" w:hAnsi="Arial"/>
          <w:sz w:val="16"/>
          <w:szCs w:val="16"/>
          <w:color w:val="auto"/>
        </w:rPr>
        <w:t>As previously disclosed, on July 18, 2014, NN entered into a merger agreement with Autocam. On August 29, 2014, NN and Autocam completed the Merger whereby a wholly owned subsidiary of NN merged with and into Autocam. As a result of the Merger, Autocam became a wholly owned subsidiary of NN. The aggregate consideration paid by NN in connection with the Merger was approximately $290,806, consisting of $259,089 million in cash and $31,717 in equity. Autocam designs and manufactures close-tolerance, specialty metal alloy components. Currently, Autocam manufactures components for use on fuel delivery, electromechanical motor, steering and braking systems for the transportation industry. Autocam has three manufacturing locations in the U.S., three in Brazil and one each in France, Poland and China and owns a 49% interest in a Chinese joint venture.</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pro forma financial statements have been derived from the historical consolidated financial statements of NN and Autocam. Additionally, certain financial statement line items included in Autocam’s historical presentation have been disaggregated or condensed to conform to corresponding financial statement line items included in NN’s historical presentation. These reclassifications are reported in the pro forma financial statements under the column titled “Reclassification to Presentation of Historical Autocam” and as discussed in the follow two paragraphs.</w:t>
      </w:r>
    </w:p>
    <w:p>
      <w:pPr>
        <w:spacing w:after="0" w:line="17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Within the pro forma statements of income we have made certain changes in presentation to conform Autocam’s financial presentation to NN’s financial statement presentation. Depreciation expense and loss (gain) on disposal of fixed assets which were historically reflected in cost of products sold in Autocam’s historical financial statements have been reclassified and presented within the captions depreciation and amortization and loss on disposal of assets, respectively. Depreciation expense which was historically reflected in selling, general and administrative expense in Autocam’s historical financial statements has been reclassified and presented within the caption depreciation and amortization.</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Within the pro forma balance sheet we have made the following reclassifications to conform Autocam’s financial statement presentation to NN’s financial statement presentation: other receivables have been reclassified from the caption accounts receivable to other current assets; equipment deposits reported by Autocam under other long-term assets have been reclassified to property, plant and equipment, net; and income taxes payable reported by Autocam under accrued liabilities, other has been reclassified to other current assets. The reclassification of these items had no significant impact on the historical total assets, total liabilities, or stockholders’ equity reported by NN or Autocam, respectively. The reclassifications also did not impact the historical earnings from continuing operations.</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Merger is recorded within the pro forma financial statements under the acquisition method of accounting, in accordance with business combination accounting guidance under accounting principles generally accepted in the United States (“GAAP”). Under these accounting standards, the assets acquired and the liabilities assumed will be measured at estimated fair value. Fair value is defined as the price that would be received to sell an asset or paid to transfer a liability in an orderly transaction between market participants as of the measurement date. The unaudited pro forma adjustments included herein are preliminary. As of the date hereof, NN has not completed the detailed valuation work necessary to arrive at the required estimates of the fair value of the Autocam assets to be acquired and the liabilities to be assumed and the related allocation of purchase price. The final fair values of the assets acquired and liabilities assumed once finalized may differ materially from the information presented. Except for share and per share data and unless otherwise noted, all numbers contained in the pro forma financial statements are in thousands.</w:t>
      </w:r>
    </w:p>
    <w:p>
      <w:pPr>
        <w:spacing w:after="0" w:line="1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Acquisition-related transaction costs are not included as components of consideration transferred but are accounted for as expenses in the period in which the costs are incurred.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61" w:name="page62"/>
    <w:bookmarkEnd w:id="61"/>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 forma financial statements were prepared in accordance with U.S. GAAP and pursuant to U.S. Securities and Exchange Commission Regulation S-X Article 11. The pro forma financial statements of the consolidated companies are based upon the historical information of the respective companies after giving effect to the Merger and adjustments described in these footnotes. The pro forma balance sheet is presented as if the Merger had occurred on June 30, 2014; the pro forma statements of income for the six-months ended June 30, 2014 and for the year ended December 31, 2013, give effect to the Merger as if it occurred on January 1, 2013.</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pro forma financial statements do not reflect ongoing cost savings that NN expects to achieve as a result of the Merger or the costs necessary to achieve these costs savings or synergies.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CONSIDERATION TRANSFERRED AND PRELIMINARY PURCHASE PRICE ALLOCATION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Merger has been accounted for using the acquisition method of accounting in accordance with ASC 805, which requires, among other things, that the assets acquired and liabilities assumed be recognized at their acquisition date fair values, with any excess of the consideration transferred over the estimated fair values of the identifiable net assets acquired recorded as goodwill. In addition, ASC 805 establishes that the common stock issued to effect the Merger be measured at the date the Merger is completed at the then-current market price.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total initial consideration transferred by NN in the Merger was approximately $290,806 and consisted of the following:</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transferred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$259,089</w:t>
            </w:r>
          </w:p>
        </w:tc>
        <w:tc>
          <w:tcPr>
            <w:tcW w:w="100" w:type="dxa"/>
            <w:vAlign w:val="bottom"/>
            <w:shd w:val="clear" w:color="auto" w:fill="CCEEFF"/>
          </w:tcPr>
          <w:p>
            <w:pPr>
              <w:spacing w:after="0"/>
              <w:rPr>
                <w:sz w:val="18"/>
                <w:szCs w:val="18"/>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w w:val="99"/>
              </w:rPr>
              <w:t>Value of NN, Inc. shares issued to the former majority shareholder of Autocam (1)</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31,717</w:t>
            </w:r>
          </w:p>
        </w:tc>
        <w:tc>
          <w:tcPr>
            <w:tcW w:w="100" w:type="dxa"/>
            <w:vAlign w:val="bottom"/>
          </w:tcPr>
          <w:p>
            <w:pPr>
              <w:spacing w:after="0"/>
              <w:rPr>
                <w:sz w:val="19"/>
                <w:szCs w:val="19"/>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value of consideration transferred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290,806</w:t>
            </w:r>
          </w:p>
        </w:tc>
        <w:tc>
          <w:tcPr>
            <w:tcW w:w="100" w:type="dxa"/>
            <w:vAlign w:val="bottom"/>
            <w:shd w:val="clear" w:color="auto" w:fill="CCEEFF"/>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1,086,957 shares of NN common stock issued at a fair market value price of $29.18 at the date of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preliminary estimated fair values of the net assets acquired assuming the Merger closed on June 30, 2014:</w:t>
      </w:r>
    </w:p>
    <w:p>
      <w:pPr>
        <w:spacing w:after="0" w:line="244"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Fair value of assets acquired and</w:t>
      </w:r>
    </w:p>
    <w:p>
      <w:pPr>
        <w:spacing w:after="0" w:line="4"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-3175</wp:posOffset>
            </wp:positionV>
            <wp:extent cx="1277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1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148,487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Goodwill</w:t>
            </w:r>
          </w:p>
        </w:tc>
        <w:tc>
          <w:tcPr>
            <w:tcW w:w="3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400,569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3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Long-term debt</w:t>
            </w: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Total liabilities assumed</w:t>
            </w:r>
          </w:p>
        </w:tc>
        <w:tc>
          <w:tcPr>
            <w:tcW w:w="36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109,763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Assets acquired</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290,806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20" w:type="dxa"/>
            <w:vAlign w:val="bottom"/>
            <w:vMerge w:val="restart"/>
          </w:tcPr>
          <w:p>
            <w:pPr>
              <w:jc w:val="right"/>
              <w:ind w:right="2970"/>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62" w:name="page63"/>
    <w:bookmarkEnd w:id="62"/>
    <w:p>
      <w:pPr>
        <w:ind w:firstLine="8"/>
        <w:spacing w:after="0" w:line="276" w:lineRule="auto"/>
        <w:tabs>
          <w:tab w:leader="none" w:pos="305" w:val="left"/>
        </w:tabs>
        <w:numPr>
          <w:ilvl w:val="0"/>
          <w:numId w:val="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made preliminary allocation estimates based on the information known to us as of the date of this report. The final determination of the purchase price allocation is anticipated to be completed as soon as practicable and most likely by the filing of our 2014 annual report on Form 10-K in March 2015. NN anticipates that the valuations of the acquired assets and liabilities will include, but not be limited to, inventory, fixed assets, customer relationships, technology know how, trade names and other potential intangible assets. The valuations will consist of physical appraisals, discounted cash flow analyses, or other appropriate valuation techniques to determine the fair value of the assets acquired and liabilities assumed.</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final, as-adjusted amounts allocated to assets acquired and liabilities assumed in the Merger will be based off the fair value of the net assets acquired at the Merger date and could differ materially from the preliminary amounts presented in these pro forma financial statements as of June 30, 2014. A decrease in the fair value of assets acquired or an increase in the fair value of liabilities assumed from those preliminary valuations presented in these pro forma financial statements would result in a dollar-for-dollar corresponding increase in the amount of goodwill that will result from the Merger. In addition, if the value of the acquired assets is higher than the preliminary indication, it may result in higher amortization and depreciation expense than is presented in these pro forma financial statements.</w:t>
      </w:r>
    </w:p>
    <w:p>
      <w:pPr>
        <w:spacing w:after="0" w:line="297" w:lineRule="exact"/>
        <w:rPr>
          <w:sz w:val="20"/>
          <w:szCs w:val="20"/>
          <w:color w:val="auto"/>
        </w:rPr>
      </w:pPr>
    </w:p>
    <w:p>
      <w:pPr>
        <w:ind w:right="2200"/>
        <w:spacing w:after="0" w:line="407" w:lineRule="auto"/>
        <w:rPr>
          <w:sz w:val="20"/>
          <w:szCs w:val="20"/>
          <w:color w:val="auto"/>
        </w:rPr>
      </w:pPr>
      <w:r>
        <w:rPr>
          <w:rFonts w:ascii="Arial" w:cs="Arial" w:eastAsia="Arial" w:hAnsi="Arial"/>
          <w:sz w:val="18"/>
          <w:szCs w:val="18"/>
          <w:b w:val="1"/>
          <w:bCs w:val="1"/>
          <w:color w:val="auto"/>
        </w:rPr>
        <w:t xml:space="preserve">NOTE 3. ADJUSTMENTS TO UNAUDITED PRO FORMA CONDENSED COMBINED FINANCIAL STATEMENTS </w:t>
      </w:r>
      <w:r>
        <w:rPr>
          <w:rFonts w:ascii="Arial" w:cs="Arial" w:eastAsia="Arial" w:hAnsi="Arial"/>
          <w:sz w:val="18"/>
          <w:szCs w:val="18"/>
          <w:color w:val="auto"/>
        </w:rPr>
        <w:t>The unaudited pro forma adjustments included in the pro forma financial statements are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Unaudited Pro Forma Condensed Combined Consolidated Statements of Income</w:t>
      </w:r>
    </w:p>
    <w:p>
      <w:pPr>
        <w:spacing w:after="0" w:line="117" w:lineRule="exact"/>
        <w:rPr>
          <w:sz w:val="20"/>
          <w:szCs w:val="20"/>
          <w:color w:val="auto"/>
        </w:rPr>
      </w:pPr>
    </w:p>
    <w:p>
      <w:pPr>
        <w:ind w:right="20" w:firstLine="8"/>
        <w:spacing w:after="0" w:line="259" w:lineRule="auto"/>
        <w:tabs>
          <w:tab w:leader="none" w:pos="18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 Adjustment represents the preliminary depreciation and amortization expense associated with the change in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property and equipment and intangible assets recorded in relation to the Merger. For the year ended December 31, 2013 and the six months ended June 30, 2014, a pro forma adjustment for depreciation and amortization expense represented approximately $1,259 and $(391), respectively. The preliminary depreciation and amortization expense for the assets acquired is as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Estimated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Depreciation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Depreciation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Preliminary fair</w:t>
            </w: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weighted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expense for the</w:t>
            </w:r>
          </w:p>
        </w:tc>
        <w:tc>
          <w:tcPr>
            <w:tcW w:w="30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expense 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 life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year ended</w:t>
            </w:r>
          </w:p>
        </w:tc>
        <w:tc>
          <w:tcPr>
            <w:tcW w:w="3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value</w:t>
            </w: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(years)</w:t>
            </w:r>
          </w:p>
        </w:tc>
        <w:tc>
          <w:tcPr>
            <w:tcW w:w="3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June 30,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7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7,267</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484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124,089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7,855</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982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 and computers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2,796</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4,488</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148,487</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14,487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Less: Autocam historical depreciation expense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16,603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Depreciation expense has been estimated based upon the nature of activities associated with the property and equipment assets acquired. With other assumptions held constant, a 10% increase in the fair value adjustment for property, plant and equipment would increase annual pro forma depreciation and amortization expense by approximately $1,449.</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63" w:name="page64"/>
    <w:bookmarkEnd w:id="63"/>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Estimated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Amortization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Preliminary fair</w:t>
            </w: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weighted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expense for the</w:t>
            </w:r>
          </w:p>
        </w:tc>
        <w:tc>
          <w:tcPr>
            <w:tcW w:w="320" w:type="dxa"/>
            <w:vAlign w:val="bottom"/>
          </w:tcPr>
          <w:p>
            <w:pPr>
              <w:spacing w:after="0"/>
              <w:rPr>
                <w:sz w:val="12"/>
                <w:szCs w:val="12"/>
                <w:color w:val="auto"/>
              </w:rPr>
            </w:pPr>
          </w:p>
        </w:tc>
        <w:tc>
          <w:tcPr>
            <w:tcW w:w="11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expense 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 life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year ended</w:t>
            </w:r>
          </w:p>
        </w:tc>
        <w:tc>
          <w:tcPr>
            <w:tcW w:w="3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value</w:t>
            </w: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(years)</w:t>
            </w:r>
          </w:p>
        </w:tc>
        <w:tc>
          <w:tcPr>
            <w:tcW w:w="36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June 30,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35,300</w:t>
            </w:r>
          </w:p>
        </w:tc>
        <w:tc>
          <w:tcPr>
            <w:tcW w:w="7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Trade names and trademarks</w:t>
            </w:r>
          </w:p>
        </w:tc>
        <w:tc>
          <w:tcPr>
            <w:tcW w:w="22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4,100</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273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1,690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Unfavorable leases</w:t>
            </w:r>
          </w:p>
        </w:tc>
        <w:tc>
          <w:tcPr>
            <w:tcW w:w="22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(892)</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40,198</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3,375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Less: Autocam historical amortization expense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3,375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86" w:lineRule="auto"/>
        <w:rPr>
          <w:sz w:val="20"/>
          <w:szCs w:val="20"/>
          <w:color w:val="auto"/>
        </w:rPr>
      </w:pPr>
      <w:r>
        <w:rPr>
          <w:rFonts w:ascii="Arial" w:cs="Arial" w:eastAsia="Arial" w:hAnsi="Arial"/>
          <w:sz w:val="17"/>
          <w:szCs w:val="17"/>
          <w:color w:val="auto"/>
        </w:rPr>
        <w:t>The estimated fair value of amortizable intangible assets is expected to be amortized on a straight-line basis over the estimated useful lives. The amortizable lives reflect the periods over which the assets are expected to provide material economic benefit. With other assumptions held constant, a 10% increase in the fair value adjustment for amortizable intangible assets would increase annual pro forma amortization by approximately $337.</w:t>
      </w:r>
    </w:p>
    <w:p>
      <w:pPr>
        <w:spacing w:after="0" w:line="166" w:lineRule="exact"/>
        <w:rPr>
          <w:sz w:val="20"/>
          <w:szCs w:val="20"/>
          <w:color w:val="auto"/>
        </w:rPr>
      </w:pPr>
    </w:p>
    <w:p>
      <w:pPr>
        <w:ind w:right="80" w:firstLine="8"/>
        <w:spacing w:after="0" w:line="257" w:lineRule="auto"/>
        <w:tabs>
          <w:tab w:leader="none" w:pos="19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Transaction related expenses recognized by NN and Autocam during the six months ended June 30, 2014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tax effects have been eliminated from the pro forma statements of income, as these items are directly attributable to the Merger and will not have an ongoing impact. No transaction costs were expensed or accrued by either NN or Autocam in their actual 2013 historical financial statements. The amounts excluded from the pro forma statement of income were $568 of expense incurred by NN and $176 of expense incurred by Autocam for a total adjustment of $744.</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53" w:right="319" w:bottom="1440" w:gutter="0" w:footer="0" w:header="0"/>
        </w:sectPr>
      </w:pPr>
    </w:p>
    <w:bookmarkStart w:id="64" w:name="page65"/>
    <w:bookmarkEnd w:id="64"/>
    <w:p>
      <w:pPr>
        <w:ind w:right="260" w:firstLine="8"/>
        <w:spacing w:after="0" w:line="342" w:lineRule="auto"/>
        <w:tabs>
          <w:tab w:leader="none" w:pos="185"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Interest expense - </w:t>
      </w:r>
      <w:r>
        <w:rPr>
          <w:rFonts w:ascii="Arial" w:cs="Arial" w:eastAsia="Arial" w:hAnsi="Arial"/>
          <w:sz w:val="16"/>
          <w:szCs w:val="16"/>
          <w:color w:val="auto"/>
        </w:rPr>
        <w:t>Adjustment reflects the additional interest expense that would have been incurred during the historical periods presented assuming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had occurred as of January 1, 2013. The additional interest expense to be incurred by NN as a result of the new borrowings is as follows:</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4"/>
                <w:szCs w:val="14"/>
                <w:color w:val="auto"/>
                <w:w w:val="89"/>
              </w:rPr>
              <w:t>Interest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86"/>
              </w:rPr>
              <w:t>expense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expense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5"/>
              </w:rPr>
              <w:t>for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the six</w:t>
            </w:r>
          </w:p>
        </w:tc>
        <w:tc>
          <w:tcPr>
            <w:tcW w:w="0" w:type="dxa"/>
            <w:vAlign w:val="bottom"/>
          </w:tcPr>
          <w:p>
            <w:pPr>
              <w:spacing w:after="0"/>
              <w:rPr>
                <w:sz w:val="1"/>
                <w:szCs w:val="1"/>
                <w:color w:val="auto"/>
              </w:rPr>
            </w:pPr>
          </w:p>
        </w:tc>
      </w:tr>
      <w:tr>
        <w:trPr>
          <w:trHeight w:val="149"/>
        </w:trPr>
        <w:tc>
          <w:tcPr>
            <w:tcW w:w="5860" w:type="dxa"/>
            <w:vAlign w:val="bottom"/>
            <w:gridSpan w:val="3"/>
            <w:vMerge w:val="restart"/>
          </w:tcPr>
          <w:p>
            <w:pPr>
              <w:spacing w:after="0"/>
              <w:rPr>
                <w:sz w:val="20"/>
                <w:szCs w:val="20"/>
                <w:color w:val="auto"/>
              </w:rPr>
            </w:pPr>
            <w:r>
              <w:rPr>
                <w:rFonts w:ascii="Arial" w:cs="Arial" w:eastAsia="Arial" w:hAnsi="Arial"/>
                <w:sz w:val="14"/>
                <w:szCs w:val="14"/>
                <w:color w:val="auto"/>
              </w:rPr>
              <w:t>Composition of new debt and</w:t>
            </w: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2"/>
              </w:rPr>
              <w:t>Assumed</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88"/>
              </w:rPr>
              <w:t>year 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40"/>
        </w:trPr>
        <w:tc>
          <w:tcPr>
            <w:tcW w:w="5860" w:type="dxa"/>
            <w:vAlign w:val="bottom"/>
            <w:gridSpan w:val="3"/>
            <w:vMerge w:val="continue"/>
          </w:tcPr>
          <w:p>
            <w:pPr>
              <w:spacing w:after="0"/>
              <w:rPr>
                <w:sz w:val="12"/>
                <w:szCs w:val="12"/>
                <w:color w:val="auto"/>
              </w:rPr>
            </w:pPr>
          </w:p>
        </w:tc>
        <w:tc>
          <w:tcPr>
            <w:tcW w:w="1140" w:type="dxa"/>
            <w:vAlign w:val="bottom"/>
            <w:gridSpan w:val="2"/>
          </w:tcPr>
          <w:p>
            <w:pPr>
              <w:jc w:val="center"/>
              <w:ind w:right="620"/>
              <w:spacing w:after="0" w:line="141" w:lineRule="exact"/>
              <w:rPr>
                <w:sz w:val="20"/>
                <w:szCs w:val="20"/>
                <w:color w:val="auto"/>
              </w:rPr>
            </w:pPr>
            <w:r>
              <w:rPr>
                <w:rFonts w:ascii="Arial" w:cs="Arial" w:eastAsia="Arial" w:hAnsi="Arial"/>
                <w:sz w:val="14"/>
                <w:szCs w:val="14"/>
                <w:color w:val="auto"/>
                <w:w w:val="94"/>
              </w:rPr>
              <w:t>Interest</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spacing w:after="0" w:line="141" w:lineRule="exact"/>
              <w:rPr>
                <w:sz w:val="20"/>
                <w:szCs w:val="20"/>
                <w:color w:val="auto"/>
              </w:rPr>
            </w:pPr>
            <w:r>
              <w:rPr>
                <w:rFonts w:ascii="Arial" w:cs="Arial" w:eastAsia="Arial" w:hAnsi="Arial"/>
                <w:sz w:val="14"/>
                <w:szCs w:val="14"/>
                <w:color w:val="auto"/>
              </w:rPr>
              <w:t>December 31,</w:t>
            </w:r>
          </w:p>
        </w:tc>
        <w:tc>
          <w:tcPr>
            <w:tcW w:w="220" w:type="dxa"/>
            <w:vAlign w:val="bottom"/>
          </w:tcPr>
          <w:p>
            <w:pPr>
              <w:spacing w:after="0"/>
              <w:rPr>
                <w:sz w:val="12"/>
                <w:szCs w:val="12"/>
                <w:color w:val="auto"/>
              </w:rPr>
            </w:pPr>
          </w:p>
        </w:tc>
        <w:tc>
          <w:tcPr>
            <w:tcW w:w="980" w:type="dxa"/>
            <w:vAlign w:val="bottom"/>
            <w:gridSpan w:val="3"/>
          </w:tcPr>
          <w:p>
            <w:pPr>
              <w:ind w:left="20"/>
              <w:spacing w:after="0" w:line="141" w:lineRule="exact"/>
              <w:rPr>
                <w:sz w:val="20"/>
                <w:szCs w:val="20"/>
                <w:color w:val="auto"/>
              </w:rPr>
            </w:pPr>
            <w:r>
              <w:rPr>
                <w:rFonts w:ascii="Arial" w:cs="Arial" w:eastAsia="Arial" w:hAnsi="Arial"/>
                <w:sz w:val="14"/>
                <w:szCs w:val="14"/>
                <w:color w:val="auto"/>
                <w:w w:val="97"/>
              </w:rPr>
              <w:t>ended June 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color w:val="auto"/>
              </w:rPr>
              <w:t>related interest expense</w:t>
            </w:r>
          </w:p>
        </w:tc>
        <w:tc>
          <w:tcPr>
            <w:tcW w:w="4160" w:type="dxa"/>
            <w:vAlign w:val="bottom"/>
          </w:tcPr>
          <w:p>
            <w:pPr>
              <w:spacing w:after="0"/>
              <w:rPr>
                <w:sz w:val="11"/>
                <w:szCs w:val="11"/>
                <w:color w:val="auto"/>
              </w:rPr>
            </w:pPr>
          </w:p>
        </w:tc>
        <w:tc>
          <w:tcPr>
            <w:tcW w:w="1140" w:type="dxa"/>
            <w:vAlign w:val="bottom"/>
            <w:gridSpan w:val="2"/>
          </w:tcPr>
          <w:p>
            <w:pPr>
              <w:jc w:val="center"/>
              <w:ind w:right="600"/>
              <w:spacing w:after="0" w:line="129" w:lineRule="exact"/>
              <w:rPr>
                <w:sz w:val="20"/>
                <w:szCs w:val="20"/>
                <w:color w:val="auto"/>
              </w:rPr>
            </w:pPr>
            <w:r>
              <w:rPr>
                <w:rFonts w:ascii="Arial" w:cs="Arial" w:eastAsia="Arial" w:hAnsi="Arial"/>
                <w:sz w:val="14"/>
                <w:szCs w:val="14"/>
                <w:color w:val="auto"/>
                <w:w w:val="87"/>
              </w:rPr>
              <w:t>Rate</w:t>
            </w:r>
          </w:p>
        </w:tc>
        <w:tc>
          <w:tcPr>
            <w:tcW w:w="1200" w:type="dxa"/>
            <w:vAlign w:val="bottom"/>
            <w:gridSpan w:val="2"/>
          </w:tcPr>
          <w:p>
            <w:pPr>
              <w:jc w:val="center"/>
              <w:ind w:right="520"/>
              <w:spacing w:after="0" w:line="129" w:lineRule="exact"/>
              <w:rPr>
                <w:sz w:val="20"/>
                <w:szCs w:val="20"/>
                <w:color w:val="auto"/>
              </w:rPr>
            </w:pPr>
            <w:r>
              <w:rPr>
                <w:rFonts w:ascii="Arial" w:cs="Arial" w:eastAsia="Arial" w:hAnsi="Arial"/>
                <w:sz w:val="14"/>
                <w:szCs w:val="14"/>
                <w:color w:val="auto"/>
                <w:w w:val="94"/>
              </w:rPr>
              <w:t>Debt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8"/>
              <w:spacing w:after="0" w:line="129" w:lineRule="exact"/>
              <w:rPr>
                <w:sz w:val="20"/>
                <w:szCs w:val="20"/>
                <w:color w:val="auto"/>
              </w:rPr>
            </w:pPr>
            <w:r>
              <w:rPr>
                <w:rFonts w:ascii="Arial" w:cs="Arial" w:eastAsia="Arial" w:hAnsi="Arial"/>
                <w:sz w:val="14"/>
                <w:szCs w:val="14"/>
                <w:color w:val="auto"/>
                <w:w w:val="96"/>
              </w:rPr>
              <w:t>2013</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18"/>
              <w:spacing w:after="0" w:line="129" w:lineRule="exact"/>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new debt and related interest expense</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$350,000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860" w:type="dxa"/>
            <w:vAlign w:val="bottom"/>
            <w:gridSpan w:val="3"/>
          </w:tcPr>
          <w:p>
            <w:pPr>
              <w:spacing w:after="0"/>
              <w:rPr>
                <w:sz w:val="20"/>
                <w:szCs w:val="20"/>
                <w:color w:val="auto"/>
              </w:rPr>
            </w:pPr>
            <w:r>
              <w:rPr>
                <w:rFonts w:ascii="Arial" w:cs="Arial" w:eastAsia="Arial" w:hAnsi="Arial"/>
                <w:sz w:val="18"/>
                <w:szCs w:val="18"/>
                <w:color w:val="auto"/>
              </w:rPr>
              <w:t>Amortization of new debt issuance costs and debt discount</w:t>
            </w: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23,167</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11,583</w:t>
            </w:r>
          </w:p>
        </w:tc>
        <w:tc>
          <w:tcPr>
            <w:tcW w:w="0" w:type="dxa"/>
            <w:vAlign w:val="bottom"/>
          </w:tcPr>
          <w:p>
            <w:pPr>
              <w:spacing w:after="0"/>
              <w:rPr>
                <w:sz w:val="1"/>
                <w:szCs w:val="1"/>
                <w:color w:val="auto"/>
              </w:rPr>
            </w:pPr>
          </w:p>
        </w:tc>
      </w:tr>
      <w:tr>
        <w:trPr>
          <w:trHeight w:val="209"/>
        </w:trPr>
        <w:tc>
          <w:tcPr>
            <w:tcW w:w="5860" w:type="dxa"/>
            <w:vAlign w:val="bottom"/>
            <w:gridSpan w:val="3"/>
          </w:tcPr>
          <w:p>
            <w:pPr>
              <w:spacing w:after="0"/>
              <w:rPr>
                <w:sz w:val="20"/>
                <w:szCs w:val="20"/>
                <w:color w:val="auto"/>
              </w:rPr>
            </w:pPr>
            <w:r>
              <w:rPr>
                <w:rFonts w:ascii="Arial" w:cs="Arial" w:eastAsia="Arial" w:hAnsi="Arial"/>
                <w:sz w:val="18"/>
                <w:szCs w:val="18"/>
                <w:color w:val="auto"/>
              </w:rPr>
              <w:t>Less: NN’s historical interest expense on debt refinanced including</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gridSpan w:val="2"/>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(2,374)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680" w:type="dxa"/>
            <w:vAlign w:val="bottom"/>
          </w:tcPr>
          <w:p>
            <w:pPr>
              <w:spacing w:after="0"/>
              <w:rPr>
                <w:sz w:val="9"/>
                <w:szCs w:val="9"/>
                <w:color w:val="auto"/>
              </w:rPr>
            </w:pPr>
          </w:p>
        </w:tc>
        <w:tc>
          <w:tcPr>
            <w:tcW w:w="4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Less: Autocam’s interest expense on debt repaid including amortization of</w:t>
            </w: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financing costs</w:t>
            </w: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(1,049)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5860" w:type="dxa"/>
            <w:vAlign w:val="bottom"/>
            <w:gridSpan w:val="3"/>
          </w:tcPr>
          <w:p>
            <w:pPr>
              <w:spacing w:after="0"/>
              <w:rPr>
                <w:sz w:val="20"/>
                <w:szCs w:val="20"/>
                <w:color w:val="auto"/>
              </w:rPr>
            </w:pPr>
            <w:r>
              <w:rPr>
                <w:rFonts w:ascii="Arial" w:cs="Arial" w:eastAsia="Arial" w:hAnsi="Arial"/>
                <w:sz w:val="18"/>
                <w:szCs w:val="18"/>
                <w:color w:val="auto"/>
              </w:rPr>
              <w:t>Pro forma adjustment to interest expense</w:t>
            </w: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19,744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change of 1/8% (12.5 basis points) in the interest rate would result in a $438 change in annual 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Provision (benefit) for income taxes -</w:t>
      </w:r>
      <w:r>
        <w:rPr>
          <w:rFonts w:ascii="Arial" w:cs="Arial" w:eastAsia="Arial" w:hAnsi="Arial"/>
          <w:sz w:val="18"/>
          <w:szCs w:val="18"/>
          <w:color w:val="auto"/>
        </w:rPr>
        <w:t xml:space="preserve"> The unaudited pro forma adjustment is calculated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4"/>
                <w:szCs w:val="14"/>
                <w:color w:val="auto"/>
                <w:w w:val="93"/>
              </w:rPr>
              <w:t>Year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w w:val="92"/>
              </w:rPr>
              <w:t>Six Months</w:t>
            </w:r>
          </w:p>
        </w:tc>
      </w:tr>
      <w:tr>
        <w:trPr>
          <w:trHeight w:val="149"/>
        </w:trPr>
        <w:tc>
          <w:tcPr>
            <w:tcW w:w="6120" w:type="dxa"/>
            <w:vAlign w:val="bottom"/>
          </w:tcPr>
          <w:p>
            <w:pPr>
              <w:spacing w:after="0"/>
              <w:rPr>
                <w:sz w:val="12"/>
                <w:szCs w:val="12"/>
                <w:color w:val="auto"/>
              </w:rPr>
            </w:pPr>
          </w:p>
        </w:tc>
        <w:tc>
          <w:tcPr>
            <w:tcW w:w="1220" w:type="dxa"/>
            <w:vAlign w:val="bottom"/>
            <w:gridSpan w:val="4"/>
          </w:tcPr>
          <w:p>
            <w:pPr>
              <w:spacing w:after="0" w:line="149" w:lineRule="exact"/>
              <w:rPr>
                <w:sz w:val="20"/>
                <w:szCs w:val="20"/>
                <w:color w:val="auto"/>
              </w:rPr>
            </w:pPr>
            <w:r>
              <w:rPr>
                <w:rFonts w:ascii="Arial" w:cs="Arial" w:eastAsia="Arial" w:hAnsi="Arial"/>
                <w:sz w:val="14"/>
                <w:szCs w:val="14"/>
                <w:color w:val="auto"/>
              </w:rPr>
              <w:t>December 31,</w:t>
            </w:r>
          </w:p>
        </w:tc>
        <w:tc>
          <w:tcPr>
            <w:tcW w:w="1340" w:type="dxa"/>
            <w:vAlign w:val="bottom"/>
            <w:gridSpan w:val="4"/>
          </w:tcPr>
          <w:p>
            <w:pPr>
              <w:ind w:left="360"/>
              <w:spacing w:after="0" w:line="149" w:lineRule="exact"/>
              <w:rPr>
                <w:sz w:val="20"/>
                <w:szCs w:val="20"/>
                <w:color w:val="auto"/>
              </w:rPr>
            </w:pPr>
            <w:r>
              <w:rPr>
                <w:rFonts w:ascii="Arial" w:cs="Arial" w:eastAsia="Arial" w:hAnsi="Arial"/>
                <w:sz w:val="14"/>
                <w:szCs w:val="14"/>
                <w:color w:val="auto"/>
                <w:w w:val="99"/>
              </w:rPr>
              <w:t>ended June 30,</w:t>
            </w:r>
          </w:p>
        </w:tc>
      </w:tr>
      <w:tr>
        <w:trPr>
          <w:trHeight w:val="167"/>
        </w:trPr>
        <w:tc>
          <w:tcPr>
            <w:tcW w:w="6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2013</w:t>
            </w:r>
          </w:p>
        </w:tc>
        <w:tc>
          <w:tcPr>
            <w:tcW w:w="120" w:type="dxa"/>
            <w:vAlign w:val="bottom"/>
            <w:tcBorders>
              <w:bottom w:val="single" w:sz="8" w:color="CCEEFF"/>
            </w:tcBorders>
          </w:tcPr>
          <w:p>
            <w:pPr>
              <w:spacing w:after="0"/>
              <w:rPr>
                <w:sz w:val="14"/>
                <w:szCs w:val="14"/>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(Benefit) additional tax due to depreciation and amortization adjustment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r>
      <w:tr>
        <w:trPr>
          <w:trHeight w:val="202"/>
        </w:trPr>
        <w:tc>
          <w:tcPr>
            <w:tcW w:w="6120" w:type="dxa"/>
            <w:vAlign w:val="bottom"/>
          </w:tcPr>
          <w:p>
            <w:pPr>
              <w:spacing w:after="0" w:line="201" w:lineRule="exact"/>
              <w:rPr>
                <w:sz w:val="20"/>
                <w:szCs w:val="20"/>
                <w:color w:val="auto"/>
              </w:rPr>
            </w:pPr>
            <w:r>
              <w:rPr>
                <w:rFonts w:ascii="Arial" w:cs="Arial" w:eastAsia="Arial" w:hAnsi="Arial"/>
                <w:sz w:val="18"/>
                <w:szCs w:val="18"/>
                <w:color w:val="auto"/>
              </w:rPr>
              <w:t>Additional tax due to the elimination of recognized transaction related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costs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0"/>
                <w:szCs w:val="20"/>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Benefit due to additional interest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(7,107)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(3,589)</w:t>
            </w: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Total adjustment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(7,455</w:t>
            </w:r>
          </w:p>
        </w:tc>
        <w:tc>
          <w:tcPr>
            <w:tcW w:w="400" w:type="dxa"/>
            <w:vAlign w:val="bottom"/>
          </w:tcPr>
          <w:p>
            <w:pPr>
              <w:jc w:val="right"/>
              <w:ind w:right="320"/>
              <w:spacing w:after="0"/>
              <w:rPr>
                <w:sz w:val="20"/>
                <w:szCs w:val="20"/>
                <w:color w:val="auto"/>
              </w:rPr>
            </w:pPr>
            <w:r>
              <w:rPr>
                <w:rFonts w:ascii="Arial" w:cs="Arial" w:eastAsia="Arial" w:hAnsi="Arial"/>
                <w:sz w:val="8"/>
                <w:szCs w:val="8"/>
                <w:color w:val="auto"/>
                <w:w w:val="73"/>
              </w:rPr>
              <w:t>)</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calculate the pro forma adjustment to provision (benefit) for income taxes due to additional depreciation and amortization for the year ended December 31, 2013 and the six months ended June 30, 2014, Autocam’s blended global statutory tax rates of 27.6% and 28.3%, respectively, have been applied to the unaudited pro forma depreciation and amortization adjustments. The blended rates were used as these expenses are expected to be incurred both in and outside of the United States.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 calculate the pro forma adjustment to provision (benefit) for income taxes due to additional interest expense, NN’s U.S. blended federal and state statutory tax rate of 36% has been applied to the pro forma interest expense adjustments. The US statutory rates were used as the additional interest expense resulting from the Merger is expected to be incurred in the United States.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65" w:name="page66"/>
    <w:bookmarkEnd w:id="65"/>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 related expenses recognized by NN and Autocam during the six month period ended June 30, 2014 have been eliminated from the pro forma statements of income using the NN and Autocam U.S. blended statutory rates of 36% and 35%, respectively.</w:t>
      </w:r>
    </w:p>
    <w:p>
      <w:pPr>
        <w:spacing w:after="0" w:line="170" w:lineRule="exact"/>
        <w:rPr>
          <w:sz w:val="20"/>
          <w:szCs w:val="20"/>
          <w:color w:val="auto"/>
        </w:rPr>
      </w:pPr>
    </w:p>
    <w:p>
      <w:pPr>
        <w:jc w:val="both"/>
        <w:ind w:right="620" w:firstLine="8"/>
        <w:spacing w:after="0" w:line="312" w:lineRule="auto"/>
        <w:tabs>
          <w:tab w:leader="none" w:pos="185"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Weighted average shares outstanding - </w:t>
      </w:r>
      <w:r>
        <w:rPr>
          <w:rFonts w:ascii="Arial" w:cs="Arial" w:eastAsia="Arial" w:hAnsi="Arial"/>
          <w:sz w:val="16"/>
          <w:szCs w:val="16"/>
          <w:color w:val="auto"/>
        </w:rPr>
        <w:t>The pro forma adjustment for shares outstanding represents the effect of the former majority shareholder of</w:t>
      </w:r>
      <w:r>
        <w:rPr>
          <w:rFonts w:ascii="Arial" w:cs="Arial" w:eastAsia="Arial" w:hAnsi="Arial"/>
          <w:sz w:val="16"/>
          <w:szCs w:val="16"/>
          <w:i w:val="1"/>
          <w:iCs w:val="1"/>
          <w:color w:val="auto"/>
        </w:rPr>
        <w:t xml:space="preserve"> </w:t>
      </w:r>
      <w:r>
        <w:rPr>
          <w:rFonts w:ascii="Arial" w:cs="Arial" w:eastAsia="Arial" w:hAnsi="Arial"/>
          <w:sz w:val="16"/>
          <w:szCs w:val="16"/>
          <w:color w:val="auto"/>
        </w:rPr>
        <w:t>Autocam accepting 1,086,957 shares of NN stock as part of the consideration in the Merger. The 1,086,957 shares were added to the basic and diluted weighted average shares outstanding as a pro forma adjustment to give the effect the Acquisition took place on January 1, 2013.</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Unaudited Pro Forma Condensed Combined Consolidated Balance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Cash</w:t>
      </w:r>
      <w:r>
        <w:rPr>
          <w:rFonts w:ascii="Arial" w:cs="Arial" w:eastAsia="Arial" w:hAnsi="Arial"/>
          <w:sz w:val="18"/>
          <w:szCs w:val="18"/>
          <w:color w:val="auto"/>
        </w:rPr>
        <w:t>– Adjustment reflects the preliminary net adjustment to cash in connection with the Merger:</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portion of Merger consideration</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(259,089)</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Repayment of NN existing debt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(57,500)</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Payment of Transaction related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(16,491)</w:t>
            </w: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Proceeds from new borrowings, net of discount</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344,750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to cash and cash equivalents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480"/>
        <w:spacing w:after="0" w:line="277" w:lineRule="auto"/>
        <w:rPr>
          <w:sz w:val="20"/>
          <w:szCs w:val="20"/>
          <w:color w:val="auto"/>
        </w:rPr>
      </w:pPr>
      <w:r>
        <w:rPr>
          <w:rFonts w:ascii="Arial" w:cs="Arial" w:eastAsia="Arial" w:hAnsi="Arial"/>
          <w:sz w:val="18"/>
          <w:szCs w:val="18"/>
          <w:color w:val="auto"/>
        </w:rPr>
        <w:t>The $16,491 of estimated transaction related expenses include $9,466 of financing fees, which will be capitalized in other non-current assets, and advisory and other transaction related costs of $7,025 which will be expensed as incurred.</w:t>
      </w:r>
    </w:p>
    <w:p>
      <w:pPr>
        <w:spacing w:after="0" w:line="170" w:lineRule="exact"/>
        <w:rPr>
          <w:sz w:val="20"/>
          <w:szCs w:val="20"/>
          <w:color w:val="auto"/>
        </w:rPr>
      </w:pPr>
    </w:p>
    <w:p>
      <w:pPr>
        <w:ind w:right="160" w:firstLine="8"/>
        <w:spacing w:after="0" w:line="255" w:lineRule="auto"/>
        <w:tabs>
          <w:tab w:leader="none" w:pos="195"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Inventories - </w:t>
      </w:r>
      <w:r>
        <w:rPr>
          <w:rFonts w:ascii="Arial" w:cs="Arial" w:eastAsia="Arial" w:hAnsi="Arial"/>
          <w:sz w:val="18"/>
          <w:szCs w:val="18"/>
          <w:color w:val="auto"/>
        </w:rPr>
        <w:t>The unaudited pro forma adjustment of $1,596 to inventory represents the step-up of Autocam’s inventories balance to the preliminary</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fair value. As raw materials inventory was assumed to be at market value, the adjustment is related to work-in-process and finished goods inventory. The preliminary fair value of finished goods inventory to be acquired was determined using the gross profit percentage of the overall product mix and the estimated cost to sell the finished goods. The preliminary fair value of work-in-process inventory also considered costs to complete inventory and estimated profit on these costs. The pro forma statements of income do not reflect the impact of the increase to cost of products sold of $1,596 for the estimated purchase accounting adjustment to inventory as this amount is directly related to the Merger and is not expected to have a continuing impact on NN’s operations.</w:t>
      </w:r>
    </w:p>
    <w:p>
      <w:pPr>
        <w:spacing w:after="0" w:line="189" w:lineRule="exact"/>
        <w:rPr>
          <w:rFonts w:ascii="Arial" w:cs="Arial" w:eastAsia="Arial" w:hAnsi="Arial"/>
          <w:sz w:val="18"/>
          <w:szCs w:val="18"/>
          <w:i w:val="1"/>
          <w:iCs w:val="1"/>
          <w:color w:val="auto"/>
        </w:rPr>
      </w:pPr>
    </w:p>
    <w:p>
      <w:pPr>
        <w:ind w:right="20" w:firstLine="8"/>
        <w:spacing w:after="0" w:line="264" w:lineRule="auto"/>
        <w:tabs>
          <w:tab w:leader="none" w:pos="195"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Property, plant and equipment, net – </w:t>
      </w:r>
      <w:r>
        <w:rPr>
          <w:rFonts w:ascii="Arial" w:cs="Arial" w:eastAsia="Arial" w:hAnsi="Arial"/>
          <w:sz w:val="18"/>
          <w:szCs w:val="18"/>
          <w:color w:val="auto"/>
        </w:rPr>
        <w:t>The unaudited pro forma adjustment reflects the preliminary estimated fair value of property, plant and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in relation to the Merger. Refer to pro forma footnote Note 3 adjustment (a) above for details related to the estimated fair value of property, plant and equipment. The preliminary amounts assigned to property, plant and equipment are as follows: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148,487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Less: Autocam book value of property and equipment, net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(139,706)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to property and equipment, net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8"/>
        <w:spacing w:after="0" w:line="264" w:lineRule="auto"/>
        <w:tabs>
          <w:tab w:leader="none" w:pos="155"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Intangible assets, net – </w:t>
      </w:r>
      <w:r>
        <w:rPr>
          <w:rFonts w:ascii="Arial" w:cs="Arial" w:eastAsia="Arial" w:hAnsi="Arial"/>
          <w:sz w:val="18"/>
          <w:szCs w:val="18"/>
          <w:color w:val="auto"/>
        </w:rPr>
        <w:t>The unaudited pro forma adjustment reflects the preliminary fair market value of identifiable intangible assets acquired in relation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Merger. Refer to pro forma footnote Note 3 adjustment (a) above for details related to the estimated fair value and related amortization expense of the intangible assets. The preliminary amounts assigned to the identifiable intangible assets are as follows: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0"/>
              </w:rPr>
              <w:t>Less: Autocam book value of intangible assets, net</w:t>
            </w:r>
          </w:p>
        </w:tc>
        <w:tc>
          <w:tcPr>
            <w:tcW w:w="3340" w:type="dxa"/>
            <w:vAlign w:val="bottom"/>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to intangible assets, net</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340" w:type="dxa"/>
            <w:vAlign w:val="bottom"/>
            <w:vMerge w:val="restart"/>
          </w:tcPr>
          <w:p>
            <w:pPr>
              <w:jc w:val="right"/>
              <w:ind w:right="3010"/>
              <w:spacing w:after="0"/>
              <w:rPr>
                <w:sz w:val="20"/>
                <w:szCs w:val="20"/>
                <w:color w:val="auto"/>
              </w:rPr>
            </w:pPr>
            <w:r>
              <w:rPr>
                <w:rFonts w:ascii="Arial" w:cs="Arial" w:eastAsia="Arial" w:hAnsi="Arial"/>
                <w:sz w:val="18"/>
                <w:szCs w:val="18"/>
                <w:color w:val="auto"/>
              </w:rPr>
              <w:t>11</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6" w:name="page67"/>
    <w:bookmarkEnd w:id="66"/>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estimated fair value of amortizable intangible assets is expected to be amortized on a straight-line basis over the estimated useful lives that will generally range from five years for the unfavorable leasehold interest, net and developed technology, 12 years for customer relationship and 15 years for trade name intangible assets, subject to the finalization of the purchase price allocation. The amortizable life for each category of asset was determined by examining the pattern and life of expected cash flows from these items. The estimated amortizable life of customer relationships was determined after consideration of Autocam’s historical customer buying and attrition patterns.</w:t>
      </w:r>
    </w:p>
    <w:p>
      <w:pPr>
        <w:spacing w:after="0" w:line="188" w:lineRule="exact"/>
        <w:rPr>
          <w:sz w:val="20"/>
          <w:szCs w:val="20"/>
          <w:color w:val="auto"/>
        </w:rPr>
      </w:pPr>
    </w:p>
    <w:p>
      <w:pPr>
        <w:ind w:right="100" w:firstLine="8"/>
        <w:spacing w:after="0" w:line="286" w:lineRule="auto"/>
        <w:tabs>
          <w:tab w:leader="none" w:pos="155"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Investment in joint venture - </w:t>
      </w:r>
      <w:r>
        <w:rPr>
          <w:rFonts w:ascii="Arial" w:cs="Arial" w:eastAsia="Arial" w:hAnsi="Arial"/>
          <w:sz w:val="17"/>
          <w:szCs w:val="17"/>
          <w:color w:val="auto"/>
        </w:rPr>
        <w:t>The unaudited pro forma adjustment reflects the step-up of $21,353 to the preliminary estimated fair value of Autocam’s</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 their 49% owned Chinese joint venture accounted for under the equity method. The preliminary fair value of this joint venture was determined by a market based multiple of earnings before interest, taxes, depreciation and amortization and a discounted cash flows analysis.</w:t>
      </w:r>
    </w:p>
    <w:p>
      <w:pPr>
        <w:spacing w:after="0" w:line="165" w:lineRule="exact"/>
        <w:rPr>
          <w:rFonts w:ascii="Arial" w:cs="Arial" w:eastAsia="Arial" w:hAnsi="Arial"/>
          <w:sz w:val="17"/>
          <w:szCs w:val="17"/>
          <w:i w:val="1"/>
          <w:iCs w:val="1"/>
          <w:color w:val="auto"/>
        </w:rPr>
      </w:pPr>
    </w:p>
    <w:p>
      <w:pPr>
        <w:ind w:right="100" w:firstLine="8"/>
        <w:spacing w:after="0" w:line="271" w:lineRule="auto"/>
        <w:tabs>
          <w:tab w:leader="none" w:pos="185"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Goodwill, net – </w:t>
      </w:r>
      <w:r>
        <w:rPr>
          <w:rFonts w:ascii="Arial" w:cs="Arial" w:eastAsia="Arial" w:hAnsi="Arial"/>
          <w:sz w:val="17"/>
          <w:szCs w:val="17"/>
          <w:color w:val="auto"/>
        </w:rPr>
        <w:t>The unaudited pro forma adjustment reflects the preliminary estimated adjustment to goodwill as a result of the Merger. Goodwill</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the excess of the consideration transferred over the preliminary fair value of the assets acquired and liabilities assumed as described in pro forma footnote Note 2. The goodwill will not be amortized, but instead will be tested for impairment at least annually and whenever events or circumstances have occurred that may indicate a possible impairment exists. In the event management determines that the value of goodwill has become impaired, NN will incur an accounting charge for the amount of the impairment during the period in which the determination is made. The goodwill is attributable to the expected synergies from raw material cost and procurement savings, manufacturing and supply chain process efficiency improvements and cost reductions across a larger business and increased revenues from access to complementary end markets. The goodwill is not expected to be deductible for tax purposes. The preliminary pro forma adjustment to goodwill is calculated as follows: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Preliminary purchase price at June 30, 2014</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290,806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Less: Fair value of net assets to be acquired</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(204,612)</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goodwill</w:t>
            </w:r>
          </w:p>
        </w:tc>
        <w:tc>
          <w:tcPr>
            <w:tcW w:w="1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Less: Autocam goodwill</w:t>
            </w: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to goodwill</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86,194</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8"/>
        <w:spacing w:after="0" w:line="259" w:lineRule="auto"/>
        <w:tabs>
          <w:tab w:leader="none" w:pos="155"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non-current assets - </w:t>
      </w:r>
      <w:r>
        <w:rPr>
          <w:rFonts w:ascii="Arial" w:cs="Arial" w:eastAsia="Arial" w:hAnsi="Arial"/>
          <w:sz w:val="18"/>
          <w:szCs w:val="18"/>
          <w:color w:val="auto"/>
        </w:rPr>
        <w:t>The unaudited pro forma adjustment of $7,906 to other non-current assets reflects the elimination of $1,397 of unamortized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financing costs associated with existing NN debt that was refinanced in connection with the acquisition and the addition of $9,466 of deferred financing costs incurred by NN related to the new credit facilities entered into to facilitate the acquisition. Finally, the unaudited pro forma adjustment reflects the elimination of Autocam’s deferred financing costs of $163.</w:t>
      </w:r>
    </w:p>
    <w:p>
      <w:pPr>
        <w:spacing w:after="0" w:line="186" w:lineRule="exact"/>
        <w:rPr>
          <w:rFonts w:ascii="Arial" w:cs="Arial" w:eastAsia="Arial" w:hAnsi="Arial"/>
          <w:sz w:val="18"/>
          <w:szCs w:val="18"/>
          <w:i w:val="1"/>
          <w:iCs w:val="1"/>
          <w:color w:val="auto"/>
        </w:rPr>
      </w:pPr>
    </w:p>
    <w:p>
      <w:pPr>
        <w:jc w:val="both"/>
        <w:ind w:right="100" w:firstLine="8"/>
        <w:spacing w:after="0" w:line="259" w:lineRule="auto"/>
        <w:tabs>
          <w:tab w:leader="none" w:pos="235"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Deferred tax liabilities - </w:t>
      </w:r>
      <w:r>
        <w:rPr>
          <w:rFonts w:ascii="Arial" w:cs="Arial" w:eastAsia="Arial" w:hAnsi="Arial"/>
          <w:sz w:val="18"/>
          <w:szCs w:val="18"/>
          <w:color w:val="auto"/>
        </w:rPr>
        <w:t>The unaudited pro forma adjustment reflects the change in net deferred tax liabilities arising from fair value adjustments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Autocam’s assets to be acquired and liabilities to be assumed by NN in the Merger. Deferred income tax liabilities arising from the estimated fair value adjustments for acquired inventory, properties plant and equipment and intangible assets have been calculated by applying NN’s blended statutory tax rate of 36% to the related fair value adjustments</w:t>
      </w:r>
      <w:r>
        <w:rPr>
          <w:rFonts w:ascii="Arial" w:cs="Arial" w:eastAsia="Arial" w:hAnsi="Arial"/>
          <w:sz w:val="18"/>
          <w:szCs w:val="18"/>
          <w:i w:val="1"/>
          <w:iCs w:val="1"/>
          <w:color w:val="auto"/>
        </w:rPr>
        <w: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67" w:name="page68"/>
    <w:bookmarkEnd w:id="67"/>
    <w:tbl>
      <w:tblPr>
        <w:tblLayout w:type="fixed"/>
        <w:tblInd w:w="92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color w:val="auto"/>
              </w:rPr>
              <w:t>Current</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Noncurrent</w:t>
            </w:r>
          </w:p>
        </w:tc>
      </w:tr>
      <w:tr>
        <w:trPr>
          <w:trHeight w:val="149"/>
        </w:trPr>
        <w:tc>
          <w:tcPr>
            <w:tcW w:w="5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color w:val="auto"/>
              </w:rPr>
              <w:t>Adjustment</w:t>
            </w:r>
          </w:p>
        </w:tc>
        <w:tc>
          <w:tcPr>
            <w:tcW w:w="2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Arial" w:cs="Arial" w:eastAsia="Arial" w:hAnsi="Arial"/>
                <w:sz w:val="14"/>
                <w:szCs w:val="14"/>
                <w:color w:val="auto"/>
              </w:rPr>
              <w:t>Deferred</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Deferred</w:t>
            </w:r>
          </w:p>
        </w:tc>
      </w:tr>
      <w:tr>
        <w:trPr>
          <w:trHeight w:val="149"/>
        </w:trPr>
        <w:tc>
          <w:tcPr>
            <w:tcW w:w="5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4"/>
              </w:rPr>
              <w:t>to Asset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Tax</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Tax</w:t>
            </w:r>
          </w:p>
        </w:tc>
      </w:tr>
      <w:tr>
        <w:trPr>
          <w:trHeight w:val="167"/>
        </w:trPr>
        <w:tc>
          <w:tcPr>
            <w:tcW w:w="5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gridSpan w:val="3"/>
          </w:tcPr>
          <w:p>
            <w:pPr>
              <w:jc w:val="center"/>
              <w:ind w:right="520"/>
              <w:spacing w:after="0"/>
              <w:rPr>
                <w:sz w:val="20"/>
                <w:szCs w:val="20"/>
                <w:color w:val="auto"/>
              </w:rPr>
            </w:pPr>
            <w:r>
              <w:rPr>
                <w:rFonts w:ascii="Arial" w:cs="Arial" w:eastAsia="Arial" w:hAnsi="Arial"/>
                <w:sz w:val="14"/>
                <w:szCs w:val="14"/>
                <w:color w:val="auto"/>
                <w:w w:val="94"/>
              </w:rPr>
              <w:t>Acquired</w:t>
            </w:r>
          </w:p>
        </w:tc>
        <w:tc>
          <w:tcPr>
            <w:tcW w:w="2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color w:val="auto"/>
              </w:rPr>
              <w:t>Liability</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Liability</w:t>
            </w: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Estimated fair value adjustment of identifiable intangible assets acquired</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40,198</w:t>
            </w: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$ 14,472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Estimated fair value adjustment to inventory</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1,596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w w:val="93"/>
              </w:rPr>
              <w:t>575</w:t>
            </w:r>
          </w:p>
        </w:tc>
        <w:tc>
          <w:tcPr>
            <w:tcW w:w="5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adjustment of property, plant and equipment acquired</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3,161</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Deferred tax liabilities related to estimated fair value adjustments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575</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$ 17,633</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firstLine="8"/>
        <w:spacing w:after="0" w:line="259" w:lineRule="auto"/>
        <w:tabs>
          <w:tab w:leader="none" w:pos="195"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In connection with the acquisition, NN obtained a new $350,000 term loan facility, with a variable interest rate of LIBOR plus 5% with a</w:t>
      </w:r>
      <w:r>
        <w:rPr>
          <w:rFonts w:ascii="Arial" w:cs="Arial" w:eastAsia="Arial" w:hAnsi="Arial"/>
          <w:sz w:val="18"/>
          <w:szCs w:val="18"/>
          <w:i w:val="1"/>
          <w:iCs w:val="1"/>
          <w:color w:val="auto"/>
        </w:rPr>
        <w:t xml:space="preserve"> </w:t>
      </w:r>
      <w:r>
        <w:rPr>
          <w:rFonts w:ascii="Arial" w:cs="Arial" w:eastAsia="Arial" w:hAnsi="Arial"/>
          <w:sz w:val="18"/>
          <w:szCs w:val="18"/>
          <w:color w:val="auto"/>
        </w:rPr>
        <w:t>1% LIBOR floor. The proceeds of the term loan were used to pay the cash portion of the purchase price, to repay existing indebtedness and to pay fees and expenses in connection with the Merger. The pro forma adjustment also reflects the pay-off of $34,846 of Autocam’s former senior indebtedness concurrent with the Merger.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unaudited pro forma adjustments to debt are classified between short-term borrowings (due within one year) and long-term borrowings as follows:</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640"/>
              <w:spacing w:after="0"/>
              <w:rPr>
                <w:sz w:val="20"/>
                <w:szCs w:val="20"/>
                <w:color w:val="auto"/>
              </w:rPr>
            </w:pPr>
            <w:r>
              <w:rPr>
                <w:rFonts w:ascii="Arial" w:cs="Arial" w:eastAsia="Arial" w:hAnsi="Arial"/>
                <w:sz w:val="14"/>
                <w:szCs w:val="14"/>
                <w:color w:val="auto"/>
                <w:w w:val="93"/>
              </w:rPr>
              <w:t>Debt paid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4"/>
              </w:rPr>
              <w:t>New Debt</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rPr>
              <w:t>off by</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0" w:type="dxa"/>
            <w:vAlign w:val="bottom"/>
            <w:gridSpan w:val="3"/>
          </w:tcPr>
          <w:p>
            <w:pPr>
              <w:jc w:val="center"/>
              <w:ind w:right="540"/>
              <w:spacing w:after="0" w:line="149" w:lineRule="exact"/>
              <w:rPr>
                <w:sz w:val="20"/>
                <w:szCs w:val="20"/>
                <w:color w:val="auto"/>
              </w:rPr>
            </w:pPr>
            <w:r>
              <w:rPr>
                <w:rFonts w:ascii="Arial" w:cs="Arial" w:eastAsia="Arial" w:hAnsi="Arial"/>
                <w:sz w:val="14"/>
                <w:szCs w:val="14"/>
                <w:color w:val="auto"/>
                <w:w w:val="92"/>
              </w:rPr>
              <w:t>entered into by</w:t>
            </w:r>
          </w:p>
        </w:tc>
        <w:tc>
          <w:tcPr>
            <w:tcW w:w="1280" w:type="dxa"/>
            <w:vAlign w:val="bottom"/>
            <w:gridSpan w:val="3"/>
          </w:tcPr>
          <w:p>
            <w:pPr>
              <w:spacing w:after="0" w:line="149" w:lineRule="exact"/>
              <w:rPr>
                <w:sz w:val="20"/>
                <w:szCs w:val="20"/>
                <w:color w:val="auto"/>
              </w:rPr>
            </w:pPr>
            <w:r>
              <w:rPr>
                <w:rFonts w:ascii="Arial" w:cs="Arial" w:eastAsia="Arial" w:hAnsi="Arial"/>
                <w:sz w:val="14"/>
                <w:szCs w:val="14"/>
                <w:color w:val="auto"/>
              </w:rPr>
              <w:t>Debt Refinanced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4"/>
              </w:rPr>
              <w:t>Autocam</w:t>
            </w: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4"/>
              </w:rPr>
              <w:t>Total 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0" w:type="dxa"/>
            <w:vAlign w:val="bottom"/>
            <w:gridSpan w:val="3"/>
          </w:tcPr>
          <w:p>
            <w:pPr>
              <w:jc w:val="center"/>
              <w:ind w:right="540"/>
              <w:spacing w:after="0" w:line="149" w:lineRule="exact"/>
              <w:rPr>
                <w:sz w:val="20"/>
                <w:szCs w:val="20"/>
                <w:color w:val="auto"/>
              </w:rPr>
            </w:pPr>
            <w:r>
              <w:rPr>
                <w:rFonts w:ascii="Arial" w:cs="Arial" w:eastAsia="Arial" w:hAnsi="Arial"/>
                <w:sz w:val="14"/>
                <w:szCs w:val="14"/>
                <w:color w:val="auto"/>
                <w:w w:val="94"/>
              </w:rPr>
              <w:t>NN related to</w:t>
            </w:r>
          </w:p>
        </w:tc>
        <w:tc>
          <w:tcPr>
            <w:tcW w:w="1280" w:type="dxa"/>
            <w:vAlign w:val="bottom"/>
            <w:gridSpan w:val="3"/>
          </w:tcPr>
          <w:p>
            <w:pPr>
              <w:spacing w:after="0" w:line="149" w:lineRule="exact"/>
              <w:rPr>
                <w:sz w:val="20"/>
                <w:szCs w:val="20"/>
                <w:color w:val="auto"/>
              </w:rPr>
            </w:pPr>
            <w:r>
              <w:rPr>
                <w:rFonts w:ascii="Arial" w:cs="Arial" w:eastAsia="Arial" w:hAnsi="Arial"/>
                <w:sz w:val="14"/>
                <w:szCs w:val="14"/>
                <w:color w:val="auto"/>
              </w:rPr>
              <w:t>by NN related to</w:t>
            </w:r>
          </w:p>
        </w:tc>
        <w:tc>
          <w:tcPr>
            <w:tcW w:w="240" w:type="dxa"/>
            <w:vAlign w:val="bottom"/>
          </w:tcPr>
          <w:p>
            <w:pPr>
              <w:spacing w:after="0"/>
              <w:rPr>
                <w:sz w:val="12"/>
                <w:szCs w:val="12"/>
                <w:color w:val="auto"/>
              </w:rPr>
            </w:pPr>
          </w:p>
        </w:tc>
        <w:tc>
          <w:tcPr>
            <w:tcW w:w="1300" w:type="dxa"/>
            <w:vAlign w:val="bottom"/>
            <w:gridSpan w:val="3"/>
          </w:tcPr>
          <w:p>
            <w:pPr>
              <w:jc w:val="center"/>
              <w:ind w:right="540"/>
              <w:spacing w:after="0" w:line="149" w:lineRule="exact"/>
              <w:rPr>
                <w:sz w:val="20"/>
                <w:szCs w:val="20"/>
                <w:color w:val="auto"/>
              </w:rPr>
            </w:pPr>
            <w:r>
              <w:rPr>
                <w:rFonts w:ascii="Arial" w:cs="Arial" w:eastAsia="Arial" w:hAnsi="Arial"/>
                <w:sz w:val="14"/>
                <w:szCs w:val="14"/>
                <w:color w:val="auto"/>
                <w:w w:val="94"/>
              </w:rPr>
              <w:t>from Merger</w:t>
            </w: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Forma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1"/>
              </w:rPr>
              <w:t>the Merger</w:t>
            </w:r>
          </w:p>
        </w:tc>
        <w:tc>
          <w:tcPr>
            <w:tcW w:w="14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color w:val="auto"/>
                <w:w w:val="94"/>
              </w:rPr>
              <w:t>the Merger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640"/>
              <w:spacing w:after="0"/>
              <w:rPr>
                <w:sz w:val="20"/>
                <w:szCs w:val="20"/>
                <w:color w:val="auto"/>
              </w:rPr>
            </w:pPr>
            <w:r>
              <w:rPr>
                <w:rFonts w:ascii="Arial" w:cs="Arial" w:eastAsia="Arial" w:hAnsi="Arial"/>
                <w:sz w:val="14"/>
                <w:szCs w:val="14"/>
                <w:color w:val="auto"/>
                <w:w w:val="90"/>
              </w:rPr>
              <w:t>proceeds</w:t>
            </w: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Adjustment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Long-term debt, net of current portion (net of discount)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344,750</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(53,500)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(34,846)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256,404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344,750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(57,500)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(34,846)</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252,404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8"/>
        <w:spacing w:after="0" w:line="272" w:lineRule="auto"/>
        <w:tabs>
          <w:tab w:leader="none" w:pos="195" w:val="left"/>
        </w:tabs>
        <w:numPr>
          <w:ilvl w:val="0"/>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Other non-current liabilities. </w:t>
      </w:r>
      <w:r>
        <w:rPr>
          <w:rFonts w:ascii="Arial" w:cs="Arial" w:eastAsia="Arial" w:hAnsi="Arial"/>
          <w:sz w:val="17"/>
          <w:szCs w:val="17"/>
          <w:color w:val="auto"/>
        </w:rPr>
        <w:t>Certain officers and key managers of Autocam were owners of Autocam stock. Under US GAAP, these awards were</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classified as liability awards as the shareholders and Autocam could have required repayment under certain circumstances based on a formula of earnings before interest, depreciation and amortization expense. The awards were recorded at their intrinsic value, and the expense was recognized over each employee’s expected future service until an expected retirement date. Concurrent with the Merger, these shares were purchased by NN and retired. As such, we adjusted other non-current liabilities to eliminate the stock-based compensation liability of $4,136 at June 30, 2014 as NN did not assume the liability. Additionally, the unaudited pro forma adjustment reflects the settlement of Autocam’s interest rate hedging net liability of $105 related to the former senior indebtedness paid-off concurrent with the Merger.</w:t>
      </w:r>
    </w:p>
    <w:p>
      <w:pPr>
        <w:spacing w:after="0" w:line="177" w:lineRule="exact"/>
        <w:rPr>
          <w:rFonts w:ascii="Arial" w:cs="Arial" w:eastAsia="Arial" w:hAnsi="Arial"/>
          <w:sz w:val="17"/>
          <w:szCs w:val="17"/>
          <w:i w:val="1"/>
          <w:iCs w:val="1"/>
          <w:color w:val="auto"/>
        </w:rPr>
      </w:pPr>
    </w:p>
    <w:p>
      <w:pPr>
        <w:ind w:right="40" w:firstLine="8"/>
        <w:spacing w:after="0" w:line="259" w:lineRule="auto"/>
        <w:tabs>
          <w:tab w:leader="none" w:pos="19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Stockholders’ equity - </w:t>
      </w:r>
      <w:r>
        <w:rPr>
          <w:rFonts w:ascii="Arial" w:cs="Arial" w:eastAsia="Arial" w:hAnsi="Arial"/>
          <w:sz w:val="18"/>
          <w:szCs w:val="18"/>
          <w:color w:val="auto"/>
        </w:rPr>
        <w:t>The pro forma balance sheet reflects the elimination of Autocam’s historical equity balances partially offset by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1,086,957 shares of NN common stock at a price of $29.18 per share as partial Merger consideration. Additionally, the adjustment to equity includes estimated transaction-related fees and expenses of approximately $5,391 (net of $3,032 tax benefit associated with the acquisition-related fees and expenses) expected to be paid upon completion of the Merger. These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57" w:right="319" w:bottom="1440" w:gutter="0" w:footer="0" w:header="0"/>
        </w:sectPr>
      </w:pPr>
    </w:p>
    <w:bookmarkStart w:id="68" w:name="page69"/>
    <w:bookmarkEnd w:id="68"/>
    <w:p>
      <w:pPr>
        <w:ind w:right="1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estimated transaction costs have been excluded from the pro forma statements of income as they reflect charges directly attributable to the Merger and will not have a continuing impact on NN operations. The unaudited pro forma adjustment to stockholders’ equity is calculated as follows:</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historical balance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(111,967)</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Shares issued as part of the acquisition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31,717</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Estimated transaction fees expected to be paid, net of tax</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(5,391)</w:t>
            </w: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Total adjustment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(85,641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215" w:lineRule="exact"/>
        <w:rPr>
          <w:sz w:val="20"/>
          <w:szCs w:val="20"/>
          <w:color w:val="auto"/>
        </w:rPr>
      </w:pPr>
    </w:p>
    <w:p>
      <w:pPr>
        <w:ind w:firstLine="8"/>
        <w:spacing w:after="0" w:line="277" w:lineRule="auto"/>
        <w:tabs>
          <w:tab w:leader="none" w:pos="195"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Income taxes payable- </w:t>
      </w:r>
      <w:r>
        <w:rPr>
          <w:rFonts w:ascii="Arial" w:cs="Arial" w:eastAsia="Arial" w:hAnsi="Arial"/>
          <w:sz w:val="18"/>
          <w:szCs w:val="18"/>
          <w:color w:val="auto"/>
        </w:rPr>
        <w:t>Income taxes payable was adjusted by $3,032 for the tax benefits associated with the acquisition-related fees and expenses incurred</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directly attributable to the Merger.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lowerLetter"/>
      <w:start w:val="1"/>
    </w:lvl>
  </w:abstractNum>
  <w:abstractNum w:abstractNumId="2">
    <w:nsid w:val="257130A3"/>
    <w:multiLevelType w:val="hybridMultilevel"/>
    <w:lvl w:ilvl="0">
      <w:lvlJc w:val="left"/>
      <w:lvlText w:val="(%1)"/>
      <w:numFmt w:val="lowerLetter"/>
      <w:start w:val="2"/>
    </w:lvl>
  </w:abstractNum>
  <w:abstractNum w:abstractNumId="3">
    <w:nsid w:val="62BBD95A"/>
    <w:multiLevelType w:val="hybridMultilevel"/>
    <w:lvl w:ilvl="0">
      <w:lvlJc w:val="left"/>
      <w:lvlText w:val="(%1)"/>
      <w:numFmt w:val="lowerLetter"/>
      <w:start w:val="4"/>
    </w:lvl>
  </w:abstractNum>
  <w:abstractNum w:abstractNumId="4">
    <w:nsid w:val="436C6125"/>
    <w:multiLevelType w:val="hybridMultilevel"/>
    <w:lvl w:ilvl="0">
      <w:lvlJc w:val="left"/>
      <w:lvlText w:val="1"/>
      <w:numFmt w:val="bullet"/>
      <w:start w:val="1"/>
    </w:lvl>
  </w:abstractNum>
  <w:abstractNum w:abstractNumId="5">
    <w:nsid w:val="628C895D"/>
    <w:multiLevelType w:val="hybridMultilevel"/>
    <w:lvl w:ilvl="0">
      <w:lvlJc w:val="left"/>
      <w:lvlText w:val="1"/>
      <w:numFmt w:val="bullet"/>
      <w:start w:val="1"/>
    </w:lvl>
  </w:abstractNum>
  <w:abstractNum w:abstractNumId="6">
    <w:nsid w:val="333AB105"/>
    <w:multiLevelType w:val="hybridMultilevel"/>
    <w:lvl w:ilvl="0">
      <w:lvlJc w:val="left"/>
      <w:lvlText w:val="2"/>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bullet"/>
      <w:start w:val="1"/>
    </w:lvl>
  </w:abstractNum>
  <w:abstractNum w:abstractNumId="9">
    <w:nsid w:val="2D1D5AE9"/>
    <w:multiLevelType w:val="hybridMultilevel"/>
    <w:lvl w:ilvl="0">
      <w:lvlJc w:val="left"/>
      <w:lvlText w:val="3"/>
      <w:numFmt w:val="bullet"/>
      <w:start w:val="1"/>
    </w:lvl>
  </w:abstractNum>
  <w:abstractNum w:abstractNumId="10">
    <w:nsid w:val="6763845E"/>
    <w:multiLevelType w:val="hybridMultilevel"/>
    <w:lvl w:ilvl="0">
      <w:lvlJc w:val="left"/>
      <w:lvlText w:val="1"/>
      <w:numFmt w:val="bullet"/>
      <w:start w:val="1"/>
    </w:lvl>
  </w:abstractNum>
  <w:abstractNum w:abstractNumId="11">
    <w:nsid w:val="75A2A8D4"/>
    <w:multiLevelType w:val="hybridMultilevel"/>
    <w:lvl w:ilvl="0">
      <w:lvlJc w:val="left"/>
      <w:lvlText w:val="2"/>
      <w:numFmt w:val="bullet"/>
      <w:start w:val="1"/>
    </w:lvl>
  </w:abstractNum>
  <w:abstractNum w:abstractNumId="12">
    <w:nsid w:val="8EDBDAB"/>
    <w:multiLevelType w:val="hybridMultilevel"/>
    <w:lvl w:ilvl="0">
      <w:lvlJc w:val="left"/>
      <w:lvlText w:val="1"/>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bullet"/>
      <w:start w:val="1"/>
    </w:lvl>
  </w:abstractNum>
  <w:abstractNum w:abstractNumId="19">
    <w:nsid w:val="2CA88611"/>
    <w:multiLevelType w:val="hybridMultilevel"/>
    <w:lvl w:ilvl="0">
      <w:lvlJc w:val="left"/>
      <w:lvlText w:val="2"/>
      <w:numFmt w:val="bullet"/>
      <w:start w:val="1"/>
    </w:lvl>
  </w:abstractNum>
  <w:abstractNum w:abstractNumId="20">
    <w:nsid w:val="836C40E"/>
    <w:multiLevelType w:val="hybridMultilevel"/>
    <w:lvl w:ilvl="0">
      <w:lvlJc w:val="left"/>
      <w:lvlText w:val="%1"/>
      <w:numFmt w:val="upperLetter"/>
      <w:start w:val="40"/>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upperLetter"/>
      <w:start w:val="40"/>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2"/>
    </w:lvl>
  </w:abstractNum>
  <w:abstractNum w:abstractNumId="27">
    <w:nsid w:val="6CEAF087"/>
    <w:multiLevelType w:val="hybridMultilevel"/>
    <w:lvl w:ilvl="0">
      <w:lvlJc w:val="left"/>
      <w:lvlText w:val="%1)"/>
      <w:numFmt w:val="lowerLetter"/>
      <w:start w:val="3"/>
    </w:lvl>
  </w:abstractNum>
  <w:abstractNum w:abstractNumId="28">
    <w:nsid w:val="22221A70"/>
    <w:multiLevelType w:val="hybridMultilevel"/>
    <w:lvl w:ilvl="0">
      <w:lvlJc w:val="left"/>
      <w:lvlText w:val="%1)"/>
      <w:numFmt w:val="lowerLetter"/>
      <w:start w:val="5"/>
    </w:lvl>
  </w:abstractNum>
  <w:abstractNum w:abstractNumId="29">
    <w:nsid w:val="4516DDE9"/>
    <w:multiLevelType w:val="hybridMultilevel"/>
    <w:lvl w:ilvl="0">
      <w:lvlJc w:val="left"/>
      <w:lvlText w:val="%1)"/>
      <w:numFmt w:val="lowerLetter"/>
      <w:start w:val="7"/>
    </w:lvl>
  </w:abstractNum>
  <w:abstractNum w:abstractNumId="30">
    <w:nsid w:val="3006C83E"/>
    <w:multiLevelType w:val="hybridMultilevel"/>
    <w:lvl w:ilvl="0">
      <w:lvlJc w:val="left"/>
      <w:lvlText w:val="%1)"/>
      <w:numFmt w:val="lowerRoman"/>
      <w:start w:val="1"/>
    </w:lvl>
  </w:abstractNum>
  <w:abstractNum w:abstractNumId="31">
    <w:nsid w:val="614FD4A1"/>
    <w:multiLevelType w:val="hybridMultilevel"/>
    <w:lvl w:ilvl="0">
      <w:lvlJc w:val="left"/>
      <w:lvlText w:val="%1)"/>
      <w:numFmt w:val="lowerLetter"/>
      <w:start w:val="10"/>
    </w:lvl>
  </w:abstractNum>
  <w:abstractNum w:abstractNumId="32">
    <w:nsid w:val="419AC241"/>
    <w:multiLevelType w:val="hybridMultilevel"/>
    <w:lvl w:ilvl="0">
      <w:lvlJc w:val="left"/>
      <w:lvlText w:val="%1)"/>
      <w:numFmt w:val="lowerLetter"/>
      <w:start w:val="12"/>
    </w:lvl>
  </w:abstractNum>
  <w:abstractNum w:abstractNumId="33">
    <w:nsid w:val="5577F8E1"/>
    <w:multiLevelType w:val="hybridMultilevel"/>
    <w:lvl w:ilvl="0">
      <w:lvlJc w:val="left"/>
      <w:lvlText w:val="%1)"/>
      <w:numFmt w:val="lowerLetter"/>
      <w:start w:val="14"/>
    </w:lvl>
  </w:abstractNum>
  <w:abstractNum w:abstractNumId="34">
    <w:nsid w:val="440BADFC"/>
    <w:multiLevelType w:val="hybridMultilevel"/>
    <w:lvl w:ilvl="0">
      <w:lvlJc w:val="left"/>
      <w:lvlText w:val="%1)"/>
      <w:numFmt w:val="lowerLetter"/>
      <w:start w:val="15"/>
    </w:lvl>
  </w:abstractNum>
  <w:abstractNum w:abstractNumId="35">
    <w:nsid w:val="5072367"/>
    <w:multiLevelType w:val="hybridMultilevel"/>
    <w:lvl w:ilvl="0">
      <w:lvlJc w:val="left"/>
      <w:lvlText w:val="%1)"/>
      <w:numFmt w:val="lowerLetter"/>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2019-12-06T09:47:52Z</dcterms:created>
  <dcterms:modified xsi:type="dcterms:W3CDTF">2019-12-06T09:47:52Z</dcterms:modified>
</cp:coreProperties>
</file>