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NN,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0" w:lineRule="exact"/>
        <w:rPr>
          <w:sz w:val="24"/>
          <w:szCs w:val="24"/>
          <w:color w:val="auto"/>
        </w:rPr>
      </w:pPr>
    </w:p>
    <w:p>
      <w:pPr>
        <w:spacing w:after="0" w:line="209"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1,718,580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1,718,580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1,718,580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w:t>
      </w:r>
    </w:p>
    <w:p>
      <w:pPr>
        <w:spacing w:after="0" w:line="238" w:lineRule="auto"/>
        <w:rPr>
          <w:sz w:val="20"/>
          <w:szCs w:val="20"/>
          <w:color w:val="auto"/>
        </w:rPr>
      </w:pPr>
      <w:r>
        <w:rPr>
          <w:rFonts w:ascii="Courier New" w:cs="Courier New" w:eastAsia="Courier New" w:hAnsi="Courier New"/>
          <w:sz w:val="18"/>
          <w:szCs w:val="18"/>
          <w:color w:val="auto"/>
        </w:rPr>
        <w:t>Charlotte, NC 28277</w:t>
      </w:r>
    </w:p>
    <w:p>
      <w:pPr>
        <w:spacing w:after="0" w:line="202"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Jennison Associates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629337106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6838" w:orient="portrait"/>
          <w:cols w:equalWidth="0" w:num="1">
            <w:col w:w="10219"/>
          </w:cols>
          <w:pgMar w:left="240" w:top="136" w:right="1440" w:bottom="0" w:gutter="0" w:footer="0" w:header="0"/>
        </w:sectPr>
      </w:pPr>
    </w:p>
    <w:bookmarkStart w:id="2" w:name="page3"/>
    <w:bookmarkEnd w:id="2"/>
    <w:p>
      <w:pPr>
        <w:spacing w:after="0" w:line="104"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1,718,580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1,718,580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1,718,580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0"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ectPr>
          <w:pgSz w:w="11900" w:h="16942" w:orient="portrait"/>
          <w:cols w:equalWidth="0" w:num="1">
            <w:col w:w="10219"/>
          </w:cols>
          <w:pgMar w:left="240" w:top="142" w:right="1440" w:bottom="0" w:gutter="0" w:footer="0" w:header="0"/>
        </w:sectPr>
      </w:pPr>
    </w:p>
    <w:bookmarkStart w:id="3" w:name="page4"/>
    <w:bookmarkEnd w:id="3"/>
    <w:p>
      <w:pPr>
        <w:ind w:right="3779"/>
        <w:spacing w:after="0" w:line="470" w:lineRule="auto"/>
        <w:rPr>
          <w:sz w:val="20"/>
          <w:szCs w:val="20"/>
          <w:color w:val="auto"/>
        </w:rPr>
      </w:pPr>
      <w:r>
        <w:rPr>
          <w:rFonts w:ascii="Courier New" w:cs="Courier New" w:eastAsia="Courier New" w:hAnsi="Courier New"/>
          <w:sz w:val="18"/>
          <w:szCs w:val="18"/>
          <w:color w:val="auto"/>
        </w:rPr>
        <w:t>beneficial owner of more than five percent of the securities, check the following (X).</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Heather Kaden</w:t>
      </w:r>
    </w:p>
    <w:p>
      <w:pPr>
        <w:spacing w:after="0" w:line="238" w:lineRule="auto"/>
        <w:rPr>
          <w:sz w:val="20"/>
          <w:szCs w:val="20"/>
          <w:color w:val="auto"/>
        </w:rPr>
      </w:pPr>
      <w:r>
        <w:rPr>
          <w:rFonts w:ascii="Courier New" w:cs="Courier New" w:eastAsia="Courier New" w:hAnsi="Courier New"/>
          <w:sz w:val="18"/>
          <w:szCs w:val="18"/>
          <w:color w:val="auto"/>
        </w:rPr>
        <w:t>Heather Kaden</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2020-02-17T16:33:40Z</dcterms:created>
  <dcterms:modified xsi:type="dcterms:W3CDTF">2020-02-17T16:33:40Z</dcterms:modified>
</cp:coreProperties>
</file>