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SECTION 13 OR 15(d)</w:t>
      </w:r>
    </w:p>
    <w:p>
      <w:pPr>
        <w:jc w:val="center"/>
        <w:ind w:right="-6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060"/>
        <w:spacing w:after="0"/>
        <w:rPr>
          <w:sz w:val="20"/>
          <w:szCs w:val="20"/>
          <w:color w:val="auto"/>
        </w:rPr>
      </w:pPr>
      <w:r>
        <w:rPr>
          <w:rFonts w:ascii="Arial" w:cs="Arial" w:eastAsia="Arial" w:hAnsi="Arial"/>
          <w:sz w:val="19"/>
          <w:szCs w:val="19"/>
          <w:b w:val="1"/>
          <w:bCs w:val="1"/>
          <w:color w:val="auto"/>
        </w:rPr>
        <w:t>Date of Report (Date of earliest event reported): March 2, 2017 (March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444500</wp:posOffset>
            </wp:positionV>
            <wp:extent cx="892175" cy="892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175" cy="892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6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740" w:space="720"/>
            <w:col w:w="2980" w:space="720"/>
            <w:col w:w="1660"/>
          </w:cols>
          <w:pgMar w:left="240" w:top="368" w:right="8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780"/>
          </w:cols>
          <w:pgMar w:left="240" w:top="368" w:right="839" w:bottom="1440" w:gutter="0" w:footer="0" w:header="0"/>
          <w:type w:val="continuous"/>
        </w:sectPr>
      </w:pPr>
    </w:p>
    <w:p>
      <w:pPr>
        <w:spacing w:after="0" w:line="6" w:lineRule="exact"/>
        <w:rPr>
          <w:sz w:val="24"/>
          <w:szCs w:val="24"/>
          <w:color w:val="auto"/>
        </w:rPr>
      </w:pPr>
    </w:p>
    <w:p>
      <w:pPr>
        <w:ind w:left="2960"/>
        <w:spacing w:after="0"/>
        <w:rPr>
          <w:sz w:val="20"/>
          <w:szCs w:val="20"/>
          <w:color w:val="auto"/>
        </w:rPr>
      </w:pPr>
      <w:r>
        <w:rPr>
          <w:rFonts w:ascii="Arial" w:cs="Arial" w:eastAsia="Arial" w:hAnsi="Arial"/>
          <w:sz w:val="17"/>
          <w:szCs w:val="17"/>
          <w:b w:val="1"/>
          <w:bCs w:val="1"/>
          <w:color w:val="auto"/>
        </w:rPr>
        <w:t>207 Mockingbird Lane</w:t>
      </w:r>
    </w:p>
    <w:p>
      <w:pPr>
        <w:spacing w:after="0" w:line="39"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37604</w:t>
      </w:r>
    </w:p>
    <w:p>
      <w:pPr>
        <w:spacing w:after="0" w:line="61" w:lineRule="exact"/>
        <w:rPr>
          <w:sz w:val="24"/>
          <w:szCs w:val="24"/>
          <w:color w:val="auto"/>
        </w:rPr>
      </w:pPr>
    </w:p>
    <w:p>
      <w:pPr>
        <w:sectPr>
          <w:pgSz w:w="11900" w:h="16838" w:orient="portrait"/>
          <w:cols w:equalWidth="0" w:num="2">
            <w:col w:w="8660" w:space="720"/>
            <w:col w:w="1440"/>
          </w:cols>
          <w:pgMar w:left="240" w:top="368" w:right="839" w:bottom="1440" w:gutter="0" w:footer="0" w:header="0"/>
          <w:type w:val="continuous"/>
        </w:sectPr>
      </w:pPr>
    </w:p>
    <w:p>
      <w:pPr>
        <w:ind w:left="2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1560"/>
          </w:cols>
          <w:pgMar w:left="240" w:top="368" w:right="839" w:bottom="1440" w:gutter="0" w:footer="0" w:header="0"/>
          <w:type w:val="continuous"/>
        </w:sectPr>
      </w:pPr>
    </w:p>
    <w:p>
      <w:pPr>
        <w:jc w:val="center"/>
        <w:ind w:right="-599"/>
        <w:spacing w:after="0"/>
        <w:rPr>
          <w:sz w:val="20"/>
          <w:szCs w:val="20"/>
          <w:color w:val="auto"/>
        </w:rPr>
      </w:pPr>
      <w:r>
        <w:rPr>
          <w:rFonts w:ascii="Arial" w:cs="Arial" w:eastAsia="Arial" w:hAnsi="Arial"/>
          <w:sz w:val="18"/>
          <w:szCs w:val="18"/>
          <w:b w:val="1"/>
          <w:bCs w:val="1"/>
          <w:color w:val="auto"/>
        </w:rPr>
        <w:t>(423) 434-8310</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820"/>
          </w:cols>
          <w:pgMar w:left="240" w:top="368" w:right="839" w:bottom="1440" w:gutter="0" w:footer="0" w:header="0"/>
          <w:type w:val="continuous"/>
        </w:sectPr>
      </w:pPr>
    </w:p>
    <w:p>
      <w:pPr>
        <w:spacing w:after="0" w:line="21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type w:val="continuous"/>
        </w:sectPr>
      </w:pPr>
    </w:p>
    <w:bookmarkStart w:id="1" w:name="page2"/>
    <w:bookmarkEnd w:id="1"/>
    <w:p>
      <w:pPr>
        <w:spacing w:after="0"/>
        <w:tabs>
          <w:tab w:leader="none" w:pos="1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On March 1, 2017, NN, Inc. (the “Company”) issued a press release announcing the Company’s financial results for the quarter and year ended December 31, 2016. The full text of the press release is furnished as Exhibit 99.1 and is incorporated herein by reference.</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80" w:type="dxa"/>
            <w:vAlign w:val="bottom"/>
            <w:gridSpan w:val="2"/>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24"/>
                <w:szCs w:val="24"/>
                <w:color w:val="auto"/>
              </w:rPr>
            </w:pPr>
          </w:p>
        </w:tc>
        <w:tc>
          <w:tcPr>
            <w:tcW w:w="10380" w:type="dxa"/>
            <w:vAlign w:val="bottom"/>
            <w:gridSpan w:val="2"/>
          </w:tcPr>
          <w:p>
            <w:pPr>
              <w:ind w:left="46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r>
      <w:tr>
        <w:trPr>
          <w:trHeight w:val="311"/>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10380" w:type="dxa"/>
            <w:vAlign w:val="bottom"/>
            <w:gridSpan w:val="2"/>
          </w:tcPr>
          <w:p>
            <w:pPr>
              <w:ind w:left="460"/>
              <w:spacing w:after="0"/>
              <w:rPr>
                <w:sz w:val="20"/>
                <w:szCs w:val="20"/>
                <w:color w:val="auto"/>
              </w:rPr>
            </w:pPr>
            <w:r>
              <w:rPr>
                <w:rFonts w:ascii="Arial" w:cs="Arial" w:eastAsia="Arial" w:hAnsi="Arial"/>
                <w:sz w:val="18"/>
                <w:szCs w:val="18"/>
                <w:color w:val="auto"/>
              </w:rPr>
              <w:t>Press Release of NN, Inc. dated March 1, 2017.</w:t>
            </w: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14"/>
                <w:szCs w:val="14"/>
                <w:color w:val="auto"/>
              </w:rPr>
            </w:pPr>
          </w:p>
        </w:tc>
        <w:tc>
          <w:tcPr>
            <w:tcW w:w="10320" w:type="dxa"/>
            <w:vAlign w:val="bottom"/>
            <w:gridSpan w:val="2"/>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r>
      <w:tr>
        <w:trPr>
          <w:trHeight w:val="311"/>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Press Release of NN, Inc. dated March 1, 2017.</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892175" cy="892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2175" cy="89217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172085</wp:posOffset>
            </wp:positionV>
            <wp:extent cx="184404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40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Corporate Treasurer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434-8305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Caitlin Petrakis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REPORTS FOURTH QUARTER &amp; FULL YEAR 2016 RESULTS</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Johnson City, Tenn, March 1, 2017 –</w:t>
      </w:r>
      <w:r>
        <w:rPr>
          <w:rFonts w:ascii="Arial" w:cs="Arial" w:eastAsia="Arial" w:hAnsi="Arial"/>
          <w:sz w:val="18"/>
          <w:szCs w:val="18"/>
          <w:color w:val="auto"/>
        </w:rPr>
        <w:t>NN, Inc., (NASDAQ: NNBR), a diversified industrial company, today reported its financial results for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and the year ended December 31,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fourth quarter of 2016 increased $18.2 million, or 10% to $202.0 million, compared to $183.9 million for the fourth quarter of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Acquisitions, net of divestitures, added $11.6 million in revenue. Sales grew organically by $6.6 million.</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a GAAP basis, income from operations for the fourth quarter of 2016 was $11.6 million, compared to negative $10.8 million for the same period in 2015. Net income on a GAAP basis for fourth quarter of 2016 was $3.4 million, or $0.12 per diluted share. This compares to a net loss of $25.0 million, or $(0.93) per diluted share in the fourth quarter of 2015.</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 GAAP basis, income from operations for fourth quarter 2016 in the Autocam Precision Components Group was $6.8 million compared to $4.0 million for the same period in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 GAAP basis, income from operations for fourth quarter 2016 in the Precision Bearing Components Group was $4.3 million compared to $1.2 million for the same period in 2015.</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 GAAP basis, income from operations for fourth quarter 2016 in the Precision Engineered Products Group was $8.6 million compared to $5.0 million loss for the same period in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2016</w:t>
      </w:r>
    </w:p>
    <w:p>
      <w:pPr>
        <w:spacing w:after="0" w:line="121"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Net sales for 2016 increased $166.2 million, or 25% to $833.5 million, compared to $667.3 million for 2015. Acquisitions, net of divestitures added $183.0 million in revenue. Sales in the legacy business were negatively impacted by $16.8 million due to weakness in the industrial end market.</w:t>
      </w:r>
    </w:p>
    <w:p>
      <w:pPr>
        <w:sectPr>
          <w:pgSz w:w="11900" w:h="16838" w:orient="portrait"/>
          <w:cols w:equalWidth="0" w:num="1">
            <w:col w:w="11420"/>
          </w:cols>
          <w:pgMar w:left="240" w:top="121" w:right="239" w:bottom="1440" w:gutter="0" w:footer="0" w:header="0"/>
          <w:type w:val="continuous"/>
        </w:sectPr>
      </w:pPr>
    </w:p>
    <w:bookmarkStart w:id="5" w:name="page6"/>
    <w:bookmarkEnd w:id="5"/>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 GAAP basis, income from operations for the fiscal year 2016 were $58.9 million, compared to $26.8 million in 2015. Net income on a GAAP basis for year ended December 31, 2016 was $8.3 million, or $0.30 per diluted share. This compares to a net loss of $7.4 million, or $(0.35) per diluted share in 2015.</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On a GAAP basis, income from operations for 2016 in the Autocam Precision Components Group was $29.5 million compared to $31.7 million for 2015.</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On a GAAP basis, income from operations for 2016 in the Precision Bearing Components Group was $23.0 million compared to $26.3 million in 2015.</w:t>
      </w:r>
    </w:p>
    <w:p>
      <w:pPr>
        <w:spacing w:after="0" w:line="2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 GAAP basis, income from operations for 2016 in the Precision Engineered Products Group was $34.7 million compared to a loss of $3.7 million in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21"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Adjusted income from operations for the fourth quarter of 2016 was $21.5 million, an increase of 11%, compared to $19.4 million for the same period in 2015. Adjusted net income was $9.6 million, or $0.35 per diluted share, compared to $6.8 million, or $0.25 per diluted share for the same period in 2015.</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Richard Holder, President and Chief Executive Officer, commented, “Our operating performance in the fourth quarter was in line with our expectation. We achieved organic sales growth in all three of our businesses for the first time in 2016 as weakness in the industrial markets modestly improved during the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Group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 Precision Components</w:t>
      </w:r>
    </w:p>
    <w:p>
      <w:pPr>
        <w:spacing w:after="0" w:line="12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Net sales for the fourth quarter of 2016 were $78.7 million, compared to $75.9 million in the fourth quarter of 2015, an increase of 3.6% or $2.7 million. Growth related to our CAFE automotive business accounted for the increase. Adjusted income from operations for the quarter increased $0.2 million to $9.8 million, compared to $9.7 million in the fourth quarter of 2015.</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Mr. Holder commented, “The APC group continues to execute on our strategic plan to grow our CAFE business while diversifying our precision machining business into other end markets.”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Bearing Components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sales for the fourth quarter of 2016 were $60.4 million, compared to $58.8 million in the fourth quarter of 2015, an increase of $1.6 million. Adjusted income from operations for the fourth quarter was $6.4 million, compared to $3.3 million in the fourth quarter of 2015.</w:t>
      </w:r>
    </w:p>
    <w:p>
      <w:pPr>
        <w:spacing w:after="0" w:line="17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Mr. Holder commented, “The PBC team continues to achieve operating improvements driven by the NN Operating System. The organic sales growth achieved in the PBC coupled with the operational improvements made over the year are impressive and we are pleased with the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Engineered Products</w:t>
      </w:r>
    </w:p>
    <w:p>
      <w:pPr>
        <w:spacing w:after="0" w:line="12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Net sales for the fourth quarter of 2016 were $63.0 million, compared to $49.1 million in the fourth quarter of 2015, an increase of $13.8 million. The acquisition of PEP, net of divestitures accounted for $11.6 million of the increase. Adjusted income from operations for the quarter was $14.6 million, compared to $10.1 million in 2015.</w:t>
      </w:r>
    </w:p>
    <w:p>
      <w:pPr>
        <w:sectPr>
          <w:pgSz w:w="11900" w:h="16838" w:orient="portrait"/>
          <w:cols w:equalWidth="0" w:num="1">
            <w:col w:w="11300"/>
          </w:cols>
          <w:pgMar w:left="240" w:top="274" w:right="359" w:bottom="1440" w:gutter="0" w:footer="0" w:header="0"/>
        </w:sectPr>
      </w:pPr>
    </w:p>
    <w:bookmarkStart w:id="6" w:name="page7"/>
    <w:bookmarkEnd w:id="6"/>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Holder commented, “We are pleased with the performance of our PEP group. Our integration efforts are on track, we continue to see the benefits of the execution of the NN Operating System and our investment in our sales team is starting to take hold.”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2016</w:t>
      </w:r>
    </w:p>
    <w:p>
      <w:pPr>
        <w:spacing w:after="0" w:line="12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Adjusted income from operations for 2016 were $100.0 million, an increase of 52%, compared to $65.7 million for the same period in 2015. Adjusted net income was $39.5 million, or $1.45 per diluted share, compared to $32.4 million, or $1.53 per diluted share for the same period in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Group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 Precision Components</w:t>
      </w:r>
    </w:p>
    <w:p>
      <w:pPr>
        <w:spacing w:after="0" w:line="12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Net sales for 2016 were $326.1 million, compared to $328.3 million in 2015, a decrease of 0.7% or $2.2 million. Weakness in the industrial end market accounted for the decline. Adjusted income from operations for the year increased $1.5 million to $44.0 million, compared to $42.5 million in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Bearing Components</w:t>
      </w:r>
    </w:p>
    <w:p>
      <w:pPr>
        <w:spacing w:after="0" w:line="12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Net sales for 2016 were $248.5 million, compared to $261.8 million in 2015, a decrease of $13.3 million. Weakness across the industrial end market accounted for the decline. Adjusted income from operations for the year were $27.6 million, compared to $28.5 million in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Engineered Products</w:t>
      </w:r>
    </w:p>
    <w:p>
      <w:pPr>
        <w:spacing w:after="0" w:line="12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Net sales for 2016 were $258.8 million, compared to $77.2 million in 2015, an increase of $181.6 million. The acquisition of PEP, net of divestitures accounted for $183.0 million of the increase. Adjusted income from operations was $59.2 million, compared to $11.5 million in 2015.</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Mr. Holder concluded, “I am very proud of the way the team operated and followed the NN Operating System during 2016. Despite a challenging topline environment, we continued to perform and flex the business in line with our expectations.”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full set of financial guidance for the first quarter and full year 2017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300" w:firstLine="8"/>
        <w:spacing w:after="0" w:line="312" w:lineRule="auto"/>
        <w:tabs>
          <w:tab w:leader="none" w:pos="3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will discuss its results during its quarterly investor conference call tomorrow morning starting at 9:00 a.m. ET. The call and supplemental presentation may be accessed via NN’s website, </w:t>
      </w:r>
      <w:r>
        <w:rPr>
          <w:rFonts w:ascii="Arial" w:cs="Arial" w:eastAsia="Arial" w:hAnsi="Arial"/>
          <w:sz w:val="16"/>
          <w:szCs w:val="16"/>
          <w:u w:val="single" w:color="auto"/>
          <w:color w:val="auto"/>
        </w:rPr>
        <w:t>www.nninc.com</w:t>
      </w:r>
      <w:r>
        <w:rPr>
          <w:rFonts w:ascii="Arial" w:cs="Arial" w:eastAsia="Arial" w:hAnsi="Arial"/>
          <w:sz w:val="16"/>
          <w:szCs w:val="16"/>
          <w:color w:val="auto"/>
        </w:rPr>
        <w:t>. The conference call can also be accessed by dialing 888-481-2845 or 719-325-2432 Conference ID: 6612426. For those who are unavailable to listen to the live broadcast, a replay will be available shortly after the call for 90 days.</w:t>
      </w:r>
    </w:p>
    <w:p>
      <w:pPr>
        <w:spacing w:after="0" w:line="147" w:lineRule="exact"/>
        <w:rPr>
          <w:sz w:val="20"/>
          <w:szCs w:val="20"/>
          <w:color w:val="auto"/>
        </w:rPr>
      </w:pPr>
    </w:p>
    <w:p>
      <w:pPr>
        <w:ind w:right="200" w:firstLine="8"/>
        <w:spacing w:after="0" w:line="264"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discloses in this press release the non-GAAP financial measures of adjusted income from operations, adjusted net income and adjusted diluted earnings per share. Each of adjusted income from operations and adjusted net income provide supplementary information about the impacts of acquisition related expenses, foreign-exchange and other non-operating impacts on our business.</w:t>
      </w:r>
    </w:p>
    <w:p>
      <w:pPr>
        <w:spacing w:after="0" w:line="18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financial tables found later in this press release include a reconciliation of adjusted income from operations, adjusted net income and adjusted diluted earnings per share to the U.S. GAAP financial measures of income from operations, net income and diluted earnings per share.</w:t>
      </w:r>
    </w:p>
    <w:p>
      <w:pPr>
        <w:sectPr>
          <w:pgSz w:w="11900" w:h="16838" w:orient="portrait"/>
          <w:cols w:equalWidth="0" w:num="1">
            <w:col w:w="11420"/>
          </w:cols>
          <w:pgMar w:left="240" w:top="274" w:right="239" w:bottom="1440" w:gutter="0" w:footer="0" w:header="0"/>
        </w:sectPr>
      </w:pPr>
    </w:p>
    <w:bookmarkStart w:id="7" w:name="page8"/>
    <w:bookmarkEnd w:id="7"/>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40 manufacturing plants in North America, Western Europe, Eastern Europe, South America and China.</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completed acquisitions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2015. Except as required by law, we undertake no obligation to update or revise any forward-looking statements we make in our press releases, whether as a result of new information, future events or otherwise.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Financial Tables Follow</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Net Income and Comprehensive Income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w:t>
            </w: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For the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Ended December 31,</w:t>
            </w:r>
          </w:p>
        </w:tc>
        <w:tc>
          <w:tcPr>
            <w:tcW w:w="300" w:type="dxa"/>
            <w:vAlign w:val="bottom"/>
          </w:tcPr>
          <w:p>
            <w:pPr>
              <w:spacing w:after="0"/>
              <w:rPr>
                <w:sz w:val="12"/>
                <w:szCs w:val="12"/>
                <w:color w:val="auto"/>
              </w:rPr>
            </w:pPr>
          </w:p>
        </w:tc>
        <w:tc>
          <w:tcPr>
            <w:tcW w:w="202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Ended December 31,</w:t>
            </w:r>
          </w:p>
        </w:tc>
        <w:tc>
          <w:tcPr>
            <w:tcW w:w="120" w:type="dxa"/>
            <w:vAlign w:val="bottom"/>
          </w:tcPr>
          <w:p>
            <w:pPr>
              <w:spacing w:after="0"/>
              <w:rPr>
                <w:sz w:val="12"/>
                <w:szCs w:val="12"/>
                <w:color w:val="auto"/>
              </w:rPr>
            </w:pPr>
          </w:p>
        </w:tc>
        <w:tc>
          <w:tcPr>
            <w:tcW w:w="17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4280" w:type="dxa"/>
            <w:vAlign w:val="bottom"/>
            <w:gridSpan w:val="3"/>
          </w:tcPr>
          <w:p>
            <w:pPr>
              <w:spacing w:after="0" w:line="158" w:lineRule="exact"/>
              <w:rPr>
                <w:sz w:val="20"/>
                <w:szCs w:val="20"/>
                <w:color w:val="auto"/>
              </w:rPr>
            </w:pPr>
            <w:r>
              <w:rPr>
                <w:rFonts w:ascii="Arial" w:cs="Arial" w:eastAsia="Arial" w:hAnsi="Arial"/>
                <w:sz w:val="14"/>
                <w:szCs w:val="14"/>
                <w:color w:val="auto"/>
              </w:rPr>
              <w:t>(in thousands, except per share data)</w:t>
            </w:r>
          </w:p>
        </w:tc>
        <w:tc>
          <w:tcPr>
            <w:tcW w:w="320" w:type="dxa"/>
            <w:vAlign w:val="bottom"/>
          </w:tcPr>
          <w:p>
            <w:pPr>
              <w:spacing w:after="0"/>
              <w:rPr>
                <w:sz w:val="15"/>
                <w:szCs w:val="15"/>
                <w:color w:val="auto"/>
              </w:rPr>
            </w:pPr>
          </w:p>
        </w:tc>
        <w:tc>
          <w:tcPr>
            <w:tcW w:w="1060" w:type="dxa"/>
            <w:vAlign w:val="bottom"/>
          </w:tcPr>
          <w:p>
            <w:pPr>
              <w:jc w:val="right"/>
              <w:ind w:right="451"/>
              <w:spacing w:after="0" w:line="158"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1"/>
              <w:spacing w:after="0" w:line="158" w:lineRule="exact"/>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1"/>
              <w:spacing w:after="0" w:line="158"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71"/>
              <w:spacing w:after="0" w:line="158"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w:t>
            </w:r>
          </w:p>
        </w:tc>
        <w:tc>
          <w:tcPr>
            <w:tcW w:w="2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202,029</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183,854</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833,488</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667,280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and amortization shown separately below)</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151,936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147,773</w:t>
            </w:r>
          </w:p>
        </w:tc>
        <w:tc>
          <w:tcPr>
            <w:tcW w:w="120" w:type="dxa"/>
            <w:vAlign w:val="bottom"/>
          </w:tcPr>
          <w:p>
            <w:pPr>
              <w:spacing w:after="0"/>
              <w:rPr>
                <w:sz w:val="20"/>
                <w:szCs w:val="20"/>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621,022</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20,087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13,833</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80,738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Acquisition related costs excluded from selling,</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0"/>
                <w:szCs w:val="20"/>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7,734</w:t>
            </w:r>
          </w:p>
        </w:tc>
        <w:tc>
          <w:tcPr>
            <w:tcW w:w="120" w:type="dxa"/>
            <w:vAlign w:val="bottom"/>
          </w:tcPr>
          <w:p>
            <w:pPr>
              <w:spacing w:after="0"/>
              <w:rPr>
                <w:sz w:val="20"/>
                <w:szCs w:val="20"/>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18,781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62,488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(Gain) loss on disposal of assets</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7,268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10,024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23"/>
        </w:trPr>
        <w:tc>
          <w:tcPr>
            <w:tcW w:w="428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(10,848)</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58,928</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13,356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63,154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Write-off of unamortized debt issuance costs</w:t>
            </w:r>
          </w:p>
        </w:tc>
        <w:tc>
          <w:tcPr>
            <w:tcW w:w="32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18,673</w:t>
            </w:r>
          </w:p>
        </w:tc>
        <w:tc>
          <w:tcPr>
            <w:tcW w:w="12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18,673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Derivative payments (receipts) on interest rate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swap</w:t>
            </w:r>
          </w:p>
        </w:tc>
        <w:tc>
          <w:tcPr>
            <w:tcW w:w="3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Derivative (gains) losses on change in interest rate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swap fair value</w:t>
            </w:r>
          </w:p>
        </w:tc>
        <w:tc>
          <w:tcPr>
            <w:tcW w:w="320" w:type="dxa"/>
            <w:vAlign w:val="bottom"/>
          </w:tcPr>
          <w:p>
            <w:pPr>
              <w:spacing w:after="0"/>
              <w:rPr>
                <w:sz w:val="20"/>
                <w:szCs w:val="20"/>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(682)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2,448</w:t>
            </w: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9"/>
        </w:trPr>
        <w:tc>
          <w:tcPr>
            <w:tcW w:w="4280" w:type="dxa"/>
            <w:vAlign w:val="bottom"/>
            <w:gridSpan w:val="3"/>
          </w:tcPr>
          <w:p>
            <w:pPr>
              <w:spacing w:after="0"/>
              <w:rPr>
                <w:sz w:val="20"/>
                <w:szCs w:val="20"/>
                <w:color w:val="auto"/>
              </w:rPr>
            </w:pPr>
            <w:r>
              <w:rPr>
                <w:rFonts w:ascii="Arial" w:cs="Arial" w:eastAsia="Arial" w:hAnsi="Arial"/>
                <w:sz w:val="18"/>
                <w:szCs w:val="18"/>
                <w:color w:val="auto"/>
              </w:rPr>
              <w:t>Income (loss) before provision (benefit) for income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taxes and share of net income from joint venture</w:t>
            </w:r>
          </w:p>
        </w:tc>
        <w:tc>
          <w:tcPr>
            <w:tcW w:w="320" w:type="dxa"/>
            <w:vAlign w:val="bottom"/>
          </w:tcPr>
          <w:p>
            <w:pPr>
              <w:spacing w:after="0"/>
              <w:rPr>
                <w:sz w:val="20"/>
                <w:szCs w:val="20"/>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(1,737)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(42,040)</w:t>
            </w:r>
          </w:p>
        </w:tc>
        <w:tc>
          <w:tcPr>
            <w:tcW w:w="120" w:type="dxa"/>
            <w:vAlign w:val="bottom"/>
          </w:tcPr>
          <w:p>
            <w:pPr>
              <w:spacing w:after="0"/>
              <w:rPr>
                <w:sz w:val="20"/>
                <w:szCs w:val="20"/>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(7,497)</w:t>
            </w: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expense for income taxes</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(3,361)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(14,527)</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(9,830)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5,938</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(7,431)</w:t>
            </w:r>
          </w:p>
        </w:tc>
        <w:tc>
          <w:tcPr>
            <w:tcW w:w="0" w:type="dxa"/>
            <w:vAlign w:val="bottom"/>
          </w:tcPr>
          <w:p>
            <w:pPr>
              <w:spacing w:after="0"/>
              <w:rPr>
                <w:sz w:val="1"/>
                <w:szCs w:val="1"/>
                <w:color w:val="auto"/>
              </w:rPr>
            </w:pPr>
          </w:p>
        </w:tc>
      </w:tr>
      <w:tr>
        <w:trPr>
          <w:trHeight w:val="223"/>
        </w:trPr>
        <w:tc>
          <w:tcPr>
            <w:tcW w:w="4280" w:type="dxa"/>
            <w:vAlign w:val="bottom"/>
            <w:gridSpan w:val="3"/>
          </w:tcPr>
          <w:p>
            <w:pPr>
              <w:spacing w:after="0"/>
              <w:rPr>
                <w:sz w:val="20"/>
                <w:szCs w:val="20"/>
                <w:color w:val="auto"/>
              </w:rPr>
            </w:pPr>
            <w:r>
              <w:rPr>
                <w:rFonts w:ascii="Arial" w:cs="Arial" w:eastAsia="Arial" w:hAnsi="Arial"/>
                <w:sz w:val="18"/>
                <w:szCs w:val="18"/>
                <w:color w:val="auto"/>
              </w:rPr>
              <w:t>Basic income per share:</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3"/>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26,840</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27,016</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32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26,840</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27,154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21,181</w:t>
            </w: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Arial" w:cs="Arial" w:eastAsia="Arial" w:hAnsi="Arial"/>
                <w:sz w:val="18"/>
                <w:szCs w:val="18"/>
                <w:color w:val="auto"/>
              </w:rPr>
              <w:t>Cash dividends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3"/>
            <w:vMerge w:val="continue"/>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Items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3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For the Year</w:t>
            </w: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For the Year</w:t>
            </w:r>
          </w:p>
        </w:tc>
      </w:tr>
      <w:tr>
        <w:trPr>
          <w:trHeight w:val="149"/>
        </w:trPr>
        <w:tc>
          <w:tcPr>
            <w:tcW w:w="210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ended</w:t>
            </w:r>
          </w:p>
        </w:tc>
        <w:tc>
          <w:tcPr>
            <w:tcW w:w="1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210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3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8"/>
        </w:trPr>
        <w:tc>
          <w:tcPr>
            <w:tcW w:w="9200" w:type="dxa"/>
            <w:vAlign w:val="bottom"/>
            <w:gridSpan w:val="2"/>
          </w:tcPr>
          <w:p>
            <w:pPr>
              <w:spacing w:after="0" w:line="158" w:lineRule="exact"/>
              <w:rPr>
                <w:sz w:val="20"/>
                <w:szCs w:val="20"/>
                <w:color w:val="auto"/>
              </w:rPr>
            </w:pPr>
            <w:r>
              <w:rPr>
                <w:rFonts w:ascii="Arial" w:cs="Arial" w:eastAsia="Arial" w:hAnsi="Arial"/>
                <w:sz w:val="14"/>
                <w:szCs w:val="14"/>
                <w:color w:val="auto"/>
              </w:rPr>
              <w:t>(in thousands, except per share data)</w:t>
            </w:r>
          </w:p>
        </w:tc>
        <w:tc>
          <w:tcPr>
            <w:tcW w:w="160" w:type="dxa"/>
            <w:vAlign w:val="bottom"/>
          </w:tcPr>
          <w:p>
            <w:pPr>
              <w:spacing w:after="0"/>
              <w:rPr>
                <w:sz w:val="15"/>
                <w:szCs w:val="15"/>
                <w:color w:val="auto"/>
              </w:rPr>
            </w:pPr>
          </w:p>
        </w:tc>
        <w:tc>
          <w:tcPr>
            <w:tcW w:w="68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89"/>
              </w:rPr>
              <w:t>2016</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5"/>
                <w:szCs w:val="15"/>
                <w:color w:val="auto"/>
              </w:rPr>
            </w:pPr>
          </w:p>
        </w:tc>
      </w:tr>
      <w:tr>
        <w:trPr>
          <w:trHeight w:val="203"/>
        </w:trPr>
        <w:tc>
          <w:tcPr>
            <w:tcW w:w="2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Cash</w:t>
            </w:r>
          </w:p>
        </w:tc>
        <w:tc>
          <w:tcPr>
            <w:tcW w:w="7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14,405</w:t>
            </w: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15,087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12,751</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11,714</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obligation under capital lease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785,713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795,400</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net income to NON-GAAP adjusted net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NN, Inc—Total Company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w w:val="99"/>
              </w:rPr>
              <w:t>Three Months Ended December 31, 2016</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Three Months Ended December 31,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Diluted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8"/>
              </w:rPr>
              <w:t>In Thousands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Earnings Per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w w:val="92"/>
              </w:rPr>
              <w:t>In Thousands</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Earnings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Share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44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25,015)</w:t>
            </w:r>
          </w:p>
        </w:tc>
        <w:tc>
          <w:tcPr>
            <w:tcW w:w="7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Pre-tax acquisition and integration costs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1,138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31,604</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Pre-tax foreign exchange loss on inter-company</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3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tcBorders>
              <w:right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Pre-tax reorganization and impairment charges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2,783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0.10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6,163</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of unamortized debt issuance costs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tcBorders>
              <w:right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Pre-tax write of interest rate swap</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Pre-tax Amortization of intangibles &amp; deferred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costs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7,117</w:t>
            </w: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0.26</w:t>
            </w:r>
          </w:p>
        </w:tc>
        <w:tc>
          <w:tcPr>
            <w:tcW w:w="3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tcBorders>
              <w:right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5,125</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Tax effect of all adjustment reflected above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(4,950)</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(0.18)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(11,133)</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 GAAP Adjusted net income</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9,576</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6,786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4440" w:type="dxa"/>
            <w:vAlign w:val="bottom"/>
            <w:gridSpan w:val="3"/>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80" w:type="dxa"/>
            <w:vAlign w:val="bottom"/>
            <w:gridSpan w:val="6"/>
          </w:tcPr>
          <w:p>
            <w:pPr>
              <w:spacing w:after="0"/>
              <w:rPr>
                <w:sz w:val="20"/>
                <w:szCs w:val="20"/>
                <w:color w:val="auto"/>
              </w:rPr>
            </w:pPr>
            <w:r>
              <w:rPr>
                <w:rFonts w:ascii="Arial" w:cs="Arial" w:eastAsia="Arial" w:hAnsi="Arial"/>
                <w:sz w:val="18"/>
                <w:szCs w:val="18"/>
                <w:b w:val="1"/>
                <w:bCs w:val="1"/>
                <w:color w:val="auto"/>
                <w:w w:val="97"/>
              </w:rPr>
              <w:t>Reconciliation of GAAP net income to NON-GAAP adjusted net income:</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NN, Inc—Total Company</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w w:val="96"/>
              </w:rPr>
              <w:t>Twelve Months Ended December 31, 2016</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Twelve Months Ended December 31,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Diluted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2"/>
              </w:rPr>
              <w:t>In Thousands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Earnings Per</w:t>
            </w:r>
          </w:p>
        </w:tc>
        <w:tc>
          <w:tcPr>
            <w:tcW w:w="360" w:type="dxa"/>
            <w:vAlign w:val="bottom"/>
          </w:tcPr>
          <w:p>
            <w:pPr>
              <w:spacing w:after="0"/>
              <w:rPr>
                <w:sz w:val="12"/>
                <w:szCs w:val="12"/>
                <w:color w:val="auto"/>
              </w:rPr>
            </w:pPr>
          </w:p>
        </w:tc>
        <w:tc>
          <w:tcPr>
            <w:tcW w:w="1920" w:type="dxa"/>
            <w:vAlign w:val="bottom"/>
            <w:gridSpan w:val="3"/>
            <w:vMerge w:val="restart"/>
          </w:tcPr>
          <w:p>
            <w:pPr>
              <w:jc w:val="right"/>
              <w:ind w:right="9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Earnings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Share</w:t>
            </w:r>
          </w:p>
        </w:tc>
        <w:tc>
          <w:tcPr>
            <w:tcW w:w="36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44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7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Pre-tax acquisition and integration costs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36,750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Pre-tax foreign exchange (gain) loss on inter-</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loans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1,219)</w:t>
            </w: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(0.04)</w:t>
            </w:r>
          </w:p>
        </w:tc>
        <w:tc>
          <w:tcPr>
            <w:tcW w:w="3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7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Pre-tax reorganization and impairment charges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10,024</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Pre-tax write-off of unamortized debt issuance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440" w:type="dxa"/>
            <w:vAlign w:val="bottom"/>
            <w:tcBorders>
              <w:lef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00" w:type="dxa"/>
            <w:vAlign w:val="bottom"/>
            <w:tcBorders>
              <w:left w:val="single" w:sz="8" w:color="CCEEFF"/>
            </w:tcBorders>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tcBorders>
              <w:right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Pre-tax write of interest rate swap</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3,785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Pre-tax Amortization of intangibles &amp; deferred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tcBorders>
              <w:lef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costs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30,919</w:t>
            </w:r>
          </w:p>
        </w:tc>
        <w:tc>
          <w:tcPr>
            <w:tcW w:w="440" w:type="dxa"/>
            <w:vAlign w:val="bottom"/>
            <w:tcBorders>
              <w:lef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0" w:type="dxa"/>
            <w:vAlign w:val="bottom"/>
            <w:tcBorders>
              <w:left w:val="single" w:sz="8" w:color="CCEEFF"/>
            </w:tcBorders>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7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Tax effect of all adjustment reflected above</w:t>
            </w:r>
          </w:p>
        </w:tc>
        <w:tc>
          <w:tcPr>
            <w:tcW w:w="160" w:type="dxa"/>
            <w:vAlign w:val="bottom"/>
            <w:gridSpan w:val="2"/>
          </w:tcPr>
          <w:p>
            <w:pPr>
              <w:spacing w:after="0"/>
              <w:rPr>
                <w:sz w:val="20"/>
                <w:szCs w:val="20"/>
                <w:color w:val="auto"/>
              </w:rPr>
            </w:pPr>
            <w:r>
              <w:rPr>
                <w:rFonts w:ascii="Arial" w:cs="Arial" w:eastAsia="Arial" w:hAnsi="Arial"/>
                <w:sz w:val="18"/>
                <w:szCs w:val="18"/>
                <w:color w:val="auto"/>
                <w:w w:val="87"/>
              </w:rPr>
              <w:t>($</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19,580)</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(0.72)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(13,926)</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 GAAP Adjusted net income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39,440</w:t>
            </w:r>
          </w:p>
        </w:tc>
        <w:tc>
          <w:tcPr>
            <w:tcW w:w="4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32,358</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NN, Inc—Total Company</w:t>
            </w:r>
          </w:p>
        </w:tc>
        <w:tc>
          <w:tcPr>
            <w:tcW w:w="700" w:type="dxa"/>
            <w:vAlign w:val="bottom"/>
          </w:tcPr>
          <w:p>
            <w:pPr>
              <w:spacing w:after="0"/>
              <w:rPr>
                <w:sz w:val="14"/>
                <w:szCs w:val="14"/>
                <w:color w:val="auto"/>
              </w:rPr>
            </w:pPr>
          </w:p>
        </w:tc>
        <w:tc>
          <w:tcPr>
            <w:tcW w:w="2560" w:type="dxa"/>
            <w:vAlign w:val="bottom"/>
            <w:gridSpan w:val="7"/>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$‘000</w:t>
            </w:r>
          </w:p>
        </w:tc>
        <w:tc>
          <w:tcPr>
            <w:tcW w:w="3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$‘000</w:t>
            </w:r>
          </w:p>
        </w:tc>
        <w:tc>
          <w:tcPr>
            <w:tcW w:w="3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$‘000</w:t>
            </w:r>
          </w:p>
        </w:tc>
        <w:tc>
          <w:tcPr>
            <w:tcW w:w="3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$‘000</w:t>
            </w:r>
          </w:p>
        </w:tc>
        <w:tc>
          <w:tcPr>
            <w:tcW w:w="3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Sales</w:t>
            </w:r>
          </w:p>
        </w:tc>
        <w:tc>
          <w:tcPr>
            <w:tcW w:w="840" w:type="dxa"/>
            <w:vAlign w:val="bottom"/>
            <w:gridSpan w:val="2"/>
            <w:vMerge w:val="continue"/>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Sales</w:t>
            </w:r>
          </w:p>
        </w:tc>
        <w:tc>
          <w:tcPr>
            <w:tcW w:w="840" w:type="dxa"/>
            <w:vAlign w:val="bottom"/>
            <w:gridSpan w:val="2"/>
            <w:vMerge w:val="continue"/>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Income from operations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8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($10,848)    -5.9%</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$58,928</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$26,797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2,783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7,379</w:t>
            </w:r>
          </w:p>
        </w:tc>
        <w:tc>
          <w:tcPr>
            <w:tcW w:w="3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10,024</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7,379</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Acquisition &amp; integration expenses</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0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17,931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4,651</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23,749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7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5,915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4,940</w:t>
            </w:r>
          </w:p>
        </w:tc>
        <w:tc>
          <w:tcPr>
            <w:tcW w:w="3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26,351</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7,790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Adjusted income from operations (a)</w:t>
            </w:r>
          </w:p>
        </w:tc>
        <w:tc>
          <w:tcPr>
            <w:tcW w:w="7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21,460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0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$ 19,402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99,954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65,715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GAAP Total Sales</w:t>
            </w: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3"/>
          </w:tcPr>
          <w:p>
            <w:pPr>
              <w:jc w:val="right"/>
              <w:ind w:right="136"/>
              <w:spacing w:after="0"/>
              <w:rPr>
                <w:sz w:val="20"/>
                <w:szCs w:val="20"/>
                <w:color w:val="auto"/>
              </w:rPr>
            </w:pPr>
            <w:r>
              <w:rPr>
                <w:rFonts w:ascii="Arial" w:cs="Arial" w:eastAsia="Arial" w:hAnsi="Arial"/>
                <w:sz w:val="18"/>
                <w:szCs w:val="18"/>
                <w:color w:val="auto"/>
              </w:rPr>
              <w:t>$202,030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157"/>
              <w:spacing w:after="0"/>
              <w:rPr>
                <w:sz w:val="20"/>
                <w:szCs w:val="20"/>
                <w:color w:val="auto"/>
              </w:rPr>
            </w:pPr>
            <w:r>
              <w:rPr>
                <w:rFonts w:ascii="Arial" w:cs="Arial" w:eastAsia="Arial" w:hAnsi="Arial"/>
                <w:sz w:val="18"/>
                <w:szCs w:val="18"/>
                <w:color w:val="auto"/>
              </w:rPr>
              <w:t>$183,855</w:t>
            </w:r>
          </w:p>
        </w:tc>
        <w:tc>
          <w:tcPr>
            <w:tcW w:w="380" w:type="dxa"/>
            <w:vAlign w:val="bottom"/>
          </w:tcPr>
          <w:p>
            <w:pPr>
              <w:spacing w:after="0"/>
              <w:rPr>
                <w:sz w:val="18"/>
                <w:szCs w:val="18"/>
                <w:color w:val="auto"/>
              </w:rPr>
            </w:pPr>
          </w:p>
        </w:tc>
        <w:tc>
          <w:tcPr>
            <w:tcW w:w="1220" w:type="dxa"/>
            <w:vAlign w:val="bottom"/>
            <w:gridSpan w:val="3"/>
          </w:tcPr>
          <w:p>
            <w:pPr>
              <w:jc w:val="right"/>
              <w:ind w:right="136"/>
              <w:spacing w:after="0"/>
              <w:rPr>
                <w:sz w:val="20"/>
                <w:szCs w:val="20"/>
                <w:color w:val="auto"/>
              </w:rPr>
            </w:pPr>
            <w:r>
              <w:rPr>
                <w:rFonts w:ascii="Arial" w:cs="Arial" w:eastAsia="Arial" w:hAnsi="Arial"/>
                <w:sz w:val="18"/>
                <w:szCs w:val="18"/>
                <w:color w:val="auto"/>
              </w:rPr>
              <w:t>$833,488</w:t>
            </w:r>
          </w:p>
        </w:tc>
        <w:tc>
          <w:tcPr>
            <w:tcW w:w="380" w:type="dxa"/>
            <w:vAlign w:val="bottom"/>
          </w:tcPr>
          <w:p>
            <w:pPr>
              <w:spacing w:after="0"/>
              <w:rPr>
                <w:sz w:val="18"/>
                <w:szCs w:val="18"/>
                <w:color w:val="auto"/>
              </w:rPr>
            </w:pPr>
          </w:p>
        </w:tc>
        <w:tc>
          <w:tcPr>
            <w:tcW w:w="1160" w:type="dxa"/>
            <w:vAlign w:val="bottom"/>
            <w:gridSpan w:val="3"/>
          </w:tcPr>
          <w:p>
            <w:pPr>
              <w:jc w:val="right"/>
              <w:ind w:right="116"/>
              <w:spacing w:after="0"/>
              <w:rPr>
                <w:sz w:val="20"/>
                <w:szCs w:val="20"/>
                <w:color w:val="auto"/>
              </w:rPr>
            </w:pPr>
            <w:r>
              <w:rPr>
                <w:rFonts w:ascii="Arial" w:cs="Arial" w:eastAsia="Arial" w:hAnsi="Arial"/>
                <w:sz w:val="18"/>
                <w:szCs w:val="18"/>
                <w:color w:val="auto"/>
              </w:rPr>
              <w:t>$667,280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income from operations to Non-GAAP adjusted income from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NN, Inc—Autocam Precision Components Group</w:t>
            </w:r>
          </w:p>
        </w:tc>
        <w:tc>
          <w:tcPr>
            <w:tcW w:w="760" w:type="dxa"/>
            <w:vAlign w:val="bottom"/>
          </w:tcPr>
          <w:p>
            <w:pPr>
              <w:spacing w:after="0"/>
              <w:rPr>
                <w:sz w:val="14"/>
                <w:szCs w:val="14"/>
                <w:color w:val="auto"/>
              </w:rPr>
            </w:pPr>
          </w:p>
        </w:tc>
        <w:tc>
          <w:tcPr>
            <w:tcW w:w="2940" w:type="dxa"/>
            <w:vAlign w:val="bottom"/>
            <w:gridSpan w:val="8"/>
          </w:tcPr>
          <w:p>
            <w:pPr>
              <w:ind w:left="240"/>
              <w:spacing w:after="0"/>
              <w:rPr>
                <w:sz w:val="20"/>
                <w:szCs w:val="20"/>
                <w:color w:val="auto"/>
              </w:rPr>
            </w:pPr>
            <w:r>
              <w:rPr>
                <w:rFonts w:ascii="Arial" w:cs="Arial" w:eastAsia="Arial" w:hAnsi="Arial"/>
                <w:sz w:val="14"/>
                <w:szCs w:val="14"/>
                <w:b w:val="1"/>
                <w:bCs w:val="1"/>
                <w:color w:val="auto"/>
              </w:rPr>
              <w:t>Three Months Ended December 31,</w:t>
            </w:r>
          </w:p>
        </w:tc>
        <w:tc>
          <w:tcPr>
            <w:tcW w:w="120" w:type="dxa"/>
            <w:vAlign w:val="bottom"/>
          </w:tcPr>
          <w:p>
            <w:pPr>
              <w:spacing w:after="0"/>
              <w:rPr>
                <w:sz w:val="14"/>
                <w:szCs w:val="14"/>
                <w:color w:val="auto"/>
              </w:rPr>
            </w:pPr>
          </w:p>
        </w:tc>
        <w:tc>
          <w:tcPr>
            <w:tcW w:w="306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$‘000</w:t>
            </w:r>
          </w:p>
        </w:tc>
        <w:tc>
          <w:tcPr>
            <w:tcW w:w="3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76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$‘000</w:t>
            </w:r>
          </w:p>
        </w:tc>
        <w:tc>
          <w:tcPr>
            <w:tcW w:w="36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$‘000</w:t>
            </w:r>
          </w:p>
        </w:tc>
        <w:tc>
          <w:tcPr>
            <w:tcW w:w="36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$‘000</w:t>
            </w:r>
          </w:p>
        </w:tc>
        <w:tc>
          <w:tcPr>
            <w:tcW w:w="3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Sales</w:t>
            </w:r>
          </w:p>
        </w:tc>
        <w:tc>
          <w:tcPr>
            <w:tcW w:w="760" w:type="dxa"/>
            <w:vAlign w:val="bottom"/>
            <w:gridSpan w:val="2"/>
            <w:vMerge w:val="continue"/>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Income from operations</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$6,755</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$3,993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$29,516</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$31,700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409</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2,634</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4,968</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2,624</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Acquisition &amp; integration expenses</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1,195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7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885</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889</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3,540</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3,518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Adjusted income from operations (a)</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8,049</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8,701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11.5%</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38,024</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11.7%</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39,037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11.9%</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China JV Contribution</w:t>
            </w: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Adjusted income from operations</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$9,817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12.5%</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$9,652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12.7%</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$43,962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13.5%</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$42,491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GAAP Total Sales</w:t>
            </w:r>
          </w:p>
        </w:tc>
        <w:tc>
          <w:tcPr>
            <w:tcW w:w="1880" w:type="dxa"/>
            <w:vAlign w:val="bottom"/>
            <w:gridSpan w:val="4"/>
          </w:tcPr>
          <w:p>
            <w:pPr>
              <w:jc w:val="right"/>
              <w:ind w:right="135"/>
              <w:spacing w:after="0"/>
              <w:rPr>
                <w:sz w:val="20"/>
                <w:szCs w:val="20"/>
                <w:color w:val="auto"/>
              </w:rPr>
            </w:pPr>
            <w:r>
              <w:rPr>
                <w:rFonts w:ascii="Arial" w:cs="Arial" w:eastAsia="Arial" w:hAnsi="Arial"/>
                <w:sz w:val="18"/>
                <w:szCs w:val="18"/>
                <w:color w:val="auto"/>
              </w:rPr>
              <w:t>$78,665</w:t>
            </w:r>
          </w:p>
        </w:tc>
        <w:tc>
          <w:tcPr>
            <w:tcW w:w="400" w:type="dxa"/>
            <w:vAlign w:val="bottom"/>
          </w:tcPr>
          <w:p>
            <w:pPr>
              <w:spacing w:after="0"/>
              <w:rPr>
                <w:sz w:val="20"/>
                <w:szCs w:val="20"/>
                <w:color w:val="auto"/>
              </w:rPr>
            </w:pPr>
          </w:p>
        </w:tc>
        <w:tc>
          <w:tcPr>
            <w:tcW w:w="1120" w:type="dxa"/>
            <w:vAlign w:val="bottom"/>
            <w:gridSpan w:val="3"/>
          </w:tcPr>
          <w:p>
            <w:pPr>
              <w:jc w:val="right"/>
              <w:ind w:right="135"/>
              <w:spacing w:after="0"/>
              <w:rPr>
                <w:sz w:val="20"/>
                <w:szCs w:val="20"/>
                <w:color w:val="auto"/>
              </w:rPr>
            </w:pPr>
            <w:r>
              <w:rPr>
                <w:rFonts w:ascii="Arial" w:cs="Arial" w:eastAsia="Arial" w:hAnsi="Arial"/>
                <w:sz w:val="18"/>
                <w:szCs w:val="18"/>
                <w:color w:val="auto"/>
              </w:rPr>
              <w:t>$75,924</w:t>
            </w:r>
          </w:p>
        </w:tc>
        <w:tc>
          <w:tcPr>
            <w:tcW w:w="300" w:type="dxa"/>
            <w:vAlign w:val="bottom"/>
          </w:tcPr>
          <w:p>
            <w:pPr>
              <w:spacing w:after="0"/>
              <w:rPr>
                <w:sz w:val="20"/>
                <w:szCs w:val="20"/>
                <w:color w:val="auto"/>
              </w:rPr>
            </w:pPr>
          </w:p>
        </w:tc>
        <w:tc>
          <w:tcPr>
            <w:tcW w:w="1320" w:type="dxa"/>
            <w:vAlign w:val="bottom"/>
            <w:gridSpan w:val="4"/>
          </w:tcPr>
          <w:p>
            <w:pPr>
              <w:ind w:left="440"/>
              <w:spacing w:after="0"/>
              <w:rPr>
                <w:sz w:val="20"/>
                <w:szCs w:val="20"/>
                <w:color w:val="auto"/>
              </w:rPr>
            </w:pPr>
            <w:r>
              <w:rPr>
                <w:rFonts w:ascii="Arial" w:cs="Arial" w:eastAsia="Arial" w:hAnsi="Arial"/>
                <w:sz w:val="18"/>
                <w:szCs w:val="18"/>
                <w:color w:val="auto"/>
              </w:rPr>
              <w:t>$326,138</w:t>
            </w:r>
          </w:p>
        </w:tc>
        <w:tc>
          <w:tcPr>
            <w:tcW w:w="300" w:type="dxa"/>
            <w:vAlign w:val="bottom"/>
          </w:tcPr>
          <w:p>
            <w:pPr>
              <w:spacing w:after="0"/>
              <w:rPr>
                <w:sz w:val="20"/>
                <w:szCs w:val="20"/>
                <w:color w:val="auto"/>
              </w:rPr>
            </w:pPr>
          </w:p>
        </w:tc>
        <w:tc>
          <w:tcPr>
            <w:tcW w:w="1340" w:type="dxa"/>
            <w:vAlign w:val="bottom"/>
            <w:gridSpan w:val="4"/>
          </w:tcPr>
          <w:p>
            <w:pPr>
              <w:jc w:val="right"/>
              <w:ind w:right="155"/>
              <w:spacing w:after="0"/>
              <w:rPr>
                <w:sz w:val="20"/>
                <w:szCs w:val="20"/>
                <w:color w:val="auto"/>
              </w:rPr>
            </w:pPr>
            <w:r>
              <w:rPr>
                <w:rFonts w:ascii="Arial" w:cs="Arial" w:eastAsia="Arial" w:hAnsi="Arial"/>
                <w:sz w:val="18"/>
                <w:szCs w:val="18"/>
                <w:color w:val="auto"/>
              </w:rPr>
              <w:t>$328,260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income from operations to Non-GAAP adjusted income from operations: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20"/>
                <w:szCs w:val="20"/>
                <w:color w:val="auto"/>
              </w:rPr>
            </w:pPr>
            <w:r>
              <w:rPr>
                <w:rFonts w:ascii="Arial" w:cs="Arial" w:eastAsia="Arial" w:hAnsi="Arial"/>
                <w:sz w:val="14"/>
                <w:szCs w:val="14"/>
                <w:b w:val="1"/>
                <w:bCs w:val="1"/>
                <w:color w:val="auto"/>
              </w:rPr>
              <w:t>NN, Inc—Precision Bearing Components Group</w:t>
            </w:r>
          </w:p>
        </w:tc>
        <w:tc>
          <w:tcPr>
            <w:tcW w:w="860" w:type="dxa"/>
            <w:vAlign w:val="bottom"/>
          </w:tcPr>
          <w:p>
            <w:pPr>
              <w:spacing w:after="0"/>
              <w:rPr>
                <w:sz w:val="13"/>
                <w:szCs w:val="13"/>
                <w:color w:val="auto"/>
              </w:rPr>
            </w:pPr>
          </w:p>
        </w:tc>
        <w:tc>
          <w:tcPr>
            <w:tcW w:w="294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Three Months Ended December 31,</w:t>
            </w:r>
          </w:p>
        </w:tc>
        <w:tc>
          <w:tcPr>
            <w:tcW w:w="300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$‘000</w:t>
            </w:r>
          </w:p>
        </w:tc>
        <w:tc>
          <w:tcPr>
            <w:tcW w:w="3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74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$‘000</w:t>
            </w: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$‘000</w:t>
            </w:r>
          </w:p>
        </w:tc>
        <w:tc>
          <w:tcPr>
            <w:tcW w:w="36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$‘000</w:t>
            </w:r>
          </w:p>
        </w:tc>
        <w:tc>
          <w:tcPr>
            <w:tcW w:w="3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Sales</w:t>
            </w:r>
          </w:p>
        </w:tc>
        <w:tc>
          <w:tcPr>
            <w:tcW w:w="740" w:type="dxa"/>
            <w:vAlign w:val="bottom"/>
            <w:gridSpan w:val="2"/>
            <w:vMerge w:val="continue"/>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Sales</w:t>
            </w:r>
          </w:p>
        </w:tc>
        <w:tc>
          <w:tcPr>
            <w:tcW w:w="840" w:type="dxa"/>
            <w:vAlign w:val="bottom"/>
            <w:gridSpan w:val="2"/>
            <w:vMerge w:val="continue"/>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Sales</w:t>
            </w:r>
          </w:p>
        </w:tc>
        <w:tc>
          <w:tcPr>
            <w:tcW w:w="840" w:type="dxa"/>
            <w:vAlign w:val="bottom"/>
            <w:gridSpan w:val="2"/>
            <w:vMerge w:val="continue"/>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Income from operations</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$4,346</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$1,186</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$22,985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$26,310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1,976</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50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600" w:type="dxa"/>
            <w:vAlign w:val="bottom"/>
          </w:tcPr>
          <w:p>
            <w:pPr>
              <w:jc w:val="right"/>
              <w:spacing w:after="0"/>
              <w:rPr>
                <w:sz w:val="20"/>
                <w:szCs w:val="20"/>
                <w:color w:val="auto"/>
              </w:rPr>
            </w:pPr>
            <w:r>
              <w:rPr>
                <w:rFonts w:ascii="Arial" w:cs="Arial" w:eastAsia="Arial" w:hAnsi="Arial"/>
                <w:sz w:val="18"/>
                <w:szCs w:val="18"/>
                <w:color w:val="auto"/>
              </w:rPr>
              <w:t>4,366</w:t>
            </w: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2,019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Non-GAAP Adjusted income from operations (a)</w:t>
            </w:r>
          </w:p>
        </w:tc>
        <w:tc>
          <w:tcPr>
            <w:tcW w:w="8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6,375</w:t>
            </w:r>
          </w:p>
        </w:tc>
        <w:tc>
          <w:tcPr>
            <w:tcW w:w="240" w:type="dxa"/>
            <w:vAlign w:val="bottom"/>
            <w:vMerge w:val="continue"/>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10.6%</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3,257</w:t>
            </w:r>
          </w:p>
        </w:tc>
        <w:tc>
          <w:tcPr>
            <w:tcW w:w="240" w:type="dxa"/>
            <w:vAlign w:val="bottom"/>
            <w:vMerge w:val="continue"/>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27,575</w:t>
            </w:r>
          </w:p>
        </w:tc>
        <w:tc>
          <w:tcPr>
            <w:tcW w:w="240" w:type="dxa"/>
            <w:vAlign w:val="bottom"/>
            <w:vMerge w:val="continue"/>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11.1%</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28,537</w:t>
            </w:r>
          </w:p>
        </w:tc>
        <w:tc>
          <w:tcPr>
            <w:tcW w:w="240" w:type="dxa"/>
            <w:vAlign w:val="bottom"/>
            <w:vMerge w:val="continue"/>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Total Sales</w:t>
            </w:r>
          </w:p>
        </w:tc>
        <w:tc>
          <w:tcPr>
            <w:tcW w:w="1980" w:type="dxa"/>
            <w:vAlign w:val="bottom"/>
            <w:gridSpan w:val="4"/>
            <w:shd w:val="clear" w:color="auto" w:fill="CCEEFF"/>
          </w:tcPr>
          <w:p>
            <w:pPr>
              <w:jc w:val="right"/>
              <w:ind w:right="137"/>
              <w:spacing w:after="0"/>
              <w:rPr>
                <w:sz w:val="20"/>
                <w:szCs w:val="20"/>
                <w:color w:val="auto"/>
              </w:rPr>
            </w:pPr>
            <w:r>
              <w:rPr>
                <w:rFonts w:ascii="Arial" w:cs="Arial" w:eastAsia="Arial" w:hAnsi="Arial"/>
                <w:sz w:val="18"/>
                <w:szCs w:val="18"/>
                <w:color w:val="auto"/>
              </w:rPr>
              <w:t>$60,386</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$58,796</w:t>
            </w:r>
          </w:p>
        </w:tc>
        <w:tc>
          <w:tcPr>
            <w:tcW w:w="3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37"/>
              <w:spacing w:after="0"/>
              <w:rPr>
                <w:sz w:val="20"/>
                <w:szCs w:val="20"/>
                <w:color w:val="auto"/>
              </w:rPr>
            </w:pPr>
            <w:r>
              <w:rPr>
                <w:rFonts w:ascii="Arial" w:cs="Arial" w:eastAsia="Arial" w:hAnsi="Arial"/>
                <w:sz w:val="18"/>
                <w:szCs w:val="18"/>
                <w:color w:val="auto"/>
              </w:rPr>
              <w:t>$248,534</w:t>
            </w:r>
          </w:p>
        </w:tc>
        <w:tc>
          <w:tcPr>
            <w:tcW w:w="3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37"/>
              <w:spacing w:after="0"/>
              <w:rPr>
                <w:sz w:val="20"/>
                <w:szCs w:val="20"/>
                <w:color w:val="auto"/>
              </w:rPr>
            </w:pPr>
            <w:r>
              <w:rPr>
                <w:rFonts w:ascii="Arial" w:cs="Arial" w:eastAsia="Arial" w:hAnsi="Arial"/>
                <w:sz w:val="18"/>
                <w:szCs w:val="18"/>
                <w:color w:val="auto"/>
              </w:rPr>
              <w:t>$261,837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20"/>
                <w:szCs w:val="20"/>
                <w:color w:val="auto"/>
              </w:rPr>
            </w:pPr>
            <w:r>
              <w:rPr>
                <w:rFonts w:ascii="Arial" w:cs="Arial" w:eastAsia="Arial" w:hAnsi="Arial"/>
                <w:sz w:val="14"/>
                <w:szCs w:val="14"/>
                <w:b w:val="1"/>
                <w:bCs w:val="1"/>
                <w:color w:val="auto"/>
              </w:rPr>
              <w:t>NN, Inc—Precision Engineered Components Group</w:t>
            </w:r>
          </w:p>
        </w:tc>
        <w:tc>
          <w:tcPr>
            <w:tcW w:w="2540" w:type="dxa"/>
            <w:vAlign w:val="bottom"/>
            <w:gridSpan w:val="8"/>
          </w:tcPr>
          <w:p>
            <w:pPr>
              <w:ind w:left="360"/>
              <w:spacing w:after="0"/>
              <w:rPr>
                <w:sz w:val="20"/>
                <w:szCs w:val="20"/>
                <w:color w:val="auto"/>
              </w:rPr>
            </w:pPr>
            <w:r>
              <w:rPr>
                <w:rFonts w:ascii="Arial" w:cs="Arial" w:eastAsia="Arial" w:hAnsi="Arial"/>
                <w:sz w:val="14"/>
                <w:szCs w:val="14"/>
                <w:b w:val="1"/>
                <w:bCs w:val="1"/>
                <w:color w:val="auto"/>
                <w:w w:val="92"/>
              </w:rPr>
              <w:t>Three Months Ended December 31,</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80" w:type="dxa"/>
            <w:vAlign w:val="bottom"/>
            <w:gridSpan w:val="8"/>
          </w:tcPr>
          <w:p>
            <w:pPr>
              <w:ind w:left="320"/>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$‘000</w:t>
            </w:r>
          </w:p>
        </w:tc>
        <w:tc>
          <w:tcPr>
            <w:tcW w:w="3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gridSpan w:val="3"/>
            <w:vMerge w:val="restart"/>
          </w:tcPr>
          <w:p>
            <w:pPr>
              <w:ind w:left="160"/>
              <w:spacing w:after="0"/>
              <w:rPr>
                <w:sz w:val="20"/>
                <w:szCs w:val="20"/>
                <w:color w:val="auto"/>
              </w:rPr>
            </w:pPr>
            <w:r>
              <w:rPr>
                <w:rFonts w:ascii="Arial" w:cs="Arial" w:eastAsia="Arial" w:hAnsi="Arial"/>
                <w:sz w:val="14"/>
                <w:szCs w:val="14"/>
                <w:b w:val="1"/>
                <w:bCs w:val="1"/>
                <w:color w:val="auto"/>
              </w:rPr>
              <w:t>$‘000</w:t>
            </w:r>
          </w:p>
        </w:tc>
        <w:tc>
          <w:tcPr>
            <w:tcW w:w="38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8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$‘000</w:t>
            </w:r>
          </w:p>
        </w:tc>
        <w:tc>
          <w:tcPr>
            <w:tcW w:w="3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$‘000</w:t>
            </w:r>
          </w:p>
        </w:tc>
        <w:tc>
          <w:tcPr>
            <w:tcW w:w="3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Sales</w:t>
            </w: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Sales</w:t>
            </w:r>
          </w:p>
        </w:tc>
        <w:tc>
          <w:tcPr>
            <w:tcW w:w="840" w:type="dxa"/>
            <w:vAlign w:val="bottom"/>
            <w:gridSpan w:val="2"/>
            <w:vMerge w:val="continue"/>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Sales</w:t>
            </w:r>
          </w:p>
        </w:tc>
        <w:tc>
          <w:tcPr>
            <w:tcW w:w="900" w:type="dxa"/>
            <w:vAlign w:val="bottom"/>
            <w:gridSpan w:val="2"/>
            <w:vMerge w:val="continue"/>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Income from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$ 8,628</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-$5,027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-10.2%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$34,744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13.4%</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8"/>
              </w:rPr>
              <w:t>-$3,718</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Acquisition &amp; integration expenses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994</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11,150</w:t>
            </w:r>
          </w:p>
        </w:tc>
        <w:tc>
          <w:tcPr>
            <w:tcW w:w="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1,914</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11,150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3,999</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22,587</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5"/>
        </w:trPr>
        <w:tc>
          <w:tcPr>
            <w:tcW w:w="5040" w:type="dxa"/>
            <w:vAlign w:val="bottom"/>
          </w:tcPr>
          <w:p>
            <w:pPr>
              <w:spacing w:after="0" w:line="205" w:lineRule="exact"/>
              <w:rPr>
                <w:sz w:val="20"/>
                <w:szCs w:val="20"/>
                <w:color w:val="auto"/>
              </w:rPr>
            </w:pPr>
            <w:r>
              <w:rPr>
                <w:rFonts w:ascii="Arial" w:cs="Arial" w:eastAsia="Arial" w:hAnsi="Arial"/>
                <w:sz w:val="18"/>
                <w:szCs w:val="18"/>
                <w:b w:val="1"/>
                <w:bCs w:val="1"/>
                <w:color w:val="auto"/>
              </w:rPr>
              <w:t>Non-GAAP Adjusted income from</w:t>
            </w: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Arial" w:cs="Arial" w:eastAsia="Arial" w:hAnsi="Arial"/>
                <w:sz w:val="18"/>
                <w:szCs w:val="18"/>
                <w:b w:val="1"/>
                <w:bCs w:val="1"/>
                <w:color w:val="auto"/>
              </w:rPr>
              <w:t>operations (a)</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14,599</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$ 10,122</w:t>
            </w:r>
          </w:p>
        </w:tc>
        <w:tc>
          <w:tcPr>
            <w:tcW w:w="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59,245</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22.9%</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$ 11,496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Total Sales</w:t>
            </w:r>
          </w:p>
        </w:tc>
        <w:tc>
          <w:tcPr>
            <w:tcW w:w="1200" w:type="dxa"/>
            <w:vAlign w:val="bottom"/>
            <w:gridSpan w:val="3"/>
            <w:shd w:val="clear" w:color="auto" w:fill="CCEEFF"/>
          </w:tcPr>
          <w:p>
            <w:pPr>
              <w:jc w:val="right"/>
              <w:ind w:right="177"/>
              <w:spacing w:after="0"/>
              <w:rPr>
                <w:sz w:val="20"/>
                <w:szCs w:val="20"/>
                <w:color w:val="auto"/>
              </w:rPr>
            </w:pPr>
            <w:r>
              <w:rPr>
                <w:rFonts w:ascii="Arial" w:cs="Arial" w:eastAsia="Arial" w:hAnsi="Arial"/>
                <w:sz w:val="18"/>
                <w:szCs w:val="18"/>
                <w:color w:val="auto"/>
              </w:rPr>
              <w:t>$62,979</w:t>
            </w:r>
          </w:p>
        </w:tc>
        <w:tc>
          <w:tcPr>
            <w:tcW w:w="28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217"/>
              <w:spacing w:after="0"/>
              <w:rPr>
                <w:sz w:val="20"/>
                <w:szCs w:val="20"/>
                <w:color w:val="auto"/>
              </w:rPr>
            </w:pPr>
            <w:r>
              <w:rPr>
                <w:rFonts w:ascii="Arial" w:cs="Arial" w:eastAsia="Arial" w:hAnsi="Arial"/>
                <w:sz w:val="18"/>
                <w:szCs w:val="18"/>
                <w:color w:val="auto"/>
              </w:rPr>
              <w:t>$49,135</w:t>
            </w:r>
          </w:p>
        </w:tc>
        <w:tc>
          <w:tcPr>
            <w:tcW w:w="3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$258,816</w:t>
            </w: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97"/>
              <w:spacing w:after="0"/>
              <w:rPr>
                <w:sz w:val="20"/>
                <w:szCs w:val="20"/>
                <w:color w:val="auto"/>
              </w:rPr>
            </w:pPr>
            <w:r>
              <w:rPr>
                <w:rFonts w:ascii="Arial" w:cs="Arial" w:eastAsia="Arial" w:hAnsi="Arial"/>
                <w:sz w:val="18"/>
                <w:szCs w:val="18"/>
                <w:color w:val="auto"/>
              </w:rPr>
              <w:t>$77,183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i w:val="1"/>
          <w:iCs w:val="1"/>
          <w:color w:val="auto"/>
        </w:rPr>
        <w:t>The Company discloses in this presentation the non-GAAP financial measures of adjusted income from operations, adjusted net income and adjusted diluted earnings per share. Each of these non-GAAP financial measures provide supplementary information about the impacts of acquisition and integration related expenses, foreign-exchange impacts on inter-company loans reorganizational and impairment charges. Over the past three years, we have completed six acquisitions, two of which were transformative for the Company. The costs we incurred in completing such acquisitions, including the amortization of intangibles and deferred financing costs,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such as, the write-off of our interest rate swap, are excluded as the charges on not indicative of our ongoing operating cost. We believe the presentation of adjusted income from operations, adjusted net income and adjusted diluted earnings per share provide useful information in assessing our underlying business trends and facilitates comparison of our long-term performance over given periods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net income growth derived from income amounts presented in accordance with GAAP. The Company does not consider these non-GAAP financial measures to be a substitute for, or superior to, the information provided by GAAP financial results.</w:t>
      </w:r>
    </w:p>
    <w:p>
      <w:pPr>
        <w:spacing w:after="0" w:line="188" w:lineRule="exact"/>
        <w:rPr>
          <w:sz w:val="20"/>
          <w:szCs w:val="20"/>
          <w:color w:val="auto"/>
        </w:rPr>
      </w:pPr>
    </w:p>
    <w:p>
      <w:pPr>
        <w:ind w:right="200" w:firstLine="8"/>
        <w:spacing w:after="0" w:line="291" w:lineRule="auto"/>
        <w:tabs>
          <w:tab w:leader="none" w:pos="245"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Non-GAAP Adjusted income from operations, represents GAAP income from operations, adjusted to exclude the effects of restructuring and non-cash impairment charges (related to plant closures and other charges incurred to implement our strategic goals, that do not necessarily represent a major strategic shift in operations), one-time charges related to acquisition and integration costs,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67" w:lineRule="exact"/>
        <w:rPr>
          <w:rFonts w:ascii="Arial" w:cs="Arial" w:eastAsia="Arial" w:hAnsi="Arial"/>
          <w:sz w:val="16"/>
          <w:szCs w:val="16"/>
          <w:color w:val="auto"/>
        </w:rPr>
      </w:pPr>
    </w:p>
    <w:p>
      <w:pPr>
        <w:ind w:right="40" w:firstLine="8"/>
        <w:spacing w:after="0" w:line="271"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Non-GAAP adjusted net income and adjusted diluted earnings per share, represents GAAP net income, adjusted to exclude the tax-affected effects of restructuring and impairment charges (related to plant closures and other charges incurred to implement our strategic goals, that do not necessarily represent a major strategic shift in operations), one-time charges related to acquisition and integration costs, amortization of intangibles costs for fair value step-up in values related to acquisitions and amortization of deferred financing costs, and foreign exchange gain (loss) on inter-company loans.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net income and Non-GAAP adjusted diluted earnings per share, is not a measure of financial performance under GAAP and should not be considered as a measure of liquidity or as an alternative to GAAP net income.</w:t>
      </w:r>
    </w:p>
    <w:p>
      <w:pPr>
        <w:spacing w:after="0" w:line="178" w:lineRule="exact"/>
        <w:rPr>
          <w:rFonts w:ascii="Arial" w:cs="Arial" w:eastAsia="Arial" w:hAnsi="Arial"/>
          <w:sz w:val="17"/>
          <w:szCs w:val="17"/>
          <w:color w:val="auto"/>
        </w:rPr>
      </w:pPr>
    </w:p>
    <w:p>
      <w:pPr>
        <w:ind w:right="100" w:firstLine="8"/>
        <w:spacing w:after="0" w:line="259"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line item reflects the aggregate tax effect of all nontax adjustments reflected in the table above. In addition, the footnotes above indicate the after-tax amount of each individual adjustment item. NN, Inc. estimates the tax effect of the adjustment items identified in the reconciliation schedule above by applying NN, Inc’s. overall estimated effective tax rate to the pretax amount, unless the nature of the item and/or the tax jurisdiction in which the item has been recorded requires application of a specific tax rate or tax treatment.</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40"/>
    </w:lvl>
  </w:abstractNum>
  <w:abstractNum w:abstractNumId="2">
    <w:nsid w:val="2AE8944A"/>
    <w:multiLevelType w:val="hybridMultilevel"/>
    <w:lvl w:ilvl="0">
      <w:lvlJc w:val="left"/>
      <w:lvlText w:val="%1"/>
      <w:numFmt w:val="upperLetter"/>
      <w:start w:val="40"/>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2019-12-06T00:08:27Z</dcterms:created>
  <dcterms:modified xsi:type="dcterms:W3CDTF">2019-12-06T00:08:27Z</dcterms:modified>
</cp:coreProperties>
</file>