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1"/>
          <w:szCs w:val="21"/>
          <w:b w:val="1"/>
          <w:bCs w:val="1"/>
          <w:color w:val="auto"/>
        </w:rPr>
        <w:t>Security and Exchange Commission</w:t>
      </w:r>
    </w:p>
    <w:p>
      <w:pPr>
        <w:spacing w:after="0" w:line="39"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Under the Securities Act of 1934</w:t>
      </w:r>
    </w:p>
    <w:p>
      <w:pPr>
        <w:spacing w:after="0" w:line="14" w:lineRule="exact"/>
        <w:rPr>
          <w:sz w:val="24"/>
          <w:szCs w:val="24"/>
          <w:color w:val="auto"/>
        </w:rPr>
      </w:pPr>
    </w:p>
    <w:p>
      <w:pPr>
        <w:jc w:val="center"/>
        <w:ind w:right="-1220"/>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4022725</wp:posOffset>
            </wp:positionH>
            <wp:positionV relativeFrom="paragraph">
              <wp:posOffset>-29210</wp:posOffset>
            </wp:positionV>
            <wp:extent cx="137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98" w:lineRule="exact"/>
        <w:rPr>
          <w:sz w:val="24"/>
          <w:szCs w:val="24"/>
          <w:color w:val="auto"/>
        </w:rPr>
      </w:pPr>
    </w:p>
    <w:p>
      <w:pPr>
        <w:ind w:left="5340"/>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ind w:left="5220"/>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ind w:left="5120"/>
        <w:spacing w:after="0"/>
        <w:rPr>
          <w:sz w:val="20"/>
          <w:szCs w:val="20"/>
          <w:color w:val="auto"/>
        </w:rPr>
      </w:pPr>
      <w:r>
        <w:rPr>
          <w:rFonts w:ascii="Arial" w:cs="Arial" w:eastAsia="Arial" w:hAnsi="Arial"/>
          <w:sz w:val="22"/>
          <w:szCs w:val="22"/>
          <w:color w:val="auto"/>
        </w:rPr>
        <w:t>July 31,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40"/>
        <w:spacing w:after="0"/>
        <w:rPr>
          <w:sz w:val="20"/>
          <w:szCs w:val="20"/>
          <w:color w:val="auto"/>
        </w:rPr>
      </w:pPr>
      <w:r>
        <w:rPr>
          <w:rFonts w:ascii="Arial" w:cs="Arial" w:eastAsia="Arial" w:hAnsi="Arial"/>
          <w:sz w:val="12"/>
          <w:szCs w:val="12"/>
          <w:b w:val="1"/>
          <w:bCs w:val="1"/>
          <w:color w:val="auto"/>
        </w:rPr>
        <w:t>Date of Event Which Requires Filing of this Statement</w:t>
      </w:r>
    </w:p>
    <w:p>
      <w:pPr>
        <w:spacing w:after="0" w:line="16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ectPr>
          <w:pgSz w:w="11900" w:h="16838" w:orient="portrait"/>
          <w:cols w:equalWidth="0" w:num="1">
            <w:col w:w="10219"/>
          </w:cols>
          <w:pgMar w:left="240" w:top="21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CUSIP No. 629337106</w:t>
            </w:r>
          </w:p>
        </w:tc>
        <w:tc>
          <w:tcPr>
            <w:tcW w:w="2460" w:type="dxa"/>
            <w:vAlign w:val="bottom"/>
          </w:tcPr>
          <w:p>
            <w:pPr>
              <w:ind w:left="2160"/>
              <w:spacing w:after="0"/>
              <w:rPr>
                <w:sz w:val="20"/>
                <w:szCs w:val="20"/>
                <w:color w:val="auto"/>
              </w:rPr>
            </w:pPr>
            <w:r>
              <w:rPr>
                <w:rFonts w:ascii="Arial" w:cs="Arial" w:eastAsia="Arial" w:hAnsi="Arial"/>
                <w:sz w:val="18"/>
                <w:szCs w:val="18"/>
                <w:color w:val="auto"/>
                <w:w w:val="82"/>
              </w:rPr>
              <w:t>13G</w:t>
            </w:r>
          </w:p>
        </w:tc>
      </w:tr>
    </w:tbl>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280" w:hanging="18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NAME OF REPORTING PERSON</w:t>
      </w:r>
    </w:p>
    <w:p>
      <w:pPr>
        <w:spacing w:after="0" w:line="21"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b w:val="1"/>
          <w:bCs w:val="1"/>
          <w:color w:val="auto"/>
        </w:rPr>
        <w:t>S.S.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-275590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DePrince, Race &amp; Zollo, Inc.</w:t>
      </w:r>
    </w:p>
    <w:p>
      <w:pPr>
        <w:spacing w:after="0" w:line="8" w:lineRule="exact"/>
        <w:rPr>
          <w:sz w:val="20"/>
          <w:szCs w:val="20"/>
          <w:color w:val="auto"/>
        </w:rPr>
      </w:pPr>
    </w:p>
    <w:p>
      <w:pPr>
        <w:ind w:left="920"/>
        <w:spacing w:after="0"/>
        <w:rPr>
          <w:sz w:val="20"/>
          <w:szCs w:val="20"/>
          <w:color w:val="auto"/>
        </w:rPr>
      </w:pPr>
      <w:r>
        <w:rPr>
          <w:rFonts w:ascii="Arial" w:cs="Arial" w:eastAsia="Arial" w:hAnsi="Arial"/>
          <w:sz w:val="22"/>
          <w:szCs w:val="22"/>
          <w:color w:val="auto"/>
        </w:rPr>
        <w:t>59-3299598</w:t>
      </w:r>
    </w:p>
    <w:p>
      <w:pPr>
        <w:spacing w:after="0" w:line="6" w:lineRule="exact"/>
        <w:rPr>
          <w:sz w:val="20"/>
          <w:szCs w:val="20"/>
          <w:color w:val="auto"/>
        </w:rPr>
      </w:pPr>
    </w:p>
    <w:p>
      <w:pPr>
        <w:ind w:left="280" w:hanging="184"/>
        <w:spacing w:after="0"/>
        <w:tabs>
          <w:tab w:leader="none" w:pos="2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1" w:lineRule="exact"/>
        <w:rPr>
          <w:rFonts w:ascii="Arial" w:cs="Arial" w:eastAsia="Arial" w:hAnsi="Arial"/>
          <w:sz w:val="18"/>
          <w:szCs w:val="18"/>
          <w:color w:val="auto"/>
        </w:rPr>
      </w:pPr>
    </w:p>
    <w:p>
      <w:pPr>
        <w:ind w:left="560" w:hanging="282"/>
        <w:spacing w:after="0" w:line="207" w:lineRule="exact"/>
        <w:tabs>
          <w:tab w:leader="none" w:pos="56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580" w:hanging="302"/>
        <w:spacing w:after="0" w:line="207" w:lineRule="exact"/>
        <w:tabs>
          <w:tab w:leader="none" w:pos="5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 w:lineRule="exact"/>
        <w:rPr>
          <w:sz w:val="20"/>
          <w:szCs w:val="20"/>
          <w:color w:val="auto"/>
        </w:rPr>
      </w:pPr>
    </w:p>
    <w:p>
      <w:pPr>
        <w:ind w:left="280" w:hanging="18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79" w:lineRule="exact"/>
        <w:rPr>
          <w:sz w:val="20"/>
          <w:szCs w:val="20"/>
          <w:color w:val="auto"/>
        </w:rPr>
      </w:pPr>
    </w:p>
    <w:p>
      <w:pPr>
        <w:ind w:left="280" w:hanging="184"/>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Incorporated in the State of Florida</w:t>
      </w:r>
    </w:p>
    <w:p>
      <w:pPr>
        <w:spacing w:after="0" w:line="24" w:lineRule="exact"/>
        <w:rPr>
          <w:sz w:val="20"/>
          <w:szCs w:val="20"/>
          <w:color w:val="auto"/>
        </w:rPr>
      </w:pPr>
    </w:p>
    <w:p>
      <w:pPr>
        <w:ind w:left="1960" w:hanging="257"/>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tbl>
      <w:tblPr>
        <w:tblLayout w:type="fixed"/>
        <w:tblInd w:w="140" w:type="dxa"/>
        <w:tblCellMar>
          <w:top w:w="0" w:type="dxa"/>
          <w:left w:w="0" w:type="dxa"/>
          <w:bottom w:w="0" w:type="dxa"/>
          <w:right w:w="0" w:type="dxa"/>
        </w:tblCellMar>
      </w:tblPr>
      <w:tr>
        <w:trPr>
          <w:trHeight w:val="275"/>
        </w:trPr>
        <w:tc>
          <w:tcPr>
            <w:tcW w:w="1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540" w:type="dxa"/>
            <w:vAlign w:val="bottom"/>
          </w:tcPr>
          <w:p>
            <w:pPr>
              <w:ind w:left="600"/>
              <w:spacing w:after="0"/>
              <w:rPr>
                <w:sz w:val="20"/>
                <w:szCs w:val="20"/>
                <w:color w:val="auto"/>
              </w:rPr>
            </w:pPr>
            <w:r>
              <w:rPr>
                <w:rFonts w:ascii="Arial" w:cs="Arial" w:eastAsia="Arial" w:hAnsi="Arial"/>
                <w:sz w:val="22"/>
                <w:szCs w:val="22"/>
                <w:color w:val="auto"/>
              </w:rPr>
              <w:t>2,095,657</w:t>
            </w:r>
          </w:p>
        </w:tc>
        <w:tc>
          <w:tcPr>
            <w:tcW w:w="0" w:type="dxa"/>
            <w:vAlign w:val="bottom"/>
          </w:tcPr>
          <w:p>
            <w:pPr>
              <w:spacing w:after="0"/>
              <w:rPr>
                <w:sz w:val="1"/>
                <w:szCs w:val="1"/>
                <w:color w:val="auto"/>
              </w:rPr>
            </w:pPr>
          </w:p>
        </w:tc>
      </w:tr>
      <w:tr>
        <w:trPr>
          <w:trHeight w:val="9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4"/>
              </w:rPr>
              <w:t>NUMBER OF</w:t>
            </w: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1480" w:type="dxa"/>
            <w:vAlign w:val="bottom"/>
            <w:vMerge w:val="continue"/>
          </w:tcPr>
          <w:p>
            <w:pPr>
              <w:spacing w:after="0"/>
              <w:rPr>
                <w:sz w:val="13"/>
                <w:szCs w:val="13"/>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95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55"/>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89"/>
              </w:rPr>
              <w:t>SHARES</w:t>
            </w:r>
          </w:p>
        </w:tc>
        <w:tc>
          <w:tcPr>
            <w:tcW w:w="260" w:type="dxa"/>
            <w:vAlign w:val="bottom"/>
            <w:vMerge w:val="continue"/>
          </w:tcPr>
          <w:p>
            <w:pPr>
              <w:spacing w:after="0"/>
              <w:rPr>
                <w:sz w:val="13"/>
                <w:szCs w:val="13"/>
                <w:color w:val="auto"/>
              </w:rPr>
            </w:pPr>
          </w:p>
        </w:tc>
        <w:tc>
          <w:tcPr>
            <w:tcW w:w="9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14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80" w:type="dxa"/>
            <w:vAlign w:val="bottom"/>
          </w:tcPr>
          <w:p>
            <w:pPr>
              <w:jc w:val="center"/>
              <w:ind w:right="152"/>
              <w:spacing w:after="0"/>
              <w:rPr>
                <w:sz w:val="20"/>
                <w:szCs w:val="20"/>
                <w:color w:val="auto"/>
              </w:rPr>
            </w:pPr>
            <w:r>
              <w:rPr>
                <w:rFonts w:ascii="Arial" w:cs="Arial" w:eastAsia="Arial" w:hAnsi="Arial"/>
                <w:sz w:val="18"/>
                <w:szCs w:val="18"/>
                <w:color w:val="auto"/>
                <w:w w:val="97"/>
              </w:rPr>
              <w:t>BENEFICIALLY</w:t>
            </w:r>
          </w:p>
        </w:tc>
        <w:tc>
          <w:tcPr>
            <w:tcW w:w="260" w:type="dxa"/>
            <w:vAlign w:val="bottom"/>
          </w:tcPr>
          <w:p>
            <w:pPr>
              <w:spacing w:after="0"/>
              <w:rPr>
                <w:sz w:val="18"/>
                <w:szCs w:val="18"/>
                <w:color w:val="auto"/>
              </w:rPr>
            </w:pPr>
          </w:p>
        </w:tc>
        <w:tc>
          <w:tcPr>
            <w:tcW w:w="9540" w:type="dxa"/>
            <w:vAlign w:val="bottom"/>
            <w:vMerge w:val="restart"/>
          </w:tcPr>
          <w:p>
            <w:pPr>
              <w:ind w:left="6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126"/>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5"/>
              </w:rPr>
              <w:t>OWNED BY</w:t>
            </w:r>
          </w:p>
        </w:tc>
        <w:tc>
          <w:tcPr>
            <w:tcW w:w="260" w:type="dxa"/>
            <w:vAlign w:val="bottom"/>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480" w:type="dxa"/>
            <w:vAlign w:val="bottom"/>
            <w:vMerge w:val="continue"/>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1480" w:type="dxa"/>
            <w:vAlign w:val="bottom"/>
          </w:tcPr>
          <w:p>
            <w:pPr>
              <w:jc w:val="center"/>
              <w:ind w:right="172"/>
              <w:spacing w:after="0" w:line="190" w:lineRule="exact"/>
              <w:rPr>
                <w:sz w:val="20"/>
                <w:szCs w:val="20"/>
                <w:color w:val="auto"/>
              </w:rPr>
            </w:pPr>
            <w:r>
              <w:rPr>
                <w:rFonts w:ascii="Arial" w:cs="Arial" w:eastAsia="Arial" w:hAnsi="Arial"/>
                <w:sz w:val="18"/>
                <w:szCs w:val="18"/>
                <w:color w:val="auto"/>
                <w:w w:val="91"/>
              </w:rPr>
              <w:t>EACH</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95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28"/>
        </w:trPr>
        <w:tc>
          <w:tcPr>
            <w:tcW w:w="1480" w:type="dxa"/>
            <w:vAlign w:val="bottom"/>
            <w:vMerge w:val="restart"/>
          </w:tcPr>
          <w:p>
            <w:pPr>
              <w:jc w:val="center"/>
              <w:ind w:right="172"/>
              <w:spacing w:after="0"/>
              <w:rPr>
                <w:sz w:val="20"/>
                <w:szCs w:val="20"/>
                <w:color w:val="auto"/>
              </w:rPr>
            </w:pPr>
            <w:r>
              <w:rPr>
                <w:rFonts w:ascii="Arial" w:cs="Arial" w:eastAsia="Arial" w:hAnsi="Arial"/>
                <w:sz w:val="18"/>
                <w:szCs w:val="18"/>
                <w:color w:val="auto"/>
                <w:w w:val="91"/>
              </w:rPr>
              <w:t>REPORTING</w:t>
            </w:r>
          </w:p>
        </w:tc>
        <w:tc>
          <w:tcPr>
            <w:tcW w:w="260" w:type="dxa"/>
            <w:vAlign w:val="bottom"/>
            <w:vMerge w:val="continue"/>
          </w:tcPr>
          <w:p>
            <w:pPr>
              <w:spacing w:after="0"/>
              <w:rPr>
                <w:sz w:val="11"/>
                <w:szCs w:val="11"/>
                <w:color w:val="auto"/>
              </w:rPr>
            </w:pPr>
          </w:p>
        </w:tc>
        <w:tc>
          <w:tcPr>
            <w:tcW w:w="9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4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9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1"/>
        </w:trPr>
        <w:tc>
          <w:tcPr>
            <w:tcW w:w="1480" w:type="dxa"/>
            <w:vAlign w:val="bottom"/>
          </w:tcPr>
          <w:p>
            <w:pPr>
              <w:jc w:val="center"/>
              <w:ind w:right="172"/>
              <w:spacing w:after="0"/>
              <w:rPr>
                <w:sz w:val="20"/>
                <w:szCs w:val="20"/>
                <w:color w:val="auto"/>
              </w:rPr>
            </w:pPr>
            <w:r>
              <w:rPr>
                <w:rFonts w:ascii="Arial" w:cs="Arial" w:eastAsia="Arial" w:hAnsi="Arial"/>
                <w:sz w:val="18"/>
                <w:szCs w:val="18"/>
                <w:color w:val="auto"/>
                <w:w w:val="86"/>
              </w:rPr>
              <w:t>PERSON</w:t>
            </w:r>
          </w:p>
        </w:tc>
        <w:tc>
          <w:tcPr>
            <w:tcW w:w="260" w:type="dxa"/>
            <w:vAlign w:val="bottom"/>
          </w:tcPr>
          <w:p>
            <w:pPr>
              <w:spacing w:after="0"/>
              <w:rPr>
                <w:sz w:val="21"/>
                <w:szCs w:val="21"/>
                <w:color w:val="auto"/>
              </w:rPr>
            </w:pPr>
          </w:p>
        </w:tc>
        <w:tc>
          <w:tcPr>
            <w:tcW w:w="9540" w:type="dxa"/>
            <w:vAlign w:val="bottom"/>
          </w:tcPr>
          <w:p>
            <w:pPr>
              <w:ind w:left="600"/>
              <w:spacing w:after="0" w:line="251" w:lineRule="exact"/>
              <w:rPr>
                <w:sz w:val="20"/>
                <w:szCs w:val="20"/>
                <w:color w:val="auto"/>
              </w:rPr>
            </w:pPr>
            <w:r>
              <w:rPr>
                <w:rFonts w:ascii="Arial" w:cs="Arial" w:eastAsia="Arial" w:hAnsi="Arial"/>
                <w:sz w:val="22"/>
                <w:szCs w:val="22"/>
                <w:color w:val="auto"/>
              </w:rPr>
              <w:t>2,095,657</w:t>
            </w:r>
          </w:p>
        </w:tc>
        <w:tc>
          <w:tcPr>
            <w:tcW w:w="0" w:type="dxa"/>
            <w:vAlign w:val="bottom"/>
          </w:tcPr>
          <w:p>
            <w:pPr>
              <w:spacing w:after="0"/>
              <w:rPr>
                <w:sz w:val="1"/>
                <w:szCs w:val="1"/>
                <w:color w:val="auto"/>
              </w:rPr>
            </w:pPr>
          </w:p>
        </w:tc>
      </w:tr>
      <w:tr>
        <w:trPr>
          <w:trHeight w:val="162"/>
        </w:trPr>
        <w:tc>
          <w:tcPr>
            <w:tcW w:w="1480" w:type="dxa"/>
            <w:vAlign w:val="bottom"/>
          </w:tcPr>
          <w:p>
            <w:pPr>
              <w:jc w:val="center"/>
              <w:ind w:right="172"/>
              <w:spacing w:after="0" w:line="162" w:lineRule="exact"/>
              <w:rPr>
                <w:sz w:val="20"/>
                <w:szCs w:val="20"/>
                <w:color w:val="auto"/>
              </w:rPr>
            </w:pPr>
            <w:r>
              <w:rPr>
                <w:rFonts w:ascii="Arial" w:cs="Arial" w:eastAsia="Arial" w:hAnsi="Arial"/>
                <w:sz w:val="18"/>
                <w:szCs w:val="18"/>
                <w:color w:val="auto"/>
                <w:w w:val="99"/>
              </w:rPr>
              <w:t>WITH</w:t>
            </w:r>
          </w:p>
        </w:tc>
        <w:tc>
          <w:tcPr>
            <w:tcW w:w="260" w:type="dxa"/>
            <w:vAlign w:val="bottom"/>
            <w:tcBorders>
              <w:bottom w:val="single" w:sz="8" w:color="auto"/>
            </w:tcBorders>
          </w:tcPr>
          <w:p>
            <w:pPr>
              <w:spacing w:after="0"/>
              <w:rPr>
                <w:sz w:val="14"/>
                <w:szCs w:val="14"/>
                <w:color w:val="auto"/>
              </w:rPr>
            </w:pPr>
          </w:p>
        </w:tc>
        <w:tc>
          <w:tcPr>
            <w:tcW w:w="9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1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w:t>
            </w:r>
          </w:p>
        </w:tc>
        <w:tc>
          <w:tcPr>
            <w:tcW w:w="9540" w:type="dxa"/>
            <w:vAlign w:val="bottom"/>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480"/>
        <w:spacing w:after="0"/>
        <w:rPr>
          <w:sz w:val="20"/>
          <w:szCs w:val="20"/>
          <w:color w:val="auto"/>
        </w:rPr>
      </w:pPr>
      <w:r>
        <w:rPr>
          <w:rFonts w:ascii="Arial" w:cs="Arial" w:eastAsia="Arial" w:hAnsi="Arial"/>
          <w:sz w:val="22"/>
          <w:szCs w:val="22"/>
          <w:color w:val="auto"/>
        </w:rPr>
        <w:t>none</w:t>
      </w:r>
    </w:p>
    <w:p>
      <w:pPr>
        <w:spacing w:after="0" w:line="24" w:lineRule="exact"/>
        <w:rPr>
          <w:sz w:val="20"/>
          <w:szCs w:val="20"/>
          <w:color w:val="auto"/>
        </w:rPr>
      </w:pPr>
    </w:p>
    <w:p>
      <w:pPr>
        <w:ind w:left="280" w:hanging="184"/>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2,095,657</w:t>
      </w:r>
    </w:p>
    <w:p>
      <w:pPr>
        <w:spacing w:after="0" w:line="24"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w:t>
      </w:r>
    </w:p>
    <w:p>
      <w:pPr>
        <w:spacing w:after="0" w:line="24"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PERCENT OF CLASS REPRESENTED BY AMOUNT IN ROW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12.39%</w:t>
      </w:r>
    </w:p>
    <w:p>
      <w:pPr>
        <w:spacing w:after="0" w:line="24"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TYPE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 w:name="page3"/>
    <w:bookmarkEnd w:id="2"/>
    <w:p>
      <w:pPr>
        <w:ind w:left="50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13G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23" w:lineRule="exact"/>
        <w:rPr>
          <w:sz w:val="20"/>
          <w:szCs w:val="20"/>
          <w:color w:val="auto"/>
        </w:rPr>
      </w:pPr>
    </w:p>
    <w:p>
      <w:pPr>
        <w:ind w:left="1220" w:hanging="510"/>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NN, Inc.</w:t>
      </w:r>
    </w:p>
    <w:p>
      <w:pPr>
        <w:spacing w:after="0" w:line="117" w:lineRule="exact"/>
        <w:rPr>
          <w:rFonts w:ascii="Arial" w:cs="Arial" w:eastAsia="Arial" w:hAnsi="Arial"/>
          <w:sz w:val="18"/>
          <w:szCs w:val="18"/>
          <w:color w:val="auto"/>
        </w:rPr>
      </w:pPr>
    </w:p>
    <w:p>
      <w:pPr>
        <w:ind w:left="1220" w:right="7299" w:hanging="510"/>
        <w:spacing w:after="0" w:line="370" w:lineRule="auto"/>
        <w:tabs>
          <w:tab w:leader="none" w:pos="12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2000 Waters Edge Dr. Johnson City, TN 37604</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3" w:lineRule="exact"/>
        <w:rPr>
          <w:sz w:val="20"/>
          <w:szCs w:val="20"/>
          <w:color w:val="auto"/>
        </w:rPr>
      </w:pPr>
    </w:p>
    <w:p>
      <w:pPr>
        <w:ind w:left="1220" w:hanging="510"/>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DePrince, Race &amp; Zollo, Inc.</w:t>
      </w:r>
    </w:p>
    <w:p>
      <w:pPr>
        <w:spacing w:after="0" w:line="117" w:lineRule="exact"/>
        <w:rPr>
          <w:rFonts w:ascii="Arial" w:cs="Arial" w:eastAsia="Arial" w:hAnsi="Arial"/>
          <w:sz w:val="18"/>
          <w:szCs w:val="18"/>
          <w:color w:val="auto"/>
        </w:rPr>
      </w:pPr>
    </w:p>
    <w:p>
      <w:pPr>
        <w:ind w:left="1220" w:right="6919" w:hanging="510"/>
        <w:spacing w:after="0" w:line="268"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201 S. Orange Ave, Suite 850 Orlando, FL 32801</w:t>
      </w:r>
    </w:p>
    <w:p>
      <w:pPr>
        <w:spacing w:after="0" w:line="91" w:lineRule="exact"/>
        <w:rPr>
          <w:rFonts w:ascii="Arial" w:cs="Arial" w:eastAsia="Arial" w:hAnsi="Arial"/>
          <w:sz w:val="18"/>
          <w:szCs w:val="18"/>
          <w:color w:val="auto"/>
        </w:rPr>
      </w:pPr>
    </w:p>
    <w:p>
      <w:pPr>
        <w:ind w:left="1220" w:hanging="510"/>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USA</w:t>
      </w:r>
    </w:p>
    <w:p>
      <w:pPr>
        <w:spacing w:after="0" w:line="117" w:lineRule="exact"/>
        <w:rPr>
          <w:rFonts w:ascii="Arial" w:cs="Arial" w:eastAsia="Arial" w:hAnsi="Arial"/>
          <w:sz w:val="18"/>
          <w:szCs w:val="18"/>
          <w:color w:val="auto"/>
        </w:rPr>
      </w:pPr>
    </w:p>
    <w:p>
      <w:pPr>
        <w:ind w:left="1220" w:hanging="510"/>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117" w:lineRule="exact"/>
        <w:rPr>
          <w:rFonts w:ascii="Arial" w:cs="Arial" w:eastAsia="Arial" w:hAnsi="Arial"/>
          <w:sz w:val="18"/>
          <w:szCs w:val="18"/>
          <w:color w:val="auto"/>
        </w:rPr>
      </w:pPr>
    </w:p>
    <w:p>
      <w:pPr>
        <w:ind w:left="1220" w:hanging="510"/>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629337106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23" w:lineRule="exact"/>
        <w:rPr>
          <w:sz w:val="20"/>
          <w:szCs w:val="20"/>
          <w:color w:val="auto"/>
        </w:rPr>
      </w:pPr>
    </w:p>
    <w:p>
      <w:pPr>
        <w:ind w:left="1220" w:hanging="510"/>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X</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Ownership</w:t>
      </w:r>
    </w:p>
    <w:p>
      <w:pPr>
        <w:spacing w:after="0" w:line="123" w:lineRule="exact"/>
        <w:rPr>
          <w:sz w:val="20"/>
          <w:szCs w:val="20"/>
          <w:color w:val="auto"/>
        </w:rPr>
      </w:pPr>
    </w:p>
    <w:p>
      <w:pPr>
        <w:ind w:left="1220" w:hanging="510"/>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2,095,657</w:t>
      </w:r>
    </w:p>
    <w:p>
      <w:pPr>
        <w:spacing w:after="0" w:line="117" w:lineRule="exact"/>
        <w:rPr>
          <w:rFonts w:ascii="Arial" w:cs="Arial" w:eastAsia="Arial" w:hAnsi="Arial"/>
          <w:sz w:val="18"/>
          <w:szCs w:val="18"/>
          <w:color w:val="auto"/>
        </w:rPr>
      </w:pPr>
    </w:p>
    <w:p>
      <w:pPr>
        <w:ind w:left="1220" w:hanging="510"/>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12.39%</w:t>
      </w:r>
    </w:p>
    <w:p>
      <w:pPr>
        <w:spacing w:after="0" w:line="117" w:lineRule="exact"/>
        <w:rPr>
          <w:rFonts w:ascii="Arial" w:cs="Arial" w:eastAsia="Arial" w:hAnsi="Arial"/>
          <w:sz w:val="18"/>
          <w:szCs w:val="18"/>
          <w:color w:val="auto"/>
        </w:rPr>
      </w:pPr>
    </w:p>
    <w:p>
      <w:pPr>
        <w:ind w:left="1260" w:hanging="550"/>
        <w:spacing w:after="0"/>
        <w:tabs>
          <w:tab w:leader="none" w:pos="1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2,095,657 shares</w:t>
      </w:r>
    </w:p>
    <w:p>
      <w:pPr>
        <w:spacing w:after="0" w:line="117" w:lineRule="exact"/>
        <w:rPr>
          <w:sz w:val="20"/>
          <w:szCs w:val="20"/>
          <w:color w:val="auto"/>
        </w:rPr>
      </w:pPr>
    </w:p>
    <w:p>
      <w:pPr>
        <w:ind w:left="1680" w:hanging="467"/>
        <w:spacing w:after="0"/>
        <w:tabs>
          <w:tab w:leader="none" w:pos="1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2,095,657 shares</w:t>
      </w:r>
    </w:p>
    <w:p>
      <w:pPr>
        <w:spacing w:after="0" w:line="1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8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Ownership of More than Five Percent on Behalf of Another Person.</w:t>
      </w:r>
    </w:p>
    <w:p>
      <w:pPr>
        <w:spacing w:after="0" w:line="8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25" w:lineRule="exact"/>
        <w:rPr>
          <w:sz w:val="20"/>
          <w:szCs w:val="20"/>
          <w:color w:val="auto"/>
        </w:rPr>
      </w:pPr>
    </w:p>
    <w:p>
      <w:pPr>
        <w:ind w:left="720" w:right="379" w:hanging="701"/>
        <w:spacing w:after="0" w:line="275" w:lineRule="auto"/>
        <w:tabs>
          <w:tab w:leader="none" w:pos="700" w:val="left"/>
        </w:tabs>
        <w:rPr>
          <w:sz w:val="20"/>
          <w:szCs w:val="20"/>
          <w:color w:val="auto"/>
        </w:rPr>
      </w:pPr>
      <w:r>
        <w:rPr>
          <w:rFonts w:ascii="Arial" w:cs="Arial" w:eastAsia="Arial" w:hAnsi="Arial"/>
          <w:sz w:val="18"/>
          <w:szCs w:val="18"/>
          <w:b w:val="1"/>
          <w:bCs w:val="1"/>
          <w:color w:val="auto"/>
        </w:rPr>
        <w:t>Item 7.</w:t>
        <w:tab/>
        <w:t>Identification and Classification of the Subsidiary Which Acquired the Security Being Reported on By the Parent Holding Company</w:t>
      </w:r>
    </w:p>
    <w:p>
      <w:pPr>
        <w:spacing w:after="0" w:line="3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Identification and Classification of Members of the Group</w:t>
      </w:r>
    </w:p>
    <w:p>
      <w:pPr>
        <w:spacing w:after="0" w:line="8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w:t>
      </w:r>
    </w:p>
    <w:p>
      <w:pPr>
        <w:spacing w:after="0" w:line="1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Notice of Dissolution of Group</w:t>
      </w:r>
    </w:p>
    <w:p>
      <w:pPr>
        <w:spacing w:after="0" w:line="83" w:lineRule="exact"/>
        <w:rPr>
          <w:sz w:val="20"/>
          <w:szCs w:val="20"/>
          <w:color w:val="auto"/>
        </w:rPr>
      </w:pPr>
    </w:p>
    <w:p>
      <w:pPr>
        <w:jc w:val="center"/>
        <w:ind w:right="8499"/>
        <w:spacing w:after="0"/>
        <w:rPr>
          <w:sz w:val="20"/>
          <w:szCs w:val="20"/>
          <w:color w:val="auto"/>
        </w:rPr>
      </w:pPr>
      <w:r>
        <w:rPr>
          <w:rFonts w:ascii="Arial" w:cs="Arial" w:eastAsia="Arial" w:hAnsi="Arial"/>
          <w:sz w:val="18"/>
          <w:szCs w:val="18"/>
          <w:color w:val="auto"/>
        </w:rPr>
        <w:t>N/A</w:t>
      </w:r>
    </w:p>
    <w:p>
      <w:pPr>
        <w:spacing w:after="0" w:line="125" w:lineRule="exact"/>
        <w:rPr>
          <w:sz w:val="20"/>
          <w:szCs w:val="20"/>
          <w:color w:val="auto"/>
        </w:rPr>
      </w:pPr>
    </w:p>
    <w:p>
      <w:pPr>
        <w:jc w:val="center"/>
        <w:ind w:right="8559"/>
        <w:spacing w:after="0"/>
        <w:rPr>
          <w:sz w:val="20"/>
          <w:szCs w:val="20"/>
          <w:color w:val="auto"/>
        </w:rPr>
      </w:pPr>
      <w:r>
        <w:rPr>
          <w:rFonts w:ascii="Arial" w:cs="Arial" w:eastAsia="Arial" w:hAnsi="Arial"/>
          <w:sz w:val="16"/>
          <w:szCs w:val="16"/>
          <w:b w:val="1"/>
          <w:bCs w:val="1"/>
          <w:color w:val="auto"/>
        </w:rPr>
        <w:t>Item 10. Certification</w:t>
      </w:r>
    </w:p>
    <w:p>
      <w:pPr>
        <w:spacing w:after="0" w:line="106" w:lineRule="exact"/>
        <w:rPr>
          <w:sz w:val="20"/>
          <w:szCs w:val="20"/>
          <w:color w:val="auto"/>
        </w:rPr>
      </w:pPr>
    </w:p>
    <w:p>
      <w:pPr>
        <w:ind w:left="720" w:right="419"/>
        <w:spacing w:after="0" w:line="256"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274" w:right="1440" w:bottom="1440" w:gutter="0" w:footer="0" w:header="0"/>
        </w:sectPr>
      </w:pPr>
    </w:p>
    <w:bookmarkStart w:id="3" w:name="page4"/>
    <w:bookmarkEnd w:id="3"/>
    <w:p>
      <w:pPr>
        <w:ind w:left="5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08/02/2005</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Victor A. Zollo,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Victor A. Zollo, Jr. - President</w:t>
      </w:r>
    </w:p>
    <w:sectPr>
      <w:pgSz w:w="11900" w:h="16838" w:orient="portrait"/>
      <w:cols w:equalWidth="0" w:num="1">
        <w:col w:w="10780"/>
      </w:cols>
      <w:pgMar w:left="240" w:top="27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bullet"/>
      <w:start w:val="1"/>
    </w:lvl>
  </w:abstractNum>
  <w:abstractNum w:abstractNumId="3">
    <w:nsid w:val="4DB127F8"/>
    <w:multiLevelType w:val="hybridMultilevel"/>
    <w:lvl w:ilvl="0">
      <w:lvlJc w:val="left"/>
      <w:lvlText w:val="2"/>
      <w:numFmt w:val="bullet"/>
      <w:start w:val="1"/>
    </w:lvl>
    <w:lvl w:ilvl="1">
      <w:lvlJc w:val="left"/>
      <w:lvlText w:val="(%2)"/>
      <w:numFmt w:val="lowerLetter"/>
      <w:start w:val="1"/>
    </w:lvl>
  </w:abstractNum>
  <w:abstractNum w:abstractNumId="4">
    <w:nsid w:val="216231B"/>
    <w:multiLevelType w:val="hybridMultilevel"/>
    <w:lvl w:ilvl="0">
      <w:lvlJc w:val="left"/>
      <w:lvlText w:val="3"/>
      <w:numFmt w:val="bullet"/>
      <w:start w:val="1"/>
    </w:lvl>
  </w:abstractNum>
  <w:abstractNum w:abstractNumId="5">
    <w:nsid w:val="1F16E9E8"/>
    <w:multiLevelType w:val="hybridMultilevel"/>
    <w:lvl w:ilvl="0">
      <w:lvlJc w:val="left"/>
      <w:lvlText w:val="4"/>
      <w:numFmt w:val="bullet"/>
      <w:start w:val="1"/>
    </w:lvl>
  </w:abstractNum>
  <w:abstractNum w:abstractNumId="6">
    <w:nsid w:val="1190CDE7"/>
    <w:multiLevelType w:val="hybridMultilevel"/>
    <w:lvl w:ilvl="0">
      <w:lvlJc w:val="left"/>
      <w:lvlText w:val="5"/>
      <w:numFmt w:val="bullet"/>
      <w:start w:val="1"/>
    </w:lvl>
  </w:abstractNum>
  <w:abstractNum w:abstractNumId="7">
    <w:nsid w:val="66EF438D"/>
    <w:multiLevelType w:val="hybridMultilevel"/>
    <w:lvl w:ilvl="0">
      <w:lvlJc w:val="left"/>
      <w:lvlText w:val="9"/>
      <w:numFmt w:val="bullet"/>
      <w:start w:val="1"/>
    </w:lvl>
  </w:abstractNum>
  <w:abstractNum w:abstractNumId="8">
    <w:nsid w:val="140E0F76"/>
    <w:multiLevelType w:val="hybridMultilevel"/>
    <w:lvl w:ilvl="0">
      <w:lvlJc w:val="left"/>
      <w:lvlText w:val="%1"/>
      <w:numFmt w:val="decimal"/>
      <w:start w:val="10"/>
    </w:lvl>
  </w:abstractNum>
  <w:abstractNum w:abstractNumId="9">
    <w:nsid w:val="3352255A"/>
    <w:multiLevelType w:val="hybridMultilevel"/>
    <w:lvl w:ilvl="0">
      <w:lvlJc w:val="left"/>
      <w:lvlText w:val="%1"/>
      <w:numFmt w:val="decimal"/>
      <w:start w:val="11"/>
    </w:lvl>
  </w:abstractNum>
  <w:abstractNum w:abstractNumId="10">
    <w:nsid w:val="109CF92E"/>
    <w:multiLevelType w:val="hybridMultilevel"/>
    <w:lvl w:ilvl="0">
      <w:lvlJc w:val="left"/>
      <w:lvlText w:val="%1"/>
      <w:numFmt w:val="decimal"/>
      <w:start w:val="12"/>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5"/>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2019-12-14T02:40:22Z</dcterms:created>
  <dcterms:modified xsi:type="dcterms:W3CDTF">2019-12-14T02:40:22Z</dcterms:modified>
</cp:coreProperties>
</file>