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ind w:left="39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6" w:lineRule="exact"/>
        <w:rPr>
          <w:sz w:val="24"/>
          <w:szCs w:val="24"/>
          <w:color w:val="auto"/>
        </w:rPr>
      </w:pPr>
    </w:p>
    <w:p>
      <w:pPr>
        <w:sectPr>
          <w:pgSz w:w="11900" w:h="16838" w:orient="portrait"/>
          <w:cols w:equalWidth="0" w:num="2">
            <w:col w:w="6200" w:space="580"/>
            <w:col w:w="464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tbl>
      <w:tblPr>
        <w:tblLayout w:type="fixed"/>
        <w:tblInd w:w="1980" w:type="dxa"/>
        <w:tblCellMar>
          <w:top w:w="0" w:type="dxa"/>
          <w:left w:w="0" w:type="dxa"/>
          <w:bottom w:w="0" w:type="dxa"/>
          <w:right w:w="0" w:type="dxa"/>
        </w:tblCellMar>
      </w:tblPr>
      <w:tr>
        <w:trPr>
          <w:trHeight w:val="529"/>
        </w:trPr>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40" w:type="dxa"/>
            <w:vAlign w:val="bottom"/>
            <w:gridSpan w:val="2"/>
          </w:tcPr>
          <w:p>
            <w:pPr>
              <w:jc w:val="center"/>
              <w:ind w:right="2392"/>
              <w:spacing w:after="0"/>
              <w:rPr>
                <w:sz w:val="20"/>
                <w:szCs w:val="20"/>
                <w:color w:val="auto"/>
              </w:rPr>
            </w:pPr>
            <w:r>
              <w:rPr>
                <w:rFonts w:ascii="Arial" w:cs="Arial" w:eastAsia="Arial" w:hAnsi="Arial"/>
                <w:sz w:val="43"/>
                <w:szCs w:val="43"/>
                <w:b w:val="1"/>
                <w:bCs w:val="1"/>
                <w:color w:val="auto"/>
                <w:w w:val="96"/>
              </w:rPr>
              <w:t>NN, Inc.</w:t>
            </w:r>
          </w:p>
        </w:tc>
      </w:tr>
      <w:tr>
        <w:trPr>
          <w:trHeight w:val="228"/>
        </w:trPr>
        <w:tc>
          <w:tcPr>
            <w:tcW w:w="1780" w:type="dxa"/>
            <w:vAlign w:val="bottom"/>
          </w:tcPr>
          <w:p>
            <w:pPr>
              <w:spacing w:after="0"/>
              <w:rPr>
                <w:sz w:val="19"/>
                <w:szCs w:val="19"/>
                <w:color w:val="auto"/>
              </w:rPr>
            </w:pPr>
          </w:p>
        </w:tc>
        <w:tc>
          <w:tcPr>
            <w:tcW w:w="5600" w:type="dxa"/>
            <w:vAlign w:val="bottom"/>
            <w:gridSpan w:val="3"/>
          </w:tcPr>
          <w:p>
            <w:pPr>
              <w:jc w:val="center"/>
              <w:ind w:right="1612"/>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r>
      <w:tr>
        <w:trPr>
          <w:trHeight w:val="178"/>
        </w:trPr>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2460" w:type="dxa"/>
            <w:vAlign w:val="bottom"/>
          </w:tcPr>
          <w:p>
            <w:pPr>
              <w:spacing w:after="0"/>
              <w:rPr>
                <w:sz w:val="15"/>
                <w:szCs w:val="15"/>
                <w:color w:val="auto"/>
              </w:rPr>
            </w:pPr>
          </w:p>
        </w:tc>
      </w:tr>
      <w:tr>
        <w:trPr>
          <w:trHeight w:val="305"/>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600" w:type="dxa"/>
            <w:vAlign w:val="bottom"/>
            <w:gridSpan w:val="3"/>
          </w:tcPr>
          <w:p>
            <w:pPr>
              <w:jc w:val="center"/>
              <w:ind w:left="4160"/>
              <w:spacing w:after="0"/>
              <w:rPr>
                <w:sz w:val="20"/>
                <w:szCs w:val="20"/>
                <w:color w:val="auto"/>
              </w:rPr>
            </w:pPr>
            <w:r>
              <w:rPr>
                <w:rFonts w:ascii="Arial" w:cs="Arial" w:eastAsia="Arial" w:hAnsi="Arial"/>
                <w:sz w:val="18"/>
                <w:szCs w:val="18"/>
                <w:b w:val="1"/>
                <w:bCs w:val="1"/>
                <w:color w:val="auto"/>
                <w:w w:val="87"/>
              </w:rPr>
              <w:t>62-1096725</w:t>
            </w:r>
          </w:p>
        </w:tc>
      </w:tr>
      <w:tr>
        <w:trPr>
          <w:trHeight w:val="149"/>
        </w:trPr>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7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60" w:type="dxa"/>
            <w:vAlign w:val="bottom"/>
          </w:tcPr>
          <w:p>
            <w:pPr>
              <w:jc w:val="center"/>
              <w:ind w:left="105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7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60" w:type="dxa"/>
            <w:vAlign w:val="bottom"/>
          </w:tcPr>
          <w:p>
            <w:pPr>
              <w:jc w:val="center"/>
              <w:ind w:left="1052"/>
              <w:spacing w:after="0"/>
              <w:rPr>
                <w:sz w:val="20"/>
                <w:szCs w:val="20"/>
                <w:color w:val="auto"/>
              </w:rPr>
            </w:pPr>
            <w:r>
              <w:rPr>
                <w:rFonts w:ascii="Arial" w:cs="Arial" w:eastAsia="Arial" w:hAnsi="Arial"/>
                <w:sz w:val="14"/>
                <w:szCs w:val="14"/>
                <w:b w:val="1"/>
                <w:bCs w:val="1"/>
                <w:color w:val="auto"/>
                <w:w w:val="90"/>
              </w:rPr>
              <w:t>Identification Number)</w:t>
            </w:r>
          </w:p>
        </w:tc>
      </w:tr>
      <w:tr>
        <w:trPr>
          <w:trHeight w:val="364"/>
        </w:trPr>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40" w:type="dxa"/>
            <w:vAlign w:val="bottom"/>
            <w:gridSpan w:val="2"/>
          </w:tcPr>
          <w:p>
            <w:pPr>
              <w:jc w:val="center"/>
              <w:ind w:right="2392"/>
              <w:spacing w:after="0"/>
              <w:rPr>
                <w:sz w:val="20"/>
                <w:szCs w:val="20"/>
                <w:color w:val="auto"/>
              </w:rPr>
            </w:pPr>
            <w:r>
              <w:rPr>
                <w:rFonts w:ascii="Arial" w:cs="Arial" w:eastAsia="Arial" w:hAnsi="Arial"/>
                <w:sz w:val="18"/>
                <w:szCs w:val="18"/>
                <w:b w:val="1"/>
                <w:bCs w:val="1"/>
                <w:color w:val="auto"/>
                <w:w w:val="89"/>
              </w:rPr>
              <w:t>2000 Waters Edge Drive</w:t>
            </w:r>
          </w:p>
        </w:tc>
      </w:tr>
      <w:tr>
        <w:trPr>
          <w:trHeight w:val="216"/>
        </w:trPr>
        <w:tc>
          <w:tcPr>
            <w:tcW w:w="1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40" w:type="dxa"/>
            <w:vAlign w:val="bottom"/>
            <w:gridSpan w:val="2"/>
          </w:tcPr>
          <w:p>
            <w:pPr>
              <w:jc w:val="center"/>
              <w:ind w:right="2392"/>
              <w:spacing w:after="0"/>
              <w:rPr>
                <w:sz w:val="20"/>
                <w:szCs w:val="20"/>
                <w:color w:val="auto"/>
              </w:rPr>
            </w:pPr>
            <w:r>
              <w:rPr>
                <w:rFonts w:ascii="Arial" w:cs="Arial" w:eastAsia="Arial" w:hAnsi="Arial"/>
                <w:sz w:val="18"/>
                <w:szCs w:val="18"/>
                <w:b w:val="1"/>
                <w:bCs w:val="1"/>
                <w:color w:val="auto"/>
                <w:w w:val="88"/>
              </w:rPr>
              <w:t>Building C, Suite 12</w:t>
            </w:r>
          </w:p>
        </w:tc>
      </w:tr>
      <w:tr>
        <w:trPr>
          <w:trHeight w:val="218"/>
        </w:trPr>
        <w:tc>
          <w:tcPr>
            <w:tcW w:w="1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40" w:type="dxa"/>
            <w:vAlign w:val="bottom"/>
            <w:gridSpan w:val="2"/>
          </w:tcPr>
          <w:p>
            <w:pPr>
              <w:jc w:val="center"/>
              <w:ind w:right="2392"/>
              <w:spacing w:after="0"/>
              <w:rPr>
                <w:sz w:val="20"/>
                <w:szCs w:val="20"/>
                <w:color w:val="auto"/>
              </w:rPr>
            </w:pPr>
            <w:r>
              <w:rPr>
                <w:rFonts w:ascii="Arial" w:cs="Arial" w:eastAsia="Arial" w:hAnsi="Arial"/>
                <w:sz w:val="18"/>
                <w:szCs w:val="18"/>
                <w:b w:val="1"/>
                <w:bCs w:val="1"/>
                <w:color w:val="auto"/>
                <w:w w:val="84"/>
              </w:rPr>
              <w:t>Johnson City, Tennessee 37604</w:t>
            </w:r>
          </w:p>
        </w:tc>
      </w:tr>
      <w:tr>
        <w:trPr>
          <w:trHeight w:val="174"/>
        </w:trPr>
        <w:tc>
          <w:tcPr>
            <w:tcW w:w="1780" w:type="dxa"/>
            <w:vAlign w:val="bottom"/>
          </w:tcPr>
          <w:p>
            <w:pPr>
              <w:spacing w:after="0"/>
              <w:rPr>
                <w:sz w:val="15"/>
                <w:szCs w:val="15"/>
                <w:color w:val="auto"/>
              </w:rPr>
            </w:pPr>
          </w:p>
        </w:tc>
        <w:tc>
          <w:tcPr>
            <w:tcW w:w="5600" w:type="dxa"/>
            <w:vAlign w:val="bottom"/>
            <w:gridSpan w:val="3"/>
          </w:tcPr>
          <w:p>
            <w:pPr>
              <w:jc w:val="center"/>
              <w:ind w:right="1632"/>
              <w:spacing w:after="0"/>
              <w:rPr>
                <w:sz w:val="20"/>
                <w:szCs w:val="20"/>
                <w:color w:val="auto"/>
              </w:rPr>
            </w:pPr>
            <w:r>
              <w:rPr>
                <w:rFonts w:ascii="Arial" w:cs="Arial" w:eastAsia="Arial" w:hAnsi="Arial"/>
                <w:sz w:val="14"/>
                <w:szCs w:val="14"/>
                <w:b w:val="1"/>
                <w:bCs w:val="1"/>
                <w:color w:val="auto"/>
                <w:w w:val="85"/>
              </w:rPr>
              <w:t>(Address of principal executive offices, including zip code)</w:t>
            </w:r>
          </w:p>
        </w:tc>
      </w:tr>
      <w:tr>
        <w:trPr>
          <w:trHeight w:val="352"/>
        </w:trPr>
        <w:tc>
          <w:tcPr>
            <w:tcW w:w="1780" w:type="dxa"/>
            <w:vAlign w:val="bottom"/>
          </w:tcPr>
          <w:p>
            <w:pPr>
              <w:spacing w:after="0"/>
              <w:rPr>
                <w:sz w:val="24"/>
                <w:szCs w:val="24"/>
                <w:color w:val="auto"/>
              </w:rPr>
            </w:pPr>
          </w:p>
        </w:tc>
        <w:tc>
          <w:tcPr>
            <w:tcW w:w="3140" w:type="dxa"/>
            <w:vAlign w:val="bottom"/>
            <w:gridSpan w:val="2"/>
          </w:tcPr>
          <w:p>
            <w:pPr>
              <w:jc w:val="center"/>
              <w:ind w:left="680"/>
              <w:spacing w:after="0"/>
              <w:rPr>
                <w:sz w:val="20"/>
                <w:szCs w:val="20"/>
                <w:color w:val="auto"/>
              </w:rPr>
            </w:pPr>
            <w:r>
              <w:rPr>
                <w:rFonts w:ascii="Arial" w:cs="Arial" w:eastAsia="Arial" w:hAnsi="Arial"/>
                <w:sz w:val="18"/>
                <w:szCs w:val="18"/>
                <w:b w:val="1"/>
                <w:bCs w:val="1"/>
                <w:color w:val="auto"/>
                <w:w w:val="89"/>
              </w:rPr>
              <w:t>(423) 743-9151</w:t>
            </w:r>
          </w:p>
        </w:tc>
        <w:tc>
          <w:tcPr>
            <w:tcW w:w="2460" w:type="dxa"/>
            <w:vAlign w:val="bottom"/>
          </w:tcPr>
          <w:p>
            <w:pPr>
              <w:spacing w:after="0"/>
              <w:rPr>
                <w:sz w:val="24"/>
                <w:szCs w:val="24"/>
                <w:color w:val="auto"/>
              </w:rPr>
            </w:pPr>
          </w:p>
        </w:tc>
      </w:tr>
      <w:tr>
        <w:trPr>
          <w:trHeight w:val="174"/>
        </w:trPr>
        <w:tc>
          <w:tcPr>
            <w:tcW w:w="1780" w:type="dxa"/>
            <w:vAlign w:val="bottom"/>
          </w:tcPr>
          <w:p>
            <w:pPr>
              <w:spacing w:after="0"/>
              <w:rPr>
                <w:sz w:val="15"/>
                <w:szCs w:val="15"/>
                <w:color w:val="auto"/>
              </w:rPr>
            </w:pPr>
          </w:p>
        </w:tc>
        <w:tc>
          <w:tcPr>
            <w:tcW w:w="5600" w:type="dxa"/>
            <w:vAlign w:val="bottom"/>
            <w:gridSpan w:val="3"/>
          </w:tcPr>
          <w:p>
            <w:pPr>
              <w:jc w:val="center"/>
              <w:ind w:right="1632"/>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69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694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w w:val="88"/>
              </w:rPr>
              <w:t>As of May 4, 2012, there were 17,023,932 shares of the registrant’s common stock, par value $0.01 per share, outstanding.</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800" w:type="dxa"/>
            <w:vAlign w:val="bottom"/>
            <w:tcBorders>
              <w:bottom w:val="single" w:sz="8" w:color="auto"/>
            </w:tcBorders>
          </w:tcPr>
          <w:p>
            <w:pPr>
              <w:spacing w:after="0"/>
              <w:rPr>
                <w:sz w:val="10"/>
                <w:szCs w:val="10"/>
                <w:color w:val="auto"/>
              </w:rPr>
            </w:pPr>
          </w:p>
        </w:tc>
        <w:tc>
          <w:tcPr>
            <w:tcW w:w="694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800" w:type="dxa"/>
            <w:vAlign w:val="bottom"/>
            <w:tcBorders>
              <w:bottom w:val="single" w:sz="8" w:color="auto"/>
            </w:tcBorders>
          </w:tcPr>
          <w:p>
            <w:pPr>
              <w:spacing w:after="0" w:line="20" w:lineRule="exact"/>
              <w:rPr>
                <w:sz w:val="1"/>
                <w:szCs w:val="1"/>
                <w:color w:val="auto"/>
              </w:rPr>
            </w:pPr>
          </w:p>
        </w:tc>
        <w:tc>
          <w:tcPr>
            <w:tcW w:w="69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20" w:type="dxa"/>
            <w:vAlign w:val="bottom"/>
            <w:gridSpan w:val="2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2"/>
              </w:rPr>
              <w:t>Page No.</w:t>
            </w:r>
          </w:p>
        </w:tc>
        <w:tc>
          <w:tcPr>
            <w:tcW w:w="0" w:type="dxa"/>
            <w:vAlign w:val="bottom"/>
          </w:tcPr>
          <w:p>
            <w:pPr>
              <w:spacing w:after="0"/>
              <w:rPr>
                <w:sz w:val="1"/>
                <w:szCs w:val="1"/>
                <w:color w:val="auto"/>
              </w:rPr>
            </w:pPr>
          </w:p>
        </w:tc>
      </w:tr>
      <w:tr>
        <w:trPr>
          <w:trHeight w:val="156"/>
        </w:trPr>
        <w:tc>
          <w:tcPr>
            <w:tcW w:w="10820" w:type="dxa"/>
            <w:vAlign w:val="bottom"/>
            <w:gridSpan w:val="20"/>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300" w:type="dxa"/>
            <w:vAlign w:val="bottom"/>
            <w:gridSpan w:val="11"/>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10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Statements of Comprehensive Income for the three months ended March 31, 2012 and 2011 (unaudited)</w:t>
              </w:r>
            </w:hyperlink>
          </w:p>
        </w:tc>
        <w:tc>
          <w:tcPr>
            <w:tcW w:w="7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6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Balance Sheets at March 31, 2012 and December 31, 2011 (unaudited)</w:t>
              </w:r>
            </w:hyperlink>
          </w:p>
        </w:tc>
        <w:tc>
          <w:tcPr>
            <w:tcW w:w="306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20" w:type="dxa"/>
            <w:vAlign w:val="bottom"/>
            <w:gridSpan w:val="18"/>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Statement of Changes in Stockholders’ Equity for the three months ended March 31, 2012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980" w:type="dxa"/>
            <w:vAlign w:val="bottom"/>
            <w:tcBorders>
              <w:top w:val="single" w:sz="8" w:color="0000EE"/>
            </w:tcBorders>
            <w:gridSpan w:val="16"/>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Cash Flows for the three months ended March 31, 2012 and 2011 (unaudited)</w:t>
              </w:r>
            </w:hyperlink>
          </w:p>
        </w:tc>
        <w:tc>
          <w:tcPr>
            <w:tcW w:w="84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40" w:type="dxa"/>
            <w:vAlign w:val="bottom"/>
            <w:tcBorders>
              <w:top w:val="single" w:sz="8" w:color="0000EE"/>
            </w:tcBorders>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58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Management’s Discussion and Analysis of Financial Condition and Results of Operations</w:t>
              </w:r>
            </w:hyperlink>
          </w:p>
        </w:tc>
        <w:tc>
          <w:tcPr>
            <w:tcW w:w="352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Quantitative and Qualitative Disclosures about Market Risk</w:t>
              </w:r>
            </w:hyperlink>
          </w:p>
        </w:tc>
        <w:tc>
          <w:tcPr>
            <w:tcW w:w="562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820" w:type="dxa"/>
            <w:vAlign w:val="bottom"/>
            <w:gridSpan w:val="1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19">
              <w:r>
                <w:rPr>
                  <w:rFonts w:ascii="Arial" w:cs="Arial" w:eastAsia="Arial" w:hAnsi="Arial"/>
                  <w:sz w:val="18"/>
                  <w:szCs w:val="18"/>
                  <w:b w:val="1"/>
                  <w:bCs w:val="1"/>
                  <w:color w:val="0000EE"/>
                  <w:w w:val="94"/>
                </w:rPr>
                <w:t>Part II. Other Information</w:t>
              </w:r>
            </w:hyperlink>
          </w:p>
        </w:tc>
        <w:tc>
          <w:tcPr>
            <w:tcW w:w="8800" w:type="dxa"/>
            <w:vAlign w:val="bottom"/>
            <w:gridSpan w:val="15"/>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19">
              <w:r>
                <w:rPr>
                  <w:rFonts w:ascii="Arial" w:cs="Arial" w:eastAsia="Arial" w:hAnsi="Arial"/>
                  <w:sz w:val="18"/>
                  <w:szCs w:val="18"/>
                  <w:color w:val="0000EE"/>
                  <w:w w:val="85"/>
                </w:rPr>
                <w:t>Legal Proceedings</w:t>
              </w:r>
            </w:hyperlink>
          </w:p>
        </w:tc>
        <w:tc>
          <w:tcPr>
            <w:tcW w:w="8520" w:type="dxa"/>
            <w:vAlign w:val="bottom"/>
            <w:gridSpan w:val="1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9">
              <w:r>
                <w:rPr>
                  <w:rFonts w:ascii="Arial" w:cs="Arial" w:eastAsia="Arial" w:hAnsi="Arial"/>
                  <w:sz w:val="18"/>
                  <w:szCs w:val="18"/>
                  <w:color w:val="0000EE"/>
                  <w:w w:val="85"/>
                </w:rPr>
                <w:t>Risk Factors</w:t>
              </w:r>
            </w:hyperlink>
          </w:p>
        </w:tc>
        <w:tc>
          <w:tcPr>
            <w:tcW w:w="8940" w:type="dxa"/>
            <w:vAlign w:val="bottom"/>
            <w:gridSpan w:val="1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19">
              <w:r>
                <w:rPr>
                  <w:rFonts w:ascii="Arial" w:cs="Arial" w:eastAsia="Arial" w:hAnsi="Arial"/>
                  <w:sz w:val="18"/>
                  <w:szCs w:val="18"/>
                  <w:color w:val="0000EE"/>
                  <w:w w:val="86"/>
                </w:rPr>
                <w:t>Unregistered Sales of Equity Securities and Use of Proceeds</w:t>
              </w:r>
            </w:hyperlink>
          </w:p>
        </w:tc>
        <w:tc>
          <w:tcPr>
            <w:tcW w:w="558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82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Defaults Upon Senior Securities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Mine Safety Disclosures</w:t>
              </w:r>
            </w:hyperlink>
          </w:p>
        </w:tc>
        <w:tc>
          <w:tcPr>
            <w:tcW w:w="7560" w:type="dxa"/>
            <w:vAlign w:val="bottom"/>
            <w:gridSpan w:val="9"/>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2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8100" w:type="dxa"/>
            <w:vAlign w:val="bottom"/>
            <w:gridSpan w:val="10"/>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82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300" w:type="dxa"/>
            <w:vAlign w:val="bottom"/>
            <w:gridSpan w:val="13"/>
          </w:tcPr>
          <w:p>
            <w:pPr>
              <w:ind w:left="468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800" w:type="dxa"/>
            <w:vAlign w:val="bottom"/>
          </w:tcPr>
          <w:p>
            <w:pPr>
              <w:jc w:val="center"/>
              <w:ind w:right="1012"/>
              <w:spacing w:after="0"/>
              <w:rPr>
                <w:sz w:val="20"/>
                <w:szCs w:val="20"/>
                <w:color w:val="auto"/>
              </w:rPr>
            </w:pPr>
            <w:r>
              <w:rPr>
                <w:rFonts w:ascii="Arial" w:cs="Arial" w:eastAsia="Arial" w:hAnsi="Arial"/>
                <w:sz w:val="18"/>
                <w:szCs w:val="18"/>
                <w:b w:val="1"/>
                <w:bCs w:val="1"/>
                <w:color w:val="auto"/>
                <w:w w:val="99"/>
              </w:rPr>
              <w:t>PART I. FINANCIAL INFORMATION</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900" w:type="dxa"/>
            <w:vAlign w:val="bottom"/>
            <w:gridSpan w:val="2"/>
          </w:tcPr>
          <w:p>
            <w:pPr>
              <w:ind w:left="28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800" w:type="dxa"/>
            <w:vAlign w:val="bottom"/>
          </w:tcPr>
          <w:p>
            <w:pPr>
              <w:jc w:val="center"/>
              <w:ind w:right="1012"/>
              <w:spacing w:after="0"/>
              <w:rPr>
                <w:sz w:val="20"/>
                <w:szCs w:val="20"/>
                <w:color w:val="auto"/>
              </w:rPr>
            </w:pPr>
            <w:r>
              <w:rPr>
                <w:rFonts w:ascii="Arial" w:cs="Arial" w:eastAsia="Arial" w:hAnsi="Arial"/>
                <w:sz w:val="18"/>
                <w:szCs w:val="18"/>
                <w:b w:val="1"/>
                <w:bCs w:val="1"/>
                <w:color w:val="auto"/>
                <w:w w:val="92"/>
              </w:rPr>
              <w:t>NN, Inc.</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800" w:type="dxa"/>
            <w:vAlign w:val="bottom"/>
          </w:tcPr>
          <w:p>
            <w:pPr>
              <w:jc w:val="center"/>
              <w:ind w:right="1012"/>
              <w:spacing w:after="0"/>
              <w:rPr>
                <w:sz w:val="20"/>
                <w:szCs w:val="20"/>
                <w:color w:val="auto"/>
              </w:rPr>
            </w:pPr>
            <w:r>
              <w:rPr>
                <w:rFonts w:ascii="Arial" w:cs="Arial" w:eastAsia="Arial" w:hAnsi="Arial"/>
                <w:sz w:val="18"/>
                <w:szCs w:val="18"/>
                <w:b w:val="1"/>
                <w:bCs w:val="1"/>
                <w:color w:val="auto"/>
                <w:w w:val="86"/>
              </w:rPr>
              <w:t>Condensed Consolidated Statements of Comprehensive Income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800" w:type="dxa"/>
            <w:vAlign w:val="bottom"/>
          </w:tcPr>
          <w:p>
            <w:pPr>
              <w:jc w:val="center"/>
              <w:ind w:right="1012"/>
              <w:spacing w:after="0"/>
              <w:rPr>
                <w:sz w:val="20"/>
                <w:szCs w:val="20"/>
                <w:color w:val="auto"/>
              </w:rPr>
            </w:pPr>
            <w:r>
              <w:rPr>
                <w:rFonts w:ascii="Arial" w:cs="Arial" w:eastAsia="Arial" w:hAnsi="Arial"/>
                <w:sz w:val="18"/>
                <w:szCs w:val="18"/>
                <w:b w:val="1"/>
                <w:bCs w:val="1"/>
                <w:color w:val="auto"/>
                <w:w w:val="89"/>
              </w:rPr>
              <w:t>(Unaudited)</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74"/>
        </w:trPr>
        <w:tc>
          <w:tcPr>
            <w:tcW w:w="9660" w:type="dxa"/>
            <w:vAlign w:val="bottom"/>
            <w:gridSpan w:val="4"/>
            <w:vMerge w:val="restart"/>
          </w:tcPr>
          <w:p>
            <w:pPr>
              <w:spacing w:after="0"/>
              <w:rPr>
                <w:sz w:val="20"/>
                <w:szCs w:val="20"/>
                <w:color w:val="auto"/>
              </w:rPr>
            </w:pPr>
            <w:r>
              <w:rPr>
                <w:rFonts w:ascii="Arial" w:cs="Arial" w:eastAsia="Arial" w:hAnsi="Arial"/>
                <w:sz w:val="14"/>
                <w:szCs w:val="14"/>
                <w:color w:val="auto"/>
              </w:rPr>
              <w:t>(In Thousands of Dollars, Except Per Share Data)</w:t>
            </w:r>
          </w:p>
        </w:tc>
        <w:tc>
          <w:tcPr>
            <w:tcW w:w="80" w:type="dxa"/>
            <w:vAlign w:val="bottom"/>
          </w:tcPr>
          <w:p>
            <w:pPr>
              <w:spacing w:after="0"/>
              <w:rPr>
                <w:sz w:val="15"/>
                <w:szCs w:val="15"/>
                <w:color w:val="auto"/>
              </w:rPr>
            </w:pPr>
          </w:p>
        </w:tc>
        <w:tc>
          <w:tcPr>
            <w:tcW w:w="16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9"/>
        </w:trPr>
        <w:tc>
          <w:tcPr>
            <w:tcW w:w="96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5"/>
              </w:rPr>
              <w:t>Net sales</w:t>
            </w:r>
          </w:p>
        </w:tc>
        <w:tc>
          <w:tcPr>
            <w:tcW w:w="2100" w:type="dxa"/>
            <w:vAlign w:val="bottom"/>
            <w:tcBorders>
              <w:top w:val="single" w:sz="8" w:color="auto"/>
            </w:tcBorders>
            <w:shd w:val="clear" w:color="auto" w:fill="CCEEFF"/>
          </w:tcPr>
          <w:p>
            <w:pPr>
              <w:spacing w:after="0"/>
              <w:rPr>
                <w:sz w:val="17"/>
                <w:szCs w:val="17"/>
                <w:color w:val="auto"/>
              </w:rPr>
            </w:pPr>
          </w:p>
        </w:tc>
        <w:tc>
          <w:tcPr>
            <w:tcW w:w="6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104,519</w:t>
            </w: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111,307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82,969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4,457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disposal of assets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Gain from deconsolidation of a bankrupt subsidiary</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660" w:type="dxa"/>
            <w:vAlign w:val="bottom"/>
            <w:gridSpan w:val="4"/>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1,211</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60" w:type="dxa"/>
            <w:vAlign w:val="bottom"/>
            <w:gridSpan w:val="4"/>
          </w:tcPr>
          <w:p>
            <w:pPr>
              <w:spacing w:after="0"/>
              <w:rPr>
                <w:sz w:val="20"/>
                <w:szCs w:val="20"/>
                <w:color w:val="auto"/>
              </w:rPr>
            </w:pPr>
            <w:r>
              <w:rPr>
                <w:rFonts w:ascii="Arial" w:cs="Arial" w:eastAsia="Arial" w:hAnsi="Arial"/>
                <w:sz w:val="18"/>
                <w:szCs w:val="18"/>
                <w:color w:val="auto"/>
              </w:rPr>
              <w:t>Income before provision for income taxes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7,384</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640" w:type="dxa"/>
            <w:vAlign w:val="bottom"/>
            <w:gridSpan w:val="3"/>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5,909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40" w:type="dxa"/>
            <w:vAlign w:val="bottom"/>
            <w:gridSpan w:val="2"/>
          </w:tcPr>
          <w:p>
            <w:pPr>
              <w:spacing w:after="0"/>
              <w:rPr>
                <w:sz w:val="9"/>
                <w:szCs w:val="9"/>
                <w:color w:val="auto"/>
              </w:rPr>
            </w:pPr>
          </w:p>
        </w:tc>
        <w:tc>
          <w:tcPr>
            <w:tcW w:w="68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900" w:type="dxa"/>
            <w:vAlign w:val="bottom"/>
            <w:gridSpan w:val="2"/>
          </w:tcPr>
          <w:p>
            <w:pPr>
              <w:ind w:left="120"/>
              <w:spacing w:after="0"/>
              <w:rPr>
                <w:sz w:val="20"/>
                <w:szCs w:val="20"/>
                <w:color w:val="auto"/>
              </w:rPr>
            </w:pPr>
            <w:r>
              <w:rPr>
                <w:rFonts w:ascii="Arial" w:cs="Arial" w:eastAsia="Arial" w:hAnsi="Arial"/>
                <w:sz w:val="18"/>
                <w:szCs w:val="18"/>
                <w:color w:val="auto"/>
              </w:rPr>
              <w:t>Foreign currency translation gain</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Comprehensive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9,303</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60" w:type="dxa"/>
            <w:vAlign w:val="bottom"/>
            <w:gridSpan w:val="4"/>
            <w:vMerge w:val="restart"/>
          </w:tcPr>
          <w:p>
            <w:pPr>
              <w:spacing w:after="0"/>
              <w:rPr>
                <w:sz w:val="20"/>
                <w:szCs w:val="20"/>
                <w:color w:val="auto"/>
              </w:rPr>
            </w:pPr>
            <w:r>
              <w:rPr>
                <w:rFonts w:ascii="Arial" w:cs="Arial" w:eastAsia="Arial" w:hAnsi="Arial"/>
                <w:sz w:val="18"/>
                <w:szCs w:val="18"/>
                <w:color w:val="auto"/>
              </w:rPr>
              <w:t>Basic income per common share:</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60" w:type="dxa"/>
            <w:vAlign w:val="bottom"/>
            <w:gridSpan w:val="4"/>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0.35</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Weighted average shares outstanding</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16,961</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60" w:type="dxa"/>
            <w:vAlign w:val="bottom"/>
            <w:gridSpan w:val="4"/>
            <w:vMerge w:val="restart"/>
          </w:tcPr>
          <w:p>
            <w:pPr>
              <w:spacing w:after="0"/>
              <w:rPr>
                <w:sz w:val="20"/>
                <w:szCs w:val="20"/>
                <w:color w:val="auto"/>
              </w:rPr>
            </w:pPr>
            <w:r>
              <w:rPr>
                <w:rFonts w:ascii="Arial" w:cs="Arial" w:eastAsia="Arial" w:hAnsi="Arial"/>
                <w:sz w:val="18"/>
                <w:szCs w:val="18"/>
                <w:color w:val="auto"/>
              </w:rPr>
              <w:t>Diluted income per common share:</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60" w:type="dxa"/>
            <w:vAlign w:val="bottom"/>
            <w:gridSpan w:val="4"/>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0.35</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Weighted average shares outstanding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2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8"/>
        </w:trPr>
        <w:tc>
          <w:tcPr>
            <w:tcW w:w="94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3"/>
              <w:spacing w:after="0" w:line="148"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3"/>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79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11,807</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 of allowance for doubtful accounts of $354 and $438, respectively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76,379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139,304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2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121,650</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120,528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Intangible asset,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0" w:type="dxa"/>
            <w:vAlign w:val="bottom"/>
            <w:gridSpan w:val="2"/>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274,214</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259,461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43,370</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Accrued salaries, wages and benefits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10,812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400" w:type="dxa"/>
            <w:vAlign w:val="bottom"/>
            <w:gridSpan w:val="2"/>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67,740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7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81,629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11,529</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400" w:type="dxa"/>
            <w:vAlign w:val="bottom"/>
            <w:gridSpan w:val="2"/>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164,877</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159,785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7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109,337</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2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274,214</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259,461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w w:val="89"/>
              </w:rPr>
              <w:t>Common Stock</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vMerge w:val="restart"/>
          </w:tcPr>
          <w:p>
            <w:pPr>
              <w:spacing w:after="0"/>
              <w:rPr>
                <w:sz w:val="20"/>
                <w:szCs w:val="20"/>
                <w:color w:val="auto"/>
              </w:rPr>
            </w:pPr>
            <w:r>
              <w:rPr>
                <w:rFonts w:ascii="Arial" w:cs="Arial" w:eastAsia="Arial" w:hAnsi="Arial"/>
                <w:sz w:val="14"/>
                <w:szCs w:val="14"/>
                <w:color w:val="auto"/>
                <w:w w:val="91"/>
              </w:rPr>
              <w:t>(In Thousands of Dollars and Shares)</w:t>
            </w:r>
          </w:p>
        </w:tc>
        <w:tc>
          <w:tcPr>
            <w:tcW w:w="2920" w:type="dxa"/>
            <w:vAlign w:val="bottom"/>
            <w:vMerge w:val="restart"/>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Number Of</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Additional Paid</w:t>
            </w:r>
          </w:p>
        </w:tc>
        <w:tc>
          <w:tcPr>
            <w:tcW w:w="4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Retained</w:t>
            </w:r>
          </w:p>
        </w:tc>
        <w:tc>
          <w:tcPr>
            <w:tcW w:w="400" w:type="dxa"/>
            <w:vAlign w:val="bottom"/>
          </w:tcPr>
          <w:p>
            <w:pPr>
              <w:spacing w:after="0"/>
              <w:rPr>
                <w:sz w:val="12"/>
                <w:szCs w:val="12"/>
                <w:color w:val="auto"/>
              </w:rPr>
            </w:pPr>
          </w:p>
        </w:tc>
        <w:tc>
          <w:tcPr>
            <w:tcW w:w="13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6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1040" w:type="dxa"/>
            <w:vAlign w:val="bottom"/>
            <w:gridSpan w:val="3"/>
          </w:tcPr>
          <w:p>
            <w:pPr>
              <w:jc w:val="center"/>
              <w:ind w:right="360"/>
              <w:spacing w:after="0" w:line="148" w:lineRule="exact"/>
              <w:rPr>
                <w:sz w:val="20"/>
                <w:szCs w:val="20"/>
                <w:color w:val="auto"/>
              </w:rPr>
            </w:pPr>
            <w:r>
              <w:rPr>
                <w:rFonts w:ascii="Arial" w:cs="Arial" w:eastAsia="Arial" w:hAnsi="Arial"/>
                <w:sz w:val="14"/>
                <w:szCs w:val="14"/>
                <w:b w:val="1"/>
                <w:bCs w:val="1"/>
                <w:color w:val="auto"/>
                <w:w w:val="85"/>
              </w:rPr>
              <w:t>Shares</w:t>
            </w:r>
          </w:p>
        </w:tc>
        <w:tc>
          <w:tcPr>
            <w:tcW w:w="7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5"/>
              <w:spacing w:after="0" w:line="148" w:lineRule="exact"/>
              <w:rPr>
                <w:sz w:val="20"/>
                <w:szCs w:val="20"/>
                <w:color w:val="auto"/>
              </w:rPr>
            </w:pPr>
            <w:r>
              <w:rPr>
                <w:rFonts w:ascii="Arial" w:cs="Arial" w:eastAsia="Arial" w:hAnsi="Arial"/>
                <w:sz w:val="14"/>
                <w:szCs w:val="14"/>
                <w:b w:val="1"/>
                <w:bCs w:val="1"/>
                <w:color w:val="auto"/>
                <w:w w:val="95"/>
              </w:rPr>
              <w:t>in Capital</w:t>
            </w:r>
          </w:p>
        </w:tc>
        <w:tc>
          <w:tcPr>
            <w:tcW w:w="400" w:type="dxa"/>
            <w:vAlign w:val="bottom"/>
          </w:tcPr>
          <w:p>
            <w:pPr>
              <w:spacing w:after="0"/>
              <w:rPr>
                <w:sz w:val="14"/>
                <w:szCs w:val="14"/>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0"/>
              </w:rPr>
              <w:t>Earnings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5"/>
              </w:rPr>
              <w:t>Income</w:t>
            </w:r>
          </w:p>
        </w:tc>
        <w:tc>
          <w:tcPr>
            <w:tcW w:w="80" w:type="dxa"/>
            <w:vAlign w:val="bottom"/>
          </w:tcPr>
          <w:p>
            <w:pPr>
              <w:spacing w:after="0"/>
              <w:rPr>
                <w:sz w:val="14"/>
                <w:szCs w:val="14"/>
                <w:color w:val="auto"/>
              </w:rPr>
            </w:pPr>
          </w:p>
        </w:tc>
        <w:tc>
          <w:tcPr>
            <w:tcW w:w="68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16,949</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6"/>
              </w:rPr>
              <w:t>169</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55,071</w:t>
            </w: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$27,612</w:t>
            </w: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16,824</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99,676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440"/>
              <w:spacing w:after="0"/>
              <w:rPr>
                <w:sz w:val="20"/>
                <w:szCs w:val="20"/>
                <w:color w:val="auto"/>
              </w:rPr>
            </w:pPr>
            <w:r>
              <w:rPr>
                <w:rFonts w:ascii="Arial" w:cs="Arial" w:eastAsia="Arial" w:hAnsi="Arial"/>
                <w:sz w:val="18"/>
                <w:szCs w:val="18"/>
                <w:color w:val="auto"/>
              </w:rPr>
              <w:t>Net income</w:t>
            </w:r>
          </w:p>
        </w:tc>
        <w:tc>
          <w:tcPr>
            <w:tcW w:w="10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5,909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 option expense</w:t>
            </w:r>
          </w:p>
        </w:tc>
        <w:tc>
          <w:tcPr>
            <w:tcW w:w="10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440"/>
              <w:spacing w:after="0"/>
              <w:rPr>
                <w:sz w:val="20"/>
                <w:szCs w:val="20"/>
                <w:color w:val="auto"/>
              </w:rPr>
            </w:pPr>
            <w:r>
              <w:rPr>
                <w:rFonts w:ascii="Arial" w:cs="Arial" w:eastAsia="Arial" w:hAnsi="Arial"/>
                <w:sz w:val="18"/>
                <w:szCs w:val="18"/>
                <w:color w:val="auto"/>
              </w:rPr>
              <w:t>Restricted stock expense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Foreign currency translation gain</w:t>
            </w: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gridSpan w:val="2"/>
          </w:tcPr>
          <w:p>
            <w:pPr>
              <w:spacing w:after="0"/>
              <w:rPr>
                <w:sz w:val="20"/>
                <w:szCs w:val="20"/>
                <w:color w:val="auto"/>
              </w:rPr>
            </w:pPr>
            <w:r>
              <w:rPr>
                <w:rFonts w:ascii="Arial" w:cs="Arial" w:eastAsia="Arial" w:hAnsi="Arial"/>
                <w:sz w:val="18"/>
                <w:szCs w:val="18"/>
                <w:color w:val="auto"/>
              </w:rPr>
              <w:t>Balance, March 31, 2012</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17,024</w:t>
            </w:r>
          </w:p>
        </w:tc>
        <w:tc>
          <w:tcPr>
            <w:tcW w:w="3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169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55,429</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33,521</w:t>
            </w:r>
          </w:p>
        </w:tc>
        <w:tc>
          <w:tcPr>
            <w:tcW w:w="56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20,218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74"/>
        </w:trPr>
        <w:tc>
          <w:tcPr>
            <w:tcW w:w="966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80" w:type="dxa"/>
            <w:vAlign w:val="bottom"/>
          </w:tcPr>
          <w:p>
            <w:pPr>
              <w:spacing w:after="0"/>
              <w:rPr>
                <w:sz w:val="15"/>
                <w:szCs w:val="15"/>
                <w:color w:val="auto"/>
              </w:rPr>
            </w:pPr>
          </w:p>
        </w:tc>
        <w:tc>
          <w:tcPr>
            <w:tcW w:w="16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9"/>
        </w:trPr>
        <w:tc>
          <w:tcPr>
            <w:tcW w:w="96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4"/>
              <w:spacing w:after="0" w:line="149"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8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6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Operating Activities:</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5,909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used by operating activities: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86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Gain on disposal of assets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860"/>
              <w:spacing w:after="0"/>
              <w:rPr>
                <w:sz w:val="20"/>
                <w:szCs w:val="20"/>
                <w:color w:val="auto"/>
              </w:rPr>
            </w:pPr>
            <w:r>
              <w:rPr>
                <w:rFonts w:ascii="Arial" w:cs="Arial" w:eastAsia="Arial" w:hAnsi="Arial"/>
                <w:sz w:val="18"/>
                <w:szCs w:val="18"/>
                <w:color w:val="auto"/>
              </w:rPr>
              <w:t>Non-cash gain from deconsolidation of bankrupt subsidiary</w:t>
            </w: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860"/>
              <w:spacing w:after="0"/>
              <w:rPr>
                <w:sz w:val="20"/>
                <w:szCs w:val="20"/>
                <w:color w:val="auto"/>
              </w:rPr>
            </w:pPr>
            <w:r>
              <w:rPr>
                <w:rFonts w:ascii="Arial" w:cs="Arial" w:eastAsia="Arial" w:hAnsi="Arial"/>
                <w:sz w:val="18"/>
                <w:szCs w:val="18"/>
                <w:color w:val="auto"/>
              </w:rPr>
              <w:t>Change in value of long-term note receivable</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128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(8,726)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128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(5,621)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Other assets and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180" w:type="dxa"/>
            <w:vAlign w:val="bottom"/>
            <w:vMerge w:val="restart"/>
          </w:tcPr>
          <w:p>
            <w:pPr>
              <w:ind w:left="260"/>
              <w:spacing w:after="0"/>
              <w:rPr>
                <w:sz w:val="20"/>
                <w:szCs w:val="20"/>
                <w:color w:val="auto"/>
              </w:rPr>
            </w:pPr>
            <w:r>
              <w:rPr>
                <w:rFonts w:ascii="Arial" w:cs="Arial" w:eastAsia="Arial" w:hAnsi="Arial"/>
                <w:sz w:val="18"/>
                <w:szCs w:val="18"/>
                <w:color w:val="auto"/>
              </w:rPr>
              <w:t>Net cash used by operating activities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(1,148)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420"/>
              <w:spacing w:after="0"/>
              <w:rPr>
                <w:sz w:val="20"/>
                <w:szCs w:val="20"/>
                <w:color w:val="auto"/>
              </w:rPr>
            </w:pPr>
            <w:r>
              <w:rPr>
                <w:rFonts w:ascii="Arial" w:cs="Arial" w:eastAsia="Arial" w:hAnsi="Arial"/>
                <w:sz w:val="18"/>
                <w:szCs w:val="18"/>
                <w:color w:val="auto"/>
              </w:rPr>
              <w:t>Acquisition of property, plant and equipment</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(4,079)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lost on deconsolidation of Eltmann subsidiary</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420"/>
              <w:spacing w:after="0"/>
              <w:rPr>
                <w:sz w:val="20"/>
                <w:szCs w:val="20"/>
                <w:color w:val="auto"/>
              </w:rPr>
            </w:pPr>
            <w:r>
              <w:rPr>
                <w:rFonts w:ascii="Arial" w:cs="Arial" w:eastAsia="Arial" w:hAnsi="Arial"/>
                <w:sz w:val="18"/>
                <w:szCs w:val="18"/>
                <w:color w:val="auto"/>
              </w:rPr>
              <w:t>Proceeds received from long-term note receivable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disposals of property, plant and equipment</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180" w:type="dxa"/>
            <w:vAlign w:val="bottom"/>
          </w:tcPr>
          <w:p>
            <w:pPr>
              <w:ind w:left="260"/>
              <w:spacing w:after="0"/>
              <w:rPr>
                <w:sz w:val="20"/>
                <w:szCs w:val="20"/>
                <w:color w:val="auto"/>
              </w:rPr>
            </w:pPr>
            <w:r>
              <w:rPr>
                <w:rFonts w:ascii="Arial" w:cs="Arial" w:eastAsia="Arial" w:hAnsi="Arial"/>
                <w:sz w:val="18"/>
                <w:szCs w:val="18"/>
                <w:color w:val="auto"/>
              </w:rPr>
              <w:t>Net cash used by investing activities</w:t>
            </w:r>
          </w:p>
        </w:tc>
        <w:tc>
          <w:tcPr>
            <w:tcW w:w="8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(1,779)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420"/>
              <w:spacing w:after="0"/>
              <w:rPr>
                <w:sz w:val="20"/>
                <w:szCs w:val="20"/>
                <w:color w:val="auto"/>
              </w:rPr>
            </w:pPr>
            <w:r>
              <w:rPr>
                <w:rFonts w:ascii="Arial" w:cs="Arial" w:eastAsia="Arial" w:hAnsi="Arial"/>
                <w:sz w:val="18"/>
                <w:szCs w:val="18"/>
                <w:color w:val="auto"/>
              </w:rPr>
              <w:t>Proceeds (repayment) of short-term debt</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payment on capital lease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420"/>
              <w:spacing w:after="0"/>
              <w:rPr>
                <w:sz w:val="20"/>
                <w:szCs w:val="20"/>
                <w:color w:val="auto"/>
              </w:rPr>
            </w:pPr>
            <w:r>
              <w:rPr>
                <w:rFonts w:ascii="Arial" w:cs="Arial" w:eastAsia="Arial" w:hAnsi="Arial"/>
                <w:sz w:val="18"/>
                <w:szCs w:val="18"/>
                <w:color w:val="auto"/>
              </w:rPr>
              <w:t>Proceeds from long term debt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stock</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gridSpan w:val="2"/>
          </w:tcPr>
          <w:p>
            <w:pPr>
              <w:ind w:left="420"/>
              <w:spacing w:after="0"/>
              <w:rPr>
                <w:sz w:val="20"/>
                <w:szCs w:val="20"/>
                <w:color w:val="auto"/>
              </w:rPr>
            </w:pPr>
            <w:r>
              <w:rPr>
                <w:rFonts w:ascii="Arial" w:cs="Arial" w:eastAsia="Arial" w:hAnsi="Arial"/>
                <w:sz w:val="18"/>
                <w:szCs w:val="18"/>
                <w:color w:val="auto"/>
              </w:rPr>
              <w:t>Debt issuance costs paid</w:t>
            </w:r>
          </w:p>
        </w:tc>
        <w:tc>
          <w:tcPr>
            <w:tcW w:w="80" w:type="dxa"/>
            <w:vAlign w:val="bottom"/>
          </w:tcPr>
          <w:p>
            <w:pPr>
              <w:spacing w:after="0"/>
              <w:rPr>
                <w:sz w:val="19"/>
                <w:szCs w:val="19"/>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60" w:type="dxa"/>
            <w:vAlign w:val="bottom"/>
            <w:gridSpan w:val="3"/>
          </w:tcPr>
          <w:p>
            <w:pPr>
              <w:spacing w:after="0"/>
              <w:rPr>
                <w:sz w:val="20"/>
                <w:szCs w:val="20"/>
                <w:color w:val="auto"/>
              </w:rPr>
            </w:pPr>
            <w:r>
              <w:rPr>
                <w:rFonts w:ascii="Arial" w:cs="Arial" w:eastAsia="Arial" w:hAnsi="Arial"/>
                <w:sz w:val="18"/>
                <w:szCs w:val="18"/>
                <w:color w:val="auto"/>
              </w:rPr>
              <w:t>Effect of exchange rate changes on cash flows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8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gridSpan w:val="2"/>
          </w:tcPr>
          <w:p>
            <w:pPr>
              <w:spacing w:after="0"/>
              <w:rPr>
                <w:sz w:val="20"/>
                <w:szCs w:val="20"/>
                <w:color w:val="auto"/>
              </w:rPr>
            </w:pPr>
            <w:r>
              <w:rPr>
                <w:rFonts w:ascii="Arial" w:cs="Arial" w:eastAsia="Arial" w:hAnsi="Arial"/>
                <w:sz w:val="18"/>
                <w:szCs w:val="18"/>
                <w:b w:val="1"/>
                <w:bCs w:val="1"/>
                <w:color w:val="auto"/>
              </w:rPr>
              <w:t>Cash at Beginning of Period</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11,807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Certain amounts were deconsolidated from the Balance Sheet of NN due to the bankruptcy of a subsidiary on January 20, 2011 and are not reflected in the 2011 cash flow statement above (See Note 1 of Notes to Condensed Consolidated Financial Statements)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Interim Financial Statements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accompanying condensed consolidated financial statements of NN, Inc. have not been audited, except that the balance sheet at December 31, 2011 was derived from our audited consolidated financial statements. In our opinion, the financial statements reflect all adjustments necessary to fairly state the results of operations for the three month periods ended March 31, 2012 and 2011, our financial position at March 31, 2012 and December 31, 2011, and the cash flows for the three month periods ended March 31, 2012 and 2011.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Certain information and footnote disclosures normally included in the consolidated financial statements prepared in accordance with generally accepted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accounting principles have been condensed or omitted from the interim financial statements presented in this Quarterly Report on Form 10-Q. These unaudited,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condensed and consolidated financial statements should be read in conjunction with our audited consolidated financial statements and the notes thereto included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our most recent annual report on Form 10-K for the year ended December 31, 2011 which we filed with the Securities and Exchange Commission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15, 2012. The results for the three month period ended March 31, 2012 are not necessarily indicative of results for the year ending December 31, 2012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other future periods.</w:t>
      </w:r>
    </w:p>
    <w:p>
      <w:pPr>
        <w:spacing w:after="0" w:line="16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Due to the impacts of the global economic recession and the resulting reduction in revenue and operating losses, our wholly owned German subsidiary, Kugelfertigung Eltmann GbmH (“Eltmann” or “Eltmann Plant”), sustained a significant weakening of its financial condition. As a result, it became insolvent at which point it was required to file for bankruptcy under German bankruptcy law. The filing was made in the bankruptcy court in Germany on January 20, 2011. As of that date, NN lost the ability to control or manage Eltmann as a result of the bankruptcy court trustee taking over effective control and day to day management of this subsidiary. As a result of loss of control of this subsidiary, NN deconsolidated the assets and liabilities of Eltmann from our Consolidated Financial Statements effective January 20, 2011.</w:t>
      </w:r>
    </w:p>
    <w:p>
      <w:pPr>
        <w:spacing w:after="0" w:line="14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We were informed in early April 2011, that the bankruptcy trustee had sold the majority of the production assets of Eltmann to a non-affiliated manufacturing company. It is our understanding the remaining assets and liabilities of Eltmann will be liquidated sometime in the future by the bankruptcy court. NN does not expect any further significant impact on our consolidated financial statements as a result of the liquidation of this subsidiary.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920" w:type="dxa"/>
            <w:vAlign w:val="bottom"/>
            <w:gridSpan w:val="2"/>
          </w:tcPr>
          <w:p>
            <w:pPr>
              <w:spacing w:after="0"/>
              <w:rPr>
                <w:sz w:val="20"/>
                <w:szCs w:val="20"/>
                <w:color w:val="auto"/>
              </w:rPr>
            </w:pPr>
            <w:r>
              <w:rPr>
                <w:rFonts w:ascii="Arial" w:cs="Arial" w:eastAsia="Arial" w:hAnsi="Arial"/>
                <w:sz w:val="18"/>
                <w:szCs w:val="18"/>
                <w:color w:val="auto"/>
                <w:w w:val="91"/>
              </w:rPr>
              <w:t>The following table summarizes the effects of the deconsolidation of Eltmann originally reported in the first quarter of 2011: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4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(3,388)</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(2,407)</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(1,343)</w:t>
            </w: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ind w:left="1840"/>
              <w:spacing w:after="0"/>
              <w:rPr>
                <w:sz w:val="20"/>
                <w:szCs w:val="20"/>
                <w:color w:val="auto"/>
              </w:rPr>
            </w:pPr>
            <w:r>
              <w:rPr>
                <w:rFonts w:ascii="Arial" w:cs="Arial" w:eastAsia="Arial" w:hAnsi="Arial"/>
                <w:sz w:val="18"/>
                <w:szCs w:val="18"/>
                <w:color w:val="auto"/>
              </w:rPr>
              <w:t>Reduction of total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2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(8,310)</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84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(1,947)</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Accrued salaries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(5,623)</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Reduction of total liabilities and stockholders’ equity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(8,519)</w:t>
            </w: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ind w:left="1840"/>
              <w:spacing w:after="0"/>
              <w:rPr>
                <w:sz w:val="20"/>
                <w:szCs w:val="20"/>
                <w:color w:val="auto"/>
              </w:rPr>
            </w:pPr>
            <w:r>
              <w:rPr>
                <w:rFonts w:ascii="Arial" w:cs="Arial" w:eastAsia="Arial" w:hAnsi="Arial"/>
                <w:sz w:val="18"/>
                <w:szCs w:val="18"/>
                <w:color w:val="auto"/>
              </w:rPr>
              <w:t>Gain from deconsolidation of bankrupt subsidiary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20" w:type="dxa"/>
            <w:vAlign w:val="bottom"/>
            <w:gridSpan w:val="2"/>
            <w:vMerge w:val="continue"/>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amounts above are reflected in the comparative first quarter 2011 financial statements. During the fourth quarter of 2011, we determined it was more likely than not we would potentially owe an additional $209 in payables related to the Eltmann bankruptcy. As such, we accrued for these potential payables during the fourth quarter of 2011 and as a result have now realized a zero gain on deconsolidation.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Long Term Notes Receivable</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Certain property, plant and equipment of the Tempe Plant was sold on August 31, 2010, the day the Tempe Plant ceased operations, to a newly formed company not affiliated with NN in exchange for a promissory note. This note had an original face value of $2,500, a 60 month term, a 7% interest rate, interest only payments for 24 months, principal and interest payments totaling $40 per month for the next 36 months followed by a balloon payment of $1,525. On March 31, 2012, we accepted a $1,945 cash payment to settle the note and relieved the debtor of all future liability for the note. The estimated fair value and carrying value of note prior to the payment was $1,772.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stated at the lower of cost or market. Cost is determined using the first-in, first-out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3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March 31,</w:t>
            </w:r>
          </w:p>
        </w:tc>
        <w:tc>
          <w:tcPr>
            <w:tcW w:w="12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4080" w:type="dxa"/>
            <w:vAlign w:val="bottom"/>
          </w:tcPr>
          <w:p>
            <w:pPr>
              <w:spacing w:after="0"/>
              <w:rPr>
                <w:sz w:val="14"/>
                <w:szCs w:val="14"/>
                <w:color w:val="auto"/>
              </w:rPr>
            </w:pPr>
          </w:p>
        </w:tc>
        <w:tc>
          <w:tcPr>
            <w:tcW w:w="30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r>
      <w:tr>
        <w:trPr>
          <w:trHeight w:val="210"/>
        </w:trPr>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$ 13,591</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Work in process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9,114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8,425</w:t>
            </w:r>
          </w:p>
        </w:tc>
        <w:tc>
          <w:tcPr>
            <w:tcW w:w="12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24,573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24,724</w:t>
            </w:r>
          </w:p>
        </w:tc>
        <w:tc>
          <w:tcPr>
            <w:tcW w:w="12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Less inventory reserves</w:t>
            </w:r>
          </w:p>
        </w:tc>
        <w:tc>
          <w:tcPr>
            <w:tcW w:w="24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(1,257)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(981)</w:t>
            </w:r>
          </w:p>
        </w:tc>
      </w:tr>
      <w:tr>
        <w:trPr>
          <w:trHeight w:val="27"/>
        </w:trPr>
        <w:tc>
          <w:tcPr>
            <w:tcW w:w="40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0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$ 46,021</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46,023</w:t>
            </w:r>
          </w:p>
        </w:tc>
        <w:tc>
          <w:tcPr>
            <w:tcW w:w="120" w:type="dxa"/>
            <w:vAlign w:val="bottom"/>
            <w:shd w:val="clear" w:color="auto" w:fill="CCEEFF"/>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Inventories on consignment at customer locations as of March 31, 2012 and December 31, 2011 totaled $3,895 and $4,156, respectively.</w:t>
      </w:r>
    </w:p>
    <w:p>
      <w:pPr>
        <w:spacing w:after="0" w:line="171"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Per Share</w:t>
      </w:r>
    </w:p>
    <w:p>
      <w:pPr>
        <w:spacing w:after="0" w:line="9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Excluded from the dilutive shares outstanding for the three month period ended March 31, 2012 were 1,201 anti-dilutive options which had exercise prices ranging from $8.86 to $14.13. There were no anti-dilutive options excluded from the dilutive shares outstanding for the three month period ended March 31,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Information</w:t>
      </w:r>
    </w:p>
    <w:p>
      <w:pPr>
        <w:spacing w:after="0" w:line="9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 segment information and the accounting policies of each segment are the same as those described in the notes to the consolidated financial statements entitled “Segment Information” and “Summary of Significant Accounting Policies and Practices,” respectively, included in our annual report on Form 10-K for the fiscal year ended December 31, 2011. We evaluate segment performance based on segment net income or loss after income taxes. We account for inter-segment sales and transfers at current market prices. We did not have any significant inter-segment transactions during the three month periods ended March 31, 2012 and 2011.</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Precision</w:t>
            </w: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3"/>
              </w:rPr>
              <w:t>Plastic and</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Metal Bearing</w:t>
            </w:r>
          </w:p>
        </w:tc>
        <w:tc>
          <w:tcPr>
            <w:tcW w:w="10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Metal</w:t>
            </w:r>
          </w:p>
        </w:tc>
        <w:tc>
          <w:tcPr>
            <w:tcW w:w="100" w:type="dxa"/>
            <w:vAlign w:val="bottom"/>
          </w:tcPr>
          <w:p>
            <w:pPr>
              <w:spacing w:after="0"/>
              <w:rPr>
                <w:sz w:val="12"/>
                <w:szCs w:val="12"/>
                <w:color w:val="auto"/>
              </w:rPr>
            </w:pPr>
          </w:p>
        </w:tc>
        <w:tc>
          <w:tcPr>
            <w:tcW w:w="1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Rubber</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gridSpan w:val="5"/>
            <w:vMerge w:val="restart"/>
          </w:tcPr>
          <w:p>
            <w:pPr>
              <w:spacing w:after="0"/>
              <w:rPr>
                <w:sz w:val="20"/>
                <w:szCs w:val="20"/>
                <w:color w:val="auto"/>
              </w:rPr>
            </w:pPr>
            <w:r>
              <w:rPr>
                <w:rFonts w:ascii="Arial" w:cs="Arial" w:eastAsia="Arial" w:hAnsi="Arial"/>
                <w:sz w:val="14"/>
                <w:szCs w:val="14"/>
                <w:color w:val="auto"/>
              </w:rPr>
              <w:t>(In Thousands of Dollars)</w:t>
            </w:r>
          </w:p>
        </w:tc>
        <w:tc>
          <w:tcPr>
            <w:tcW w:w="1360" w:type="dxa"/>
            <w:vAlign w:val="bottom"/>
          </w:tcPr>
          <w:p>
            <w:pPr>
              <w:spacing w:after="0"/>
              <w:rPr>
                <w:sz w:val="12"/>
                <w:szCs w:val="12"/>
                <w:color w:val="auto"/>
              </w:rPr>
            </w:pPr>
          </w:p>
        </w:tc>
        <w:tc>
          <w:tcPr>
            <w:tcW w:w="130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88"/>
              </w:rPr>
              <w:t>Components</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Corporate and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5"/>
            <w:vMerge w:val="continue"/>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87"/>
              </w:rPr>
              <w:t>Segment</w:t>
            </w:r>
          </w:p>
        </w:tc>
        <w:tc>
          <w:tcPr>
            <w:tcW w:w="100" w:type="dxa"/>
            <w:vAlign w:val="bottom"/>
          </w:tcPr>
          <w:p>
            <w:pPr>
              <w:spacing w:after="0"/>
              <w:rPr>
                <w:sz w:val="12"/>
                <w:szCs w:val="12"/>
                <w:color w:val="auto"/>
              </w:rPr>
            </w:pPr>
          </w:p>
        </w:tc>
        <w:tc>
          <w:tcPr>
            <w:tcW w:w="11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4"/>
              </w:rPr>
              <w:t>Segment</w:t>
            </w:r>
          </w:p>
        </w:tc>
        <w:tc>
          <w:tcPr>
            <w:tcW w:w="100" w:type="dxa"/>
            <w:vAlign w:val="bottom"/>
          </w:tcPr>
          <w:p>
            <w:pPr>
              <w:spacing w:after="0"/>
              <w:rPr>
                <w:sz w:val="12"/>
                <w:szCs w:val="12"/>
                <w:color w:val="auto"/>
              </w:rPr>
            </w:pPr>
          </w:p>
        </w:tc>
        <w:tc>
          <w:tcPr>
            <w:tcW w:w="11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4"/>
              </w:rPr>
              <w:t>Segment</w:t>
            </w:r>
          </w:p>
        </w:tc>
        <w:tc>
          <w:tcPr>
            <w:tcW w:w="11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Consolidations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2760" w:type="dxa"/>
            <w:vAlign w:val="bottom"/>
            <w:tcBorders>
              <w:bottom w:val="single" w:sz="8" w:color="auto"/>
            </w:tcBorders>
            <w:gridSpan w:val="3"/>
            <w:shd w:val="clear" w:color="auto" w:fill="CCEEFF"/>
          </w:tcPr>
          <w:p>
            <w:pPr>
              <w:spacing w:after="0" w:line="149" w:lineRule="exact"/>
              <w:rPr>
                <w:sz w:val="20"/>
                <w:szCs w:val="20"/>
                <w:color w:val="auto"/>
              </w:rPr>
            </w:pPr>
            <w:r>
              <w:rPr>
                <w:rFonts w:ascii="Arial" w:cs="Arial" w:eastAsia="Arial" w:hAnsi="Arial"/>
                <w:sz w:val="16"/>
                <w:szCs w:val="16"/>
                <w:b w:val="1"/>
                <w:bCs w:val="1"/>
                <w:color w:val="auto"/>
                <w:w w:val="99"/>
              </w:rPr>
              <w:t>Three Months ended March 31, 2012</w:t>
            </w:r>
          </w:p>
        </w:tc>
        <w:tc>
          <w:tcPr>
            <w:tcW w:w="136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Revenues from external customers</w:t>
            </w:r>
          </w:p>
        </w:tc>
        <w:tc>
          <w:tcPr>
            <w:tcW w:w="15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72,130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21,312</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11,077</w:t>
            </w:r>
          </w:p>
        </w:tc>
        <w:tc>
          <w:tcPr>
            <w:tcW w:w="4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104,519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15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40" w:type="dxa"/>
            <w:vAlign w:val="bottom"/>
            <w:gridSpan w:val="5"/>
          </w:tcPr>
          <w:p>
            <w:pPr>
              <w:spacing w:after="0"/>
              <w:rPr>
                <w:sz w:val="20"/>
                <w:szCs w:val="20"/>
                <w:color w:val="auto"/>
              </w:rPr>
            </w:pPr>
            <w:r>
              <w:rPr>
                <w:rFonts w:ascii="Arial" w:cs="Arial" w:eastAsia="Arial" w:hAnsi="Arial"/>
                <w:sz w:val="18"/>
                <w:szCs w:val="18"/>
                <w:color w:val="auto"/>
              </w:rPr>
              <w:t>Total assets</w:t>
            </w:r>
          </w:p>
        </w:tc>
        <w:tc>
          <w:tcPr>
            <w:tcW w:w="15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205,572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43,761</w:t>
            </w:r>
          </w:p>
        </w:tc>
        <w:tc>
          <w:tcPr>
            <w:tcW w:w="4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21,254</w:t>
            </w:r>
          </w:p>
        </w:tc>
        <w:tc>
          <w:tcPr>
            <w:tcW w:w="4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3,627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274,214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Three Months ended March 31, 2011</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Revenues from external customers</w:t>
            </w:r>
          </w:p>
        </w:tc>
        <w:tc>
          <w:tcPr>
            <w:tcW w:w="1380" w:type="dxa"/>
            <w:vAlign w:val="bottom"/>
            <w:tcBorders>
              <w:top w:val="single" w:sz="8" w:color="CCEEFF"/>
            </w:tcBorders>
            <w:gridSpan w:val="2"/>
          </w:tcPr>
          <w:p>
            <w:pPr>
              <w:spacing w:after="0"/>
              <w:rPr>
                <w:sz w:val="19"/>
                <w:szCs w:val="19"/>
                <w:color w:val="auto"/>
              </w:rPr>
            </w:pPr>
          </w:p>
        </w:tc>
        <w:tc>
          <w:tcPr>
            <w:tcW w:w="1500" w:type="dxa"/>
            <w:vAlign w:val="bottom"/>
            <w:tcBorders>
              <w:top w:val="single" w:sz="8" w:color="CCEEFF"/>
            </w:tcBorders>
            <w:gridSpan w:val="2"/>
          </w:tcPr>
          <w:p>
            <w:pPr>
              <w:ind w:left="136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gridSpan w:val="2"/>
          </w:tcPr>
          <w:p>
            <w:pPr>
              <w:jc w:val="right"/>
              <w:ind w:right="460"/>
              <w:spacing w:after="0"/>
              <w:rPr>
                <w:sz w:val="20"/>
                <w:szCs w:val="20"/>
                <w:color w:val="auto"/>
              </w:rPr>
            </w:pPr>
            <w:r>
              <w:rPr>
                <w:rFonts w:ascii="Arial" w:cs="Arial" w:eastAsia="Arial" w:hAnsi="Arial"/>
                <w:sz w:val="18"/>
                <w:szCs w:val="18"/>
                <w:color w:val="auto"/>
              </w:rPr>
              <w:t>83,782</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16,402</w:t>
            </w:r>
          </w:p>
        </w:tc>
        <w:tc>
          <w:tcPr>
            <w:tcW w:w="4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11,123</w:t>
            </w: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w w:val="86"/>
              </w:rPr>
              <w:t>111,307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15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40" w:type="dxa"/>
            <w:vAlign w:val="bottom"/>
            <w:gridSpan w:val="5"/>
          </w:tcPr>
          <w:p>
            <w:pPr>
              <w:spacing w:after="0"/>
              <w:rPr>
                <w:sz w:val="20"/>
                <w:szCs w:val="20"/>
                <w:color w:val="auto"/>
              </w:rPr>
            </w:pPr>
            <w:r>
              <w:rPr>
                <w:rFonts w:ascii="Arial" w:cs="Arial" w:eastAsia="Arial" w:hAnsi="Arial"/>
                <w:sz w:val="18"/>
                <w:szCs w:val="18"/>
                <w:color w:val="auto"/>
              </w:rPr>
              <w:t>Total assets</w:t>
            </w:r>
          </w:p>
        </w:tc>
        <w:tc>
          <w:tcPr>
            <w:tcW w:w="15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206,778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40,751</w:t>
            </w:r>
          </w:p>
        </w:tc>
        <w:tc>
          <w:tcPr>
            <w:tcW w:w="4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20,471</w:t>
            </w:r>
          </w:p>
        </w:tc>
        <w:tc>
          <w:tcPr>
            <w:tcW w:w="4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5,173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273,173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Pensions</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Effective January 20, 2011, the defined benefit pension plan covering the employees at our Eltmann Plant came under the control of the bankruptcy trustee and has been or will be taken over by the German government’s pension security fund. The plan is no longer a responsibility of NN, resulting in a reduction of Accrued pension liabilities of $5,623 on January 20, 2011. We have no remaining pension obligations. (See Note 1 of the Notes to Condensed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Indemnity</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Italian law, we have an unfunded severance plan covering our Pinerolo Plant employees under which all employees at that location are entitled to receive severance indemnities upon termination of their employment. The table below summarizes the changes to the severance indemnity, included in Other non-current liabilities, for the three month periods ended March 31, 2012 and 2011:</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7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rPr>
                <w:sz w:val="20"/>
                <w:szCs w:val="20"/>
                <w:color w:val="auto"/>
              </w:rPr>
            </w:pPr>
            <w:r>
              <w:rPr>
                <w:rFonts w:ascii="Arial" w:cs="Arial" w:eastAsia="Arial" w:hAnsi="Arial"/>
                <w:sz w:val="14"/>
                <w:szCs w:val="14"/>
                <w:color w:val="auto"/>
                <w:w w:val="92"/>
              </w:rPr>
              <w:t>(In Thousands of Dollars)</w:t>
            </w:r>
          </w:p>
        </w:tc>
        <w:tc>
          <w:tcPr>
            <w:tcW w:w="2040" w:type="dxa"/>
            <w:vAlign w:val="bottom"/>
            <w:vMerge w:val="restart"/>
          </w:tcPr>
          <w:p>
            <w:pPr>
              <w:spacing w:after="0"/>
              <w:rPr>
                <w:sz w:val="14"/>
                <w:szCs w:val="14"/>
                <w:color w:val="auto"/>
              </w:rPr>
            </w:pPr>
          </w:p>
        </w:tc>
        <w:tc>
          <w:tcPr>
            <w:tcW w:w="3420" w:type="dxa"/>
            <w:vAlign w:val="bottom"/>
          </w:tcPr>
          <w:p>
            <w:pPr>
              <w:spacing w:after="0"/>
              <w:rPr>
                <w:sz w:val="14"/>
                <w:szCs w:val="14"/>
                <w:color w:val="auto"/>
              </w:rPr>
            </w:pPr>
          </w:p>
        </w:tc>
        <w:tc>
          <w:tcPr>
            <w:tcW w:w="17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9"/>
        </w:trPr>
        <w:tc>
          <w:tcPr>
            <w:tcW w:w="1480" w:type="dxa"/>
            <w:vAlign w:val="bottom"/>
            <w:tcBorders>
              <w:bottom w:val="single" w:sz="8" w:color="auto"/>
            </w:tcBorders>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3420" w:type="dxa"/>
            <w:vAlign w:val="bottom"/>
          </w:tcPr>
          <w:p>
            <w:pPr>
              <w:spacing w:after="0"/>
              <w:rPr>
                <w:sz w:val="12"/>
                <w:szCs w:val="12"/>
                <w:color w:val="auto"/>
              </w:rPr>
            </w:pPr>
          </w:p>
        </w:tc>
        <w:tc>
          <w:tcPr>
            <w:tcW w:w="56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52"/>
              <w:spacing w:after="0" w:line="129"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3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$(6,922)</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2"/>
              </w:rPr>
              <w:t>$ (7,115)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Amounts accrued</w:t>
            </w:r>
          </w:p>
        </w:tc>
        <w:tc>
          <w:tcPr>
            <w:tcW w:w="4260" w:type="dxa"/>
            <w:vAlign w:val="bottom"/>
            <w:gridSpan w:val="3"/>
          </w:tcPr>
          <w:p>
            <w:pPr>
              <w:jc w:val="right"/>
              <w:ind w:right="220"/>
              <w:spacing w:after="0"/>
              <w:rPr>
                <w:sz w:val="20"/>
                <w:szCs w:val="20"/>
                <w:color w:val="auto"/>
              </w:rPr>
            </w:pPr>
            <w:r>
              <w:rPr>
                <w:rFonts w:ascii="Arial" w:cs="Arial" w:eastAsia="Arial" w:hAnsi="Arial"/>
                <w:sz w:val="18"/>
                <w:szCs w:val="18"/>
                <w:color w:val="auto"/>
              </w:rPr>
              <w:t>(313)</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to employees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Payments to government managed plan</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3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8"/>
                <w:szCs w:val="18"/>
                <w:color w:val="auto"/>
              </w:rPr>
              <w:t>Ending balance</w:t>
            </w:r>
          </w:p>
        </w:tc>
        <w:tc>
          <w:tcPr>
            <w:tcW w:w="3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20" w:type="dxa"/>
            <w:vAlign w:val="bottom"/>
            <w:gridSpan w:val="2"/>
            <w:vMerge w:val="continue"/>
          </w:tcPr>
          <w:p>
            <w:pPr>
              <w:spacing w:after="0"/>
              <w:rPr>
                <w:sz w:val="19"/>
                <w:szCs w:val="19"/>
                <w:color w:val="auto"/>
              </w:rPr>
            </w:pPr>
          </w:p>
        </w:tc>
        <w:tc>
          <w:tcPr>
            <w:tcW w:w="34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(7,112)</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(7,658)</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20" w:type="dxa"/>
            <w:vAlign w:val="bottom"/>
            <w:vMerge w:val="restart"/>
          </w:tcPr>
          <w:p>
            <w:pPr>
              <w:jc w:val="right"/>
              <w:ind w:right="2472"/>
              <w:spacing w:after="0"/>
              <w:rPr>
                <w:sz w:val="20"/>
                <w:szCs w:val="20"/>
                <w:color w:val="auto"/>
              </w:rPr>
            </w:pPr>
            <w:r>
              <w:rPr>
                <w:rFonts w:ascii="Arial" w:cs="Arial" w:eastAsia="Arial" w:hAnsi="Arial"/>
                <w:sz w:val="18"/>
                <w:szCs w:val="18"/>
                <w:color w:val="auto"/>
              </w:rPr>
              <w:t>8</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Early Retirement Provisions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two plans that cover our Veenendaal Plant employees. One plan provides an award for employees who achieve 25 or 40 years of service and the other plan is an award for employees upon retirement. These plans are both unfunded and the benefits are based on years of service and rate of compensation at the time the award is paid. The table below summarizes the combined changes in the two plans, included in Other non-current liabilities, during the three month periods ended March 31, 2012 and 2011.</w:t>
      </w:r>
    </w:p>
    <w:p>
      <w:pPr>
        <w:spacing w:after="0" w:line="16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rPr>
                <w:sz w:val="20"/>
                <w:szCs w:val="20"/>
                <w:color w:val="auto"/>
              </w:rPr>
            </w:pPr>
            <w:r>
              <w:rPr>
                <w:rFonts w:ascii="Arial" w:cs="Arial" w:eastAsia="Arial" w:hAnsi="Arial"/>
                <w:sz w:val="14"/>
                <w:szCs w:val="14"/>
                <w:color w:val="auto"/>
                <w:w w:val="92"/>
              </w:rPr>
              <w:t>(In Thousands of Dollars)</w:t>
            </w:r>
          </w:p>
        </w:tc>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tcBorders>
              <w:bottom w:val="single" w:sz="8" w:color="auto"/>
            </w:tcBorders>
            <w:vMerge w:val="continue"/>
          </w:tcPr>
          <w:p>
            <w:pPr>
              <w:spacing w:after="0"/>
              <w:rPr>
                <w:sz w:val="12"/>
                <w:szCs w:val="12"/>
                <w:color w:val="auto"/>
              </w:rPr>
            </w:pPr>
          </w:p>
        </w:tc>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w w:val="83"/>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8"/>
              </w:rPr>
              <w:t>Beginning balance</w:t>
            </w:r>
          </w:p>
        </w:tc>
        <w:tc>
          <w:tcPr>
            <w:tcW w:w="552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(783)</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(749)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Service cost</w:t>
            </w:r>
          </w:p>
        </w:tc>
        <w:tc>
          <w:tcPr>
            <w:tcW w:w="5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5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Benefits paid</w:t>
            </w:r>
          </w:p>
        </w:tc>
        <w:tc>
          <w:tcPr>
            <w:tcW w:w="5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5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480" w:type="dxa"/>
            <w:vAlign w:val="bottom"/>
            <w:vMerge w:val="continue"/>
          </w:tcPr>
          <w:p>
            <w:pPr>
              <w:spacing w:after="0"/>
              <w:rPr>
                <w:sz w:val="19"/>
                <w:szCs w:val="19"/>
                <w:color w:val="auto"/>
              </w:rPr>
            </w:pPr>
          </w:p>
        </w:tc>
        <w:tc>
          <w:tcPr>
            <w:tcW w:w="5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(829)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New Accounting Pronouncements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June 2011, the FASB issued amended accounting guidance related to presentation of comprehensive income. The standards update is intended to help financial statement users better understand the causes of an entity’s change in financial position and results of operation. It is effective for reporting periods beginning after December 15, 2011. We adopted this guidance during the first quarter of 2012. Since this new guidance affected disclosure requirements only, it did not have a material impact on our financial position or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 and Short-Term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short-term debt at March 31, 2012 and December 31, 2011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9300" w:type="dxa"/>
            <w:vAlign w:val="bottom"/>
          </w:tcPr>
          <w:p>
            <w:pPr>
              <w:spacing w:after="0"/>
              <w:rPr>
                <w:sz w:val="14"/>
                <w:szCs w:val="14"/>
                <w:color w:val="auto"/>
              </w:rPr>
            </w:pPr>
          </w:p>
        </w:tc>
        <w:tc>
          <w:tcPr>
            <w:tcW w:w="8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3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3"/>
              </w:rPr>
              <w:t>Borrowings under our $100,000 revolving credit facility bearing interest at a floating rate equal to LIBOR (0.25% at March 31,</w:t>
            </w:r>
          </w:p>
        </w:tc>
        <w:tc>
          <w:tcPr>
            <w:tcW w:w="2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9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2012) plus an applicable margin of 2.75% (at March 31 2012), expiring December 21, 2014.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$ 50,200</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300" w:type="dxa"/>
            <w:vAlign w:val="bottom"/>
          </w:tcPr>
          <w:p>
            <w:pPr>
              <w:spacing w:after="0"/>
              <w:rPr>
                <w:sz w:val="20"/>
                <w:szCs w:val="20"/>
                <w:color w:val="auto"/>
              </w:rPr>
            </w:pPr>
            <w:r>
              <w:rPr>
                <w:rFonts w:ascii="Arial" w:cs="Arial" w:eastAsia="Arial" w:hAnsi="Arial"/>
                <w:sz w:val="18"/>
                <w:szCs w:val="18"/>
                <w:color w:val="auto"/>
                <w:w w:val="92"/>
              </w:rPr>
              <w:t>Borrowings under our $40,000 aggregate principal amount of fixed rate notes bearing interest at a fixed rate of 5.39% maturing</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00" w:type="dxa"/>
            <w:vAlign w:val="bottom"/>
          </w:tcPr>
          <w:p>
            <w:pPr>
              <w:ind w:left="220"/>
              <w:spacing w:after="0"/>
              <w:rPr>
                <w:sz w:val="20"/>
                <w:szCs w:val="20"/>
                <w:color w:val="auto"/>
              </w:rPr>
            </w:pPr>
            <w:r>
              <w:rPr>
                <w:rFonts w:ascii="Arial" w:cs="Arial" w:eastAsia="Arial" w:hAnsi="Arial"/>
                <w:sz w:val="18"/>
                <w:szCs w:val="18"/>
                <w:color w:val="auto"/>
                <w:w w:val="94"/>
              </w:rPr>
              <w:t>on April 26, 2014. Annual principal payments of $5,714 began on April 26, 2008 and extend through the date of maturity.</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17,143</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w w:val="92"/>
              </w:rPr>
              <w:t>Borrowings under our $20,000 aggregate principal amount of fixed rate notes bearing interest at a fixed rate of 4.64% maturing</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on December 20, 2018. Annual principal payments of $4,000 will begin on December 22, 2014 and extend through the date of</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maturity.</w:t>
            </w:r>
          </w:p>
        </w:tc>
        <w:tc>
          <w:tcPr>
            <w:tcW w:w="2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4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300" w:type="dxa"/>
            <w:vAlign w:val="bottom"/>
          </w:tcPr>
          <w:p>
            <w:pPr>
              <w:ind w:left="440"/>
              <w:spacing w:after="0"/>
              <w:rPr>
                <w:sz w:val="20"/>
                <w:szCs w:val="20"/>
                <w:color w:val="auto"/>
              </w:rPr>
            </w:pPr>
            <w:r>
              <w:rPr>
                <w:rFonts w:ascii="Arial" w:cs="Arial" w:eastAsia="Arial" w:hAnsi="Arial"/>
                <w:sz w:val="18"/>
                <w:szCs w:val="18"/>
                <w:color w:val="auto"/>
              </w:rPr>
              <w:t>Total debt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87,343</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current maturities of long-term debt</w:t>
            </w:r>
          </w:p>
        </w:tc>
        <w:tc>
          <w:tcPr>
            <w:tcW w:w="2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00" w:type="dxa"/>
            <w:vAlign w:val="bottom"/>
          </w:tcPr>
          <w:p>
            <w:pPr>
              <w:ind w:left="440"/>
              <w:spacing w:after="0"/>
              <w:rPr>
                <w:sz w:val="20"/>
                <w:szCs w:val="20"/>
                <w:color w:val="auto"/>
              </w:rPr>
            </w:pPr>
            <w:r>
              <w:rPr>
                <w:rFonts w:ascii="Arial" w:cs="Arial" w:eastAsia="Arial" w:hAnsi="Arial"/>
                <w:sz w:val="18"/>
                <w:szCs w:val="18"/>
                <w:color w:val="auto"/>
              </w:rPr>
              <w:t>Long-term debt, excluding current maturities of long-term debt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$ 81,629</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vMerge w:val="restart"/>
          </w:tcPr>
          <w:p>
            <w:pPr>
              <w:ind w:left="568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On December 20, 2011, we borrowed an additional $20,000 in seven-year fixed rate notes from Prudential Capital at a rate of 4.64%. These notes, which mature on December 20, 2018, are interest-only for the first two years followed by five equal annual principal payments. The proceeds were used to repay existing revolving credit bank debt and to fund growth capital projects. (For additional information on these notes see below).</w:t>
      </w:r>
    </w:p>
    <w:p>
      <w:pPr>
        <w:spacing w:after="0" w:line="10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September 30, 2011, NN amended its $100 million revolving credit agreement agented by KeyBank and its long-term loan agreement with Prudential Capital in order to adjust the fixed charge coverage ratio covenant to better correlate current and expected levels of capital spending and other fixed charges with earnings before taxes, interest and depreciation (EBITDA). The fixed charge coverage ratio was reduced from not less than 1.10 to 1.00 and not less than 1.25 to 1.00 (for quarters ending after September 30, 2011) to “not to be less than 1.00 to 1.00 as of the last day of any fiscal quarter” for the quarters ending September 30, 2011 through September 30, 2012. Starting October 1, 2012, the fixed charge coverage ratio increases to “not to be less than 1.25 to 1.00 as of the last day of any fiscal quarter”. The amendments also provide that we will assure that the total outstanding under the revolving credit agreement shall be at least $10 million less than the total committed amount of $100 million during the period commencing September 30, 2011 and ending on September 30, 2012.</w:t>
      </w:r>
    </w:p>
    <w:p>
      <w:pPr>
        <w:spacing w:after="0" w:line="11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$100 million revolving credit agreement interest rate is LIBOR plus a margin of 2.5% to 3.5% (depending on the level of the ratio of debt to EBITDA). The facility may be expanded upon our request with approval of the lenders by up to $35 million, under the same terms and conditions. The loan agreement contains customary restrictions on, among other things, additional indebtedness, liens on our assets, sales or transfers of assets, investments, restricted payments (including payment of dividends and stock repurchases), issuance of equity securities, and merger, acquisition and other fundamental changes in our business including a “material adverse change” clause, which if triggered would accelerate the maturity of the debt. The facility has a $10 million swing line feature to meet short term cash flow needs. Any borrowings under this swing line are considered short term. Costs associated with entering into the revolving credit facility were capitalized and will be amortized into interest expense over the life of the facility. As of March 31, 2012, $1,609 of net capitalized loan origination costs related to the revolving credit facility were recorded on the balance sheet within other non-current assets.</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original $40,000 fixed rate notes agreement with Prudential Capital has an interest rate of 5.39%, which was reduced from 6.50% on December 20, 2011. The $40,000 and $20,000 fixed rate agreements contain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including a “material adverse change” clause, which if triggered would accelerate the maturity of the debt. We incurred costs as a result of issuing these notes which have been recorded on the balance sheet within other non-current assets and are being amortized over the term of the notes. The unamortized balance at March 31, 2012 was $261.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three month period ended March 31, 2012 are as follows: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 net</w:t>
      </w:r>
    </w:p>
    <w:p>
      <w:pPr>
        <w:spacing w:after="0" w:line="20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640" w:type="dxa"/>
            <w:vAlign w:val="bottom"/>
            <w:gridSpan w:val="4"/>
          </w:tcPr>
          <w:p>
            <w:pPr>
              <w:ind w:left="3700"/>
              <w:spacing w:after="0"/>
              <w:rPr>
                <w:sz w:val="20"/>
                <w:szCs w:val="20"/>
                <w:color w:val="auto"/>
              </w:rPr>
            </w:pPr>
            <w:r>
              <w:rPr>
                <w:rFonts w:ascii="Arial" w:cs="Arial" w:eastAsia="Arial" w:hAnsi="Arial"/>
                <w:sz w:val="14"/>
                <w:szCs w:val="14"/>
                <w:b w:val="1"/>
                <w:bCs w:val="1"/>
                <w:color w:val="auto"/>
              </w:rPr>
              <w:t>Metal Bearing</w:t>
            </w:r>
          </w:p>
        </w:tc>
        <w:tc>
          <w:tcPr>
            <w:tcW w:w="0" w:type="dxa"/>
            <w:vAlign w:val="bottom"/>
          </w:tcPr>
          <w:p>
            <w:pPr>
              <w:spacing w:after="0"/>
              <w:rPr>
                <w:sz w:val="1"/>
                <w:szCs w:val="1"/>
                <w:color w:val="auto"/>
              </w:rPr>
            </w:pPr>
          </w:p>
        </w:tc>
      </w:tr>
      <w:tr>
        <w:trPr>
          <w:trHeight w:val="149"/>
        </w:trPr>
        <w:tc>
          <w:tcPr>
            <w:tcW w:w="312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370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Components</w:t>
            </w:r>
          </w:p>
        </w:tc>
        <w:tc>
          <w:tcPr>
            <w:tcW w:w="0" w:type="dxa"/>
            <w:vAlign w:val="bottom"/>
          </w:tcPr>
          <w:p>
            <w:pPr>
              <w:spacing w:after="0"/>
              <w:rPr>
                <w:sz w:val="1"/>
                <w:szCs w:val="1"/>
                <w:color w:val="auto"/>
              </w:rPr>
            </w:pPr>
          </w:p>
        </w:tc>
      </w:tr>
      <w:tr>
        <w:trPr>
          <w:trHeight w:val="148"/>
        </w:trPr>
        <w:tc>
          <w:tcPr>
            <w:tcW w:w="3120" w:type="dxa"/>
            <w:vAlign w:val="bottom"/>
            <w:gridSpan w:val="3"/>
            <w:vMerge w:val="continue"/>
          </w:tcPr>
          <w:p>
            <w:pPr>
              <w:spacing w:after="0"/>
              <w:rPr>
                <w:sz w:val="12"/>
                <w:szCs w:val="12"/>
                <w:color w:val="auto"/>
              </w:rPr>
            </w:pPr>
          </w:p>
        </w:tc>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4"/>
              </w:rPr>
              <w:t>Segment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 2012</w:t>
            </w:r>
          </w:p>
        </w:tc>
        <w:tc>
          <w:tcPr>
            <w:tcW w:w="3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gridSpan w:val="2"/>
          </w:tcPr>
          <w:p>
            <w:pPr>
              <w:ind w:left="420"/>
              <w:spacing w:after="0"/>
              <w:rPr>
                <w:sz w:val="20"/>
                <w:szCs w:val="20"/>
                <w:color w:val="auto"/>
              </w:rPr>
            </w:pPr>
            <w:r>
              <w:rPr>
                <w:rFonts w:ascii="Arial" w:cs="Arial" w:eastAsia="Arial" w:hAnsi="Arial"/>
                <w:sz w:val="18"/>
                <w:szCs w:val="18"/>
                <w:color w:val="auto"/>
              </w:rPr>
              <w:t>Currency translation impacts</w:t>
            </w:r>
          </w:p>
        </w:tc>
        <w:tc>
          <w:tcPr>
            <w:tcW w:w="3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March 31, 2012</w:t>
            </w:r>
          </w:p>
        </w:tc>
        <w:tc>
          <w:tcPr>
            <w:tcW w:w="3820" w:type="dxa"/>
            <w:vAlign w:val="bottom"/>
            <w:gridSpan w:val="2"/>
            <w:shd w:val="clear" w:color="auto" w:fill="CCEEFF"/>
          </w:tcPr>
          <w:p>
            <w:pPr>
              <w:ind w:left="37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00" w:type="dxa"/>
            <w:vAlign w:val="bottom"/>
            <w:vMerge w:val="restart"/>
          </w:tcPr>
          <w:p>
            <w:pPr>
              <w:jc w:val="right"/>
              <w:ind w:right="2779"/>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goodwill balance is tested for impairment on an annual basis during the fourth quarter and between annual tests if a triggering event occurs. As of March 31, 2012, there are no indications of impairment at the remaining reporting unit with a goodwill balance.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Intangible Assets, Net</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Precision Metal Components Segment has an indefinite lived intangible asset not subject to amortization of $900 related to the value of the trade names of Whirlaway. There are no indicators of impairment for this indefinite lived intangible asset as of March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Shared-Based Compensation</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During the three month periods ended March 31, 2012 and 2011, approximately $358 and $0, respectively, of compensation expense was recognized in selling, general and administrative expense for all share-based awards. During the three month period ended March 31, 2012, there were 75 share awards and 278 option awards granted. There were no share awards or option awards granted during the three month period ended March 31, 2011.</w:t>
      </w:r>
    </w:p>
    <w:p>
      <w:pPr>
        <w:spacing w:after="0" w:line="10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During the three month period ended March 31, 2012, we granted 75 restricted shares to non-executive directors, officers and certain other key employees which vest pro-rata over three years. During the three month periods ended March 31, 2012 and 2011, we incurred $149 and $0, respectively, in expense related to restricted stock. The fair value of the shares issued was determined by using the grant date closing price of our common stock.</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incurred $209 and $0 of stock option expense in the three month periods ended March 31, 2012 and 2011, respectively. The fair value of our options cannot be determined by market value, as our options are not traded in an open market. Accordingly, the Black Scholes financial pricing model is utilized to estimate the fair value.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option activity for the three month period ended March 31, 2012:</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Average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680" w:type="dxa"/>
            <w:vAlign w:val="bottom"/>
          </w:tcPr>
          <w:p>
            <w:pPr>
              <w:spacing w:after="0"/>
              <w:rPr>
                <w:sz w:val="12"/>
                <w:szCs w:val="12"/>
                <w:color w:val="auto"/>
              </w:rPr>
            </w:pPr>
          </w:p>
        </w:tc>
        <w:tc>
          <w:tcPr>
            <w:tcW w:w="9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Options</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Exercise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8"/>
        </w:trPr>
        <w:tc>
          <w:tcPr>
            <w:tcW w:w="5560" w:type="dxa"/>
            <w:vAlign w:val="bottom"/>
            <w:gridSpan w:val="3"/>
            <w:vMerge w:val="continue"/>
          </w:tcPr>
          <w:p>
            <w:pPr>
              <w:spacing w:after="0"/>
              <w:rPr>
                <w:sz w:val="12"/>
                <w:szCs w:val="12"/>
                <w:color w:val="auto"/>
              </w:rPr>
            </w:pPr>
          </w:p>
        </w:tc>
        <w:tc>
          <w:tcPr>
            <w:tcW w:w="1380" w:type="dxa"/>
            <w:vAlign w:val="bottom"/>
            <w:gridSpan w:val="2"/>
          </w:tcPr>
          <w:p>
            <w:pPr>
              <w:jc w:val="right"/>
              <w:ind w:right="660"/>
              <w:spacing w:after="0" w:line="148" w:lineRule="exact"/>
              <w:rPr>
                <w:sz w:val="20"/>
                <w:szCs w:val="20"/>
                <w:color w:val="auto"/>
              </w:rPr>
            </w:pPr>
            <w:r>
              <w:rPr>
                <w:rFonts w:ascii="Arial" w:cs="Arial" w:eastAsia="Arial" w:hAnsi="Arial"/>
                <w:sz w:val="14"/>
                <w:szCs w:val="14"/>
                <w:b w:val="1"/>
                <w:bCs w:val="1"/>
                <w:color w:val="auto"/>
                <w:w w:val="84"/>
              </w:rPr>
              <w:t>Shares (000)</w:t>
            </w:r>
          </w:p>
        </w:tc>
        <w:tc>
          <w:tcPr>
            <w:tcW w:w="120" w:type="dxa"/>
            <w:vAlign w:val="bottom"/>
          </w:tcPr>
          <w:p>
            <w:pPr>
              <w:spacing w:after="0"/>
              <w:rPr>
                <w:sz w:val="12"/>
                <w:szCs w:val="12"/>
                <w:color w:val="auto"/>
              </w:rPr>
            </w:pPr>
          </w:p>
        </w:tc>
        <w:tc>
          <w:tcPr>
            <w:tcW w:w="116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87"/>
              </w:rPr>
              <w:t>Price</w:t>
            </w: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Term</w:t>
            </w:r>
          </w:p>
        </w:tc>
        <w:tc>
          <w:tcPr>
            <w:tcW w:w="680" w:type="dxa"/>
            <w:vAlign w:val="bottom"/>
          </w:tcPr>
          <w:p>
            <w:pPr>
              <w:spacing w:after="0"/>
              <w:rPr>
                <w:sz w:val="12"/>
                <w:szCs w:val="12"/>
                <w:color w:val="auto"/>
              </w:rPr>
            </w:pPr>
          </w:p>
        </w:tc>
        <w:tc>
          <w:tcPr>
            <w:tcW w:w="9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2012</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1,141</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10.12</w:t>
            </w: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278</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8.86</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11.69</w:t>
            </w: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March 31, 2012</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9.86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1,413</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spacing w:after="0"/>
              <w:rPr>
                <w:sz w:val="20"/>
                <w:szCs w:val="20"/>
                <w:color w:val="auto"/>
              </w:rPr>
            </w:pPr>
            <w:r>
              <w:rPr>
                <w:rFonts w:ascii="Arial" w:cs="Arial" w:eastAsia="Arial" w:hAnsi="Arial"/>
                <w:sz w:val="18"/>
                <w:szCs w:val="18"/>
                <w:color w:val="auto"/>
              </w:rPr>
              <w:t>Exercisable at March 31, 2012</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gridSpan w:val="3"/>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920</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9.24</w:t>
            </w: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1,394</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80" w:hanging="452"/>
        <w:spacing w:after="0" w:line="228" w:lineRule="auto"/>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The intrinsic value is the amount by which the market price of our stock was greater than the exercise price of any individual option grant at March 31, 2012.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Provision for Income Taxes</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March 31, 2012, we continued to place a valuation allowance on all of the net deferred tax assets of our U.S. locations, the balance of which approximated $11,750 at March 31, 2012. The ongoing necessity of this valuation allowance is based on the negative financial performance of our U.S. operations during the global economic recession of 2008 and 2009 and the negative financial performance during 2010 from losses incurred at the Precision Metal Components Segment. During the quarter ended March 31, 2012, the valuation allowance on a portion of these deferred tax assets was reversed to offset tax expense, as our U.S. based units had pre-tax income of $2,209. While our U.S. entities have generated pre-tax income of $2,209 and $1,633 during the quarter ended March 31, 2012 and the year ended December 31, 2011, respectively, the substantial cumulative losses in 2009 and 2010 outweigh the positive evidence of the year to date 2012</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2011 taxable income. If the profitability of the U.S. entities continues, it is likely a significant portion of the valuation allowance (except for the valuation allowance on the foreign tax credits of approximately $3,250) will be reversed. This will result in a material benefit to income tax expense and a resulting benefit to net income in the period in which the valuation allowances are reversed.</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For the three month period ended March 31, 2012, the difference between the U.S. federal statutory tax rate of 34% and our effective tax rate of 20% was primarily due to utilization of the fully reserved net operating losses to offset U.S. based taxable income, which lowered tax expense by $817. Additionally, the tax rate was impacted by non-U.S. based earnings being taxed at lower rates, which reduced tax expense by $376.</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do not foresee any significant changes to our unrecognized tax benefits within the next twelve months.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96"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As described more fully in our Form 10-K for 2011, we continue to monitor the remediation efforts at a former waste recycling vendor used by our former Walterboro, South Carolina facility. The costs associated with the remediation, which has been tentatively approved by the EPA, are estimated to be approximately $10,000. Our allocated share is approximately $143 which has been fully accrued as of March 31, 2012. While there can be no assurances, we believe that $143 is the maximum amount for which we will be liable under the tentatively accepted remediation plan.</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discussed more fully in Note 1 of the Notes to Condensed Consolidated Financial Statements, the ultimate impact on NN of Eltmann filing for bankruptcy will depend on the findings of the bankruptcy court. However, until such court proceedings are finalized, we will not be able to determine what liabilities and contingent obligations, if any, might remain as the responsibility of NN. Under advice from legal counsel, NN does not expect any further significant impacts on our consolidated financial statements as a result of the liquidation of this subsidiary.</w:t>
      </w:r>
    </w:p>
    <w:p>
      <w:pPr>
        <w:spacing w:after="0" w:line="143"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All other legal matters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of Financial Instruments</w:t>
      </w:r>
    </w:p>
    <w:p>
      <w:pPr>
        <w:spacing w:after="0" w:line="17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fair values of our fixed rate long-term borrowings are calculated by using a discounted cash flow analysis factoring in current market borrowing rates for similar types of borrowing arrangements under our credit profile. The current market borrowing rates are Level 2 inputs under the U.S. GAAP fair value hierarchy. The carrying amounts and fair values of our long-term debt are in the table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960" w:type="dxa"/>
            <w:vAlign w:val="bottom"/>
            <w:gridSpan w:val="4"/>
          </w:tcPr>
          <w:p>
            <w:pPr>
              <w:ind w:left="340"/>
              <w:spacing w:after="0"/>
              <w:rPr>
                <w:sz w:val="20"/>
                <w:szCs w:val="20"/>
                <w:color w:val="auto"/>
              </w:rPr>
            </w:pPr>
            <w:r>
              <w:rPr>
                <w:rFonts w:ascii="Arial" w:cs="Arial" w:eastAsia="Arial" w:hAnsi="Arial"/>
                <w:sz w:val="14"/>
                <w:szCs w:val="14"/>
                <w:b w:val="1"/>
                <w:bCs w:val="1"/>
                <w:color w:val="auto"/>
              </w:rPr>
              <w:t>March 31, 2012</w:t>
            </w:r>
          </w:p>
        </w:tc>
        <w:tc>
          <w:tcPr>
            <w:tcW w:w="164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49"/>
        </w:trPr>
        <w:tc>
          <w:tcPr>
            <w:tcW w:w="1480" w:type="dxa"/>
            <w:vAlign w:val="bottom"/>
            <w:vMerge w:val="restart"/>
          </w:tcPr>
          <w:p>
            <w:pPr>
              <w:spacing w:after="0"/>
              <w:rPr>
                <w:sz w:val="20"/>
                <w:szCs w:val="20"/>
                <w:color w:val="auto"/>
              </w:rPr>
            </w:pPr>
            <w:r>
              <w:rPr>
                <w:rFonts w:ascii="Arial" w:cs="Arial" w:eastAsia="Arial" w:hAnsi="Arial"/>
                <w:sz w:val="14"/>
                <w:szCs w:val="14"/>
                <w:color w:val="auto"/>
                <w:w w:val="92"/>
              </w:rPr>
              <w:t>(In Thousands of Dollars)</w:t>
            </w:r>
          </w:p>
        </w:tc>
        <w:tc>
          <w:tcPr>
            <w:tcW w:w="210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Carrying</w:t>
            </w: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Fair</w:t>
            </w: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Carrying</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8"/>
        </w:trPr>
        <w:tc>
          <w:tcPr>
            <w:tcW w:w="1480" w:type="dxa"/>
            <w:vAlign w:val="bottom"/>
            <w:tcBorders>
              <w:bottom w:val="single" w:sz="8" w:color="auto"/>
            </w:tcBorders>
            <w:vMerge w:val="continue"/>
          </w:tcPr>
          <w:p>
            <w:pPr>
              <w:spacing w:after="0"/>
              <w:rPr>
                <w:sz w:val="14"/>
                <w:szCs w:val="14"/>
                <w:color w:val="auto"/>
              </w:rPr>
            </w:pPr>
          </w:p>
        </w:tc>
        <w:tc>
          <w:tcPr>
            <w:tcW w:w="2100" w:type="dxa"/>
            <w:vAlign w:val="bottom"/>
            <w:vMerge w:val="continue"/>
          </w:tcPr>
          <w:p>
            <w:pPr>
              <w:spacing w:after="0"/>
              <w:rPr>
                <w:sz w:val="14"/>
                <w:szCs w:val="14"/>
                <w:color w:val="auto"/>
              </w:rPr>
            </w:pPr>
          </w:p>
        </w:tc>
        <w:tc>
          <w:tcPr>
            <w:tcW w:w="3320" w:type="dxa"/>
            <w:vAlign w:val="bottom"/>
          </w:tcPr>
          <w:p>
            <w:pPr>
              <w:spacing w:after="0"/>
              <w:rPr>
                <w:sz w:val="14"/>
                <w:szCs w:val="14"/>
                <w:color w:val="auto"/>
              </w:rPr>
            </w:pPr>
          </w:p>
        </w:tc>
        <w:tc>
          <w:tcPr>
            <w:tcW w:w="98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0"/>
              </w:rPr>
              <w:t>Amount</w:t>
            </w:r>
          </w:p>
        </w:tc>
        <w:tc>
          <w:tcPr>
            <w:tcW w:w="98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0"/>
              </w:rPr>
              <w:t>Value</w:t>
            </w:r>
          </w:p>
        </w:tc>
        <w:tc>
          <w:tcPr>
            <w:tcW w:w="96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0"/>
              </w:rPr>
              <w:t>Amount</w:t>
            </w:r>
          </w:p>
        </w:tc>
        <w:tc>
          <w:tcPr>
            <w:tcW w:w="68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Variable rate long-term debt</w:t>
            </w:r>
          </w:p>
        </w:tc>
        <w:tc>
          <w:tcPr>
            <w:tcW w:w="3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6"/>
              </w:rPr>
              <w:t>$50,200</w:t>
            </w: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$50,200</w:t>
            </w: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$40,989</w:t>
            </w: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$40,989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580" w:type="dxa"/>
            <w:vAlign w:val="bottom"/>
            <w:gridSpan w:val="2"/>
          </w:tcPr>
          <w:p>
            <w:pPr>
              <w:spacing w:after="0"/>
              <w:rPr>
                <w:sz w:val="20"/>
                <w:szCs w:val="20"/>
                <w:color w:val="auto"/>
              </w:rPr>
            </w:pPr>
            <w:r>
              <w:rPr>
                <w:rFonts w:ascii="Arial" w:cs="Arial" w:eastAsia="Arial" w:hAnsi="Arial"/>
                <w:sz w:val="18"/>
                <w:szCs w:val="18"/>
                <w:color w:val="auto"/>
              </w:rPr>
              <w:t>Fixed rate long-term debt</w:t>
            </w:r>
          </w:p>
        </w:tc>
        <w:tc>
          <w:tcPr>
            <w:tcW w:w="4300" w:type="dxa"/>
            <w:vAlign w:val="bottom"/>
            <w:gridSpan w:val="3"/>
          </w:tcPr>
          <w:p>
            <w:pPr>
              <w:ind w:left="3320"/>
              <w:spacing w:after="0"/>
              <w:rPr>
                <w:sz w:val="20"/>
                <w:szCs w:val="20"/>
                <w:color w:val="auto"/>
              </w:rPr>
            </w:pPr>
            <w:r>
              <w:rPr>
                <w:rFonts w:ascii="Arial" w:cs="Arial" w:eastAsia="Arial" w:hAnsi="Arial"/>
                <w:sz w:val="18"/>
                <w:szCs w:val="18"/>
                <w:color w:val="auto"/>
              </w:rPr>
              <w:t>$37,143</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$37,431</w:t>
            </w:r>
          </w:p>
        </w:tc>
        <w:tc>
          <w:tcPr>
            <w:tcW w:w="4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$37,143</w:t>
            </w:r>
          </w:p>
        </w:tc>
        <w:tc>
          <w:tcPr>
            <w:tcW w:w="3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1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320" w:type="dxa"/>
            <w:vAlign w:val="bottom"/>
          </w:tcPr>
          <w:p>
            <w:pPr>
              <w:jc w:val="right"/>
              <w:ind w:right="1472"/>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wish to caution readers that this report contains, and our future filings, press releases and oral statements made by our authorized representatives may contain, forward-looking statements that involve certain risks and uncertainties. Readers can identify these forward-looking statements by the use of such verbs as expects, anticipates, believes or similar verbs or conjugations of such verbs. Our actual results could differ materially from those expressed in such forward-looking statements due to important factors bearing on our business, many of which already have been discussed in this filing and in our prior filings. The differences could be caused by a number of factors or combination of factors including the risk factors discussed in “Item 1A Risk Factors” of our Annual Report on Form 10-K for the year ended December 31, 2011 which we filed with the Securities and Exchange Commission on March 15, 2012.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2012 Compared to the Three Months Ended March 31,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8"/>
          </w:tcPr>
          <w:p>
            <w:pPr>
              <w:jc w:val="right"/>
              <w:ind w:right="1280"/>
              <w:spacing w:after="0"/>
              <w:rPr>
                <w:sz w:val="20"/>
                <w:szCs w:val="20"/>
                <w:color w:val="auto"/>
              </w:rPr>
            </w:pPr>
            <w:r>
              <w:rPr>
                <w:rFonts w:ascii="Arial" w:cs="Arial" w:eastAsia="Arial" w:hAnsi="Arial"/>
                <w:sz w:val="14"/>
                <w:szCs w:val="14"/>
                <w:b w:val="1"/>
                <w:bCs w:val="1"/>
                <w:color w:val="auto"/>
                <w:w w:val="92"/>
              </w:rPr>
              <w:t>Consolidated NN, Inc.</w:t>
            </w:r>
          </w:p>
        </w:tc>
        <w:tc>
          <w:tcPr>
            <w:tcW w:w="0" w:type="dxa"/>
            <w:vAlign w:val="bottom"/>
          </w:tcPr>
          <w:p>
            <w:pPr>
              <w:spacing w:after="0"/>
              <w:rPr>
                <w:sz w:val="1"/>
                <w:szCs w:val="1"/>
                <w:color w:val="auto"/>
              </w:rPr>
            </w:pPr>
          </w:p>
        </w:tc>
      </w:tr>
      <w:tr>
        <w:trPr>
          <w:trHeight w:val="142"/>
        </w:trPr>
        <w:tc>
          <w:tcPr>
            <w:tcW w:w="6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104,519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111,307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tcBorders>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w w:val="87"/>
              </w:rPr>
              <w:t>(6,788)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Price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Mix</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Material inflation pass-through</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1,029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w w:val="91"/>
              </w:rPr>
              <w:t>Cost of products sold (exclusive of depreciation and amortization shown separately below)</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82,969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90,299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w w:val="87"/>
              </w:rPr>
              <w:t>(7,330)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Cost reduction projects and other cost changes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(3,427)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Mix</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Inflation</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1,689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8,068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Increase in spending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194</w:t>
            </w:r>
          </w:p>
        </w:tc>
        <w:tc>
          <w:tcPr>
            <w:tcW w:w="0" w:type="dxa"/>
            <w:vAlign w:val="bottom"/>
          </w:tcPr>
          <w:p>
            <w:pPr>
              <w:spacing w:after="0"/>
              <w:rPr>
                <w:sz w:val="1"/>
                <w:szCs w:val="1"/>
                <w:color w:val="auto"/>
              </w:rPr>
            </w:pPr>
          </w:p>
        </w:tc>
      </w:tr>
      <w:tr>
        <w:trPr>
          <w:trHeight w:val="323"/>
        </w:trPr>
        <w:tc>
          <w:tcPr>
            <w:tcW w:w="65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4,457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4,035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422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Net increase in depreciation expense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499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Gain from deconsolidation of bankrupt subsidiary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 expense,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7,384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6,957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5,909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5,507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318" w:lineRule="auto"/>
        <w:rPr>
          <w:sz w:val="20"/>
          <w:szCs w:val="20"/>
          <w:color w:val="auto"/>
        </w:rPr>
      </w:pPr>
      <w:r>
        <w:rPr>
          <w:rFonts w:ascii="Arial" w:cs="Arial" w:eastAsia="Arial" w:hAnsi="Arial"/>
          <w:sz w:val="15"/>
          <w:szCs w:val="15"/>
          <w:i w:val="1"/>
          <w:iCs w:val="1"/>
          <w:color w:val="auto"/>
        </w:rPr>
        <w:t xml:space="preserve">Net Sales. </w:t>
      </w:r>
      <w:r>
        <w:rPr>
          <w:rFonts w:ascii="Arial" w:cs="Arial" w:eastAsia="Arial" w:hAnsi="Arial"/>
          <w:sz w:val="15"/>
          <w:szCs w:val="15"/>
          <w:color w:val="auto"/>
        </w:rPr>
        <w:t>Net sales decreased during the first quarter of 2012 from the first quarter of 2011 primarily due to volume reductions experienced at our European</w:t>
      </w:r>
      <w:r>
        <w:rPr>
          <w:rFonts w:ascii="Arial" w:cs="Arial" w:eastAsia="Arial" w:hAnsi="Arial"/>
          <w:sz w:val="15"/>
          <w:szCs w:val="15"/>
          <w:i w:val="1"/>
          <w:iCs w:val="1"/>
          <w:color w:val="auto"/>
        </w:rPr>
        <w:t xml:space="preserve"> </w:t>
      </w:r>
      <w:r>
        <w:rPr>
          <w:rFonts w:ascii="Arial" w:cs="Arial" w:eastAsia="Arial" w:hAnsi="Arial"/>
          <w:sz w:val="15"/>
          <w:szCs w:val="15"/>
          <w:color w:val="auto"/>
        </w:rPr>
        <w:t>operating units of our Metal Bearing Components Segment. These effects were partially offset by increased sales volume in our Precision Metal Components Segment from a new multi-year sales program. The reduction in sales volumes in Europe was due in part to macro-economic issues within the European Union and from overall lower automotive demand in Europe. Additionally, we believe demand for our products was affected by our customers and their customers adjusting inventory levels, as our sales volume reduction was much greater than the reduction in actual end market demand within the markets we serve.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shown separately below). </w:t>
      </w:r>
      <w:r>
        <w:rPr>
          <w:rFonts w:ascii="Arial" w:cs="Arial" w:eastAsia="Arial" w:hAnsi="Arial"/>
          <w:sz w:val="18"/>
          <w:szCs w:val="18"/>
          <w:color w:val="auto"/>
        </w:rPr>
        <w:t>A large portion of the decrease was from the lower sales volumes, as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above, and the related reductions in production costs at the European units of the Metal Bearing Components Segment. Additionally, 2012 cost of products sold was lower in comparison to 2011, as the additional start-up costs incurred during 2011 for the new multi-year sales programs at our Precision Metal Components Segment did not repeat during 2012. Finally, the 2012 balance was lower due to the benefits from specific cost reduction projects undertaken during the first quarter of 2012.</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Selling, General and Administrative. </w:t>
      </w:r>
      <w:r>
        <w:rPr>
          <w:rFonts w:ascii="Arial" w:cs="Arial" w:eastAsia="Arial" w:hAnsi="Arial"/>
          <w:sz w:val="15"/>
          <w:szCs w:val="15"/>
          <w:color w:val="auto"/>
        </w:rPr>
        <w:t>The increase in spending in selling, general and administrative expenses was due to higher stock based compensation costs.</w:t>
      </w:r>
    </w:p>
    <w:p>
      <w:pPr>
        <w:spacing w:after="0" w:line="20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 increase was due to the carryover effects of depreciation expense generated by 2011 capital expenditures placed in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first quarter of 2011.</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Other expense, net. </w:t>
      </w:r>
      <w:r>
        <w:rPr>
          <w:rFonts w:ascii="Arial" w:cs="Arial" w:eastAsia="Arial" w:hAnsi="Arial"/>
          <w:sz w:val="16"/>
          <w:szCs w:val="16"/>
          <w:color w:val="auto"/>
        </w:rPr>
        <w:t>Included in other expense, net, during the three months ended March 31, 2012, was $0.7 million related to foreign exchange losses on inter-company loans. During the three months ended March 31, 2011, inter-company loans generated foreign exchange losses of $0.9 million. The gains and losses are a function of the appreciation or depreciation of the Euro versus the U.S. Dollar. Additionally, 2012 included $0.2 million in gains realized with receipt of the final payment of a note receivable. (See Note 2 of the Notes to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6"/>
          </w:tcPr>
          <w:p>
            <w:pPr>
              <w:jc w:val="right"/>
              <w:ind w:right="1300"/>
              <w:spacing w:after="0"/>
              <w:rPr>
                <w:sz w:val="20"/>
                <w:szCs w:val="20"/>
                <w:color w:val="auto"/>
              </w:rPr>
            </w:pPr>
            <w:r>
              <w:rPr>
                <w:rFonts w:ascii="Arial" w:cs="Arial" w:eastAsia="Arial" w:hAnsi="Arial"/>
                <w:sz w:val="14"/>
                <w:szCs w:val="14"/>
                <w:b w:val="1"/>
                <w:bCs w:val="1"/>
                <w:color w:val="auto"/>
                <w:w w:val="94"/>
              </w:rPr>
              <w:t>Three months ended</w:t>
            </w:r>
          </w:p>
        </w:tc>
        <w:tc>
          <w:tcPr>
            <w:tcW w:w="0" w:type="dxa"/>
            <w:vAlign w:val="bottom"/>
          </w:tcPr>
          <w:p>
            <w:pPr>
              <w:spacing w:after="0"/>
              <w:rPr>
                <w:sz w:val="1"/>
                <w:szCs w:val="1"/>
                <w:color w:val="auto"/>
              </w:rPr>
            </w:pPr>
          </w:p>
        </w:tc>
      </w:tr>
      <w:tr>
        <w:trPr>
          <w:trHeight w:val="155"/>
        </w:trPr>
        <w:tc>
          <w:tcPr>
            <w:tcW w:w="4740" w:type="dxa"/>
            <w:vAlign w:val="bottom"/>
            <w:gridSpan w:val="2"/>
            <w:vMerge w:val="continue"/>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6"/>
          </w:tcPr>
          <w:p>
            <w:pPr>
              <w:jc w:val="right"/>
              <w:ind w:right="1600"/>
              <w:spacing w:after="0" w:line="148"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9"/>
        </w:trPr>
        <w:tc>
          <w:tcPr>
            <w:tcW w:w="1500" w:type="dxa"/>
            <w:vAlign w:val="bottom"/>
            <w:tcBorders>
              <w:top w:val="single" w:sz="8" w:color="auto"/>
              <w:bottom w:val="single" w:sz="8" w:color="CCEEFF"/>
            </w:tcBorders>
          </w:tcPr>
          <w:p>
            <w:pPr>
              <w:spacing w:after="0"/>
              <w:rPr>
                <w:sz w:val="12"/>
                <w:szCs w:val="12"/>
                <w:color w:val="auto"/>
              </w:rPr>
            </w:pPr>
          </w:p>
        </w:tc>
        <w:tc>
          <w:tcPr>
            <w:tcW w:w="324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9"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4"/>
              <w:spacing w:after="0" w:line="149"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515"/>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72,130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83,782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40" w:type="dxa"/>
            <w:vAlign w:val="bottom"/>
            <w:shd w:val="clear" w:color="auto" w:fill="CCEEFF"/>
          </w:tcPr>
          <w:p>
            <w:pPr>
              <w:jc w:val="right"/>
              <w:ind w:right="855"/>
              <w:spacing w:after="0"/>
              <w:rPr>
                <w:sz w:val="20"/>
                <w:szCs w:val="20"/>
                <w:color w:val="auto"/>
              </w:rPr>
            </w:pPr>
            <w:r>
              <w:rPr>
                <w:rFonts w:ascii="Arial" w:cs="Arial" w:eastAsia="Arial" w:hAnsi="Arial"/>
                <w:sz w:val="18"/>
                <w:szCs w:val="18"/>
                <w:b w:val="1"/>
                <w:bCs w:val="1"/>
                <w:color w:val="auto"/>
                <w:w w:val="86"/>
              </w:rPr>
              <w:t>(11,652)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440"/>
              <w:spacing w:after="0"/>
              <w:rPr>
                <w:sz w:val="20"/>
                <w:szCs w:val="20"/>
                <w:color w:val="auto"/>
              </w:rPr>
            </w:pPr>
            <w:r>
              <w:rPr>
                <w:rFonts w:ascii="Arial" w:cs="Arial" w:eastAsia="Arial" w:hAnsi="Arial"/>
                <w:sz w:val="18"/>
                <w:szCs w:val="18"/>
                <w:i w:val="1"/>
                <w:iCs w:val="1"/>
                <w:color w:val="auto"/>
              </w:rPr>
              <w:t>Foreign exchange effects</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(1,659)</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Volume</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(11,107)</w:t>
            </w:r>
          </w:p>
        </w:tc>
        <w:tc>
          <w:tcPr>
            <w:tcW w:w="0" w:type="dxa"/>
            <w:vAlign w:val="bottom"/>
          </w:tcPr>
          <w:p>
            <w:pPr>
              <w:spacing w:after="0"/>
              <w:rPr>
                <w:sz w:val="1"/>
                <w:szCs w:val="1"/>
                <w:color w:val="auto"/>
              </w:rPr>
            </w:pPr>
          </w:p>
        </w:tc>
      </w:tr>
      <w:tr>
        <w:trPr>
          <w:trHeight w:val="216"/>
        </w:trPr>
        <w:tc>
          <w:tcPr>
            <w:tcW w:w="4740" w:type="dxa"/>
            <w:vAlign w:val="bottom"/>
            <w:gridSpan w:val="2"/>
          </w:tcPr>
          <w:p>
            <w:pPr>
              <w:ind w:left="440"/>
              <w:spacing w:after="0"/>
              <w:rPr>
                <w:sz w:val="20"/>
                <w:szCs w:val="20"/>
                <w:color w:val="auto"/>
              </w:rPr>
            </w:pPr>
            <w:r>
              <w:rPr>
                <w:rFonts w:ascii="Arial" w:cs="Arial" w:eastAsia="Arial" w:hAnsi="Arial"/>
                <w:sz w:val="18"/>
                <w:szCs w:val="18"/>
                <w:i w:val="1"/>
                <w:iCs w:val="1"/>
                <w:color w:val="auto"/>
              </w:rPr>
              <w:t>Price/mix</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124</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Material inflation pass-through</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990</w:t>
            </w:r>
          </w:p>
        </w:tc>
        <w:tc>
          <w:tcPr>
            <w:tcW w:w="0" w:type="dxa"/>
            <w:vAlign w:val="bottom"/>
          </w:tcPr>
          <w:p>
            <w:pPr>
              <w:spacing w:after="0"/>
              <w:rPr>
                <w:sz w:val="1"/>
                <w:szCs w:val="1"/>
                <w:color w:val="auto"/>
              </w:rPr>
            </w:pPr>
          </w:p>
        </w:tc>
      </w:tr>
      <w:tr>
        <w:trPr>
          <w:trHeight w:val="228"/>
        </w:trPr>
        <w:tc>
          <w:tcPr>
            <w:tcW w:w="4740" w:type="dxa"/>
            <w:vAlign w:val="bottom"/>
            <w:gridSpan w:val="2"/>
          </w:tcPr>
          <w:p>
            <w:pPr>
              <w:spacing w:after="0"/>
              <w:rPr>
                <w:sz w:val="20"/>
                <w:szCs w:val="20"/>
                <w:color w:val="auto"/>
              </w:rPr>
            </w:pPr>
            <w:r>
              <w:rPr>
                <w:rFonts w:ascii="Arial" w:cs="Arial" w:eastAsia="Arial" w:hAnsi="Arial"/>
                <w:sz w:val="18"/>
                <w:szCs w:val="18"/>
                <w:color w:val="auto"/>
              </w:rPr>
              <w:t>Segment net income</w:t>
            </w: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6,934</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9,831</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855"/>
              <w:spacing w:after="0"/>
              <w:rPr>
                <w:sz w:val="20"/>
                <w:szCs w:val="20"/>
                <w:color w:val="auto"/>
              </w:rPr>
            </w:pPr>
            <w:r>
              <w:rPr>
                <w:rFonts w:ascii="Arial" w:cs="Arial" w:eastAsia="Arial" w:hAnsi="Arial"/>
                <w:sz w:val="18"/>
                <w:szCs w:val="18"/>
                <w:b w:val="1"/>
                <w:bCs w:val="1"/>
                <w:color w:val="auto"/>
              </w:rPr>
              <w:t>(2,897)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decrease in sales during the first quarter of 2012 was driven mainly by volume reductions at our European units of this segment as discussed above. The reductions were due to European macro-economic issues, much lower automotive demand in Europe and, we believe, overall reductions of inventory levels in the supply chains we serve.</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segment net income in the first quarter of 2012 was negatively impacted by lost profits from much lower sales volumes and related production inefficiencies from lower production levels. These reductions were driven by much lower demand for our products at our European operating units of this segment, as discussed above. Partially offsetting the volume effects were benefits from specific cost reduction projects undertaken in the first quarter of 2012.</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55"/>
        </w:trPr>
        <w:tc>
          <w:tcPr>
            <w:tcW w:w="4480" w:type="dxa"/>
            <w:vAlign w:val="bottom"/>
            <w:gridSpan w:val="2"/>
            <w:vMerge w:val="continue"/>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left="306"/>
              <w:spacing w:after="0" w:line="148" w:lineRule="exact"/>
              <w:rPr>
                <w:sz w:val="20"/>
                <w:szCs w:val="20"/>
                <w:color w:val="auto"/>
              </w:rPr>
            </w:pPr>
            <w:r>
              <w:rPr>
                <w:rFonts w:ascii="Arial" w:cs="Arial" w:eastAsia="Arial" w:hAnsi="Arial"/>
                <w:sz w:val="14"/>
                <w:szCs w:val="14"/>
                <w:b w:val="1"/>
                <w:bCs w:val="1"/>
                <w:color w:val="auto"/>
                <w:w w:val="89"/>
              </w:rPr>
              <w:t>March 31,</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tcBorders>
              <w:top w:val="single" w:sz="8" w:color="auto"/>
            </w:tcBorders>
          </w:tcPr>
          <w:p>
            <w:pPr>
              <w:spacing w:after="0"/>
              <w:rPr>
                <w:sz w:val="12"/>
                <w:szCs w:val="12"/>
                <w:color w:val="auto"/>
              </w:rPr>
            </w:pPr>
          </w:p>
        </w:tc>
        <w:tc>
          <w:tcPr>
            <w:tcW w:w="29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49" w:lineRule="exact"/>
              <w:rPr>
                <w:sz w:val="20"/>
                <w:szCs w:val="20"/>
                <w:color w:val="auto"/>
              </w:rPr>
            </w:pPr>
            <w:r>
              <w:rPr>
                <w:rFonts w:ascii="Arial" w:cs="Arial" w:eastAsia="Arial" w:hAnsi="Arial"/>
                <w:sz w:val="14"/>
                <w:szCs w:val="14"/>
                <w:b w:val="1"/>
                <w:bCs w:val="1"/>
                <w:color w:val="auto"/>
                <w:w w:val="96"/>
              </w:rPr>
              <w:t>2012</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86"/>
              <w:spacing w:after="0" w:line="149"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356"/>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21,312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9"/>
              </w:rPr>
              <w:t>$16,402</w:t>
            </w:r>
          </w:p>
        </w:tc>
        <w:tc>
          <w:tcPr>
            <w:tcW w:w="4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b w:val="1"/>
                <w:bCs w:val="1"/>
                <w:color w:val="auto"/>
                <w:w w:val="87"/>
              </w:rPr>
              <w:t>$4,910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440"/>
              <w:spacing w:after="0"/>
              <w:rPr>
                <w:sz w:val="20"/>
                <w:szCs w:val="20"/>
                <w:color w:val="auto"/>
              </w:rPr>
            </w:pPr>
            <w:r>
              <w:rPr>
                <w:rFonts w:ascii="Arial" w:cs="Arial" w:eastAsia="Arial" w:hAnsi="Arial"/>
                <w:sz w:val="18"/>
                <w:szCs w:val="18"/>
                <w:i w:val="1"/>
                <w:iCs w:val="1"/>
                <w:color w:val="auto"/>
              </w:rPr>
              <w:t>Volume</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4,415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Price/mix</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480" w:type="dxa"/>
            <w:vAlign w:val="bottom"/>
            <w:gridSpan w:val="2"/>
          </w:tcPr>
          <w:p>
            <w:pPr>
              <w:spacing w:after="0"/>
              <w:rPr>
                <w:sz w:val="20"/>
                <w:szCs w:val="20"/>
                <w:color w:val="auto"/>
              </w:rPr>
            </w:pPr>
            <w:r>
              <w:rPr>
                <w:rFonts w:ascii="Arial" w:cs="Arial" w:eastAsia="Arial" w:hAnsi="Arial"/>
                <w:sz w:val="18"/>
                <w:szCs w:val="18"/>
                <w:color w:val="auto"/>
              </w:rPr>
              <w:t>Segment net income (loss)</w:t>
            </w:r>
          </w:p>
        </w:tc>
        <w:tc>
          <w:tcPr>
            <w:tcW w:w="27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1,639</w:t>
            </w:r>
          </w:p>
        </w:tc>
        <w:tc>
          <w:tcPr>
            <w:tcW w:w="1180" w:type="dxa"/>
            <w:vAlign w:val="bottom"/>
            <w:gridSpan w:val="3"/>
          </w:tcPr>
          <w:p>
            <w:pPr>
              <w:ind w:left="180"/>
              <w:spacing w:after="0"/>
              <w:rPr>
                <w:sz w:val="20"/>
                <w:szCs w:val="20"/>
                <w:color w:val="auto"/>
              </w:rPr>
            </w:pPr>
            <w:r>
              <w:rPr>
                <w:rFonts w:ascii="Arial" w:cs="Arial" w:eastAsia="Arial" w:hAnsi="Arial"/>
                <w:sz w:val="18"/>
                <w:szCs w:val="18"/>
                <w:b w:val="1"/>
                <w:bCs w:val="1"/>
                <w:color w:val="auto"/>
              </w:rPr>
              <w:t>$ (2,208)</w:t>
            </w:r>
          </w:p>
        </w:tc>
        <w:tc>
          <w:tcPr>
            <w:tcW w:w="1340" w:type="dxa"/>
            <w:vAlign w:val="bottom"/>
          </w:tcPr>
          <w:p>
            <w:pPr>
              <w:jc w:val="right"/>
              <w:ind w:right="756"/>
              <w:spacing w:after="0"/>
              <w:rPr>
                <w:sz w:val="20"/>
                <w:szCs w:val="20"/>
                <w:color w:val="auto"/>
              </w:rPr>
            </w:pPr>
            <w:r>
              <w:rPr>
                <w:rFonts w:ascii="Arial" w:cs="Arial" w:eastAsia="Arial" w:hAnsi="Arial"/>
                <w:sz w:val="18"/>
                <w:szCs w:val="18"/>
                <w:b w:val="1"/>
                <w:bCs w:val="1"/>
                <w:color w:val="auto"/>
                <w:w w:val="87"/>
              </w:rPr>
              <w:t>$3,847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majority of the increase in sales at this segment was due to fulfilling sales orders, at the full year run rate, for a new multi-year sales program. This new sales program was just being launched during the first quarter of 2011 and had minimal sales levels during that period.</w:t>
      </w:r>
    </w:p>
    <w:p>
      <w:pPr>
        <w:spacing w:after="0" w:line="13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segment improved from a net loss to a net income due to profits from increased sales volumes and from the elimination of start-up costs on the new multi-year sales programs incurred during 2011. This segment incurred $2.5 million of operational inefficiencies and additional costs related to ramping up production for the new large multi-year sales programs during the first quarter of 2011 which did not repeat during the first quarter of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7"/>
          </w:tcPr>
          <w:p>
            <w:pPr>
              <w:jc w:val="center"/>
              <w:ind w:right="70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55"/>
        </w:trPr>
        <w:tc>
          <w:tcPr>
            <w:tcW w:w="73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left="42"/>
              <w:spacing w:after="0" w:line="148" w:lineRule="exact"/>
              <w:rPr>
                <w:sz w:val="20"/>
                <w:szCs w:val="20"/>
                <w:color w:val="auto"/>
              </w:rPr>
            </w:pPr>
            <w:r>
              <w:rPr>
                <w:rFonts w:ascii="Arial" w:cs="Arial" w:eastAsia="Arial" w:hAnsi="Arial"/>
                <w:sz w:val="14"/>
                <w:szCs w:val="14"/>
                <w:b w:val="1"/>
                <w:bCs w:val="1"/>
                <w:color w:val="auto"/>
                <w:w w:val="89"/>
              </w:rPr>
              <w:t>March 31,</w:t>
            </w: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tcBorders>
              <w:top w:val="single" w:sz="8" w:color="auto"/>
              <w:bottom w:val="single" w:sz="8" w:color="CCEEFF"/>
            </w:tcBorders>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9" w:lineRule="exact"/>
              <w:rPr>
                <w:sz w:val="20"/>
                <w:szCs w:val="20"/>
                <w:color w:val="auto"/>
              </w:rPr>
            </w:pPr>
            <w:r>
              <w:rPr>
                <w:rFonts w:ascii="Arial" w:cs="Arial" w:eastAsia="Arial" w:hAnsi="Arial"/>
                <w:sz w:val="14"/>
                <w:szCs w:val="14"/>
                <w:b w:val="1"/>
                <w:bCs w:val="1"/>
                <w:color w:val="auto"/>
                <w:w w:val="96"/>
              </w:rPr>
              <w:t>2012</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2"/>
              <w:spacing w:after="0" w:line="149" w:lineRule="exact"/>
              <w:rPr>
                <w:sz w:val="20"/>
                <w:szCs w:val="20"/>
                <w:color w:val="auto"/>
              </w:rPr>
            </w:pPr>
            <w:r>
              <w:rPr>
                <w:rFonts w:ascii="Arial" w:cs="Arial" w:eastAsia="Arial" w:hAnsi="Arial"/>
                <w:sz w:val="14"/>
                <w:szCs w:val="14"/>
                <w:b w:val="1"/>
                <w:bCs w:val="1"/>
                <w:color w:val="auto"/>
                <w:w w:val="96"/>
              </w:rPr>
              <w:t>2011</w:t>
            </w:r>
          </w:p>
        </w:tc>
        <w:tc>
          <w:tcPr>
            <w:tcW w:w="3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ind w:left="340"/>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11,077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11,123</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44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(227)</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Price/material pass-through</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181</w:t>
            </w:r>
          </w:p>
        </w:tc>
        <w:tc>
          <w:tcPr>
            <w:tcW w:w="0" w:type="dxa"/>
            <w:vAlign w:val="bottom"/>
          </w:tcPr>
          <w:p>
            <w:pPr>
              <w:spacing w:after="0"/>
              <w:rPr>
                <w:sz w:val="1"/>
                <w:szCs w:val="1"/>
                <w:color w:val="auto"/>
              </w:rPr>
            </w:pPr>
          </w:p>
        </w:tc>
      </w:tr>
      <w:tr>
        <w:trPr>
          <w:trHeight w:val="322"/>
        </w:trPr>
        <w:tc>
          <w:tcPr>
            <w:tcW w:w="7320" w:type="dxa"/>
            <w:vAlign w:val="bottom"/>
            <w:gridSpan w:val="2"/>
          </w:tcPr>
          <w:p>
            <w:pPr>
              <w:spacing w:after="0"/>
              <w:rPr>
                <w:sz w:val="20"/>
                <w:szCs w:val="20"/>
                <w:color w:val="auto"/>
              </w:rPr>
            </w:pPr>
            <w:r>
              <w:rPr>
                <w:rFonts w:ascii="Arial" w:cs="Arial" w:eastAsia="Arial" w:hAnsi="Arial"/>
                <w:sz w:val="18"/>
                <w:szCs w:val="18"/>
                <w:color w:val="auto"/>
              </w:rPr>
              <w:t>Segment 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961</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818</w:t>
            </w:r>
          </w:p>
        </w:tc>
        <w:tc>
          <w:tcPr>
            <w:tcW w:w="34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$143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Lower sales volumes were mostly offset by targeted price increases to customers. Segment net income increased due to targeted price increases and from benefits of planned cost reduction projects undertaken in the first quarter of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December 31, 2011 to March 31, 2012, our total assets increased $14.8 million and our current assets increased $15.3 million. The appreciation in the value of Euro and Chinese Yuan denominated account balances relative to the U.S. Dollar caused total assets and current assets to increase approximately $4.0 million and $1.9 million, respectively, from December 31, 2011.</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Excluding the foreign exchange effects, accounts receivable was higher by $8.7 million due to the 13% increase in sales volume experienced in March and February of 2012 from sales levels in December and November of 2011. The days sales outstanding at March 31, 2012 was consistent with days sales outstanding at December 31, 2011. Net overdue receivables were approximately 17% and 19% of total accounts receivable at March 31, 2012 and December 31, 2011, respectively, the vast majority of which were 0-30 days past due.</w:t>
      </w:r>
    </w:p>
    <w:p>
      <w:pPr>
        <w:spacing w:after="0" w:line="14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Excluding the foreign exchange effects, inventories decreased by $0.6 million from December 31, 2011 due to planned reductions in finished goods and raw material levels. Excluding the foreign exchange effects, property, plant and equipment decreased $0.7 million as year to date capital spending was $0.4 million lower than depreciation and assets with a net book value of $0.3 million were sold.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From December 31, 2011 to March 31, 2012, our total liabilities increased $5.1 million. The appreciation in the value of Euro and Chinese Yuan denominated account balances relative to the U.S. Dollar caused total liabilities to increase approximately $1.5 million from December 31, 2011. Debt increased by $9.2 million in part to fund working capital from the growth in sales and production volumes experienced during the first three months of 2012 from fourth quarter of 2011, to increase cash on hand and to fund year to date capital expenditures. Partially offsetting this increase was a $5.6 million, excluding foreign exchange effects, accounts payable decrease due to timing of payments to certain vendors.</w:t>
      </w:r>
    </w:p>
    <w:p>
      <w:pPr>
        <w:spacing w:after="0" w:line="1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Working capital, which consists principally of accounts receivable and inventories offset by accounts payable and current maturities of long-term debt, was $71.6 million at March 31, 2012 as compared to $51.0 million at December 31, 2011. The ratio of current assets to current liabilities increased from 1.70:1 at December 31, 2011 to 2.06:1 at March 31, 2012. The increase in working capital was due primarily to the growth in accounts receivable from the 13% increase in sales volume experienced during the first quarter of 2012 and from the reduction in accounts payable, both as discussed above.</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Cash flow used by operations was $1.1 million for the first three months of 2012 compared with cash flow used by operations of $17.7 million for the same period in 2011. The favorable variance was principally due to a much smaller increase in accounts receivables experienced during first quarter 2012 than the increase experienced in first quarter 2011. The smaller increase in accounts receivables was driven by the 2012 first quarter sales increasing 13% versus the 30% increase experienced for the first quarter of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Amounts outstanding under our $100.0 million credit facility and our $60.0 million in fixed rate notes as of March 31, 2012 were $50.2 million (including $0.0 million under our swing line of credit) and $37.1 million, respectively. As of March 31, 2012, we can borrow up to an additional $38.8 million under the $100.0 million credit facility, including $10.0 million under our swing line of credit, subject to limitations based on existing financial covenants. The $38.8 million of availability is net of $1.0 million of outstanding letters of credit at March 31, 2012 which are considered as usage of the facility. The $38.8 million in available credit considers our new liquidity requirement from the September 30, 2011 amendment that the total outstanding under the revolving credit agreement shall be at least $10 million less than the total committed amount of $100 million during the period commencing September 30, 2011 and ending on September 30, 2012.</w:t>
      </w:r>
    </w:p>
    <w:p>
      <w:pPr>
        <w:spacing w:after="0" w:line="12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were in compliance with all covenants related to the amended and restated $100.0 million credit facility and the amended and restated $60.0 million in fixed rate notes as of March 31, 2012. The specific covenants to which we are subject and the actual results achieved for the three month period ended March 31, 2012 are stated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Actual</w:t>
            </w:r>
          </w:p>
        </w:tc>
      </w:tr>
      <w:tr>
        <w:trPr>
          <w:trHeight w:val="149"/>
        </w:trPr>
        <w:tc>
          <w:tcPr>
            <w:tcW w:w="1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Level</w:t>
            </w:r>
          </w:p>
        </w:tc>
      </w:tr>
      <w:tr>
        <w:trPr>
          <w:trHeight w:val="168"/>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Financial Covenants</w:t>
            </w:r>
          </w:p>
        </w:tc>
        <w:tc>
          <w:tcPr>
            <w:tcW w:w="260" w:type="dxa"/>
            <w:vAlign w:val="bottom"/>
          </w:tcPr>
          <w:p>
            <w:pPr>
              <w:spacing w:after="0"/>
              <w:rPr>
                <w:sz w:val="14"/>
                <w:szCs w:val="14"/>
                <w:color w:val="auto"/>
              </w:rPr>
            </w:pPr>
          </w:p>
        </w:tc>
        <w:tc>
          <w:tcPr>
            <w:tcW w:w="7240" w:type="dxa"/>
            <w:vAlign w:val="bottom"/>
            <w:tcBorders>
              <w:bottom w:val="single" w:sz="8" w:color="auto"/>
            </w:tcBorders>
          </w:tcPr>
          <w:p>
            <w:pPr>
              <w:ind w:left="2880"/>
              <w:spacing w:after="0"/>
              <w:rPr>
                <w:sz w:val="20"/>
                <w:szCs w:val="20"/>
                <w:color w:val="auto"/>
              </w:rPr>
            </w:pPr>
            <w:r>
              <w:rPr>
                <w:rFonts w:ascii="Arial" w:cs="Arial" w:eastAsia="Arial" w:hAnsi="Arial"/>
                <w:sz w:val="14"/>
                <w:szCs w:val="14"/>
                <w:b w:val="1"/>
                <w:bCs w:val="1"/>
                <w:color w:val="auto"/>
              </w:rPr>
              <w:t>Required Covenant Level</w:t>
            </w:r>
          </w:p>
        </w:tc>
        <w:tc>
          <w:tcPr>
            <w:tcW w:w="2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Achieved</w:t>
            </w:r>
          </w:p>
        </w:tc>
      </w:tr>
      <w:tr>
        <w:trPr>
          <w:trHeight w:val="309"/>
        </w:trPr>
        <w:tc>
          <w:tcPr>
            <w:tcW w:w="1860" w:type="dxa"/>
            <w:vAlign w:val="bottom"/>
            <w:gridSpan w:val="2"/>
          </w:tcPr>
          <w:p>
            <w:pPr>
              <w:spacing w:after="0"/>
              <w:rPr>
                <w:sz w:val="20"/>
                <w:szCs w:val="20"/>
                <w:color w:val="auto"/>
              </w:rPr>
            </w:pPr>
            <w:r>
              <w:rPr>
                <w:rFonts w:ascii="Arial" w:cs="Arial" w:eastAsia="Arial" w:hAnsi="Arial"/>
                <w:sz w:val="18"/>
                <w:szCs w:val="18"/>
                <w:color w:val="auto"/>
              </w:rPr>
              <w:t>Interest coverage ratio</w:t>
            </w:r>
          </w:p>
        </w:tc>
        <w:tc>
          <w:tcPr>
            <w:tcW w:w="7700" w:type="dxa"/>
            <w:vAlign w:val="bottom"/>
            <w:gridSpan w:val="3"/>
          </w:tcPr>
          <w:p>
            <w:pPr>
              <w:ind w:left="260"/>
              <w:spacing w:after="0"/>
              <w:rPr>
                <w:sz w:val="20"/>
                <w:szCs w:val="20"/>
                <w:color w:val="auto"/>
              </w:rPr>
            </w:pPr>
            <w:r>
              <w:rPr>
                <w:rFonts w:ascii="Arial" w:cs="Arial" w:eastAsia="Arial" w:hAnsi="Arial"/>
                <w:sz w:val="18"/>
                <w:szCs w:val="18"/>
                <w:color w:val="auto"/>
              </w:rPr>
              <w:t>Not to be less than 3.00 to 1.00 as of the last day of any fiscal quarter</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7.51 to 1.00</w:t>
            </w:r>
          </w:p>
        </w:tc>
      </w:tr>
      <w:tr>
        <w:trPr>
          <w:trHeight w:val="324"/>
        </w:trPr>
        <w:tc>
          <w:tcPr>
            <w:tcW w:w="1860" w:type="dxa"/>
            <w:vAlign w:val="bottom"/>
            <w:gridSpan w:val="2"/>
          </w:tcPr>
          <w:p>
            <w:pPr>
              <w:spacing w:after="0"/>
              <w:rPr>
                <w:sz w:val="20"/>
                <w:szCs w:val="20"/>
                <w:color w:val="auto"/>
              </w:rPr>
            </w:pPr>
            <w:r>
              <w:rPr>
                <w:rFonts w:ascii="Arial" w:cs="Arial" w:eastAsia="Arial" w:hAnsi="Arial"/>
                <w:sz w:val="18"/>
                <w:szCs w:val="18"/>
                <w:color w:val="auto"/>
              </w:rPr>
              <w:t>Fixed charge coverage</w:t>
            </w:r>
          </w:p>
        </w:tc>
        <w:tc>
          <w:tcPr>
            <w:tcW w:w="7700" w:type="dxa"/>
            <w:vAlign w:val="bottom"/>
            <w:gridSpan w:val="3"/>
          </w:tcPr>
          <w:p>
            <w:pPr>
              <w:ind w:left="260"/>
              <w:spacing w:after="0"/>
              <w:rPr>
                <w:sz w:val="20"/>
                <w:szCs w:val="20"/>
                <w:color w:val="auto"/>
              </w:rPr>
            </w:pPr>
            <w:r>
              <w:rPr>
                <w:rFonts w:ascii="Arial" w:cs="Arial" w:eastAsia="Arial" w:hAnsi="Arial"/>
                <w:sz w:val="18"/>
                <w:szCs w:val="18"/>
                <w:color w:val="auto"/>
              </w:rPr>
              <w:t>Not to be less than 1.00 to 1.00 as of the last day of any fiscal quarter</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1.30 to 1.00</w:t>
            </w:r>
          </w:p>
        </w:tc>
      </w:tr>
      <w:tr>
        <w:trPr>
          <w:trHeight w:val="324"/>
        </w:trPr>
        <w:tc>
          <w:tcPr>
            <w:tcW w:w="1860" w:type="dxa"/>
            <w:vAlign w:val="bottom"/>
            <w:gridSpan w:val="2"/>
          </w:tcPr>
          <w:p>
            <w:pPr>
              <w:spacing w:after="0"/>
              <w:rPr>
                <w:sz w:val="20"/>
                <w:szCs w:val="20"/>
                <w:color w:val="auto"/>
              </w:rPr>
            </w:pPr>
            <w:r>
              <w:rPr>
                <w:rFonts w:ascii="Arial" w:cs="Arial" w:eastAsia="Arial" w:hAnsi="Arial"/>
                <w:sz w:val="18"/>
                <w:szCs w:val="18"/>
                <w:color w:val="auto"/>
              </w:rPr>
              <w:t>Leverage ratio</w:t>
            </w:r>
          </w:p>
        </w:tc>
        <w:tc>
          <w:tcPr>
            <w:tcW w:w="7700" w:type="dxa"/>
            <w:vAlign w:val="bottom"/>
            <w:gridSpan w:val="3"/>
          </w:tcPr>
          <w:p>
            <w:pPr>
              <w:ind w:left="260"/>
              <w:spacing w:after="0"/>
              <w:rPr>
                <w:sz w:val="20"/>
                <w:szCs w:val="20"/>
                <w:color w:val="auto"/>
              </w:rPr>
            </w:pPr>
            <w:r>
              <w:rPr>
                <w:rFonts w:ascii="Arial" w:cs="Arial" w:eastAsia="Arial" w:hAnsi="Arial"/>
                <w:sz w:val="18"/>
                <w:szCs w:val="18"/>
                <w:color w:val="auto"/>
              </w:rPr>
              <w:t>Not to exceed 2.50 to 1.00 for the most recently completed four fiscal quarters</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1.88 to 1.00</w:t>
            </w:r>
          </w:p>
        </w:tc>
      </w:tr>
      <w:tr>
        <w:trPr>
          <w:trHeight w:val="324"/>
        </w:trPr>
        <w:tc>
          <w:tcPr>
            <w:tcW w:w="186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7700" w:type="dxa"/>
            <w:vAlign w:val="bottom"/>
            <w:gridSpan w:val="3"/>
          </w:tcPr>
          <w:p>
            <w:pPr>
              <w:ind w:left="260"/>
              <w:spacing w:after="0"/>
              <w:rPr>
                <w:sz w:val="20"/>
                <w:szCs w:val="20"/>
                <w:color w:val="auto"/>
              </w:rPr>
            </w:pPr>
            <w:r>
              <w:rPr>
                <w:rFonts w:ascii="Arial" w:cs="Arial" w:eastAsia="Arial" w:hAnsi="Arial"/>
                <w:sz w:val="18"/>
                <w:szCs w:val="18"/>
                <w:color w:val="auto"/>
              </w:rPr>
              <w:t>Not to invest more than $25,524 during the fiscal year 2012</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4,079</w:t>
            </w:r>
          </w:p>
        </w:tc>
      </w:tr>
    </w:tbl>
    <w:p>
      <w:pPr>
        <w:spacing w:after="0" w:line="15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Many of our locations use the Euro as their functional currency. In 2012, the fluctuation of the Euro against the U.S. Dollar unfavorably impacted revenue, increased the value of assets and liabilities of certain foreign subsidiaries and had an unfavorable impact on net income from the translation of net income of certain foreign subsidiaries. As of March 31, 2012, no currency hedges were in place. Changes in value of the U.S. Dollar and/or Euro against foreign currencies could impair our ability to compete with international competitors for foreign as well as domestic sales.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have made planned capital expenditures totaling $4.1 million as of March 31, 2012. During 2012, we expect to spend between $15.0 million and $20.0 million on capital expenditures, the majority of which relate to new or expanded business. We believe that funds generated from operations and borrowings from our credit facilities will be sufficient to finance our capital expenditures and working capital needs through March 2013. We base this assertion on our current availability for borrowing of up to $38.8 million and our forecasted positive cash flow from operations for the remaining quarters of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Historically, our net sales in the Metal Bearing Components Segment have been of a seasonal nature due to the fact that a significant portion of our sales are to European customers that have significantly slower production during the month of August.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our annual report on Form 10-K for the year ended December 31, 2011, including those policies as discussed in Note 1 to the annual report. There have been no changes to these policies during the three month period ended March 31, 2012.</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March 31, 2012, we had $50.2 million outstanding under our variable rate revolving credit facilities and $37.1 million fixed rate notes outstanding. See Note 8 of the Notes to Condensed Consolidated Financial Statements. At March 31, 2012, a one-percent increase in the interest rate charged on our outstanding variable rate borrowings would result in interest expense increasing annually by approximately $0.5 million.</w:t>
      </w:r>
    </w:p>
    <w:p>
      <w:pPr>
        <w:spacing w:after="0" w:line="12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We did not hold a position in any foreign currency hedging instruments as of March 31, 2012.</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the design and operation of our disclosure controls and procedures pursuant to Rule 13a-15 and 15d-15 of the Securities Exchange Act of 1934 (the “Exchange Act”). Based upon that evaluation, the Chief Executive Officer and Chief Financial Officer, concluded that our disclosure controls and procedures are effective as of March 31, 2012, the end of the period covered by this quarterly report.</w:t>
      </w:r>
    </w:p>
    <w:p>
      <w:pPr>
        <w:spacing w:after="0" w:line="11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There have been no changes in the fiscal quarter ended March 31, 2012 in our internal control over financial reporting that have materially affected, or are reasonably likely to materially affect, our internal control over financial reporting.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As described more fully in our Form 10-K for 2011, we continue to monitor the remediation efforts at a former waste recycling vendor used by our former Walterboro, South Carolina facility. The costs associated with the remediation, which has been tentatively approved by the EPA, are estimated to be approximately $10 million of which our allocated share is approximately $0.1 million which has been fully accrued for as of March 31, 2012. While there can be no assurances, we believe that the $0.1 million is the maximum amount for which we will be liable under the tentatively accepted remediation plan.</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discussed more fully in Note 1 of the Notes to Condensed Consolidated Financial Statements, the ultimate impact on NN of Eltmann filing for bankruptcy will depend on the findings of the bankruptcy court. However, until such court proceedings are finalized, we will not be able to determine what liabilities and contingent obligations, if any, might remain as the responsibility of NN. Under advice from legal counsel, NN does not expect any further significant impacts on our consolidated financial statements as a result of the liquidation of this subsidiary.</w:t>
      </w:r>
    </w:p>
    <w:p>
      <w:pPr>
        <w:spacing w:after="0" w:line="143"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All of our other legal proceedings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risk factors are disclosed in our Annual Report on Form 10-K for the fiscal year ended December 31, 2011 under Item 1.A. “Risk Factors.” There have been no material changes to these risk factors since December 31,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8"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5"/>
          <w:szCs w:val="15"/>
          <w:color w:val="auto"/>
        </w:rPr>
        <w:t>Certification Pursuant to Rules 13a-14(a) and 15d-14(a) under the Securities Exchange Act of 1934, as amended.</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color w:val="auto"/>
        </w:rPr>
        <w:t>Certification Pursuant to Rules 13a-14(a) and 15d-14(a) under the Securities Exchange Act of 1934, as amended.</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Sarbanes-Oxley Act.</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Sarbanes-Oxley 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NN, Inc.</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r>
      <w:tr>
        <w:trPr>
          <w:trHeight w:val="433"/>
        </w:trPr>
        <w:tc>
          <w:tcPr>
            <w:tcW w:w="3480" w:type="dxa"/>
            <w:vAlign w:val="bottom"/>
          </w:tcPr>
          <w:p>
            <w:pPr>
              <w:spacing w:after="0"/>
              <w:rPr>
                <w:sz w:val="20"/>
                <w:szCs w:val="20"/>
                <w:color w:val="auto"/>
              </w:rPr>
            </w:pPr>
            <w:r>
              <w:rPr>
                <w:rFonts w:ascii="Arial" w:cs="Arial" w:eastAsia="Arial" w:hAnsi="Arial"/>
                <w:sz w:val="18"/>
                <w:szCs w:val="18"/>
                <w:color w:val="auto"/>
              </w:rPr>
              <w:t>Date: May 8, 2012</w:t>
            </w:r>
          </w:p>
        </w:tc>
        <w:tc>
          <w:tcPr>
            <w:tcW w:w="270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Roderick R. Baty</w:t>
            </w:r>
          </w:p>
        </w:tc>
      </w:tr>
      <w:tr>
        <w:trPr>
          <w:trHeight w:val="216"/>
        </w:trPr>
        <w:tc>
          <w:tcPr>
            <w:tcW w:w="3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Roderick R. Baty,</w:t>
            </w:r>
          </w:p>
        </w:tc>
      </w:tr>
      <w:tr>
        <w:trPr>
          <w:trHeight w:val="216"/>
        </w:trPr>
        <w:tc>
          <w:tcPr>
            <w:tcW w:w="3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22"/>
        </w:trPr>
        <w:tc>
          <w:tcPr>
            <w:tcW w:w="34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(Duly Authorized Officer)</w:t>
            </w:r>
          </w:p>
        </w:tc>
      </w:tr>
      <w:tr>
        <w:trPr>
          <w:trHeight w:val="433"/>
        </w:trPr>
        <w:tc>
          <w:tcPr>
            <w:tcW w:w="3480" w:type="dxa"/>
            <w:vAlign w:val="bottom"/>
          </w:tcPr>
          <w:p>
            <w:pPr>
              <w:spacing w:after="0"/>
              <w:rPr>
                <w:sz w:val="20"/>
                <w:szCs w:val="20"/>
                <w:color w:val="auto"/>
              </w:rPr>
            </w:pPr>
            <w:r>
              <w:rPr>
                <w:rFonts w:ascii="Arial" w:cs="Arial" w:eastAsia="Arial" w:hAnsi="Arial"/>
                <w:sz w:val="18"/>
                <w:szCs w:val="18"/>
                <w:color w:val="auto"/>
              </w:rPr>
              <w:t>Date: May 8, 2012</w:t>
            </w:r>
          </w:p>
        </w:tc>
        <w:tc>
          <w:tcPr>
            <w:tcW w:w="270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 Dorton</w:t>
            </w:r>
          </w:p>
        </w:tc>
      </w:tr>
      <w:tr>
        <w:trPr>
          <w:trHeight w:val="216"/>
        </w:trPr>
        <w:tc>
          <w:tcPr>
            <w:tcW w:w="3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James H. Dorton</w:t>
            </w:r>
          </w:p>
        </w:tc>
      </w:tr>
      <w:tr>
        <w:trPr>
          <w:trHeight w:val="216"/>
        </w:trPr>
        <w:tc>
          <w:tcPr>
            <w:tcW w:w="3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 Corporate Development and</w:t>
            </w:r>
          </w:p>
        </w:tc>
      </w:tr>
      <w:tr>
        <w:trPr>
          <w:trHeight w:val="216"/>
        </w:trPr>
        <w:tc>
          <w:tcPr>
            <w:tcW w:w="3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22"/>
        </w:trPr>
        <w:tc>
          <w:tcPr>
            <w:tcW w:w="34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(Duly Authorized Officer)</w:t>
            </w:r>
          </w:p>
        </w:tc>
      </w:tr>
      <w:tr>
        <w:trPr>
          <w:trHeight w:val="433"/>
        </w:trPr>
        <w:tc>
          <w:tcPr>
            <w:tcW w:w="3480" w:type="dxa"/>
            <w:vAlign w:val="bottom"/>
          </w:tcPr>
          <w:p>
            <w:pPr>
              <w:spacing w:after="0"/>
              <w:rPr>
                <w:sz w:val="20"/>
                <w:szCs w:val="20"/>
                <w:color w:val="auto"/>
              </w:rPr>
            </w:pPr>
            <w:r>
              <w:rPr>
                <w:rFonts w:ascii="Arial" w:cs="Arial" w:eastAsia="Arial" w:hAnsi="Arial"/>
                <w:sz w:val="18"/>
                <w:szCs w:val="18"/>
                <w:color w:val="auto"/>
              </w:rPr>
              <w:t>Date: May 8, 2012</w:t>
            </w:r>
          </w:p>
        </w:tc>
        <w:tc>
          <w:tcPr>
            <w:tcW w:w="270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Kelly, Jr.</w:t>
            </w:r>
          </w:p>
        </w:tc>
      </w:tr>
      <w:tr>
        <w:trPr>
          <w:trHeight w:val="216"/>
        </w:trPr>
        <w:tc>
          <w:tcPr>
            <w:tcW w:w="3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William C. Kelly, Jr.,</w:t>
            </w:r>
          </w:p>
        </w:tc>
      </w:tr>
      <w:tr>
        <w:trPr>
          <w:trHeight w:val="216"/>
        </w:trPr>
        <w:tc>
          <w:tcPr>
            <w:tcW w:w="3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Vice President and</w:t>
            </w:r>
          </w:p>
        </w:tc>
      </w:tr>
      <w:tr>
        <w:trPr>
          <w:trHeight w:val="216"/>
        </w:trPr>
        <w:tc>
          <w:tcPr>
            <w:tcW w:w="3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Administrative Officer</w:t>
            </w:r>
          </w:p>
        </w:tc>
      </w:tr>
      <w:tr>
        <w:trPr>
          <w:trHeight w:val="222"/>
        </w:trPr>
        <w:tc>
          <w:tcPr>
            <w:tcW w:w="34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(Duly Authorized Officer)</w:t>
            </w:r>
          </w:p>
        </w:tc>
      </w:tr>
      <w:tr>
        <w:trPr>
          <w:trHeight w:val="433"/>
        </w:trPr>
        <w:tc>
          <w:tcPr>
            <w:tcW w:w="3480" w:type="dxa"/>
            <w:vAlign w:val="bottom"/>
          </w:tcPr>
          <w:p>
            <w:pPr>
              <w:spacing w:after="0"/>
              <w:rPr>
                <w:sz w:val="20"/>
                <w:szCs w:val="20"/>
                <w:color w:val="auto"/>
              </w:rPr>
            </w:pPr>
            <w:r>
              <w:rPr>
                <w:rFonts w:ascii="Arial" w:cs="Arial" w:eastAsia="Arial" w:hAnsi="Arial"/>
                <w:sz w:val="18"/>
                <w:szCs w:val="18"/>
                <w:color w:val="auto"/>
              </w:rPr>
              <w:t>Date: May 8, 2012</w:t>
            </w:r>
          </w:p>
        </w:tc>
        <w:tc>
          <w:tcPr>
            <w:tcW w:w="270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C. Burwell, Jr.</w:t>
            </w:r>
          </w:p>
        </w:tc>
      </w:tr>
      <w:tr>
        <w:trPr>
          <w:trHeight w:val="216"/>
        </w:trPr>
        <w:tc>
          <w:tcPr>
            <w:tcW w:w="3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Thomas C. Burwell, Jr.</w:t>
            </w:r>
          </w:p>
        </w:tc>
      </w:tr>
      <w:tr>
        <w:trPr>
          <w:trHeight w:val="216"/>
        </w:trPr>
        <w:tc>
          <w:tcPr>
            <w:tcW w:w="3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Vice President, Chief Accounting Officer and</w:t>
            </w:r>
          </w:p>
        </w:tc>
      </w:tr>
      <w:tr>
        <w:trPr>
          <w:trHeight w:val="216"/>
        </w:trPr>
        <w:tc>
          <w:tcPr>
            <w:tcW w:w="3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Corporate Controller</w:t>
            </w:r>
          </w:p>
        </w:tc>
      </w:tr>
      <w:tr>
        <w:trPr>
          <w:trHeight w:val="222"/>
        </w:trPr>
        <w:tc>
          <w:tcPr>
            <w:tcW w:w="34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365"/>
        </w:trPr>
        <w:tc>
          <w:tcPr>
            <w:tcW w:w="3480" w:type="dxa"/>
            <w:vAlign w:val="bottom"/>
          </w:tcPr>
          <w:p>
            <w:pPr>
              <w:spacing w:after="0"/>
              <w:rPr>
                <w:sz w:val="24"/>
                <w:szCs w:val="24"/>
                <w:color w:val="auto"/>
              </w:rPr>
            </w:pPr>
          </w:p>
        </w:tc>
        <w:tc>
          <w:tcPr>
            <w:tcW w:w="2700" w:type="dxa"/>
            <w:vAlign w:val="bottom"/>
          </w:tcPr>
          <w:p>
            <w:pPr>
              <w:jc w:val="right"/>
              <w:ind w:right="292"/>
              <w:spacing w:after="0"/>
              <w:rPr>
                <w:sz w:val="20"/>
                <w:szCs w:val="20"/>
                <w:color w:val="auto"/>
              </w:rPr>
            </w:pPr>
            <w:r>
              <w:rPr>
                <w:rFonts w:ascii="Arial" w:cs="Arial" w:eastAsia="Arial" w:hAnsi="Arial"/>
                <w:sz w:val="18"/>
                <w:szCs w:val="18"/>
                <w:color w:val="auto"/>
              </w:rPr>
              <w:t>19</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CERTIFICATION PURSUANT TO RULES 13a-14(a) AND 15d-14(a) UNDER THE SECURITIES EXCHANGE ACT OF 1934, AS AMENDED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Roderick R. Baty, certify that:</w:t>
      </w:r>
    </w:p>
    <w:p>
      <w:pPr>
        <w:spacing w:after="0" w:line="9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4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8, 2012</w:t>
      </w:r>
      <w:r>
        <w:rPr>
          <w:sz w:val="20"/>
          <w:szCs w:val="20"/>
          <w:color w:val="auto"/>
        </w:rPr>
        <w:tab/>
      </w:r>
      <w:r>
        <w:rPr>
          <w:rFonts w:ascii="Arial" w:cs="Arial" w:eastAsia="Arial" w:hAnsi="Arial"/>
          <w:sz w:val="16"/>
          <w:szCs w:val="16"/>
          <w:color w:val="auto"/>
        </w:rPr>
        <w:t>/s/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Roderick R. Baty</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President and Chief Executive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CERTIFICATION PURSUANT TO RULES 13a-14(a) AND 15d-14(a) UNDER THE SECURITIES EXCHANGE ACT OF 1934, AS AMENDED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9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4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8, 2012</w:t>
      </w:r>
      <w:r>
        <w:rPr>
          <w:sz w:val="20"/>
          <w:szCs w:val="20"/>
          <w:color w:val="auto"/>
        </w:rPr>
        <w:tab/>
      </w:r>
      <w:r>
        <w:rPr>
          <w:rFonts w:ascii="Arial" w:cs="Arial" w:eastAsia="Arial" w:hAnsi="Arial"/>
          <w:sz w:val="15"/>
          <w:szCs w:val="15"/>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James H. Dorton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Senior Vice President – Corporate Development and Chief Financial</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March 31, 2012,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8, 2012</w:t>
      </w:r>
      <w:r>
        <w:rPr>
          <w:sz w:val="20"/>
          <w:szCs w:val="20"/>
          <w:color w:val="auto"/>
        </w:rPr>
        <w:tab/>
      </w:r>
      <w:r>
        <w:rPr>
          <w:rFonts w:ascii="Arial" w:cs="Arial" w:eastAsia="Arial" w:hAnsi="Arial"/>
          <w:sz w:val="16"/>
          <w:szCs w:val="16"/>
          <w:color w:val="auto"/>
        </w:rPr>
        <w:t>/s/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Roderick R. Baty</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President and Chief Executive Officer</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March 31, 2012,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8, 2012</w:t>
      </w:r>
      <w:r>
        <w:rPr>
          <w:sz w:val="20"/>
          <w:szCs w:val="20"/>
          <w:color w:val="auto"/>
        </w:rPr>
        <w:tab/>
      </w:r>
      <w:r>
        <w:rPr>
          <w:rFonts w:ascii="Arial" w:cs="Arial" w:eastAsia="Arial" w:hAnsi="Arial"/>
          <w:sz w:val="15"/>
          <w:szCs w:val="15"/>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James H. Dorton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Senior Vice President – Corporate Development and Chief Financial</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Officer</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2019-12-09T10:54:06Z</dcterms:created>
  <dcterms:modified xsi:type="dcterms:W3CDTF">2019-12-09T10:54:06Z</dcterms:modified>
</cp:coreProperties>
</file>