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30" w:right="2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180" w:space="160"/>
            <w:col w:w="280" w:space="80"/>
            <w:col w:w="160" w:space="180"/>
            <w:col w:w="220" w:space="100"/>
            <w:col w:w="206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5, 2013, there were 17,452,233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40" w:type="dxa"/>
            <w:vAlign w:val="bottom"/>
            <w:gridSpan w:val="7"/>
          </w:tcPr>
          <w:p>
            <w:pPr>
              <w:jc w:val="center"/>
              <w:ind w:right="4680"/>
              <w:spacing w:after="0"/>
              <w:rPr>
                <w:sz w:val="20"/>
                <w:szCs w:val="20"/>
                <w:color w:val="auto"/>
              </w:rPr>
            </w:pPr>
            <w:r>
              <w:rPr>
                <w:rFonts w:ascii="Arial" w:cs="Arial" w:eastAsia="Arial" w:hAnsi="Arial"/>
                <w:sz w:val="18"/>
                <w:szCs w:val="18"/>
                <w:b w:val="1"/>
                <w:bCs w:val="1"/>
                <w:color w:val="auto"/>
                <w:w w:val="95"/>
              </w:rPr>
              <w:t>NN, Inc.</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7"/>
          </w:tcPr>
          <w:p>
            <w:pPr>
              <w:jc w:val="center"/>
              <w:ind w:right="470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60" w:type="dxa"/>
            <w:vAlign w:val="bottom"/>
            <w:gridSpan w:val="6"/>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520" w:type="dxa"/>
            <w:vAlign w:val="bottom"/>
            <w:gridSpan w:val="14"/>
            <w:vMerge w:val="restart"/>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Page No.</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6"/>
            <w:vMerge w:val="continue"/>
          </w:tcPr>
          <w:p>
            <w:pPr>
              <w:spacing w:after="0"/>
              <w:rPr>
                <w:sz w:val="13"/>
                <w:szCs w:val="13"/>
                <w:color w:val="auto"/>
              </w:rPr>
            </w:pPr>
          </w:p>
        </w:tc>
        <w:tc>
          <w:tcPr>
            <w:tcW w:w="8520" w:type="dxa"/>
            <w:vAlign w:val="bottom"/>
            <w:gridSpan w:val="14"/>
            <w:vMerge w:val="continue"/>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Comprehensive Income for the three and nine months ended September 30, 2013 and 2012</w:t>
              </w:r>
            </w:hyperlink>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72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September 30, 2013 and December 31, 2012 (unaudited)</w:t>
              </w:r>
            </w:hyperlink>
          </w:p>
        </w:tc>
        <w:tc>
          <w:tcPr>
            <w:tcW w:w="254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Stockholders’ Equity for the nine months ended September 30, 2013</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120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2013 and 2012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870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08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548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20"/>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46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44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802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700" w:type="dxa"/>
            <w:vAlign w:val="bottom"/>
            <w:tcBorders>
              <w:top w:val="single" w:sz="8" w:color="0000EE"/>
            </w:tcBorders>
            <w:gridSpan w:val="5"/>
          </w:tcPr>
          <w:p>
            <w:pPr>
              <w:spacing w:after="0"/>
              <w:rPr>
                <w:sz w:val="24"/>
                <w:szCs w:val="24"/>
                <w:color w:val="auto"/>
              </w:rPr>
            </w:pPr>
          </w:p>
        </w:tc>
        <w:tc>
          <w:tcPr>
            <w:tcW w:w="848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8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Signatures</w:t>
              </w:r>
            </w:hyperlink>
          </w:p>
        </w:tc>
        <w:tc>
          <w:tcPr>
            <w:tcW w:w="8960" w:type="dxa"/>
            <w:vAlign w:val="bottom"/>
            <w:gridSpan w:val="1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4"/>
                <w:szCs w:val="24"/>
                <w:color w:val="auto"/>
              </w:rPr>
            </w:pPr>
          </w:p>
        </w:tc>
        <w:tc>
          <w:tcPr>
            <w:tcW w:w="4860" w:type="dxa"/>
            <w:vAlign w:val="bottom"/>
            <w:gridSpan w:val="13"/>
          </w:tcPr>
          <w:p>
            <w:pPr>
              <w:jc w:val="center"/>
              <w:ind w:left="4470"/>
              <w:spacing w:after="0"/>
              <w:rPr>
                <w:sz w:val="20"/>
                <w:szCs w:val="20"/>
                <w:color w:val="auto"/>
              </w:rPr>
            </w:pPr>
            <w:r>
              <w:rPr>
                <w:rFonts w:ascii="Arial" w:cs="Arial" w:eastAsia="Arial" w:hAnsi="Arial"/>
                <w:sz w:val="18"/>
                <w:szCs w:val="18"/>
                <w:color w:val="auto"/>
                <w:w w:val="99"/>
              </w:rPr>
              <w:t>1</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780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100" w:type="dxa"/>
            <w:vAlign w:val="bottom"/>
          </w:tcPr>
          <w:p>
            <w:pPr>
              <w:spacing w:after="0"/>
              <w:rPr>
                <w:sz w:val="15"/>
                <w:szCs w:val="15"/>
                <w:color w:val="auto"/>
              </w:rPr>
            </w:pPr>
          </w:p>
        </w:tc>
        <w:tc>
          <w:tcPr>
            <w:tcW w:w="172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7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93,023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86,586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283,125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289,929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73,020</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68,426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223,288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229,243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12,935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loss on disposal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80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17,302</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17,044</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17,125</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17,450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17,150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for doubtful accounts of $471 and $311, respectively</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65,783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8,411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126,771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117,488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Intangible asset, net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3,755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261,430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43,172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salaries, wages and benefits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5,714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6,438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3,975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10,368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116,577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144,853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128,560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261,430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5"/>
              </w:rPr>
              <w:t>Common Stock</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1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 Paid</w:t>
            </w: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 and Shares)</w:t>
            </w:r>
          </w:p>
        </w:tc>
        <w:tc>
          <w:tcPr>
            <w:tcW w:w="1100" w:type="dxa"/>
            <w:vAlign w:val="bottom"/>
            <w:gridSpan w:val="3"/>
            <w:vMerge w:val="continue"/>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Capital</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Income</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January 1, 2013</w:t>
            </w:r>
          </w:p>
        </w:tc>
        <w:tc>
          <w:tcPr>
            <w:tcW w:w="2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170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$51,880</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$128,560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11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12,693</w:t>
            </w:r>
          </w:p>
        </w:tc>
        <w:tc>
          <w:tcPr>
            <w:tcW w:w="180" w:type="dxa"/>
            <w:vAlign w:val="bottom"/>
          </w:tcPr>
          <w:p>
            <w:pPr>
              <w:spacing w:after="0"/>
              <w:rPr>
                <w:sz w:val="18"/>
                <w:szCs w:val="18"/>
                <w:color w:val="auto"/>
              </w:rPr>
            </w:pP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Shares issued for option exercises</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93"/>
              </w:rPr>
              <w:t>283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1,946</w:t>
            </w:r>
          </w:p>
        </w:tc>
        <w:tc>
          <w:tcPr>
            <w:tcW w:w="3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option expense</w:t>
            </w: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Restricted stock 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604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loss</w:t>
            </w: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Balance, September 30, 2013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60,490</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62,500</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21,689</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144,853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970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9700" w:type="dxa"/>
            <w:vAlign w:val="bottom"/>
            <w:gridSpan w:val="3"/>
            <w:vMerge w:val="continue"/>
          </w:tcPr>
          <w:p>
            <w:pPr>
              <w:spacing w:after="0"/>
              <w:rPr>
                <w:sz w:val="14"/>
                <w:szCs w:val="1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Operating Activities:</w:t>
            </w:r>
          </w:p>
        </w:tc>
        <w:tc>
          <w:tcPr>
            <w:tcW w:w="8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12,693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$ 16,062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70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12,935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debt issuance costs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700"/>
              <w:spacing w:after="0"/>
              <w:rPr>
                <w:sz w:val="20"/>
                <w:szCs w:val="20"/>
                <w:color w:val="auto"/>
              </w:rPr>
            </w:pPr>
            <w:r>
              <w:rPr>
                <w:rFonts w:ascii="Arial" w:cs="Arial" w:eastAsia="Arial" w:hAnsi="Arial"/>
                <w:sz w:val="18"/>
                <w:szCs w:val="18"/>
                <w:color w:val="auto"/>
              </w:rPr>
              <w:t>Loss (gain) on disposal of assets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700"/>
              <w:spacing w:after="0"/>
              <w:rPr>
                <w:sz w:val="20"/>
                <w:szCs w:val="20"/>
                <w:color w:val="auto"/>
              </w:rPr>
            </w:pPr>
            <w:r>
              <w:rPr>
                <w:rFonts w:ascii="Arial" w:cs="Arial" w:eastAsia="Arial" w:hAnsi="Arial"/>
                <w:sz w:val="18"/>
                <w:szCs w:val="18"/>
                <w:color w:val="auto"/>
              </w:rPr>
              <w:t>Gain on settlement of long-term note receivable</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1060"/>
              <w:spacing w:after="0"/>
              <w:rPr>
                <w:sz w:val="20"/>
                <w:szCs w:val="20"/>
                <w:color w:val="auto"/>
              </w:rPr>
            </w:pPr>
            <w:r>
              <w:rPr>
                <w:rFonts w:ascii="Arial" w:cs="Arial" w:eastAsia="Arial" w:hAnsi="Arial"/>
                <w:sz w:val="18"/>
                <w:szCs w:val="18"/>
                <w:color w:val="auto"/>
              </w:rPr>
              <w:t>Accounts receivable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(13,412)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Inventories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1060"/>
              <w:spacing w:after="0"/>
              <w:rPr>
                <w:sz w:val="20"/>
                <w:szCs w:val="20"/>
                <w:color w:val="auto"/>
              </w:rPr>
            </w:pPr>
            <w:r>
              <w:rPr>
                <w:rFonts w:ascii="Arial" w:cs="Arial" w:eastAsia="Arial" w:hAnsi="Arial"/>
                <w:sz w:val="18"/>
                <w:szCs w:val="18"/>
                <w:color w:val="auto"/>
              </w:rPr>
              <w:t>Accounts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5,591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Other assets and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gridSpan w:val="2"/>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25,660</w:t>
            </w: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(9,057)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received from long-term note receivable</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used by investing activities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(9,054)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short-term debt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Principal payment on capital lease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long-term debt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Repayment of long-term debt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(30,715)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stock</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3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used by financing activities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(31,027)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 flows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(14,522)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Cash at Beginning of Period</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18,990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condensed consolidated financial statements of NN, Inc. have not been audited, except that the condensed consolidated balance sheet at December 31, 2012 was derived from our audited consolidated financial statements. In our opinion, these financial statements reflect all adjustments necessary to fairly state the results of operations for the three and nine month periods ended September 30, 2013 and 2012, our financial position at September 30, 2013 and December 31, 2012, and the cash flows for the nine month periods ended September 30, 2013 and 2012 on a basis consistent with our audited financial statements.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8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2012 which we filed with the Securities and Exchange Commission on March 15, 2013. The results for the three and nine month periods ended September 30, 2013 are not necessarily indicative of results for the year ending December 31, 2013 or any other future periods.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66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9,408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8,561</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24,374</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48,109</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46,150</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September 30, 2013 and December 31, 2012 totaled $4,035 and $2,644, respectively.</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difference between the basic weighted average shares outstanding and the diluted weighted average shares outstanding for all periods reported are the effect of dilutive stock options calculated using the treasury stock method. The dilutive shares for the three and nine month periods ended September 30, 2013 were 148 and 55, respectively. The dilutive shares for both the three and nine month periods ended September 30, 2012, were 106. Excluded from the dilutive shares outstanding for the three and nine month periods ended September 30, 2013 were 1,297 and 1,390, respectively, of anti-dilutive options which had exercise prices ranging from $8.54 to $14.13. There were 1,290 anti-dilutive options with exercise prices ranging from $8.86 to $14.13 excluded from the dilutive shares outstanding for both the three and nine month periods ended September 30, 2012.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2012, except for the allocation of interest to certain segments. In order to enhance the analysis of segment operating performance, from the third quarter of 2013 interest costs that were previously allocated to certain segments will be reported under Corporate and Consolidations. The 2013 and 2012 segment information below has been amended for this change in segment reporting. We evaluate segment performance based on segment net income or loss. We account for inter-segment sales and transfers at current market prices. We did not have any significant inter-segment transactions during the three and nine month periods ended September 30, 2013 and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1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Precision</w:t>
            </w: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Plastic and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Rubber</w:t>
            </w:r>
          </w:p>
        </w:tc>
        <w:tc>
          <w:tcPr>
            <w:tcW w:w="18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2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Components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gridSpan w:val="5"/>
            <w:vMerge w:val="continue"/>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Segment</w:t>
            </w:r>
          </w:p>
        </w:tc>
        <w:tc>
          <w:tcPr>
            <w:tcW w:w="1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1660" w:type="dxa"/>
            <w:vAlign w:val="bottom"/>
            <w:tcBorders>
              <w:top w:val="single" w:sz="8" w:color="CCEEFF"/>
              <w:bottom w:val="single" w:sz="8" w:color="auto"/>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89"/>
              </w:rPr>
              <w:t>September 30, 2013</w:t>
            </w: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4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64,817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18,790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9,416</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Nine Months ended September 30, 2013</w:t>
            </w: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194,374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27,675</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283,125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14,339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4,205</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(6,313)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193,270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39,440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17,734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261,430</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100" w:type="dxa"/>
            <w:vAlign w:val="bottom"/>
          </w:tcPr>
          <w:p>
            <w:pPr>
              <w:spacing w:after="0"/>
              <w:rPr>
                <w:sz w:val="24"/>
                <w:szCs w:val="2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Precision</w:t>
            </w: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Plastic and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Rubber</w:t>
            </w:r>
          </w:p>
        </w:tc>
        <w:tc>
          <w:tcPr>
            <w:tcW w:w="18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2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Components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gridSpan w:val="5"/>
            <w:vMerge w:val="continue"/>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Segment</w:t>
            </w:r>
          </w:p>
        </w:tc>
        <w:tc>
          <w:tcPr>
            <w:tcW w:w="1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1660" w:type="dxa"/>
            <w:vAlign w:val="bottom"/>
            <w:tcBorders>
              <w:top w:val="single" w:sz="8" w:color="CCEEFF"/>
              <w:bottom w:val="single" w:sz="8" w:color="auto"/>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89"/>
              </w:rPr>
              <w:t>September 30, 2012</w:t>
            </w: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4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58,298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17,132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11,156</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Nine Months ended September 30, 2012</w:t>
            </w: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196,196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32,728</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289,929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17,718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6,055</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2,725</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199,063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20,629</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261,064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gridSpan w:val="2"/>
          </w:tcPr>
          <w:p>
            <w:pPr>
              <w:ind w:left="1260"/>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Post-Employment Benefit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provide certain post-employment benefits to employees at our Pinerolo and Veenendaal Plants that are either required by law or are local labor practice.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plans are described below.</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accordance with Italian law, we have an unfunded severance plan covering our Pinerolo Plant employees under which all employees at that location are entitled to receive severance indemnities upon termination of their employment.</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certain plans that cover our Veenendaal Plant employees that provide awards for employees who achieve 25 or 40 years of service and awards for employees upon retirement. The plans are unfunded and the benefits are based on years of service and rate of compensation at the time the award is paid.</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amounts shown in the table below represent the combined actual liabilities at September 30, 2013 and December 31, 2012, reported under Other non-current liabilities in the Condensed Consolidated Balance Sheets.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500" w:type="dxa"/>
            <w:vAlign w:val="bottom"/>
            <w:gridSpan w:val="4"/>
          </w:tcPr>
          <w:p>
            <w:pPr>
              <w:ind w:left="120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accrued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employees/government managed plan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(1,477)</w:t>
            </w: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New Accounting Pronouncements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2013, the Financial Accounting Standards Board issued accounting guidance to enhance the disclosure of amounts reclassified out of accumulated other comprehensive income. The new disclosure guidelines require the presentation of significant amounts reclassified out of accumulated other comprehensive income by the respective line items of net income in the event the amount reclassified is required to be reclassified in its entirety in the same reporting period. The presentation can be on the face of the statement where net income is presented or in the notes and reported by component. For amounts not required to be reclassified in its entirety in the same reporting period to net income, an entity is required to cross-reference other required disclosures. This guidance is effective for reporting periods beginning after December 15, 2012. We have concluded that the new guidance did not have an impact on our financial position or results of operations.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March 2013, the Financial Accounting Standards Board issued amended accounting guidance that addresses the release of cumulative translation adjustments into net income when a reporting entity (parent) ceases to have a controlling financial interest in a subsidiary or group of assets that is a business (other than an in-substance real estate sale or oil/gas mineral rights) within a foreign entity. The cumulative translation adjustments should be released into net income only if the sale or transfer results in the complete or substantially complete liquidation of the foreign entity in which the subsidiary or group of assets had resided. Additionally, in the event of a step acquisition when the acquirer obtains control of an acquiree in which it held an equity interest immediately prior to the acquisition, the cumulative translation adjustments would be released into net income. This guidance is effective prospectively for reporting periods beginning after December 15, 2013. We have concluded that the new guidance will not have an impact on our financial position or results of operations.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and Short-Term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September 30, 2013 and December 31, 2012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6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82"/>
        </w:trPr>
        <w:tc>
          <w:tcPr>
            <w:tcW w:w="6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Borrowings under our $100,000 revolving credit facility bearing interest at a</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 equal to LIBOR (0.25% at September 30, 2013) plus an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applicable margin of 1.50% at September 30, 2013, expiring October 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w:t>
            </w:r>
          </w:p>
        </w:tc>
        <w:tc>
          <w:tcPr>
            <w:tcW w:w="100" w:type="dxa"/>
            <w:vAlign w:val="bottom"/>
            <w:shd w:val="clear" w:color="auto" w:fill="CCEEFF"/>
          </w:tcPr>
          <w:p>
            <w:pPr>
              <w:spacing w:after="0"/>
              <w:rPr>
                <w:sz w:val="20"/>
                <w:szCs w:val="20"/>
                <w:color w:val="auto"/>
              </w:rPr>
            </w:pP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rPr>
              <w:t>Borrowings under our $40,000 aggregate principal amount of fixed rate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notes bearing interest at a fixed rate of 4.89% maturing on April 26, 2014.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Annual principal payments of $5,714 began on April 26, 2008 and extend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through the date of maturity.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5,714</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20"/>
                <w:szCs w:val="20"/>
                <w:color w:val="auto"/>
              </w:rPr>
            </w:pPr>
          </w:p>
        </w:tc>
      </w:tr>
      <w:tr>
        <w:trPr>
          <w:trHeight w:val="202"/>
        </w:trPr>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our $20,000 aggregate principal amount of fixed rate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bearing interest at a fixed rate of 4.64% maturing on December 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 Annual principal payments of $4,000 will begin on December 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and extend through the date of maturity.</w:t>
            </w: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38,714</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69,516</w:t>
            </w:r>
          </w:p>
        </w:tc>
        <w:tc>
          <w:tcPr>
            <w:tcW w:w="100" w:type="dxa"/>
            <w:vAlign w:val="bottom"/>
          </w:tcPr>
          <w:p>
            <w:pPr>
              <w:spacing w:after="0"/>
              <w:rPr>
                <w:sz w:val="19"/>
                <w:szCs w:val="19"/>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Long-term debt, excluding current maturities of long-term debt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63,715</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October 26, 2012, we amended our $100,000 revolving credit facility agented by KeyBank and our fixed rate notes with Prudential Capital in order to take advantage of lower interest rates, to extend the maturity of the revolving credit facility to October 26, 2017, and to remove certain restrictions on acquisitions, payments of dividends and stock repurchases. The amended interest rates on our revolving credit facility are LIBOR plus an applicable margin of 1.25% to 2.25% (depending on the level of debt to earnings before taxes, interest and depreciation (“EBITDA”)). Prior to the October 26, 2012 amendment, the $100,000 revolving credit facility interest rate was LIBOR plus a margin of 2.50% to 3.50% (depending on the level of debt to EBITDA). The interest rate on our $40,000 aggregate fixed rate notes, of which $5,714 was outstanding as of September 30, 2013, was reduced from 5.39% to 4.89%. The amended agreements allow us to undertake acquisitions, pay dividends, and repurchase stock provided we are in compliance with specified covenants. Additionally, the minimum fixed charge coverage ratio will remain at “not to be less than 1.00 to 1.00 as of the last day of any fiscal quarter” for the full terms of the amended agreements.</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$100,000 revolving credit facility may be expanded upon our request with approval of the lenders by up to $35,000 under the same terms and conditions. The loan agreement contains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give the lenders the right to accelerate the maturity of the debt. The facility has a $10,000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September 30, 2013 and December 31, 2012, $1,715 and $2,012, respectively of net capitalized loan origination costs related to the revolving credit facility were recorded on the condensed consolidated balance sheet within other non-current assets.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$40,000 and $20,000 fixed rate agreements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We incurred costs as a result of issuing these notes which have been recorded on the condensed consolidated balance sheet within other non-current assets and are being amortized over the term of the notes. The unamortized balance at September 30, 2013 and December 31, 2012 was $35 and $157,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nine month period ended September 30, 2013 are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140" w:type="dxa"/>
            <w:vAlign w:val="bottom"/>
            <w:gridSpan w:val="4"/>
          </w:tcPr>
          <w:p>
            <w:pPr>
              <w:jc w:val="center"/>
              <w:ind w:left="1959"/>
              <w:spacing w:after="0"/>
              <w:rPr>
                <w:sz w:val="20"/>
                <w:szCs w:val="20"/>
                <w:color w:val="auto"/>
              </w:rPr>
            </w:pPr>
            <w:r>
              <w:rPr>
                <w:rFonts w:ascii="Arial" w:cs="Arial" w:eastAsia="Arial" w:hAnsi="Arial"/>
                <w:sz w:val="14"/>
                <w:szCs w:val="14"/>
                <w:b w:val="1"/>
                <w:bCs w:val="1"/>
                <w:color w:val="auto"/>
                <w:w w:val="97"/>
              </w:rPr>
              <w:t>Metal Bearing</w:t>
            </w: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216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Components</w:t>
            </w: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Segment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1"/>
              </w:rPr>
              <w:t>Balance as of January</w:t>
            </w:r>
          </w:p>
        </w:tc>
        <w:tc>
          <w:tcPr>
            <w:tcW w:w="3120" w:type="dxa"/>
            <w:vAlign w:val="bottom"/>
            <w:tcBorders>
              <w:top w:val="single" w:sz="8" w:color="CCEEFF"/>
            </w:tcBorders>
            <w:shd w:val="clear" w:color="auto" w:fill="CCEEFF"/>
          </w:tcPr>
          <w:p>
            <w:pPr>
              <w:jc w:val="right"/>
              <w:ind w:right="2370"/>
              <w:spacing w:after="0"/>
              <w:rPr>
                <w:sz w:val="20"/>
                <w:szCs w:val="20"/>
                <w:color w:val="auto"/>
              </w:rPr>
            </w:pPr>
            <w:r>
              <w:rPr>
                <w:rFonts w:ascii="Arial" w:cs="Arial" w:eastAsia="Arial" w:hAnsi="Arial"/>
                <w:sz w:val="18"/>
                <w:szCs w:val="18"/>
                <w:color w:val="auto"/>
              </w:rPr>
              <w:t>1, 2013</w:t>
            </w: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Currency translation impacts</w:t>
            </w: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goodwill balance is tested for impairment on an annual basis during the fourth quarter and between annual tests if a triggering event occurs. As of September 30, 2013, there are no indications of impairment at the remaining reporting unit with a goodwill balance.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Precision Metal Components Segment has an indefinite lived intangible asset not subject to amortization of $900 related to the value of the trade names of Whirlaway. The intangible asset balance is tested for impairment on an annual basis during the fourth quarter and between annual tests if a triggering event occurs. There are no indicators of impairment for this indefinite lived intangible asset as of September 30,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Shared-Based Compensation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and nine month periods ended September 30, 2013 and 2012, approximately $573 and $1,666 in 2013 and $510 and $1,394 in 2012, respectively, of compensation expense was recognized in selling, general and administrative expense for all share-based awards. During the nine month period ended September 30, 2013, there were 95 share awards and 354 options awards to non-executive directors, officers and certain other key employees. During the nine month period ended September 30, 2012, there were 78 share awards and 285 options awards to non-executive directors, officers and certain other key employees.</w:t>
      </w:r>
    </w:p>
    <w:p>
      <w:pPr>
        <w:spacing w:after="0" w:line="18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restricted shares granted during the nine month periods ended September 30, 2013 and 2012, vest pro-rata over three years. During the nine month periods ended September 30, 2013 and 2012, we incurred $606 and $608, respectively, in expense related to restricted stock. The fair value of the shares issued was determined by using the grant date closing price of our common stock.</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incurred $1,060 and $786 of stock option expense in the nine month periods ended September 30, 2013 and 2012, respectively. The fair value of our options cannot be determined by market value, as our options are not traded in an open market. Accordingly, the Black Scholes financial pricing model is utilized to estimate the fair value.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nine month period ended September 30,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8"/>
              </w:rPr>
              <w:t>Shares (000)</w:t>
            </w:r>
          </w:p>
        </w:tc>
        <w:tc>
          <w:tcPr>
            <w:tcW w:w="30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2"/>
                <w:szCs w:val="12"/>
                <w:color w:val="auto"/>
              </w:rPr>
            </w:pPr>
          </w:p>
        </w:tc>
        <w:tc>
          <w:tcPr>
            <w:tcW w:w="900" w:type="dxa"/>
            <w:vAlign w:val="bottom"/>
            <w:gridSpan w:val="2"/>
          </w:tcPr>
          <w:p>
            <w:pPr>
              <w:jc w:val="right"/>
              <w:ind w:right="263"/>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360" w:type="dxa"/>
            <w:vAlign w:val="bottom"/>
            <w:gridSpan w:val="3"/>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Term</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3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6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354</w:t>
            </w:r>
          </w:p>
        </w:tc>
        <w:tc>
          <w:tcPr>
            <w:tcW w:w="34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9.81</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6.89</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9.36</w:t>
            </w: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2013</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10.51</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7,301</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Exercisable at September 30, 2013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line="20" w:lineRule="exact"/>
              <w:rPr>
                <w:sz w:val="1"/>
                <w:szCs w:val="1"/>
                <w:color w:val="auto"/>
              </w:rPr>
            </w:pPr>
          </w:p>
        </w:tc>
      </w:tr>
      <w:tr>
        <w:trPr>
          <w:trHeight w:val="210"/>
        </w:trPr>
        <w:tc>
          <w:tcPr>
            <w:tcW w:w="5360" w:type="dxa"/>
            <w:vAlign w:val="bottom"/>
            <w:gridSpan w:val="3"/>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8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September 30,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Provision for Income Taxes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nine month period ended September 30, 2013, our effective tax rate of 34% was consistent with the U.S. federal statutory tax rate of 34%. For the nine month period ended September 30, 2012, the difference between the U.S. federal statutory tax rate of 34% and our effective tax rate of 19% was primarily due to utilization of the fully reserved net operating losses to offset U.S. based taxable income, which lowered tax expense by approximately $2,692. Additionally, the effective tax rate was impacted by non-U.S. based earnings being taxed at lower rates, which reduced tax expense by approximately $777.</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Effective December 31, 2012, we removed the valuation allowance on the majority of the deferred tax assets of our U.S. units as discussed in our Annual Report on Form 10-K filed March 15, 2013. As such, during the three and nine month periods ended September 30, 2013, we recognized tax expenses and benefits at our U.S. units. During the three and nine months ended September 30, 2012, we continued to place a valuation allowance on all of the net deferred tax assets of our U.S. units, the balance of which approximated $9,800 at September 30, 2012. During the three and nine month periods ended September 30, 2012, the valuation allowance on a portion of these deferred tax assets was reversed to offset U.S. pre-tax income of approximately $1,200 and $7,200, respectively, resulting in zero tax expense for the U.S. units in those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2013, we do not foresee any significant changes to our unrecognized tax benefits within the next twelve months.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All legal proceedings, with the exception of the bankruptcy of our German subsidiary discussed below,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In the aggregate, we estimate the range of potential liabilities to be $0 to approximately $3,000 assuming every case were to be decided against us. We have recognized loss contingencies of approximately $750 and $500 at September 30, 2013 and December 31, 2012, respectively, which we believe are adequate to cover all probable liabilities to be incurred by all of the cases in the aggregate.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discussed more fully in our Annual Report on Form 10-K filed March 15, 2013, the ultimate impact on NN of our wholly owned German subsidiary Kugelfertigung Eltmann GbmH (“Eltmann” or “Eltmann Plant”) filing for bankruptcy will depend on the findings of the bankruptcy court. Although the bankruptcy trustee released us from all claims related to the Eltmann bankruptcy, effective October 15, 2013, until such court proceedings are finalized, we will not be able to determine definitively if any related liabilities and contingent obligations will remain our responsibility. Under advice from legal counsel, we do not expect any further significant impacts on our condensed consolidated financial statements as a result of the liquidation of this subsidiary.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values of our fixed rate long-term borrowings are calculated by using a discounted cash flow analysis factoring in current market borrowing rates for similar types of borrowing arrangements considering our credit profile. The carrying value of our variable rate long-term borrowings is a reasonable approximation of fair value due to the variable interest rates. The fair value of our fixed rate and variable rate borrowings is determined using Level 2 inputs under the U.S. GAAP fair value hierarchy. The carrying amounts and fair values of our long-term debt are in the table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 2013</w:t>
            </w:r>
          </w:p>
        </w:tc>
        <w:tc>
          <w:tcPr>
            <w:tcW w:w="16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1500" w:type="dxa"/>
            <w:vAlign w:val="bottom"/>
            <w:vMerge w:val="restart"/>
          </w:tcPr>
          <w:p>
            <w:pPr>
              <w:spacing w:after="0"/>
              <w:rPr>
                <w:sz w:val="20"/>
                <w:szCs w:val="20"/>
                <w:color w:val="auto"/>
              </w:rPr>
            </w:pPr>
            <w:r>
              <w:rPr>
                <w:rFonts w:ascii="Arial" w:cs="Arial" w:eastAsia="Arial" w:hAnsi="Arial"/>
                <w:sz w:val="14"/>
                <w:szCs w:val="14"/>
                <w:color w:val="auto"/>
                <w:w w:val="94"/>
              </w:rPr>
              <w:t>(In Thousands of Dollars)</w:t>
            </w:r>
          </w:p>
        </w:tc>
        <w:tc>
          <w:tcPr>
            <w:tcW w:w="210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1500" w:type="dxa"/>
            <w:vAlign w:val="bottom"/>
            <w:tcBorders>
              <w:bottom w:val="single" w:sz="8" w:color="auto"/>
            </w:tcBorders>
            <w:vMerge w:val="continue"/>
          </w:tcPr>
          <w:p>
            <w:pPr>
              <w:spacing w:after="0"/>
              <w:rPr>
                <w:sz w:val="14"/>
                <w:szCs w:val="14"/>
                <w:color w:val="auto"/>
              </w:rPr>
            </w:pPr>
          </w:p>
        </w:tc>
        <w:tc>
          <w:tcPr>
            <w:tcW w:w="2100" w:type="dxa"/>
            <w:vAlign w:val="bottom"/>
            <w:tcBorders>
              <w:bottom w:val="single" w:sz="8" w:color="CCEEFF"/>
            </w:tcBorders>
            <w:vMerge w:val="continue"/>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rate long-term debt</w:t>
            </w:r>
          </w:p>
        </w:tc>
        <w:tc>
          <w:tcPr>
            <w:tcW w:w="3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$13,000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$13,000</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$38,087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Fixed rate long-term debt</w:t>
            </w:r>
          </w:p>
        </w:tc>
        <w:tc>
          <w:tcPr>
            <w:tcW w:w="4040" w:type="dxa"/>
            <w:vAlign w:val="bottom"/>
            <w:gridSpan w:val="3"/>
          </w:tcPr>
          <w:p>
            <w:pPr>
              <w:ind w:left="3260"/>
              <w:spacing w:after="0"/>
              <w:rPr>
                <w:sz w:val="20"/>
                <w:szCs w:val="20"/>
                <w:color w:val="auto"/>
              </w:rPr>
            </w:pPr>
            <w:r>
              <w:rPr>
                <w:rFonts w:ascii="Arial" w:cs="Arial" w:eastAsia="Arial" w:hAnsi="Arial"/>
                <w:sz w:val="18"/>
                <w:szCs w:val="18"/>
                <w:color w:val="auto"/>
              </w:rPr>
              <w:t>$25,714</w:t>
            </w: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$26,663</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$31,429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$32,818</w:t>
            </w: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60" w:type="dxa"/>
            <w:vAlign w:val="bottom"/>
          </w:tcPr>
          <w:p>
            <w:pPr>
              <w:jc w:val="right"/>
              <w:ind w:right="143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66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93" w:lineRule="auto"/>
        <w:rPr>
          <w:sz w:val="20"/>
          <w:szCs w:val="20"/>
          <w:color w:val="auto"/>
        </w:rPr>
      </w:pPr>
      <w:r>
        <w:rPr>
          <w:rFonts w:ascii="Arial" w:cs="Arial" w:eastAsia="Arial" w:hAnsi="Arial"/>
          <w:sz w:val="16"/>
          <w:szCs w:val="16"/>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our Annual Report on Form 10-K for the year ended December 31, 2012 which we filed with the Securities and Exchange Commission on March 15, 2013.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2013 Compared to the Three Months Ended September 30,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93,023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86,586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89"/>
              </w:rPr>
              <w:t>$ 6,437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2,128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6,715</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Price/ material inflation pass-through</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(952)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(1,454)</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w w:val="95"/>
              </w:rPr>
              <w:t>Cost of products sold (exclusive of depreciation and amortization shown separately below)</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7"/>
              </w:rPr>
              <w:t>73,020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68,426</w:t>
            </w:r>
          </w:p>
        </w:tc>
        <w:tc>
          <w:tcPr>
            <w:tcW w:w="170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4,594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1,699</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4,588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(854)</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Mix</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(887)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Inflation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8,099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7,886</w:t>
            </w:r>
          </w:p>
        </w:tc>
        <w:tc>
          <w:tcPr>
            <w:tcW w:w="200" w:type="dxa"/>
            <w:vAlign w:val="bottom"/>
          </w:tcPr>
          <w:p>
            <w:pPr>
              <w:spacing w:after="0"/>
              <w:rPr>
                <w:sz w:val="18"/>
                <w:szCs w:val="18"/>
                <w:color w:val="auto"/>
              </w:rPr>
            </w:pPr>
          </w:p>
        </w:tc>
        <w:tc>
          <w:tcPr>
            <w:tcW w:w="170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4,357</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655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1,061</w:t>
            </w:r>
          </w:p>
        </w:tc>
        <w:tc>
          <w:tcPr>
            <w:tcW w:w="200" w:type="dxa"/>
            <w:vAlign w:val="bottom"/>
          </w:tcPr>
          <w:p>
            <w:pPr>
              <w:spacing w:after="0"/>
              <w:rPr>
                <w:sz w:val="18"/>
                <w:szCs w:val="18"/>
                <w:color w:val="auto"/>
              </w:rPr>
            </w:pPr>
          </w:p>
        </w:tc>
        <w:tc>
          <w:tcPr>
            <w:tcW w:w="170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765</w:t>
            </w:r>
          </w:p>
        </w:tc>
        <w:tc>
          <w:tcPr>
            <w:tcW w:w="17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(1,046)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7,420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4,091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3,329</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976</w:t>
            </w:r>
          </w:p>
        </w:tc>
        <w:tc>
          <w:tcPr>
            <w:tcW w:w="170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5,052</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$ 1,937</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during the third quarter of 2013 from the third quarter of 2012 principally due to increased volumes resulting from greater</w:t>
      </w:r>
      <w:r>
        <w:rPr>
          <w:rFonts w:ascii="Arial" w:cs="Arial" w:eastAsia="Arial" w:hAnsi="Arial"/>
          <w:sz w:val="17"/>
          <w:szCs w:val="17"/>
          <w:i w:val="1"/>
          <w:iCs w:val="1"/>
          <w:color w:val="auto"/>
        </w:rPr>
        <w:t xml:space="preserve"> </w:t>
      </w:r>
      <w:r>
        <w:rPr>
          <w:rFonts w:ascii="Arial" w:cs="Arial" w:eastAsia="Arial" w:hAnsi="Arial"/>
          <w:sz w:val="17"/>
          <w:szCs w:val="17"/>
          <w:color w:val="auto"/>
        </w:rPr>
        <w:t>demand for our products in the North American and Asian automotive markets, better overall market penetration with our customers and from higher demand in the European heavy truck market. The growth with our customers in the North American and Asian automotive markets, over the prior year quarter, was generally consistent with the overall growth in automotive production experienced in those two geographic regions.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Partially offsetting the volume growth, certain segments continued to deemphasize lower-margin, non-strategic sales programs. Additionally, the reduction in price and raw material pass-through (when compared with the third quarter of 2012) was driven mainly by lower levels of material inflation in our businesses which led to lower pass-through to our customers and due to contractual price decreases for certain long-term sales programs. Finally, the unfavorable sales impact related to mix was due to certain automotive and heavy truck products sold during the third quarter of 2013 being lower priced than our average product assortment.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shown separately below). </w:t>
      </w:r>
      <w:r>
        <w:rPr>
          <w:rFonts w:ascii="Arial" w:cs="Arial" w:eastAsia="Arial" w:hAnsi="Arial"/>
          <w:sz w:val="16"/>
          <w:szCs w:val="16"/>
          <w:color w:val="auto"/>
        </w:rPr>
        <w:t>Cost of products sold was higher due to increased variable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costs at those units that experienced higher sales volumes, as discussed above. Partially offsetting the increase in cost of products sold in 2013 were benefits from specific continuous improvement projects undertaken during 2013 and from reductions related to product mix.</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reduction in interest expense was due to the reduction in the interest rate charged on our variable rate loans effective with the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2012 amendment and from lower overall debt levels in the third quarter of 2013 compared to the third quarter of 2012.</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Included in other (income) expense, net, during the third quarter of 2012, was $0.7 million related to foreign exchange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loans. During the third quarter of 2013, inter-company loans generated foreign exchange gains of $0.2 million. The gains or losses are a function of the appreciation or depreciation of the Euro versus the U.S. Dollar.</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difference between the effective tax rate of 32% for the third quarter of 2013 versus the effective rate of 24% for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2012 was primarily due to utilization of net operating losses in 2012, which had full valuation allowances, to completely offset U.S.-based taxable income. Those valuation allowances were reversed as of December 31, 2012. As such for the third quarter of 2013, income tax expense was recognized at our U.S operations. There was an approximate $0.9 million difference between recognizing tax expense at our U.S. operations in the third quarter of 2013 versus not recognizing tax expense at our U.S. operations in the third quarter of 2012.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7"/>
          </w:tcPr>
          <w:p>
            <w:pPr>
              <w:jc w:val="right"/>
              <w:ind w:right="1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70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64,817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58,298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b w:val="1"/>
                <w:bCs w:val="1"/>
                <w:color w:val="auto"/>
                <w:w w:val="88"/>
              </w:rPr>
              <w:t>6,519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2,128</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6,435</w:t>
            </w: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Arial" w:cs="Arial" w:eastAsia="Arial" w:hAnsi="Arial"/>
                <w:sz w:val="18"/>
                <w:szCs w:val="18"/>
                <w:i w:val="1"/>
                <w:iCs w:val="1"/>
                <w:color w:val="auto"/>
              </w:rPr>
              <w:t>Mix</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(1,173)</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(871)</w:t>
            </w:r>
          </w:p>
        </w:tc>
        <w:tc>
          <w:tcPr>
            <w:tcW w:w="0" w:type="dxa"/>
            <w:vAlign w:val="bottom"/>
          </w:tcPr>
          <w:p>
            <w:pPr>
              <w:spacing w:after="0"/>
              <w:rPr>
                <w:sz w:val="1"/>
                <w:szCs w:val="1"/>
                <w:color w:val="auto"/>
              </w:rPr>
            </w:pPr>
          </w:p>
        </w:tc>
      </w:tr>
      <w:tr>
        <w:trPr>
          <w:trHeight w:val="234"/>
        </w:trPr>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5,468</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4,503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833"/>
              <w:spacing w:after="0"/>
              <w:rPr>
                <w:sz w:val="20"/>
                <w:szCs w:val="20"/>
                <w:color w:val="auto"/>
              </w:rPr>
            </w:pPr>
            <w:r>
              <w:rPr>
                <w:rFonts w:ascii="Arial" w:cs="Arial" w:eastAsia="Arial" w:hAnsi="Arial"/>
                <w:sz w:val="18"/>
                <w:szCs w:val="18"/>
                <w:b w:val="1"/>
                <w:bCs w:val="1"/>
                <w:color w:val="auto"/>
              </w:rPr>
              <w:t>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sales increased during the third quarter of 2013 from the third quarter of 2012 principally due to increased sales volumes resulting from greater demand for our products in the North American and Asian automotive markets, better overall market penetration with our customers and from higher demand in the European heavy truck market. The reduction in price and raw material pass-through (when compared with the third quarter of 2012) was driven mainly by lower levels of material inflation in our businesses which led to lower pass-through to our customers. The unfavorable sales impact related to mix was due to certain automotive and heavy truck products sold during the third quarter of 2013 being lower priced than our average product assortment.</w:t>
      </w:r>
    </w:p>
    <w:p>
      <w:pPr>
        <w:spacing w:after="0" w:line="15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main driver of the increased segment net income was the $1.6 million incremental net profit from the increased sales volumes. Additionally, the segment benefited from $0.3 million in continuous improvement projects. The favorable impacts were partially offset by the U.S. unit of the segment recognizing tax expense of $0.9 million during the third quarter of 2013. In the third quarter of 2012, all the deferred tax assets of our U.S. units were offset by full valuation allowances and accordingly the U.S. unit did not recognize tax expense during that period.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71"/>
        </w:trPr>
        <w:tc>
          <w:tcPr>
            <w:tcW w:w="70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70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5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18,790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17,132</w:t>
            </w:r>
          </w:p>
        </w:tc>
        <w:tc>
          <w:tcPr>
            <w:tcW w:w="3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$1,658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2,238</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(580)</w:t>
            </w:r>
          </w:p>
        </w:tc>
        <w:tc>
          <w:tcPr>
            <w:tcW w:w="0" w:type="dxa"/>
            <w:vAlign w:val="bottom"/>
          </w:tcPr>
          <w:p>
            <w:pPr>
              <w:spacing w:after="0"/>
              <w:rPr>
                <w:sz w:val="1"/>
                <w:szCs w:val="1"/>
                <w:color w:val="auto"/>
              </w:rPr>
            </w:pPr>
          </w:p>
        </w:tc>
      </w:tr>
      <w:tr>
        <w:trPr>
          <w:trHeight w:val="234"/>
        </w:trPr>
        <w:tc>
          <w:tcPr>
            <w:tcW w:w="7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1,337</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1,894</w:t>
            </w:r>
          </w:p>
        </w:tc>
        <w:tc>
          <w:tcPr>
            <w:tcW w:w="1380" w:type="dxa"/>
            <w:vAlign w:val="bottom"/>
          </w:tcPr>
          <w:p>
            <w:pPr>
              <w:spacing w:after="0"/>
              <w:rPr>
                <w:sz w:val="20"/>
                <w:szCs w:val="20"/>
                <w:color w:val="auto"/>
              </w:rPr>
            </w:pPr>
            <w:r>
              <w:rPr>
                <w:rFonts w:ascii="Arial" w:cs="Arial" w:eastAsia="Arial" w:hAnsi="Arial"/>
                <w:sz w:val="18"/>
                <w:szCs w:val="18"/>
                <w:b w:val="1"/>
                <w:bCs w:val="1"/>
                <w:color w:val="auto"/>
              </w:rPr>
              <w:t>$ (557)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increased sales volumes in the third quarter of 2013 were due to greater demand with certain customers in the North American automotive market generally in line with the overall growth in automotive production experienced in North America during the quarter.</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main driver of the lower segment net income was the impact of the segment recognizing U.S. tax expenses of $0.7 million in the third quarter of 2013. In the third quarter of 2012, all the deferred tax assets of our U.S. units were offset by full valuation allowances and accordingly the U.S. units did not recognize tax expense during that period. Additionally, the reduction in sales due to price/mix unfavorably impacted segment net income by $0.2 million. Partially offsetting the negative tax and price/mix effects were $0.5 million in favorable impacts on segment net income from increased sales volumes experienced during the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71"/>
        </w:trPr>
        <w:tc>
          <w:tcPr>
            <w:tcW w:w="70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9,416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11,156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CEEFF"/>
          </w:tcPr>
          <w:p>
            <w:pPr>
              <w:jc w:val="right"/>
              <w:ind w:right="794"/>
              <w:spacing w:after="0"/>
              <w:rPr>
                <w:sz w:val="20"/>
                <w:szCs w:val="20"/>
                <w:color w:val="auto"/>
              </w:rPr>
            </w:pPr>
            <w:r>
              <w:rPr>
                <w:rFonts w:ascii="Arial" w:cs="Arial" w:eastAsia="Arial" w:hAnsi="Arial"/>
                <w:sz w:val="18"/>
                <w:szCs w:val="18"/>
                <w:b w:val="1"/>
                <w:bCs w:val="1"/>
                <w:color w:val="auto"/>
                <w:w w:val="91"/>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(1,958)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218</w:t>
            </w: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794"/>
              <w:spacing w:after="0"/>
              <w:rPr>
                <w:sz w:val="20"/>
                <w:szCs w:val="20"/>
                <w:color w:val="auto"/>
              </w:rPr>
            </w:pPr>
            <w:r>
              <w:rPr>
                <w:rFonts w:ascii="Arial" w:cs="Arial" w:eastAsia="Arial" w:hAnsi="Arial"/>
                <w:sz w:val="18"/>
                <w:szCs w:val="18"/>
                <w:b w:val="1"/>
                <w:bCs w:val="1"/>
                <w:color w:val="auto"/>
              </w:rPr>
              <w:t>(480)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were down due to lower volume from certain sales programs ending and deemphasizing certain lower margin platforms. Segment net income was down $0.5 million due to the negative effects of lower sales volumes and not being able to fully offset fixed production costs as sales declined. Favorable price and product mix totaling $0.1 million partially offset the negative volume effects.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2013 Compared to the Nine Months Ended September 30,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00" w:type="dxa"/>
            <w:vAlign w:val="bottom"/>
            <w:gridSpan w:val="7"/>
          </w:tcPr>
          <w:p>
            <w:pPr>
              <w:jc w:val="right"/>
              <w:ind w:right="126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283,125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289,929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w w:val="89"/>
              </w:rPr>
              <w:t>$(6,804)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3,306</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(6,580)</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i w:val="1"/>
                <w:iCs w:val="1"/>
                <w:color w:val="auto"/>
              </w:rPr>
              <w:t>Price/material inflation pass-through</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(2,885)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(645)</w:t>
            </w:r>
          </w:p>
        </w:tc>
        <w:tc>
          <w:tcPr>
            <w:tcW w:w="0" w:type="dxa"/>
            <w:vAlign w:val="bottom"/>
          </w:tcPr>
          <w:p>
            <w:pPr>
              <w:spacing w:after="0"/>
              <w:rPr>
                <w:sz w:val="1"/>
                <w:szCs w:val="1"/>
                <w:color w:val="auto"/>
              </w:rPr>
            </w:pPr>
          </w:p>
        </w:tc>
      </w:tr>
      <w:tr>
        <w:trPr>
          <w:trHeight w:val="202"/>
        </w:trPr>
        <w:tc>
          <w:tcPr>
            <w:tcW w:w="672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 and amortization shown separately</w:t>
            </w:r>
          </w:p>
        </w:tc>
        <w:tc>
          <w:tcPr>
            <w:tcW w:w="100" w:type="dxa"/>
            <w:vAlign w:val="bottom"/>
          </w:tcPr>
          <w:p>
            <w:pPr>
              <w:spacing w:after="0"/>
              <w:rPr>
                <w:sz w:val="17"/>
                <w:szCs w:val="17"/>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w w:val="86"/>
              </w:rPr>
              <w:t>223,288</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86"/>
              </w:rPr>
              <w:t>229,243</w:t>
            </w:r>
          </w:p>
        </w:tc>
        <w:tc>
          <w:tcPr>
            <w:tcW w:w="1680" w:type="dxa"/>
            <w:vAlign w:val="bottom"/>
            <w:gridSpan w:val="3"/>
            <w:vMerge w:val="restart"/>
          </w:tcPr>
          <w:p>
            <w:pPr>
              <w:jc w:val="right"/>
              <w:ind w:right="800"/>
              <w:spacing w:after="0"/>
              <w:rPr>
                <w:sz w:val="20"/>
                <w:szCs w:val="20"/>
                <w:color w:val="auto"/>
              </w:rPr>
            </w:pPr>
            <w:r>
              <w:rPr>
                <w:rFonts w:ascii="Arial" w:cs="Arial" w:eastAsia="Arial" w:hAnsi="Arial"/>
                <w:sz w:val="18"/>
                <w:szCs w:val="18"/>
                <w:b w:val="1"/>
                <w:bCs w:val="1"/>
                <w:color w:val="auto"/>
              </w:rPr>
              <w:t>(5,955)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6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2,629</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(4,347)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(3,750)</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i w:val="1"/>
                <w:iCs w:val="1"/>
                <w:color w:val="auto"/>
              </w:rPr>
              <w:t>Mix</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Inflation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(483)</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25,544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24,266</w:t>
            </w:r>
          </w:p>
        </w:tc>
        <w:tc>
          <w:tcPr>
            <w:tcW w:w="168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1,278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i w:val="1"/>
                <w:iCs w:val="1"/>
                <w:color w:val="auto"/>
              </w:rPr>
              <w:t>Severance costs not related to an exit activity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660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Increase in spending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441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12,935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13,203</w:t>
            </w:r>
          </w:p>
        </w:tc>
        <w:tc>
          <w:tcPr>
            <w:tcW w:w="168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3,388</w:t>
            </w:r>
          </w:p>
        </w:tc>
        <w:tc>
          <w:tcPr>
            <w:tcW w:w="16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(1,239)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Loss (gain) on disposal of assets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w:t>
            </w:r>
          </w:p>
        </w:tc>
        <w:tc>
          <w:tcPr>
            <w:tcW w:w="1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(753)</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3,811</w:t>
            </w:r>
          </w:p>
        </w:tc>
        <w:tc>
          <w:tcPr>
            <w:tcW w:w="1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2,616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(3,369</w:t>
            </w:r>
          </w:p>
        </w:tc>
        <w:tc>
          <w:tcPr>
            <w:tcW w:w="940" w:type="dxa"/>
            <w:vAlign w:val="bottom"/>
          </w:tcPr>
          <w:p>
            <w:pPr>
              <w:jc w:val="right"/>
              <w:ind w:right="8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during the first nine months of 2013 from the first nine months of 2012 principally due to lower sales volumes at units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into the European automotive and industrial markets, from lower sales volumes related to customer and platform specific issues, customers reducing their inventory levels, and due to certain segments deemphasizing lower margin, non-strategic programs. The reductions in sales volumes in Europe were due to macro-economic issues within that geographic region. Despite the European weakness, during the second and third quarters of 2013, we began to experience positive sales momentum in Europe due to better overall market penetration with our customers and from increased demand in the European heavy truck market. Additionally, we have experienced increased sales demand for our products in the North American and Asian automotive markets during the last two quarters. Despite the positive sales momentum, our businesses continue to be effected by the depressed European automotive and industrial markets and slowing overall economic growth in Asia. The reduction in price and raw material pass-through were driven by lower levels of material inflation incurred in 2013, when compared with 2012, which led to lower pass-through to our customers and due to contractual price decreases for certain long-term sales programs.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The majority of the decrease of costs of products sold was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lower sales volumes and the related reductions in production costs, as discussed above. Cost of products sold in 2013 was further reduced by benefits from specific continuous improvement projects undertaken during the second half of 2012 and during 2013.</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The increase in spending in selling, general and administrative expenses was primarily due to severance costs not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an exit activity, relocation costs for new management members, higher professional fees for consulting and recruitment and higher foreign exchange expenses. The majority of these discrete items occurred in the first quarter of 2013 and have not repeated in the second and third quarters of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The reduction in interest expense was due to the reduction in the interest rate charged on our variable rate loans effective with the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2012 amendment and from lower overall debt levels in the first nine months of 2013 compared to the first nine months of 2012.</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difference between the effective tax rate of 34% for the first nine months of 2013 versus the effective rate of 19%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of 2012 was primarily due to utilization of net operating losses in 2012, which had full valuation allowances, to completely offset U.S.-based taxable income. Those valuation allowances were reversed as of December 31, 2012. As such for the first nine months of 2013, income tax expense was recognized at our U.S. operations. There was an approximate $2.8 million difference between recognizing tax expense at our U.S. operations in the first nine months of 2013 versus not recognizing tax expense at our U.S. operations in the first nine months of 2012.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1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4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194,374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196,196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89"/>
              </w:rPr>
              <w:t>$(1,822)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3,306</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(2,714)</w:t>
            </w:r>
          </w:p>
        </w:tc>
        <w:tc>
          <w:tcPr>
            <w:tcW w:w="0" w:type="dxa"/>
            <w:vAlign w:val="bottom"/>
          </w:tcPr>
          <w:p>
            <w:pPr>
              <w:spacing w:after="0"/>
              <w:rPr>
                <w:sz w:val="1"/>
                <w:szCs w:val="1"/>
                <w:color w:val="auto"/>
              </w:rPr>
            </w:pP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i w:val="1"/>
                <w:iCs w:val="1"/>
                <w:color w:val="auto"/>
              </w:rPr>
              <w:t>Mix</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(276)</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(2,138)</w:t>
            </w:r>
          </w:p>
        </w:tc>
        <w:tc>
          <w:tcPr>
            <w:tcW w:w="0" w:type="dxa"/>
            <w:vAlign w:val="bottom"/>
          </w:tcPr>
          <w:p>
            <w:pPr>
              <w:spacing w:after="0"/>
              <w:rPr>
                <w:sz w:val="1"/>
                <w:szCs w:val="1"/>
                <w:color w:val="auto"/>
              </w:rPr>
            </w:pPr>
          </w:p>
        </w:tc>
      </w:tr>
      <w:tr>
        <w:trPr>
          <w:trHeight w:val="234"/>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14,339</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17,718</w:t>
            </w:r>
          </w:p>
        </w:tc>
        <w:tc>
          <w:tcPr>
            <w:tcW w:w="1700" w:type="dxa"/>
            <w:vAlign w:val="bottom"/>
            <w:gridSpan w:val="2"/>
          </w:tcPr>
          <w:p>
            <w:pPr>
              <w:jc w:val="right"/>
              <w:ind w:right="799"/>
              <w:spacing w:after="0"/>
              <w:rPr>
                <w:sz w:val="20"/>
                <w:szCs w:val="20"/>
                <w:color w:val="auto"/>
              </w:rPr>
            </w:pPr>
            <w:r>
              <w:rPr>
                <w:rFonts w:ascii="Arial" w:cs="Arial" w:eastAsia="Arial" w:hAnsi="Arial"/>
                <w:sz w:val="18"/>
                <w:szCs w:val="18"/>
                <w:b w:val="1"/>
                <w:bCs w:val="1"/>
                <w:color w:val="auto"/>
              </w:rPr>
              <w:t>$(3,379)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majority of the reduction in net sales was due to lower sales volumes experienced at units selling into the European automotive and industrial markets primarily during the first quarter of 2013 versus the first quarter of 2012. Additionally, sales decreased driven by lower levels of price increases and material inflation incurred by our businesses and passed on to our customers in 2013 versus 2012. In the second quarter of 2013, sales volumes were consistent with the prior year period. In the third quarter of 2013, sales volumes were higher than the prior year period. We began to experience positive sales momentum in Europe during the second quarter of 2013, due to better overall market penetration with our customers and from increased demand in the European heavy truck market. Additionally, we experienced increased demand in the North American and Asian automotive markets subsequent to the first quarter of 2013.</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segment net income in the first nine months of 2013 was negatively impacted by $0.5 million due to lost profits from lower sales volumes and not being able to fully offset fixed production costs as production declined. Additionally, segment net income was unfavorably impacted due to the U.S. unit of the segment recognizing tax expense of $2.9 million in the first nine months of 2013. In the first nine months of 2012, all the deferred tax assets of our U.S. units were offset by full valuation allowances and accordingly the U.S. unit did not recognize tax expense. In addition to the tax effects, the segment net income was reduced by $0.8 due to reductions in price, material pass through and mix, and by $0.4 million in severance costs. Partially offsetting these unfavorable effects were $1.1 million in continuous improvement projects, net of non-material inflation.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7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61,076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61,005</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1,330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Price/mix</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(1,259)</w:t>
            </w: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4,205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6,055</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794"/>
              <w:spacing w:after="0"/>
              <w:rPr>
                <w:sz w:val="20"/>
                <w:szCs w:val="20"/>
                <w:color w:val="auto"/>
              </w:rPr>
            </w:pPr>
            <w:r>
              <w:rPr>
                <w:rFonts w:ascii="Arial" w:cs="Arial" w:eastAsia="Arial" w:hAnsi="Arial"/>
                <w:sz w:val="18"/>
                <w:szCs w:val="18"/>
                <w:b w:val="1"/>
                <w:bCs w:val="1"/>
                <w:color w:val="auto"/>
                <w:w w:val="91"/>
              </w:rPr>
              <w:t>(1,850)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increased sales volumes were due to higher demand with certain customers in the North American automotive market during the second and third quarters 2013 net of the segment deemphasizing certain non-strategic platforms in an effort to improve operating performance and margins. The decreases in price/mix at this segment were due to contractual price decreases for certain long-term sales programs and lower levels of material inflation passed through to customers.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reduction in segment net income was primarily due to recording $2.4 million in U.S. tax expense during the first nine months of 2013. In the first nine months of 2012, all the deferred tax assets of our U.S. units were offset by full valuation allowances and accordingly the U.S. units did not recognize tax expense. Beyond the tax effects, the segment was more than able to offset $0.7 million of unfavorable effects from the price decreases and unfavorable sales mix with the profits from higher sales volumes of $0.2 million and through cost reduction projects and operational improvements of $1.0 million.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1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27,675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32,728</w:t>
            </w:r>
          </w:p>
        </w:tc>
        <w:tc>
          <w:tcPr>
            <w:tcW w:w="4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89"/>
              </w:rPr>
              <w:t>$(5,053)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(5,237)</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pass-through</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184</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462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2,725</w:t>
            </w:r>
          </w:p>
        </w:tc>
        <w:tc>
          <w:tcPr>
            <w:tcW w:w="1900" w:type="dxa"/>
            <w:vAlign w:val="bottom"/>
            <w:gridSpan w:val="2"/>
          </w:tcPr>
          <w:p>
            <w:pPr>
              <w:jc w:val="right"/>
              <w:ind w:right="799"/>
              <w:spacing w:after="0"/>
              <w:rPr>
                <w:sz w:val="20"/>
                <w:szCs w:val="20"/>
                <w:color w:val="auto"/>
              </w:rPr>
            </w:pPr>
            <w:r>
              <w:rPr>
                <w:rFonts w:ascii="Arial" w:cs="Arial" w:eastAsia="Arial" w:hAnsi="Arial"/>
                <w:sz w:val="18"/>
                <w:szCs w:val="18"/>
                <w:b w:val="1"/>
                <w:bCs w:val="1"/>
                <w:color w:val="auto"/>
              </w:rPr>
              <w:t>$(2,263)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Sales were down due to lower volume from certain sales programs ending, deemphasizing certain low margin platforms and the timing of demand at certain industrial product customers. Segment net income decreased $1.2 million due to the negative effects of lower sales volumes and not being able to fully offset fixed production costs as sales declined. Additionally, the 2012 segment net income would have been $1.0 million lower if the units of this segment recognized U.S. tax expenses during the first nine months of 2012. In the first nine months of 2012, all the deferred tax assets of our U.S. units were offset by full valuation allowances and accordingly the U.S. units did not recognize tax expense.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From December 31, 2012 to September 30, 2013, our total assets decreased $3.9 million and our current assets decreased $0.5 million. Excluding foreign exchange effects, total assets decreased approximately $7.2 million and current assets decreased approximately $1.9 million from December 31, 2012.</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decrease in total assets was due to a $14.5 million decrease in cash used to pay down our outstanding debt balance and by a $3.9 million reduction in property, plant and equipment. These reductions were partially offset by a $13.4 million increase in accounts receivable.</w:t>
      </w:r>
    </w:p>
    <w:p>
      <w:pPr>
        <w:spacing w:after="0" w:line="14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Excluding the foreign exchange effects, accounts receivable was higher by $13.4 million due to the 23% increase in sales volume experienced in the third quarter of 2013 compared with sales levels in the fourth quarter of 2012. The days sales outstanding at September 30, 2013 was consistent with days sales outstanding at December 31, 2012. Excluding the foreign exchange effects, property, plant and equipment decreased $3.9 million, as year to date capital spending was lower than depreciation expense.</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December 31, 2012 to September 30, 2013, our total liabilities decreased $20.2 million. Excluding foreign exchange effects, total liabilities decreased approximately $21.3 million from December 31, 2012. The majority of the reduction was from a $30.8 million decrease in long-term and short-term debt achieved by reducing our cash balance and from using operating cash flows generated during the first nine months of 2013. The debt reduction was partially offset by increases in accounts payable and other current liabilities. Accounts payable increased $5.6 million, excluding foreign exchange effects, driven by higher levels of spending for raw materials and production supplies due to increased production levels in the third quarter of 2013 compared to the fourth quarter of 2012.</w:t>
      </w:r>
    </w:p>
    <w:p>
      <w:pPr>
        <w:spacing w:after="0" w:line="19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Working capital, which consists principally of accounts receivable and inventories offset by accounts payable and current maturities of long-term debt, was $57.5 million at September 30, 2013 as compared to $68.5 million at December 31, 2012. The ratio of current assets to current liabilities decreased from</w:t>
      </w:r>
    </w:p>
    <w:p>
      <w:pPr>
        <w:spacing w:after="0" w:line="261" w:lineRule="auto"/>
        <w:rPr>
          <w:sz w:val="20"/>
          <w:szCs w:val="20"/>
          <w:color w:val="auto"/>
        </w:rPr>
      </w:pPr>
      <w:r>
        <w:rPr>
          <w:rFonts w:ascii="Arial" w:cs="Arial" w:eastAsia="Arial" w:hAnsi="Arial"/>
          <w:sz w:val="18"/>
          <w:szCs w:val="18"/>
          <w:color w:val="auto"/>
        </w:rPr>
        <w:t>2.17:1 at December 31, 2012 to 1.83:1 at September 30, 2013. The decrease in working capital was due primarily to the reduction in cash and the increases in accounts payable and other current liabilities partially offset by the increase in accounts receivable, as discussed above.</w:t>
      </w:r>
    </w:p>
    <w:p>
      <w:pPr>
        <w:spacing w:after="0" w:line="18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Cash provided by operations was $25.7 million for the first nine months of 2013 compared with cash provided by operations of $22.7 million for the same period in 2012. The favorable variance was principally due to a smaller increase in net working capital during 2013 versus 2012 from overall lower sales volumes in 2013.</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used by investing activities was $9.1 million for the first nine months of 2013 compared with cash used by investing activities of $10.1 million for the same period in 2012. The difference was primarily due to 2013 spending on acquisitions of property plant and equipment being $3.3 million lower than in the same period of 2012. Partially offsetting the lower spending in 2013 was the inclusion in 2012 of proceeds of $1.9 million from the pay-off of a note receivable and proceeds of $0.4 million from the sale of fixed assets both related to our former Tempe Plant.</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Cash used by financing activities was $31.0 million for the first nine months of 2013, compared with cash used by financing activities of $3.2 million for the same period in 2012. The change was primarily due to the much higher net repayment of short-term and long-term debt in 2013 versus 2012. The higher net repayment of debt in 2013 was generated by reducing cash balances, from increased cash flow provided by operations in 2013 and lower capital spending in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Amounts outstanding under our $100.0 million credit facility and our $60.0 million of fixed rate notes as of September 30, 2013 were $13.0 million (including $0.0 million under our swing line of credit) and $25.7 million, respectively. As of September 30, 2013, we can borrow up to an additional $86.3 million under the $100.0 million credit facility (including $10.0 million under our swing line of credit) subject to limitations based on existing financial covenants. The $86.3 million of availability is net of $0.7 million of outstanding letters of credit at September 30, 2013, which are considered as usage of the facility.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were in compliance with all covenants related to the amended and restated $100.0 million credit facility and the amended and restated $60.0 million in fixed rate notes as of September 30, 2013. The specific covenants to which we are subject and the actual results achieved for the nine month period ended September 30, 2013 are stated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Covenants</w:t>
            </w:r>
          </w:p>
        </w:tc>
        <w:tc>
          <w:tcPr>
            <w:tcW w:w="260" w:type="dxa"/>
            <w:vAlign w:val="bottom"/>
          </w:tcPr>
          <w:p>
            <w:pPr>
              <w:spacing w:after="0"/>
              <w:rPr>
                <w:sz w:val="14"/>
                <w:szCs w:val="14"/>
                <w:color w:val="auto"/>
              </w:rPr>
            </w:pPr>
          </w:p>
        </w:tc>
        <w:tc>
          <w:tcPr>
            <w:tcW w:w="514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Required Covenant Level</w:t>
            </w:r>
          </w:p>
        </w:tc>
        <w:tc>
          <w:tcPr>
            <w:tcW w:w="3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Actual Level</w:t>
            </w: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Achieved</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Interest coverage</w:t>
            </w:r>
          </w:p>
        </w:tc>
        <w:tc>
          <w:tcPr>
            <w:tcW w:w="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w:t>
            </w:r>
          </w:p>
        </w:tc>
        <w:tc>
          <w:tcPr>
            <w:tcW w:w="26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Not to be less than 3.00 to 1.00 as of the last day of any fiscal quarter</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9.62 to 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5400" w:type="dxa"/>
            <w:vAlign w:val="bottom"/>
            <w:gridSpan w:val="2"/>
          </w:tcPr>
          <w:p>
            <w:pPr>
              <w:ind w:left="260"/>
              <w:spacing w:after="0"/>
              <w:rPr>
                <w:sz w:val="20"/>
                <w:szCs w:val="20"/>
                <w:color w:val="auto"/>
              </w:rPr>
            </w:pPr>
            <w:r>
              <w:rPr>
                <w:rFonts w:ascii="Arial" w:cs="Arial" w:eastAsia="Arial" w:hAnsi="Arial"/>
                <w:sz w:val="18"/>
                <w:szCs w:val="18"/>
                <w:color w:val="auto"/>
                <w:w w:val="92"/>
              </w:rPr>
              <w:t>Not to be less than 1.00 to 1.00 as of the last day of any fiscal quarter</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1.48 to 1.00</w:t>
            </w: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Leverage ratio</w:t>
            </w:r>
          </w:p>
        </w:tc>
        <w:tc>
          <w:tcPr>
            <w:tcW w:w="54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3"/>
              </w:rPr>
              <w:t>Not to exceed 2.75 to 1.00 for the most recently completed four fiscal</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quarters</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 to 1.00</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5400" w:type="dxa"/>
            <w:vAlign w:val="bottom"/>
            <w:gridSpan w:val="2"/>
          </w:tcPr>
          <w:p>
            <w:pPr>
              <w:ind w:left="260"/>
              <w:spacing w:after="0"/>
              <w:rPr>
                <w:sz w:val="20"/>
                <w:szCs w:val="20"/>
                <w:color w:val="auto"/>
              </w:rPr>
            </w:pPr>
            <w:r>
              <w:rPr>
                <w:rFonts w:ascii="Arial" w:cs="Arial" w:eastAsia="Arial" w:hAnsi="Arial"/>
                <w:sz w:val="18"/>
                <w:szCs w:val="18"/>
                <w:color w:val="auto"/>
              </w:rPr>
              <w:t>Not to invest more than $26.4 million during the fiscal year 2013</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$ 9.1 million</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of our locations use the Euro as their functional currency. In 2013, the fluctuation of the Euro against the U.S. Dollar favorably impacted revenue and net income from the transactional impact of intercompany notes denominated in Euros. As of September 30, 2013, no currency hedges were in place. Changes in value of the U.S. Dollar and/or Euro against foreign currencies could impair our ability to compete with international competitors for foreign as well as domestic sales.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made planned capital expenditures totaling $9.1 million as of September 30, 2013. During 2013, we expect to spend up to $17.0 million on capital expenditures, the majority of which relate to new or expanded business. Due to the timing of capital projects we expect that spending in the second half of the year will be heavier than the first half. We believe that funds generated from operations and borrowings from our credit facilities will be sufficient to finance our capital expenditures and working capital needs through September 2014. We base this assertion on our current availability for borrowing of up to $86.3 million and our forecasted positive cash flow from operations for the remaining quarter of 2013.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2012, including those policies as discussed in Note 1 to the Annual Report. There have been no changes to these policies during the nine month period ended September 30, 2013.</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2013, we had $13.0 million outstanding under our variable rate revolving credit facilities and $25.7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million of fixed rate notes outstanding. See Note 7 of the Notes to Condensed Consolidated Financial Statements. At September 30, 2013, a one-percent increase in the interest rate charged on our outstanding variable rate borrowings would result in interest expense increasing annually by approximately $0.1 million.</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September 30, 2013.</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September 30, 2013, the end of the period covered by this quarterly report.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fiscal quarter ended September 30, 2013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All legal proceedings, with the exception of the bankruptcy of our German subsidiary discussed below,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 any filings made and discussing the facts of the case with local management and legal counsel. In the aggregate, we estimate the range of potential liabilities to be $0 to approximately $3.0 million assuming every case were to be decided against us. We have recognized loss contingencies of approximately $0.8 million and $0.5 million at September 30, 2013 and December 31, 2012, respectively, which we believe are adequate to cover all probable liabilities to be incurred by all of the cases in the aggregate.</w:t>
      </w:r>
    </w:p>
    <w:p>
      <w:pPr>
        <w:spacing w:after="0" w:line="17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discussed more fully in our Annual Report on Form 10-K filed March 15, 2013, the ultimate impact on NN of our wholly owned German subsidiary Kugelfertigung Eltmann GbmH (“Eltmann” or “Eltmann Plant”) filing for bankruptcy will depend on the findings of the bankruptcy court. Although the bankruptcy trustee released us from all claims related to the Eltmann bankruptcy, effective October 15, 2013, until such court proceedings are finalized, we will not be able to determine definitively if any related liabilities and contingent obligations will remain our responsibility. Under advice from legal counsel, we do not expect any further significant impacts on our condensed consolidated financial statements as a result of the liquidation of this subsidiary.</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2012 under Item 1.A. “Risk Factors.” There have been no material changes to these risk factors since December 31, 2012.</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540" w:type="dxa"/>
            <w:vAlign w:val="bottom"/>
          </w:tcPr>
          <w:p>
            <w:pPr>
              <w:spacing w:after="0"/>
              <w:rPr>
                <w:sz w:val="20"/>
                <w:szCs w:val="20"/>
                <w:color w:val="auto"/>
              </w:rPr>
            </w:pPr>
          </w:p>
        </w:tc>
      </w:tr>
      <w:tr>
        <w:trPr>
          <w:trHeight w:val="445"/>
        </w:trPr>
        <w:tc>
          <w:tcPr>
            <w:tcW w:w="1400" w:type="dxa"/>
            <w:vAlign w:val="bottom"/>
          </w:tcPr>
          <w:p>
            <w:pPr>
              <w:ind w:left="560"/>
              <w:spacing w:after="0"/>
              <w:rPr>
                <w:sz w:val="20"/>
                <w:szCs w:val="20"/>
                <w:color w:val="auto"/>
              </w:rPr>
            </w:pPr>
            <w:r>
              <w:rPr>
                <w:rFonts w:ascii="Arial" w:cs="Arial" w:eastAsia="Arial" w:hAnsi="Arial"/>
                <w:sz w:val="18"/>
                <w:szCs w:val="18"/>
                <w:color w:val="auto"/>
              </w:rPr>
              <w:t>31.1</w:t>
            </w:r>
          </w:p>
        </w:tc>
        <w:tc>
          <w:tcPr>
            <w:tcW w:w="9540" w:type="dxa"/>
            <w:vAlign w:val="bottom"/>
          </w:tcPr>
          <w:p>
            <w:pPr>
              <w:ind w:left="180"/>
              <w:spacing w:after="0"/>
              <w:rPr>
                <w:sz w:val="20"/>
                <w:szCs w:val="20"/>
                <w:color w:val="auto"/>
              </w:rPr>
            </w:pPr>
            <w:r>
              <w:rPr>
                <w:rFonts w:ascii="Arial" w:cs="Arial" w:eastAsia="Arial" w:hAnsi="Arial"/>
                <w:sz w:val="18"/>
                <w:szCs w:val="18"/>
                <w:color w:val="auto"/>
                <w:w w:val="90"/>
              </w:rPr>
              <w:t>Certification of Chief Executive Officer Pursuant to Rules 13a-14(a) and 15d-14(a) under the Securities Exchange Act of 1934, as</w:t>
            </w:r>
          </w:p>
        </w:tc>
      </w:tr>
      <w:tr>
        <w:trPr>
          <w:trHeight w:val="230"/>
        </w:trPr>
        <w:tc>
          <w:tcPr>
            <w:tcW w:w="1400" w:type="dxa"/>
            <w:vAlign w:val="bottom"/>
          </w:tcPr>
          <w:p>
            <w:pPr>
              <w:spacing w:after="0"/>
              <w:rPr>
                <w:sz w:val="20"/>
                <w:szCs w:val="20"/>
                <w:color w:val="auto"/>
              </w:rPr>
            </w:pPr>
          </w:p>
        </w:tc>
        <w:tc>
          <w:tcPr>
            <w:tcW w:w="9540" w:type="dxa"/>
            <w:vAlign w:val="bottom"/>
          </w:tcPr>
          <w:p>
            <w:pPr>
              <w:ind w:left="180"/>
              <w:spacing w:after="0"/>
              <w:rPr>
                <w:sz w:val="20"/>
                <w:szCs w:val="20"/>
                <w:color w:val="auto"/>
              </w:rPr>
            </w:pPr>
            <w:r>
              <w:rPr>
                <w:rFonts w:ascii="Arial" w:cs="Arial" w:eastAsia="Arial" w:hAnsi="Arial"/>
                <w:sz w:val="18"/>
                <w:szCs w:val="18"/>
                <w:color w:val="auto"/>
              </w:rPr>
              <w:t>amended.</w:t>
            </w:r>
          </w:p>
        </w:tc>
      </w:tr>
      <w:tr>
        <w:trPr>
          <w:trHeight w:val="310"/>
        </w:trPr>
        <w:tc>
          <w:tcPr>
            <w:tcW w:w="1400" w:type="dxa"/>
            <w:vAlign w:val="bottom"/>
          </w:tcPr>
          <w:p>
            <w:pPr>
              <w:ind w:left="560"/>
              <w:spacing w:after="0"/>
              <w:rPr>
                <w:sz w:val="20"/>
                <w:szCs w:val="20"/>
                <w:color w:val="auto"/>
              </w:rPr>
            </w:pPr>
            <w:r>
              <w:rPr>
                <w:rFonts w:ascii="Arial" w:cs="Arial" w:eastAsia="Arial" w:hAnsi="Arial"/>
                <w:sz w:val="18"/>
                <w:szCs w:val="18"/>
                <w:color w:val="auto"/>
              </w:rPr>
              <w:t>31.2</w:t>
            </w:r>
          </w:p>
        </w:tc>
        <w:tc>
          <w:tcPr>
            <w:tcW w:w="9540" w:type="dxa"/>
            <w:vAlign w:val="bottom"/>
          </w:tcPr>
          <w:p>
            <w:pPr>
              <w:ind w:left="180"/>
              <w:spacing w:after="0"/>
              <w:rPr>
                <w:sz w:val="20"/>
                <w:szCs w:val="20"/>
                <w:color w:val="auto"/>
              </w:rPr>
            </w:pPr>
            <w:r>
              <w:rPr>
                <w:rFonts w:ascii="Arial" w:cs="Arial" w:eastAsia="Arial" w:hAnsi="Arial"/>
                <w:sz w:val="18"/>
                <w:szCs w:val="18"/>
                <w:color w:val="auto"/>
                <w:w w:val="91"/>
              </w:rPr>
              <w:t>Certification of Chief Financial Officer Pursuant to Rules 13a-14(a) and 15d-14(a) under the Securities Exchange Act of 1934, as</w:t>
            </w:r>
          </w:p>
        </w:tc>
      </w:tr>
      <w:tr>
        <w:trPr>
          <w:trHeight w:val="230"/>
        </w:trPr>
        <w:tc>
          <w:tcPr>
            <w:tcW w:w="1400" w:type="dxa"/>
            <w:vAlign w:val="bottom"/>
          </w:tcPr>
          <w:p>
            <w:pPr>
              <w:spacing w:after="0"/>
              <w:rPr>
                <w:sz w:val="20"/>
                <w:szCs w:val="20"/>
                <w:color w:val="auto"/>
              </w:rPr>
            </w:pPr>
          </w:p>
        </w:tc>
        <w:tc>
          <w:tcPr>
            <w:tcW w:w="9540" w:type="dxa"/>
            <w:vAlign w:val="bottom"/>
          </w:tcPr>
          <w:p>
            <w:pPr>
              <w:ind w:left="180"/>
              <w:spacing w:after="0"/>
              <w:rPr>
                <w:sz w:val="20"/>
                <w:szCs w:val="20"/>
                <w:color w:val="auto"/>
              </w:rPr>
            </w:pPr>
            <w:r>
              <w:rPr>
                <w:rFonts w:ascii="Arial" w:cs="Arial" w:eastAsia="Arial" w:hAnsi="Arial"/>
                <w:sz w:val="18"/>
                <w:szCs w:val="18"/>
                <w:color w:val="auto"/>
              </w:rPr>
              <w:t>amended.</w:t>
            </w:r>
          </w:p>
        </w:tc>
      </w:tr>
      <w:tr>
        <w:trPr>
          <w:trHeight w:val="324"/>
        </w:trPr>
        <w:tc>
          <w:tcPr>
            <w:tcW w:w="1400" w:type="dxa"/>
            <w:vAlign w:val="bottom"/>
          </w:tcPr>
          <w:p>
            <w:pPr>
              <w:ind w:left="560"/>
              <w:spacing w:after="0"/>
              <w:rPr>
                <w:sz w:val="20"/>
                <w:szCs w:val="20"/>
                <w:color w:val="auto"/>
              </w:rPr>
            </w:pPr>
            <w:r>
              <w:rPr>
                <w:rFonts w:ascii="Arial" w:cs="Arial" w:eastAsia="Arial" w:hAnsi="Arial"/>
                <w:sz w:val="18"/>
                <w:szCs w:val="18"/>
                <w:color w:val="auto"/>
              </w:rPr>
              <w:t>32.1</w:t>
            </w:r>
          </w:p>
        </w:tc>
        <w:tc>
          <w:tcPr>
            <w:tcW w:w="954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1400" w:type="dxa"/>
            <w:vAlign w:val="bottom"/>
          </w:tcPr>
          <w:p>
            <w:pPr>
              <w:ind w:left="560"/>
              <w:spacing w:after="0"/>
              <w:rPr>
                <w:sz w:val="20"/>
                <w:szCs w:val="20"/>
                <w:color w:val="auto"/>
              </w:rPr>
            </w:pPr>
            <w:r>
              <w:rPr>
                <w:rFonts w:ascii="Arial" w:cs="Arial" w:eastAsia="Arial" w:hAnsi="Arial"/>
                <w:sz w:val="18"/>
                <w:szCs w:val="18"/>
                <w:color w:val="auto"/>
              </w:rPr>
              <w:t>32.2</w:t>
            </w:r>
          </w:p>
        </w:tc>
        <w:tc>
          <w:tcPr>
            <w:tcW w:w="954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1400" w:type="dxa"/>
            <w:vAlign w:val="bottom"/>
          </w:tcPr>
          <w:p>
            <w:pPr>
              <w:ind w:left="460"/>
              <w:spacing w:after="0"/>
              <w:rPr>
                <w:sz w:val="20"/>
                <w:szCs w:val="20"/>
                <w:color w:val="auto"/>
              </w:rPr>
            </w:pPr>
            <w:r>
              <w:rPr>
                <w:rFonts w:ascii="Arial" w:cs="Arial" w:eastAsia="Arial" w:hAnsi="Arial"/>
                <w:sz w:val="18"/>
                <w:szCs w:val="18"/>
                <w:color w:val="auto"/>
              </w:rPr>
              <w:t>101.INS</w:t>
            </w:r>
          </w:p>
        </w:tc>
        <w:tc>
          <w:tcPr>
            <w:tcW w:w="95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1400" w:type="dxa"/>
            <w:vAlign w:val="bottom"/>
          </w:tcPr>
          <w:p>
            <w:pPr>
              <w:ind w:left="460"/>
              <w:spacing w:after="0"/>
              <w:rPr>
                <w:sz w:val="20"/>
                <w:szCs w:val="20"/>
                <w:color w:val="auto"/>
              </w:rPr>
            </w:pPr>
            <w:r>
              <w:rPr>
                <w:rFonts w:ascii="Arial" w:cs="Arial" w:eastAsia="Arial" w:hAnsi="Arial"/>
                <w:sz w:val="18"/>
                <w:szCs w:val="18"/>
                <w:color w:val="auto"/>
              </w:rPr>
              <w:t>101.SCH</w:t>
            </w:r>
          </w:p>
        </w:tc>
        <w:tc>
          <w:tcPr>
            <w:tcW w:w="9540" w:type="dxa"/>
            <w:vAlign w:val="bottom"/>
          </w:tcPr>
          <w:p>
            <w:pPr>
              <w:ind w:left="18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1400" w:type="dxa"/>
            <w:vAlign w:val="bottom"/>
          </w:tcPr>
          <w:p>
            <w:pPr>
              <w:ind w:left="460"/>
              <w:spacing w:after="0"/>
              <w:rPr>
                <w:sz w:val="20"/>
                <w:szCs w:val="20"/>
                <w:color w:val="auto"/>
              </w:rPr>
            </w:pPr>
            <w:r>
              <w:rPr>
                <w:rFonts w:ascii="Arial" w:cs="Arial" w:eastAsia="Arial" w:hAnsi="Arial"/>
                <w:sz w:val="18"/>
                <w:szCs w:val="18"/>
                <w:color w:val="auto"/>
              </w:rPr>
              <w:t>101.CAL</w:t>
            </w:r>
          </w:p>
        </w:tc>
        <w:tc>
          <w:tcPr>
            <w:tcW w:w="9540" w:type="dxa"/>
            <w:vAlign w:val="bottom"/>
          </w:tcPr>
          <w:p>
            <w:pPr>
              <w:ind w:left="18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1400" w:type="dxa"/>
            <w:vAlign w:val="bottom"/>
          </w:tcPr>
          <w:p>
            <w:pPr>
              <w:ind w:left="460"/>
              <w:spacing w:after="0"/>
              <w:rPr>
                <w:sz w:val="20"/>
                <w:szCs w:val="20"/>
                <w:color w:val="auto"/>
              </w:rPr>
            </w:pPr>
            <w:r>
              <w:rPr>
                <w:rFonts w:ascii="Arial" w:cs="Arial" w:eastAsia="Arial" w:hAnsi="Arial"/>
                <w:sz w:val="18"/>
                <w:szCs w:val="18"/>
                <w:color w:val="auto"/>
              </w:rPr>
              <w:t>101.LAB</w:t>
            </w:r>
          </w:p>
        </w:tc>
        <w:tc>
          <w:tcPr>
            <w:tcW w:w="9540" w:type="dxa"/>
            <w:vAlign w:val="bottom"/>
          </w:tcPr>
          <w:p>
            <w:pPr>
              <w:ind w:left="18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1400" w:type="dxa"/>
            <w:vAlign w:val="bottom"/>
          </w:tcPr>
          <w:p>
            <w:pPr>
              <w:ind w:left="460"/>
              <w:spacing w:after="0"/>
              <w:rPr>
                <w:sz w:val="20"/>
                <w:szCs w:val="20"/>
                <w:color w:val="auto"/>
              </w:rPr>
            </w:pPr>
            <w:r>
              <w:rPr>
                <w:rFonts w:ascii="Arial" w:cs="Arial" w:eastAsia="Arial" w:hAnsi="Arial"/>
                <w:sz w:val="18"/>
                <w:szCs w:val="18"/>
                <w:color w:val="auto"/>
              </w:rPr>
              <w:t>101.PRE</w:t>
            </w:r>
          </w:p>
        </w:tc>
        <w:tc>
          <w:tcPr>
            <w:tcW w:w="9540" w:type="dxa"/>
            <w:vAlign w:val="bottom"/>
          </w:tcPr>
          <w:p>
            <w:pPr>
              <w:ind w:left="18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400" w:type="dxa"/>
            <w:vAlign w:val="bottom"/>
          </w:tcPr>
          <w:p>
            <w:pPr>
              <w:ind w:left="460"/>
              <w:spacing w:after="0"/>
              <w:rPr>
                <w:sz w:val="20"/>
                <w:szCs w:val="20"/>
                <w:color w:val="auto"/>
              </w:rPr>
            </w:pPr>
            <w:r>
              <w:rPr>
                <w:rFonts w:ascii="Arial" w:cs="Arial" w:eastAsia="Arial" w:hAnsi="Arial"/>
                <w:sz w:val="18"/>
                <w:szCs w:val="18"/>
                <w:color w:val="auto"/>
              </w:rPr>
              <w:t>101.DEF</w:t>
            </w:r>
          </w:p>
        </w:tc>
        <w:tc>
          <w:tcPr>
            <w:tcW w:w="9540" w:type="dxa"/>
            <w:vAlign w:val="bottom"/>
          </w:tcPr>
          <w:p>
            <w:pPr>
              <w:ind w:left="18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1400" w:type="dxa"/>
            <w:vAlign w:val="bottom"/>
          </w:tcPr>
          <w:p>
            <w:pPr>
              <w:spacing w:after="0"/>
              <w:rPr>
                <w:sz w:val="24"/>
                <w:szCs w:val="24"/>
                <w:color w:val="auto"/>
              </w:rPr>
            </w:pPr>
          </w:p>
        </w:tc>
        <w:tc>
          <w:tcPr>
            <w:tcW w:w="9540" w:type="dxa"/>
            <w:vAlign w:val="bottom"/>
          </w:tcPr>
          <w:p>
            <w:pPr>
              <w:ind w:left="422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0940"/>
          </w:cols>
          <w:pgMar w:left="240" w:top="459" w:right="7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r>
      <w:tr>
        <w:trPr>
          <w:trHeight w:val="224"/>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1"/>
        </w:trPr>
        <w:tc>
          <w:tcPr>
            <w:tcW w:w="3700" w:type="dxa"/>
            <w:vAlign w:val="bottom"/>
          </w:tcPr>
          <w:p>
            <w:pPr>
              <w:spacing w:after="0"/>
              <w:rPr>
                <w:sz w:val="20"/>
                <w:szCs w:val="20"/>
                <w:color w:val="auto"/>
              </w:rPr>
            </w:pPr>
            <w:r>
              <w:rPr>
                <w:rFonts w:ascii="Arial" w:cs="Arial" w:eastAsia="Arial" w:hAnsi="Arial"/>
                <w:sz w:val="18"/>
                <w:szCs w:val="18"/>
                <w:color w:val="auto"/>
              </w:rPr>
              <w:t>Date: November 8, 2013</w:t>
            </w: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Richard D. Holder,</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46"/>
        </w:trPr>
        <w:tc>
          <w:tcPr>
            <w:tcW w:w="3700" w:type="dxa"/>
            <w:vAlign w:val="bottom"/>
          </w:tcPr>
          <w:p>
            <w:pPr>
              <w:spacing w:after="0"/>
              <w:rPr>
                <w:sz w:val="20"/>
                <w:szCs w:val="20"/>
                <w:color w:val="auto"/>
              </w:rPr>
            </w:pPr>
            <w:r>
              <w:rPr>
                <w:rFonts w:ascii="Arial" w:cs="Arial" w:eastAsia="Arial" w:hAnsi="Arial"/>
                <w:sz w:val="18"/>
                <w:szCs w:val="18"/>
                <w:color w:val="auto"/>
              </w:rPr>
              <w:t>Date: November 8, 2013</w:t>
            </w: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James H. Dorton</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 Corporate Development and</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46"/>
        </w:trPr>
        <w:tc>
          <w:tcPr>
            <w:tcW w:w="3700" w:type="dxa"/>
            <w:vAlign w:val="bottom"/>
          </w:tcPr>
          <w:p>
            <w:pPr>
              <w:spacing w:after="0"/>
              <w:rPr>
                <w:sz w:val="20"/>
                <w:szCs w:val="20"/>
                <w:color w:val="auto"/>
              </w:rPr>
            </w:pPr>
            <w:r>
              <w:rPr>
                <w:rFonts w:ascii="Arial" w:cs="Arial" w:eastAsia="Arial" w:hAnsi="Arial"/>
                <w:sz w:val="18"/>
                <w:szCs w:val="18"/>
                <w:color w:val="auto"/>
              </w:rPr>
              <w:t>Date: November 8, 2013</w:t>
            </w: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William C. Kelly, Jr.,</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46"/>
        </w:trPr>
        <w:tc>
          <w:tcPr>
            <w:tcW w:w="3700" w:type="dxa"/>
            <w:vAlign w:val="bottom"/>
          </w:tcPr>
          <w:p>
            <w:pPr>
              <w:spacing w:after="0"/>
              <w:rPr>
                <w:sz w:val="20"/>
                <w:szCs w:val="20"/>
                <w:color w:val="auto"/>
              </w:rPr>
            </w:pPr>
            <w:r>
              <w:rPr>
                <w:rFonts w:ascii="Arial" w:cs="Arial" w:eastAsia="Arial" w:hAnsi="Arial"/>
                <w:sz w:val="18"/>
                <w:szCs w:val="18"/>
                <w:color w:val="auto"/>
              </w:rPr>
              <w:t>Date: November 8, 2013</w:t>
            </w: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Burwell, Jr.</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Thomas C. Burwell, Jr.</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Chief Accounting Officer and</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Corporate Controller</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700" w:type="dxa"/>
            <w:vAlign w:val="bottom"/>
          </w:tcPr>
          <w:p>
            <w:pPr>
              <w:spacing w:after="0"/>
              <w:rPr>
                <w:sz w:val="24"/>
                <w:szCs w:val="24"/>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November 8, 2013</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November 8, 2013</w:t>
      </w:r>
      <w:r>
        <w:rPr>
          <w:sz w:val="20"/>
          <w:szCs w:val="20"/>
          <w:color w:val="auto"/>
        </w:rPr>
        <w:tab/>
      </w:r>
      <w:r>
        <w:rPr>
          <w:rFonts w:ascii="Arial" w:cs="Arial" w:eastAsia="Arial" w:hAnsi="Arial"/>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 Corporate</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Development and Chief Financial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September 30, 2013,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15"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November 8, 2013</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September 30, 2013,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15"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November 8, 2013</w:t>
      </w:r>
      <w:r>
        <w:rPr>
          <w:sz w:val="20"/>
          <w:szCs w:val="20"/>
          <w:color w:val="auto"/>
        </w:rPr>
        <w:tab/>
      </w:r>
      <w:r>
        <w:rPr>
          <w:rFonts w:ascii="Arial" w:cs="Arial" w:eastAsia="Arial" w:hAnsi="Arial"/>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 Corporate Development</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pacing w:after="0" w:line="2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2019-12-06T11:05:18Z</dcterms:created>
  <dcterms:modified xsi:type="dcterms:W3CDTF">2019-12-06T11:05:18Z</dcterms:modified>
</cp:coreProperties>
</file>