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May 14, 2021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1491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1491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83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3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177800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 w:right="250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line="150" w:lineRule="exact"/>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May 13, 2021, NN,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agreement (the “</w:t>
      </w:r>
      <w:r>
        <w:rPr>
          <w:rFonts w:ascii="Arial" w:cs="Arial" w:eastAsia="Arial" w:hAnsi="Arial"/>
          <w:sz w:val="18"/>
          <w:szCs w:val="18"/>
          <w:u w:val="single" w:color="auto"/>
          <w:color w:val="auto"/>
        </w:rPr>
        <w:t>Cooperation Agreement</w:t>
      </w:r>
      <w:r>
        <w:rPr>
          <w:rFonts w:ascii="Arial" w:cs="Arial" w:eastAsia="Arial" w:hAnsi="Arial"/>
          <w:sz w:val="18"/>
          <w:szCs w:val="18"/>
          <w:color w:val="auto"/>
        </w:rPr>
        <w:t>”) with Corre Partners Management, LLC and certain related investors (collectively, “</w:t>
      </w:r>
      <w:r>
        <w:rPr>
          <w:rFonts w:ascii="Arial" w:cs="Arial" w:eastAsia="Arial" w:hAnsi="Arial"/>
          <w:sz w:val="18"/>
          <w:szCs w:val="18"/>
          <w:u w:val="single" w:color="auto"/>
          <w:color w:val="auto"/>
        </w:rPr>
        <w:t>Corre Partners</w:t>
      </w:r>
      <w:r>
        <w:rPr>
          <w:rFonts w:ascii="Arial" w:cs="Arial" w:eastAsia="Arial" w:hAnsi="Arial"/>
          <w:sz w:val="18"/>
          <w:szCs w:val="18"/>
          <w:color w:val="auto"/>
        </w:rPr>
        <w:t>”).</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Pursuant to the Cooperation Agreement, the Company increased the size of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from 9 to 10 directors and appointed Dr. Rajeev Gautam to fill the newly created directorship. Dr. Gautam will serve as a director with an initial term expiring at the Company’s 2021 annual meeting and will be included in the Company’s slate of director nominees for election at the 2021 and 2022 annual meeting.</w:t>
      </w:r>
    </w:p>
    <w:p>
      <w:pPr>
        <w:spacing w:after="0" w:line="14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As previously announced in December 2020, Steven T. Warshaw is not standing for reelection and will resign as a member of the Board effective as of immediately prior to the commencement of the 2021 annual meeting of stockholders of the Company (the “</w:t>
      </w:r>
      <w:r>
        <w:rPr>
          <w:rFonts w:ascii="Arial" w:cs="Arial" w:eastAsia="Arial" w:hAnsi="Arial"/>
          <w:sz w:val="16"/>
          <w:szCs w:val="16"/>
          <w:u w:val="single" w:color="auto"/>
          <w:color w:val="auto"/>
        </w:rPr>
        <w:t>Retirement Effective Time</w:t>
      </w:r>
      <w:r>
        <w:rPr>
          <w:rFonts w:ascii="Arial" w:cs="Arial" w:eastAsia="Arial" w:hAnsi="Arial"/>
          <w:sz w:val="16"/>
          <w:szCs w:val="16"/>
          <w:color w:val="auto"/>
        </w:rPr>
        <w:t>”). Upon his retirement, the size of the Board will be automatically reduced from 10 members to 9 members as described further below under Item 5.02.</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Cooperation Agreement requires Corre Partners to, at the Company’s 2021 annual meeting and at any meeting of the Company’s stockholders held prior to the date of termination of the Standstill Period (as defined below), vote all of its shares of the Company’s common stock in favor of the election of directors nominated by the Board and otherwise in accordance with the Board’s recommendation with respect to all other matters, subject to certain exceptions for extraordinary transactions, adoption of corporate defenses, and matters with a contrary recommendation from either or both Institutional Shareholder Services Inc. and Glass Lewis &amp; Co., LLC.</w:t>
      </w:r>
    </w:p>
    <w:p>
      <w:pPr>
        <w:spacing w:after="0" w:line="1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Cooperation Agreement, among other things, contains certain customary standstill restrictions that apply to Corre during the period from May 13, 2021 until the date that is 20 calendar days prior to the last day of the advance notice period for the submission by shareholders of director nominations for the Company’s 2023 annual meeting, as set forth in the advance notice provisions of the Company’s Amended and Restated Bylaws (the “</w:t>
      </w:r>
      <w:r>
        <w:rPr>
          <w:rFonts w:ascii="Arial" w:cs="Arial" w:eastAsia="Arial" w:hAnsi="Arial"/>
          <w:sz w:val="17"/>
          <w:szCs w:val="17"/>
          <w:u w:val="single" w:color="auto"/>
          <w:color w:val="auto"/>
        </w:rPr>
        <w:t>Standstill</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During the Standstill Period, Corre Partners is, among other things, restricted from engaging in any solicitation of proxies or written consents relating to the Company, acquiring any assets of the Company, or acquiring any voting stock that would result in Corre Partners having beneficial ownership of more than 15.0% of the Company’s outstanding common stock.</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Cooperation Agreement is filed with this Current Report on Form 8-K as Exhibit 10.1 and is incorporated by reference herein. The foregoing description of the Cooperation Agreement is qualified in its entirety by reference to the full text thereof.</w:t>
      </w:r>
    </w:p>
    <w:p>
      <w:pPr>
        <w:spacing w:after="0" w:line="315" w:lineRule="exact"/>
        <w:rPr>
          <w:sz w:val="20"/>
          <w:szCs w:val="20"/>
          <w:color w:val="auto"/>
        </w:rPr>
      </w:pPr>
    </w:p>
    <w:p>
      <w:pPr>
        <w:ind w:left="1200" w:right="2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into this Item 5.02.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in Item 1.01, the size of the Board has been increased from 9 to 10 directors, and Dr. Gautam been appointed to the Board. The committee assignments for Dr. Gautam has not yet been determined.</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Dr. Rajeev Gautam, 68, is the President and Chief Executive Officer, Performance Materials and Technologies of Honeywell International, Inc. (NASDAQ: HON), a global provider in developing and manufacturing high-quality performance chemicals and materials, process technologies and automation solutions. From 2009 to 2016, Dr. Gautam served as President of Honeywell UOP. He previously served</w:t>
      </w:r>
    </w:p>
    <w:p>
      <w:pPr>
        <w:sectPr>
          <w:pgSz w:w="11900" w:h="16838" w:orient="portrait"/>
          <w:cols w:equalWidth="0" w:num="1">
            <w:col w:w="10920"/>
          </w:cols>
          <w:pgMar w:left="440" w:top="297" w:right="539" w:bottom="1440" w:gutter="0" w:footer="0" w:header="0"/>
        </w:sectPr>
      </w:pPr>
    </w:p>
    <w:bookmarkStart w:id="2" w:name="page3"/>
    <w:bookmarkEnd w:id="2"/>
    <w:p>
      <w:pPr>
        <w:ind w:right="5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Dr. Gautam brings substantive experience as a senior executive to manufacturing companies, and his current service as a senior executive for a publicly traded company, enables him to bring valuable insight, knowledge and experience to the Board.</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Dr. Gautam will be compensated on the same basis as all other non-management directors of the Company, as described under “Compensation of Directors” in the Company’s Proxy Statement for its 2021 Annual Meeting of Stockholders filed with the Securities and Exchange Commission on April 16, 2021.</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Dr. Gautam will receive a pro rata share of the annual director compensation for the 2021 calendar year. Dr. Gautam will enter into an indemnification agreement with the Company, in the form previously entered into by the Company with its current directors, a copy of which was listed as Exhibit 10.3 to the Company’s Annual Report on Form 10-K for the fiscal year ended December 31, 2020.</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 family relationships exist between Dr. Gautam and any of the Company’s other directors or executive officers. Other than as described under Item 1.01, there are no arrangements or understandings pursuant to which Dr. Gautam was appointed as a director, and there are no related party transactions between the Company and Dr. Gautam reportable under Item 404(a) of Regulation S-K.</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noted in Item 1.01 and as previously announced in December 2020, Steven T. Warshaw will retire from, and resign as a member of, the Board as of the Retirement Effective Time. In connection therewith, the Company will decrease, as of the Retirement Effective Time, the size of the Board from 10 to 9.</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14, 2021, the Company issued a press release announcing the execution of the Cooperation Agreement and the appointment of Dr. Gautam. A copy of this press release is included as Exhibit 99.1 to this Current Report on Form 8-K.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520" w:type="dxa"/>
            <w:vAlign w:val="bottom"/>
            <w:gridSpan w:val="4"/>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4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tcPr>
          <w:p>
            <w:pPr>
              <w:ind w:left="560"/>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40" w:type="dxa"/>
            <w:vAlign w:val="bottom"/>
          </w:tcPr>
          <w:p>
            <w:pPr>
              <w:ind w:left="44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3"/>
                <w:szCs w:val="23"/>
                <w:color w:val="auto"/>
              </w:rPr>
            </w:pPr>
          </w:p>
        </w:tc>
        <w:tc>
          <w:tcPr>
            <w:tcW w:w="92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Cooperation Agreement, dated May 13, 2021, among NN, Inc., Corre Partners Management, LLC, and each of the persons listed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on the signature page thereto</w:t>
              </w:r>
            </w:hyperlink>
          </w:p>
        </w:tc>
        <w:tc>
          <w:tcPr>
            <w:tcW w:w="7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44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26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Press release issued by NN, Inc. dated May 14, 2021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tcPr>
          <w:p>
            <w:pPr>
              <w:ind w:left="44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20"/>
          </w:cols>
          <w:pgMar w:left="440" w:top="301" w:right="5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COOPERATION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COOPERATION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13, 2021 is made and entered into by NN, INC., a Delaware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CORRE PARTNERS MANAGEMENT, LLC, a Delaware limited liability company, (together with its Affiliates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Corre Partners</w:t>
      </w:r>
      <w:r>
        <w:rPr>
          <w:rFonts w:ascii="Arial" w:cs="Arial" w:eastAsia="Arial" w:hAnsi="Arial"/>
          <w:sz w:val="16"/>
          <w:szCs w:val="16"/>
          <w:color w:val="auto"/>
        </w:rPr>
        <w:t>”) and each of the other persons listed on the signature page to this Agreement (collectively with Corre Partners and together with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Affiliates of Corre Partners, the “</w:t>
      </w:r>
      <w:r>
        <w:rPr>
          <w:rFonts w:ascii="Arial" w:cs="Arial" w:eastAsia="Arial" w:hAnsi="Arial"/>
          <w:sz w:val="18"/>
          <w:szCs w:val="18"/>
          <w:u w:val="single" w:color="auto"/>
          <w:color w:val="auto"/>
        </w:rPr>
        <w:t>Investor Group</w:t>
      </w:r>
      <w:r>
        <w:rPr>
          <w:rFonts w:ascii="Arial" w:cs="Arial" w:eastAsia="Arial" w:hAnsi="Arial"/>
          <w:sz w:val="18"/>
          <w:szCs w:val="18"/>
          <w:color w:val="auto"/>
        </w:rPr>
        <w:t>” and each individually, an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21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the Company and Corre Partners, acting on behalf of members of the Investor Group, have engaged in discussions regarding the Company;</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WHEREAS, as of the date of this Agreement, the Investor Group beneficially owns shares of the common stock of the Company,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totaling, in the aggregate, 3,755,481 shares or approximately 8.72% of the Common Stock, outstanding as of May 3, 2021, and holds certain warrants convertible into an additional 915,000 shares of Common Stock, subject to the 9.99% conversion limitation set forth in the Common Stock Purchase Warrant of the Company dated December 11, 2019 (the “Conversion Limitation”);</w:t>
      </w:r>
    </w:p>
    <w:p>
      <w:pPr>
        <w:spacing w:after="0" w:line="171" w:lineRule="exact"/>
        <w:rPr>
          <w:sz w:val="20"/>
          <w:szCs w:val="20"/>
          <w:color w:val="auto"/>
        </w:rPr>
      </w:pPr>
    </w:p>
    <w:p>
      <w:pPr>
        <w:jc w:val="both"/>
        <w:ind w:right="460" w:firstLine="440"/>
        <w:spacing w:after="0" w:line="259" w:lineRule="auto"/>
        <w:rPr>
          <w:sz w:val="20"/>
          <w:szCs w:val="20"/>
          <w:color w:val="auto"/>
        </w:rPr>
      </w:pPr>
      <w:r>
        <w:rPr>
          <w:rFonts w:ascii="Arial" w:cs="Arial" w:eastAsia="Arial" w:hAnsi="Arial"/>
          <w:sz w:val="18"/>
          <w:szCs w:val="18"/>
          <w:color w:val="auto"/>
        </w:rPr>
        <w:t>WHEREAS, the Company and the Investor Group believe that the best interests of the Company and its stockholders (including the Investor Group) would be served at this time by, among other things, agreeing to appoint, subject to the terms and conditions of this Agreement, Dr. Rajeev Gautam to serve as a member of the Board (the “</w:t>
      </w:r>
      <w:r>
        <w:rPr>
          <w:rFonts w:ascii="Arial" w:cs="Arial" w:eastAsia="Arial" w:hAnsi="Arial"/>
          <w:sz w:val="18"/>
          <w:szCs w:val="18"/>
          <w:u w:val="single" w:color="auto"/>
          <w:color w:val="auto"/>
        </w:rPr>
        <w:t>New Director</w:t>
      </w:r>
      <w:r>
        <w:rPr>
          <w:rFonts w:ascii="Arial" w:cs="Arial" w:eastAsia="Arial" w:hAnsi="Arial"/>
          <w:sz w:val="18"/>
          <w:szCs w:val="18"/>
          <w:color w:val="auto"/>
        </w:rPr>
        <w:t>”), and by the Company and the Investor Group agreeing to the other covenants and agreements contained herein.</w:t>
      </w:r>
    </w:p>
    <w:p>
      <w:pPr>
        <w:spacing w:after="0" w:line="18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NOW, THEREFORE, in consideration of the foregoing premises and the mutual covenants and agreements contained in this Agreement, and for other good and valuable consideration, the receipt and sufficiency of which are acknowledged, the parties to this Agreement, intending to be legally bound by this Agreement, agree as follows:</w:t>
      </w:r>
    </w:p>
    <w:p>
      <w:pPr>
        <w:spacing w:after="0" w:line="72"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 Matters; Board Nominations; Board Policies and Procedures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80" w:firstLine="987"/>
        <w:spacing w:after="0" w:line="290" w:lineRule="auto"/>
        <w:tabs>
          <w:tab w:leader="none" w:pos="1236"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Board Matters</w:t>
      </w:r>
      <w:r>
        <w:rPr>
          <w:rFonts w:ascii="Arial" w:cs="Arial" w:eastAsia="Arial" w:hAnsi="Arial"/>
          <w:sz w:val="16"/>
          <w:szCs w:val="16"/>
          <w:color w:val="auto"/>
        </w:rPr>
        <w:t>. The Governance Committee of the Board (the “</w:t>
      </w:r>
      <w:r>
        <w:rPr>
          <w:rFonts w:ascii="Arial" w:cs="Arial" w:eastAsia="Arial" w:hAnsi="Arial"/>
          <w:sz w:val="16"/>
          <w:szCs w:val="16"/>
          <w:u w:val="single" w:color="auto"/>
          <w:color w:val="auto"/>
        </w:rPr>
        <w:t>Governance Committee</w:t>
      </w:r>
      <w:r>
        <w:rPr>
          <w:rFonts w:ascii="Arial" w:cs="Arial" w:eastAsia="Arial" w:hAnsi="Arial"/>
          <w:sz w:val="16"/>
          <w:szCs w:val="16"/>
          <w:color w:val="auto"/>
        </w:rPr>
        <w:t>”) has reviewed and approved the qualifications of the New Director to serve as a member of the Board. In reliance on the information provided to the Company by the Investor Group and the New Director, the Board has confirmed that the New Director is “independent” as defined by the applicable standards of The Nasdaq Stock Market LLC (“</w:t>
      </w:r>
      <w:r>
        <w:rPr>
          <w:rFonts w:ascii="Arial" w:cs="Arial" w:eastAsia="Arial" w:hAnsi="Arial"/>
          <w:sz w:val="16"/>
          <w:szCs w:val="16"/>
          <w:u w:val="single" w:color="auto"/>
          <w:color w:val="auto"/>
        </w:rPr>
        <w:t>Nasdaq</w:t>
      </w:r>
      <w:r>
        <w:rPr>
          <w:rFonts w:ascii="Arial" w:cs="Arial" w:eastAsia="Arial" w:hAnsi="Arial"/>
          <w:sz w:val="16"/>
          <w:szCs w:val="16"/>
          <w:color w:val="auto"/>
        </w:rPr>
        <w:t>”) and by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In connection with the foregoing, the Board has relied on information that the New Director has provided to the Company, including information required to be or customarily disclosed by directors or director candidates in proxy statements or other filings under applicable law or stock exchange rules or listing standards, information in connection with assessing eligibility, independence and other criteria applicable to directors, and the Board has assumed that the director questionnaire and other customary director onboarding documentation provided by the New Director is or will be fully completed, true and accurate.</w:t>
      </w:r>
    </w:p>
    <w:p>
      <w:pPr>
        <w:sectPr>
          <w:pgSz w:w="11900" w:h="16838" w:orient="portrait"/>
          <w:cols w:equalWidth="0" w:num="1">
            <w:col w:w="11020"/>
          </w:cols>
          <w:pgMar w:left="440" w:top="121" w:right="439" w:bottom="1440" w:gutter="0" w:footer="0" w:header="0"/>
        </w:sectPr>
      </w:pPr>
    </w:p>
    <w:bookmarkStart w:id="5" w:name="page6"/>
    <w:bookmarkEnd w:id="5"/>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Concurrently with the effectiveness of this Agreement, the Board will take all necessary actions to increase the size of its membership by one</w:t>
      </w:r>
    </w:p>
    <w:p>
      <w:pPr>
        <w:spacing w:after="0" w:line="46" w:lineRule="exact"/>
        <w:rPr>
          <w:sz w:val="20"/>
          <w:szCs w:val="20"/>
          <w:color w:val="auto"/>
        </w:rPr>
      </w:pPr>
    </w:p>
    <w:p>
      <w:pPr>
        <w:ind w:left="4" w:hanging="4"/>
        <w:spacing w:after="0" w:line="295" w:lineRule="auto"/>
        <w:tabs>
          <w:tab w:leader="none" w:pos="25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and appoint the New Director as a member of the Board with a term expiring at the 2021 annual meeting of stockholders of the Company (the “2021 Annual Meeting”). The Board will take all necessary actions to nominate the New Director (or any Replacement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as a candidate for election to the Board at each of the 2021 Annual Meeting and the 2022 annual meeting of stockholders of the Company (the “2022 Annual Meeting”) to serve until the expiration of such person’s elected term, or until such person’s earlier death, resignation, disqualification or removal.</w:t>
      </w:r>
    </w:p>
    <w:p>
      <w:pPr>
        <w:spacing w:after="0" w:line="161"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 xml:space="preserve">At each of the 2021 Annual Meeting and the 2022 Annual Meeting, the Company agrees to recommend, support and solicit proxies for the election of the New Director (or any Replacement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in the same manner as for other independent director candidates nominated by the Company at each of the 2021 Annual Meeting and the 2022 Annual Meeting. The Company agrees that the New Director shall receive (i) the same compensation for service as a director as the compensation received by other non-management directors on the Board, and (ii) such other benefits on the same basis as all other non-management directors on the Board.</w:t>
      </w:r>
    </w:p>
    <w:p>
      <w:pPr>
        <w:spacing w:after="0" w:line="188" w:lineRule="exact"/>
        <w:rPr>
          <w:sz w:val="20"/>
          <w:szCs w:val="20"/>
          <w:color w:val="auto"/>
        </w:rPr>
      </w:pPr>
    </w:p>
    <w:p>
      <w:pPr>
        <w:ind w:left="4" w:right="40" w:firstLine="987"/>
        <w:spacing w:after="0" w:line="254" w:lineRule="auto"/>
        <w:tabs>
          <w:tab w:leader="none" w:pos="125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Board Policies and Procedures</w:t>
      </w:r>
      <w:r>
        <w:rPr>
          <w:rFonts w:ascii="Arial" w:cs="Arial" w:eastAsia="Arial" w:hAnsi="Arial"/>
          <w:sz w:val="18"/>
          <w:szCs w:val="18"/>
          <w:color w:val="auto"/>
        </w:rPr>
        <w:t>. Each party acknowledges that the New Director (and any Replacement), upon election to the Board, shall be governed by (i) all applicable laws and regulations, and (ii) all of the same policies, processes, procedures, codes, rules, standards and guidelines applicable to members of the Board and shall be required to strictly adhere to the policies on confidentiality imposed on all members of the Board. The New Director (and any Replacement) shall be required to provide the Company with such information as reasonably requested from all members of the Board as is required to be disclosed under applicable law or stock exchange regulations, in each case as promptly as necessary to enable the timely filing of the Company’s proxy statement and other periodic reports with the SEC. The Board shall determine appropriate committee assignments for the New Director (and any Replacement) taking into account the composition of the Board, committee assignments and needs of the committees.</w:t>
      </w:r>
    </w:p>
    <w:p>
      <w:pPr>
        <w:spacing w:after="0" w:line="191" w:lineRule="exact"/>
        <w:rPr>
          <w:rFonts w:ascii="Arial" w:cs="Arial" w:eastAsia="Arial" w:hAnsi="Arial"/>
          <w:sz w:val="18"/>
          <w:szCs w:val="18"/>
          <w:color w:val="auto"/>
        </w:rPr>
      </w:pPr>
    </w:p>
    <w:p>
      <w:pPr>
        <w:ind w:left="4" w:right="40" w:firstLine="987"/>
        <w:spacing w:after="0" w:line="289" w:lineRule="auto"/>
        <w:tabs>
          <w:tab w:leader="none" w:pos="1240"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Replacements</w:t>
      </w:r>
      <w:r>
        <w:rPr>
          <w:rFonts w:ascii="Arial" w:cs="Arial" w:eastAsia="Arial" w:hAnsi="Arial"/>
          <w:sz w:val="16"/>
          <w:szCs w:val="16"/>
          <w:color w:val="auto"/>
        </w:rPr>
        <w:t>. If, following the date of this Agreement and prior to the expiration of the Standstill Period, the New Director is unable or unwilling to serve as an independent director of the Company for any reason (other than on account of failure of the New Director to be elected at either of the 2021 Annual Meeting and the 2022 Annual Meeting), the Company shall reasonably consult with Corre Partners in selecting a replacement director who qualifies as “independent” as defined by the applicable standards of Nasdaq and by the SEC to be appointed to the Board, and shall consider in good faith qualified candidates unaffiliated with (and independent of) Corre Partners who are proposed privately to the Company by Corre Partners in a manner substantially conforming to the consideration given by the Company to candidates proposed by Corre Partners prior to the date of this Agreement (any director appointed as a replacement for the New Director, a “</w:t>
      </w:r>
      <w:r>
        <w:rPr>
          <w:rFonts w:ascii="Arial" w:cs="Arial" w:eastAsia="Arial" w:hAnsi="Arial"/>
          <w:sz w:val="16"/>
          <w:szCs w:val="16"/>
          <w:u w:val="single" w:color="auto"/>
          <w:color w:val="auto"/>
        </w:rPr>
        <w:t>Replacement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Company’s obligations pursuant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shall terminate at such time as the Investor Group ceases to have beneficial ownership of at least the lesser of (i) 4.0% of the outstanding shares of Common Stock and (ii) 1,877,740 shares of Common Stock.</w:t>
      </w:r>
    </w:p>
    <w:p>
      <w:pPr>
        <w:spacing w:after="0" w:line="162" w:lineRule="exact"/>
        <w:rPr>
          <w:rFonts w:ascii="Arial" w:cs="Arial" w:eastAsia="Arial" w:hAnsi="Arial"/>
          <w:sz w:val="16"/>
          <w:szCs w:val="16"/>
          <w:color w:val="auto"/>
        </w:rPr>
      </w:pPr>
    </w:p>
    <w:p>
      <w:pPr>
        <w:ind w:left="624" w:hanging="184"/>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Reserved</w:t>
      </w:r>
      <w:r>
        <w:rPr>
          <w:rFonts w:ascii="Arial" w:cs="Arial" w:eastAsia="Arial" w:hAnsi="Arial"/>
          <w:sz w:val="18"/>
          <w:szCs w:val="18"/>
          <w:color w:val="auto"/>
        </w:rPr>
        <w:t>.</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6" w:name="page7"/>
    <w:bookmarkEnd w:id="6"/>
    <w:p>
      <w:pPr>
        <w:ind w:left="624" w:hanging="184"/>
        <w:spacing w:after="0"/>
        <w:tabs>
          <w:tab w:leader="none" w:pos="624" w:val="left"/>
        </w:tabs>
        <w:numPr>
          <w:ilvl w:val="1"/>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w:t>
      </w:r>
      <w:r>
        <w:rPr>
          <w:rFonts w:ascii="Arial" w:cs="Arial" w:eastAsia="Arial" w:hAnsi="Arial"/>
          <w:sz w:val="16"/>
          <w:szCs w:val="16"/>
          <w:color w:val="auto"/>
        </w:rPr>
        <w:t>. At each annual and special meeting of stockholders held prior to the expiration of the Standstill Period, each of the Investors agrees to</w:t>
      </w:r>
    </w:p>
    <w:p>
      <w:pPr>
        <w:spacing w:after="0" w:line="50" w:lineRule="exact"/>
        <w:rPr>
          <w:rFonts w:ascii="Arial" w:cs="Arial" w:eastAsia="Arial" w:hAnsi="Arial"/>
          <w:sz w:val="16"/>
          <w:szCs w:val="16"/>
          <w:color w:val="auto"/>
        </w:rPr>
      </w:pPr>
    </w:p>
    <w:p>
      <w:pPr>
        <w:ind w:left="4" w:hanging="4"/>
        <w:spacing w:after="0" w:line="284" w:lineRule="auto"/>
        <w:tabs>
          <w:tab w:leader="none" w:pos="219"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appear at such stockholders’ meeting or otherwise cause all shares of Common Stock beneficially owned by each Investor and their respective Affiliates to be counted as present for purposes of establishing a quorum, (ii) vote, or cause to be voted, all shares of Common Stock beneficially owned by each Investor and their respective Affiliates on the Company’s proxy card or voting instruction form (a) in favor of each of the directors nominated by the Board and recommended by the Board in the election of directors, (b) against any other nominees to serve on the Board that have not been recommended by the Board and (c) with respect to all other matters other than an Extraordinary Matter (as defined below), in accordance with the Board’s recommendations as identified in the Company’s proxy statement, including in favor of all other matters recommended for stockholder approval by the Board, and (iii) not execute any proxy card or voting instruction form in respect of such stockholders’ meeting other than the proxy card and related voting instruction form being solicited by or on behalf of the Board (such proxy card and/or form, the “</w:t>
      </w:r>
      <w:r>
        <w:rPr>
          <w:rFonts w:ascii="Arial" w:cs="Arial" w:eastAsia="Arial" w:hAnsi="Arial"/>
          <w:sz w:val="16"/>
          <w:szCs w:val="16"/>
          <w:u w:val="single" w:color="auto"/>
          <w:color w:val="auto"/>
        </w:rPr>
        <w:t>Company’s card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that either or both of Institutional Shareholders Services Inc. (“</w:t>
      </w:r>
      <w:r>
        <w:rPr>
          <w:rFonts w:ascii="Arial" w:cs="Arial" w:eastAsia="Arial" w:hAnsi="Arial"/>
          <w:sz w:val="16"/>
          <w:szCs w:val="16"/>
          <w:u w:val="single" w:color="auto"/>
          <w:color w:val="auto"/>
        </w:rPr>
        <w:t>ISS</w:t>
      </w:r>
      <w:r>
        <w:rPr>
          <w:rFonts w:ascii="Arial" w:cs="Arial" w:eastAsia="Arial" w:hAnsi="Arial"/>
          <w:sz w:val="16"/>
          <w:szCs w:val="16"/>
          <w:color w:val="auto"/>
        </w:rPr>
        <w:t>”) and Glass Lewis &amp; Co., LLC (“</w:t>
      </w:r>
      <w:r>
        <w:rPr>
          <w:rFonts w:ascii="Arial" w:cs="Arial" w:eastAsia="Arial" w:hAnsi="Arial"/>
          <w:sz w:val="16"/>
          <w:szCs w:val="16"/>
          <w:u w:val="single" w:color="auto"/>
          <w:color w:val="auto"/>
        </w:rPr>
        <w:t>Glass Lewis</w:t>
      </w:r>
      <w:r>
        <w:rPr>
          <w:rFonts w:ascii="Arial" w:cs="Arial" w:eastAsia="Arial" w:hAnsi="Arial"/>
          <w:sz w:val="16"/>
          <w:szCs w:val="16"/>
          <w:color w:val="auto"/>
        </w:rPr>
        <w:t xml:space="preserve">”) recommend otherwise with respect to any proposal (other than the election of directors), each of the Investors shall have the right to vote on the Company’s card in accordance with the non-conforming recommendation of ISS and/or Glass Lewis with respect to such proposal so long as no Investor publicly discloses such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each of the Investors shall have the ability to vote freely with respect to any Extraordinary Matter. For purposes of this </w:t>
      </w:r>
      <w:r>
        <w:rPr>
          <w:rFonts w:ascii="Arial" w:cs="Arial" w:eastAsia="Arial" w:hAnsi="Arial"/>
          <w:sz w:val="16"/>
          <w:szCs w:val="16"/>
          <w:u w:val="single" w:color="auto"/>
          <w:color w:val="auto"/>
        </w:rPr>
        <w:t>Section 3</w:t>
      </w:r>
      <w:r>
        <w:rPr>
          <w:rFonts w:ascii="Arial" w:cs="Arial" w:eastAsia="Arial" w:hAnsi="Arial"/>
          <w:sz w:val="16"/>
          <w:szCs w:val="16"/>
          <w:color w:val="auto"/>
        </w:rPr>
        <w:t>, an “</w:t>
      </w:r>
      <w:r>
        <w:rPr>
          <w:rFonts w:ascii="Arial" w:cs="Arial" w:eastAsia="Arial" w:hAnsi="Arial"/>
          <w:sz w:val="16"/>
          <w:szCs w:val="16"/>
          <w:u w:val="single" w:color="auto"/>
          <w:color w:val="auto"/>
        </w:rPr>
        <w:t>Extraordinary Matter</w:t>
      </w:r>
      <w:r>
        <w:rPr>
          <w:rFonts w:ascii="Arial" w:cs="Arial" w:eastAsia="Arial" w:hAnsi="Arial"/>
          <w:sz w:val="16"/>
          <w:szCs w:val="16"/>
          <w:color w:val="auto"/>
        </w:rPr>
        <w:t>” means, with respect to the Company: (i) any merger, acquisition, recapitalization, restructuring, financing, disposition, distribution, spin-off, sale or transfer of all or substantially all of the Company’s or any of its Affiliates’ assets in one or a series of transactions, joint venture or other business combination of the Company or any of its Affiliates with a third party and (ii) any implementation of takeover defenses not in existence as of the date of this Agreement by the Company.</w:t>
      </w:r>
    </w:p>
    <w:p>
      <w:pPr>
        <w:spacing w:after="0" w:line="387" w:lineRule="exact"/>
        <w:rPr>
          <w:rFonts w:ascii="Arial" w:cs="Arial" w:eastAsia="Arial" w:hAnsi="Arial"/>
          <w:sz w:val="16"/>
          <w:szCs w:val="16"/>
          <w:color w:val="auto"/>
        </w:rPr>
      </w:pPr>
    </w:p>
    <w:p>
      <w:pPr>
        <w:ind w:left="624" w:hanging="184"/>
        <w:spacing w:after="0"/>
        <w:tabs>
          <w:tab w:leader="none" w:pos="624" w:val="left"/>
        </w:tabs>
        <w:numPr>
          <w:ilvl w:val="1"/>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Standstill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right="260" w:firstLine="987"/>
        <w:spacing w:after="0" w:line="263" w:lineRule="auto"/>
        <w:tabs>
          <w:tab w:leader="none" w:pos="1240" w:val="left"/>
        </w:tabs>
        <w:numPr>
          <w:ilvl w:val="2"/>
          <w:numId w:val="7"/>
        </w:numPr>
        <w:rPr>
          <w:rFonts w:ascii="Arial" w:cs="Arial" w:eastAsia="Arial" w:hAnsi="Arial"/>
          <w:sz w:val="18"/>
          <w:szCs w:val="18"/>
          <w:color w:val="auto"/>
        </w:rPr>
      </w:pPr>
      <w:r>
        <w:rPr>
          <w:rFonts w:ascii="Arial" w:cs="Arial" w:eastAsia="Arial" w:hAnsi="Arial"/>
          <w:sz w:val="18"/>
          <w:szCs w:val="18"/>
          <w:color w:val="auto"/>
        </w:rPr>
        <w:t>From the date of this Agreement until the expiration of the Standstill Period, each Investor shall not, and shall cause their respective Affiliates, principals, directors, general partners, officers, employees and, to the extent acting on their behalf, agents and representatives (collectively, the “</w:t>
      </w:r>
      <w:r>
        <w:rPr>
          <w:rFonts w:ascii="Arial" w:cs="Arial" w:eastAsia="Arial" w:hAnsi="Arial"/>
          <w:sz w:val="18"/>
          <w:szCs w:val="18"/>
          <w:u w:val="single" w:color="auto"/>
          <w:color w:val="auto"/>
        </w:rPr>
        <w:t>Related Persons</w:t>
      </w:r>
      <w:r>
        <w:rPr>
          <w:rFonts w:ascii="Arial" w:cs="Arial" w:eastAsia="Arial" w:hAnsi="Arial"/>
          <w:sz w:val="18"/>
          <w:szCs w:val="18"/>
          <w:color w:val="auto"/>
        </w:rPr>
        <w:t>”) not to, directly or indirectly:</w:t>
      </w:r>
    </w:p>
    <w:p>
      <w:pPr>
        <w:spacing w:after="0" w:line="75" w:lineRule="exact"/>
        <w:rPr>
          <w:rFonts w:ascii="Arial" w:cs="Arial" w:eastAsia="Arial" w:hAnsi="Arial"/>
          <w:sz w:val="18"/>
          <w:szCs w:val="18"/>
          <w:color w:val="auto"/>
        </w:rPr>
      </w:pPr>
    </w:p>
    <w:p>
      <w:pPr>
        <w:ind w:left="444" w:right="120" w:firstLine="948"/>
        <w:spacing w:after="0" w:line="255" w:lineRule="auto"/>
        <w:tabs>
          <w:tab w:leader="none" w:pos="1611" w:val="left"/>
        </w:tabs>
        <w:numPr>
          <w:ilvl w:val="3"/>
          <w:numId w:val="7"/>
        </w:numPr>
        <w:rPr>
          <w:rFonts w:ascii="Arial" w:cs="Arial" w:eastAsia="Arial" w:hAnsi="Arial"/>
          <w:sz w:val="18"/>
          <w:szCs w:val="18"/>
          <w:color w:val="auto"/>
        </w:rPr>
      </w:pPr>
      <w:r>
        <w:rPr>
          <w:rFonts w:ascii="Arial" w:cs="Arial" w:eastAsia="Arial" w:hAnsi="Arial"/>
          <w:sz w:val="18"/>
          <w:szCs w:val="18"/>
          <w:color w:val="auto"/>
        </w:rPr>
        <w:t xml:space="preserve">make any announcement or proposal with respect to, or offer, seek, propose, or indicate an interest in (A) any form of business combination or acquisition or other transaction relating to assets or securities of the Company or any of its subsidiaries, (B) any form of restructuring, recapitalization or similar transaction with respect to the Company or any of its subsidiaries, or (C) any form of tender or exchange offer for the Common Stock, whether or not such transaction involves a Change of Control (as defined below) of the Company (it being understood that the foregoing shall not prohibit Investors or their Affiliates from acquiring Common Stock within the limitations set forth in </w:t>
      </w:r>
      <w:r>
        <w:rPr>
          <w:rFonts w:ascii="Arial" w:cs="Arial" w:eastAsia="Arial" w:hAnsi="Arial"/>
          <w:sz w:val="18"/>
          <w:szCs w:val="18"/>
          <w:u w:val="single" w:color="auto"/>
          <w:color w:val="auto"/>
        </w:rPr>
        <w:t>Section 4(a)(iii)</w:t>
      </w:r>
      <w:r>
        <w:rPr>
          <w:rFonts w:ascii="Arial" w:cs="Arial" w:eastAsia="Arial" w:hAnsi="Arial"/>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7" w:name="page8"/>
    <w:bookmarkEnd w:id="7"/>
    <w:p>
      <w:pPr>
        <w:ind w:left="4" w:firstLine="948"/>
        <w:spacing w:after="0" w:line="255" w:lineRule="auto"/>
        <w:tabs>
          <w:tab w:leader="none" w:pos="1220"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engage in any solicitation of proxies or written consents to vote (or withhold the vote of) any voting securities of the Company, or conduct any binding or nonbinding referendum with respect to any voting securities of the Company, or assist or participate in any other way, directly or indirectly, in any solicitation of proxies (or written consents) with respect to any voting securities of the Company, or otherwise become a “participant” in a “solicitation,” as such terms are defined in Instruction 3 of Item 4 of Schedule 14A and Rule 14a-1 of Regulation 14A, respectively,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to vote (or withhold the vote of) any securities of the Company;</w:t>
      </w:r>
    </w:p>
    <w:p>
      <w:pPr>
        <w:spacing w:after="0" w:line="84" w:lineRule="exact"/>
        <w:rPr>
          <w:rFonts w:ascii="Arial" w:cs="Arial" w:eastAsia="Arial" w:hAnsi="Arial"/>
          <w:sz w:val="18"/>
          <w:szCs w:val="18"/>
          <w:color w:val="auto"/>
        </w:rPr>
      </w:pPr>
    </w:p>
    <w:p>
      <w:pPr>
        <w:ind w:left="4" w:right="20" w:firstLine="948"/>
        <w:spacing w:after="0" w:line="257"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purchase or otherwise acquire, or offer, seek, propose, or agree to acquire, ownership (including beneficial ownership as defined in Rule 13d-3 under the Exchange Act) of any securities of the Company, any direct or indirect rights or options to acquire any such securities, any derivative securities or contracts or instruments in any way related to the price of shares of Common Stock of the Company, or any assets or liabilities of the Company; provided that the Investor Group, in the aggregate, may acquire beneficial ownership of up to 15.0% of the outstanding shares of Common Stock;</w:t>
      </w:r>
    </w:p>
    <w:p>
      <w:pPr>
        <w:spacing w:after="0" w:line="79" w:lineRule="exact"/>
        <w:rPr>
          <w:rFonts w:ascii="Arial" w:cs="Arial" w:eastAsia="Arial" w:hAnsi="Arial"/>
          <w:sz w:val="18"/>
          <w:szCs w:val="18"/>
          <w:color w:val="auto"/>
        </w:rPr>
      </w:pPr>
    </w:p>
    <w:p>
      <w:pPr>
        <w:ind w:left="4" w:right="100" w:firstLine="948"/>
        <w:spacing w:after="0" w:line="277"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seek to advise, encourage, or influence any person with respect to the voting of (or execution of a written consent in respect of), acquisition of or disposition of any securities of the Company;</w:t>
      </w:r>
    </w:p>
    <w:p>
      <w:pPr>
        <w:spacing w:after="0" w:line="62" w:lineRule="exact"/>
        <w:rPr>
          <w:rFonts w:ascii="Arial" w:cs="Arial" w:eastAsia="Arial" w:hAnsi="Arial"/>
          <w:sz w:val="18"/>
          <w:szCs w:val="18"/>
          <w:color w:val="auto"/>
        </w:rPr>
      </w:pPr>
    </w:p>
    <w:p>
      <w:pPr>
        <w:ind w:left="4" w:firstLine="948"/>
        <w:spacing w:after="0" w:line="291" w:lineRule="auto"/>
        <w:tabs>
          <w:tab w:leader="none" w:pos="1210" w:val="left"/>
        </w:tabs>
        <w:numPr>
          <w:ilvl w:val="1"/>
          <w:numId w:val="8"/>
        </w:numPr>
        <w:rPr>
          <w:rFonts w:ascii="Arial" w:cs="Arial" w:eastAsia="Arial" w:hAnsi="Arial"/>
          <w:sz w:val="16"/>
          <w:szCs w:val="16"/>
          <w:color w:val="auto"/>
        </w:rPr>
      </w:pPr>
      <w:r>
        <w:rPr>
          <w:rFonts w:ascii="Arial" w:cs="Arial" w:eastAsia="Arial" w:hAnsi="Arial"/>
          <w:sz w:val="16"/>
          <w:szCs w:val="16"/>
          <w:color w:val="auto"/>
        </w:rPr>
        <w:t>sell, offer, or agree to sell, directly or indirectly, through swap or hedging transactions or otherwise, the securities of the Company or any rights decoupled from the underlying securities held by the Investor Group to any person or entity not (A) a party to this Agreement or</w:t>
      </w:r>
    </w:p>
    <w:p>
      <w:pPr>
        <w:ind w:left="4" w:right="160" w:hanging="4"/>
        <w:spacing w:after="0" w:line="253" w:lineRule="auto"/>
        <w:tabs>
          <w:tab w:leader="none" w:pos="28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Affiliate of the Investor Group (any person or entity not set forth in clauses (A) and (B) shall be referred to as a “</w:t>
      </w:r>
      <w:r>
        <w:rPr>
          <w:rFonts w:ascii="Arial" w:cs="Arial" w:eastAsia="Arial" w:hAnsi="Arial"/>
          <w:sz w:val="18"/>
          <w:szCs w:val="18"/>
          <w:u w:val="single" w:color="auto"/>
          <w:color w:val="auto"/>
        </w:rPr>
        <w:t>Third Party</w:t>
      </w:r>
      <w:r>
        <w:rPr>
          <w:rFonts w:ascii="Arial" w:cs="Arial" w:eastAsia="Arial" w:hAnsi="Arial"/>
          <w:sz w:val="18"/>
          <w:szCs w:val="18"/>
          <w:color w:val="auto"/>
        </w:rPr>
        <w:t>”) that would knowingly result in such Third Party, together with its Affiliates, owning, controlling or otherwise having any, beneficial or other ownership interest representing in the aggregate in excess of 4.9% of the shares of Common Stock outstanding at such time (except for Schedule 13G filers that are mutual funds, pension funds or index funds with no known history of activism);</w:t>
      </w:r>
    </w:p>
    <w:p>
      <w:pPr>
        <w:spacing w:after="0" w:line="84" w:lineRule="exact"/>
        <w:rPr>
          <w:rFonts w:ascii="Arial" w:cs="Arial" w:eastAsia="Arial" w:hAnsi="Arial"/>
          <w:sz w:val="18"/>
          <w:szCs w:val="18"/>
          <w:color w:val="auto"/>
        </w:rPr>
      </w:pPr>
    </w:p>
    <w:p>
      <w:pPr>
        <w:ind w:left="4" w:right="60" w:firstLine="948"/>
        <w:spacing w:after="0" w:line="290" w:lineRule="auto"/>
        <w:tabs>
          <w:tab w:leader="none" w:pos="1260" w:val="left"/>
        </w:tabs>
        <w:numPr>
          <w:ilvl w:val="1"/>
          <w:numId w:val="9"/>
        </w:numPr>
        <w:rPr>
          <w:rFonts w:ascii="Arial" w:cs="Arial" w:eastAsia="Arial" w:hAnsi="Arial"/>
          <w:sz w:val="16"/>
          <w:szCs w:val="16"/>
          <w:color w:val="auto"/>
        </w:rPr>
      </w:pPr>
      <w:r>
        <w:rPr>
          <w:rFonts w:ascii="Arial" w:cs="Arial" w:eastAsia="Arial" w:hAnsi="Arial"/>
          <w:sz w:val="16"/>
          <w:szCs w:val="16"/>
          <w:color w:val="auto"/>
        </w:rPr>
        <w:t>take any action in support of or make any proposal or request that constitutes (or would constitute if taken): (A) advising, controlling, changing, or influencing the Board or management of the Company, including any plans or proposals to change the voting standard with respect to director elections, number or term of directors or to fill any vacancies on the Board, except as set forth in this Agreement, (B) any change in the capitalization, stock repurchase programs and practices, or dividend policy of the Company, (C) any other change in the Company’s management, business, or corporate structure, (D) seeking to have the Company waive or make amendments or modifications to the Certificate of Incorporation or Bylaws, or other actions that may impede or facilitate the acquisition of control of the Company by any person, (E) causing a class of securities of the Company to be delisted from, or to cease to be authorized to be quoted on, any securities exchange, or (F) causing a class of securities of the Company to become eligible for termination of registration pursuant to Section 12(g)(4) of the Exchange Act;</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8" w:name="page9"/>
    <w:bookmarkEnd w:id="8"/>
    <w:p>
      <w:pPr>
        <w:ind w:left="1300" w:hanging="3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communicate with stockholders of the Company or others pursuant to Rule 14a-1(l)(2)(iv) under the Exchange Act;</w:t>
      </w:r>
    </w:p>
    <w:p>
      <w:pPr>
        <w:spacing w:after="0" w:line="117" w:lineRule="exact"/>
        <w:rPr>
          <w:rFonts w:ascii="Arial" w:cs="Arial" w:eastAsia="Arial" w:hAnsi="Arial"/>
          <w:sz w:val="18"/>
          <w:szCs w:val="18"/>
          <w:color w:val="auto"/>
        </w:rPr>
      </w:pPr>
    </w:p>
    <w:p>
      <w:pPr>
        <w:ind w:right="20" w:firstLine="948"/>
        <w:spacing w:after="0" w:line="263" w:lineRule="auto"/>
        <w:tabs>
          <w:tab w:leader="none" w:pos="13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any course of conduct with the purpose of causing stockholders of the Company to vote contrary to the recommendation of the Board on any matter presented to the Company’s stockholders for their vote at any meeting of the Company’s stockholders or by written consent;</w:t>
      </w:r>
    </w:p>
    <w:p>
      <w:pPr>
        <w:spacing w:after="0" w:line="75" w:lineRule="exact"/>
        <w:rPr>
          <w:rFonts w:ascii="Arial" w:cs="Arial" w:eastAsia="Arial" w:hAnsi="Arial"/>
          <w:sz w:val="18"/>
          <w:szCs w:val="18"/>
          <w:color w:val="auto"/>
        </w:rPr>
      </w:pPr>
    </w:p>
    <w:p>
      <w:pPr>
        <w:ind w:right="400" w:firstLine="948"/>
        <w:spacing w:after="0" w:line="277" w:lineRule="auto"/>
        <w:tabs>
          <w:tab w:leader="none" w:pos="12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call or seek to call, or request the call of, alone or in concert with others, any meeting of stockholders, whether or not such a meeting is permitted by the Certificate of Incorporation or Bylaws, including a “town hall meeting”;</w:t>
      </w:r>
    </w:p>
    <w:p>
      <w:pPr>
        <w:spacing w:after="0" w:line="62" w:lineRule="exact"/>
        <w:rPr>
          <w:rFonts w:ascii="Arial" w:cs="Arial" w:eastAsia="Arial" w:hAnsi="Arial"/>
          <w:sz w:val="18"/>
          <w:szCs w:val="18"/>
          <w:color w:val="auto"/>
        </w:rPr>
      </w:pPr>
    </w:p>
    <w:p>
      <w:pPr>
        <w:jc w:val="both"/>
        <w:ind w:firstLine="948"/>
        <w:spacing w:after="0" w:line="263" w:lineRule="auto"/>
        <w:tabs>
          <w:tab w:leader="none" w:pos="120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any Common Stock in any voting trust or subject any Common Stock to any arrangement or agreement with respect to the voting of any Common Stock (other than any such voting trust, arrangement or agreement solely among the Investors or any Affiliates thereof that is otherwise in accordance with this Agreement);</w:t>
      </w:r>
    </w:p>
    <w:p>
      <w:pPr>
        <w:spacing w:after="0" w:line="75" w:lineRule="exact"/>
        <w:rPr>
          <w:rFonts w:ascii="Arial" w:cs="Arial" w:eastAsia="Arial" w:hAnsi="Arial"/>
          <w:sz w:val="18"/>
          <w:szCs w:val="18"/>
          <w:color w:val="auto"/>
        </w:rPr>
      </w:pPr>
    </w:p>
    <w:p>
      <w:pPr>
        <w:ind w:right="520" w:firstLine="948"/>
        <w:spacing w:after="0" w:line="286" w:lineRule="auto"/>
        <w:tabs>
          <w:tab w:leader="none" w:pos="1257"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 seek, facilitate or encourage any person to submit nominations or proposals, whether in furtherance of a “contested solicitation” or otherwise, for the appointment, election or removal of directors or otherwise with respect to the Company or seek, facilitate, encourage, or take any other action with respect to the appointment, election or removal of any directors;</w:t>
      </w:r>
    </w:p>
    <w:p>
      <w:pPr>
        <w:spacing w:after="0" w:line="57" w:lineRule="exact"/>
        <w:rPr>
          <w:rFonts w:ascii="Arial" w:cs="Arial" w:eastAsia="Arial" w:hAnsi="Arial"/>
          <w:sz w:val="17"/>
          <w:szCs w:val="17"/>
          <w:color w:val="auto"/>
        </w:rPr>
      </w:pPr>
    </w:p>
    <w:p>
      <w:pPr>
        <w:ind w:right="260" w:firstLine="948"/>
        <w:spacing w:after="0" w:line="293" w:lineRule="auto"/>
        <w:tabs>
          <w:tab w:leader="none" w:pos="13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form, join, or in any other way participate in any “group” (within the meaning of Section 13(d)(3) of the Exchange Act) with respect to the Common Stock, other than a “group” consisting solely of members of the Investor Group;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Agreement shall limit the ability of an Affiliate of the Investor Group to join the “group” following the execution of this Agreement, so long as any such Affiliate agrees to be bound in writing by the terms and conditions of this Agreement and, if required under the Exchange Act, an Investor files a Schedule 13D within two (2) business days disclosing that such Investor has formed a group with such Affiliate (it being understood that such Schedule 13D and the contents thereof may not violate any of the restrictions set forth in this Agreement);</w:t>
      </w:r>
    </w:p>
    <w:p>
      <w:pPr>
        <w:spacing w:after="0" w:line="56" w:lineRule="exact"/>
        <w:rPr>
          <w:rFonts w:ascii="Arial" w:cs="Arial" w:eastAsia="Arial" w:hAnsi="Arial"/>
          <w:sz w:val="16"/>
          <w:szCs w:val="16"/>
          <w:color w:val="auto"/>
        </w:rPr>
      </w:pPr>
    </w:p>
    <w:p>
      <w:pPr>
        <w:ind w:right="100" w:firstLine="948"/>
        <w:spacing w:after="0" w:line="277" w:lineRule="auto"/>
        <w:tabs>
          <w:tab w:leader="none" w:pos="13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a copy of the Company’s list of stockholders or its other books and records or make any request under any statutory or regulatory provisions of Delaware law;</w:t>
      </w:r>
    </w:p>
    <w:p>
      <w:pPr>
        <w:spacing w:after="0" w:line="62" w:lineRule="exact"/>
        <w:rPr>
          <w:rFonts w:ascii="Arial" w:cs="Arial" w:eastAsia="Arial" w:hAnsi="Arial"/>
          <w:sz w:val="18"/>
          <w:szCs w:val="18"/>
          <w:color w:val="auto"/>
        </w:rPr>
      </w:pPr>
    </w:p>
    <w:p>
      <w:pPr>
        <w:ind w:right="20" w:firstLine="948"/>
        <w:spacing w:after="0" w:line="263" w:lineRule="auto"/>
        <w:tabs>
          <w:tab w:leader="none" w:pos="1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commence, encourage, or support any derivative action in the name of the Company or any class action against the Company or any of its officers or directors, in each case with the intent of circumventing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take any action challenging the validity or enforceability of any of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4" w:right="439" w:bottom="1440" w:gutter="0" w:footer="0" w:header="0"/>
        </w:sectPr>
      </w:pPr>
    </w:p>
    <w:bookmarkStart w:id="9" w:name="page10"/>
    <w:bookmarkEnd w:id="9"/>
    <w:p>
      <w:pPr>
        <w:ind w:left="444" w:right="240" w:firstLine="948"/>
        <w:spacing w:after="0" w:line="342" w:lineRule="auto"/>
        <w:tabs>
          <w:tab w:leader="none" w:pos="1741"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make any request or submit any proposal to amend or waive the terms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other than through non-public communications with the Company that would not be reasonably expected to result in or involve public disclosure obligations for any party; or</w:t>
      </w:r>
    </w:p>
    <w:p>
      <w:pPr>
        <w:spacing w:after="0" w:line="15" w:lineRule="exact"/>
        <w:rPr>
          <w:rFonts w:ascii="Arial" w:cs="Arial" w:eastAsia="Arial" w:hAnsi="Arial"/>
          <w:sz w:val="16"/>
          <w:szCs w:val="16"/>
          <w:color w:val="auto"/>
        </w:rPr>
      </w:pPr>
    </w:p>
    <w:p>
      <w:pPr>
        <w:jc w:val="both"/>
        <w:ind w:left="444" w:right="120" w:firstLine="948"/>
        <w:spacing w:after="0" w:line="259" w:lineRule="auto"/>
        <w:tabs>
          <w:tab w:leader="none" w:pos="17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enter into any discussions, negotiations, agreements or understandings with any person or entity with respect to any action the Investors are prohibited from taking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or advise, assist, knowingly encourage or seek to persuade any person or entity to take any action or make any statement with respect to any such action, or otherwise take or cause any action or make any statement inconsistent with any of the foregoing.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Notwithstanding the foregoing, nothing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elsewhere in this Agreement shall prohibit or restrict the Investor Group from:</w:t>
      </w:r>
    </w:p>
    <w:p>
      <w:pPr>
        <w:spacing w:after="0" w:line="35" w:lineRule="exact"/>
        <w:rPr>
          <w:sz w:val="20"/>
          <w:szCs w:val="20"/>
          <w:color w:val="auto"/>
        </w:rPr>
      </w:pPr>
    </w:p>
    <w:p>
      <w:pPr>
        <w:jc w:val="both"/>
        <w:ind w:left="4" w:right="20" w:hanging="4"/>
        <w:spacing w:after="0" w:line="281" w:lineRule="auto"/>
        <w:tabs>
          <w:tab w:leader="none" w:pos="29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communicating privately with the Board or any executive officer or director of the Company, regarding any matter, so long as such communications are not intended to, and would not reasonably be expected to, require any public disclosure of such communications or otherwise violate this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 w:hanging="4"/>
        <w:spacing w:after="0" w:line="281" w:lineRule="auto"/>
        <w:tabs>
          <w:tab w:leader="none" w:pos="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taking any action necessary to comply with any law, rule or regulation or any action required by any governmental or regulatory authority or stock exchange that has, or may have, jurisdiction over the Investor Group or any of their respective Affiliates or Associates, provided that a breach by the Investor Group of this Agreement is not the cause of the applicable requirement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to the extent legally permissible, must provide written notice to the Company of at least two (2) business days prior to taking any such action that would otherwise be prohibited under this Agreement, and reasonably consider any comments of the Company regarding such proposed action; (C) privately communicating to any of their potential investors or investors publicly available factual information regarding the Company consistent with prior practice in Corre Partners’ annual and quarterly investor letters,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communications are not reasonably expected to be publicly disclosed and are understood by all parties to be private communications and do not otherwise violate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(D) privately communicating to any stockholders of the Company in a manner that otherwise does not violate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communications are not reasonably expected to be publicly disclosed and are understood by all parties to be private communications; (E) bringing litigation against the Company to enforce the provisions of this Agreement, (F) making counterclaims with respect to any proceeding initiated by, or on behalf of, the Company against an Investor, or</w:t>
      </w:r>
    </w:p>
    <w:p>
      <w:pPr>
        <w:spacing w:after="0" w:line="6" w:lineRule="exact"/>
        <w:rPr>
          <w:rFonts w:ascii="Arial" w:cs="Arial" w:eastAsia="Arial" w:hAnsi="Arial"/>
          <w:sz w:val="16"/>
          <w:szCs w:val="16"/>
          <w:color w:val="auto"/>
        </w:rPr>
      </w:pPr>
    </w:p>
    <w:p>
      <w:pPr>
        <w:ind w:left="4" w:right="300" w:hanging="4"/>
        <w:spacing w:after="0" w:line="260" w:lineRule="auto"/>
        <w:tabs>
          <w:tab w:leader="none" w:pos="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responding to or complying with a validly issued legal process that neither the Investor Group nor any of their Affiliates initiated, encouraged or facilitated;.</w:t>
      </w:r>
    </w:p>
    <w:p>
      <w:pPr>
        <w:spacing w:after="0" w:line="185" w:lineRule="exact"/>
        <w:rPr>
          <w:rFonts w:ascii="Arial" w:cs="Arial" w:eastAsia="Arial" w:hAnsi="Arial"/>
          <w:sz w:val="18"/>
          <w:szCs w:val="18"/>
          <w:color w:val="auto"/>
        </w:rPr>
      </w:pPr>
    </w:p>
    <w:p>
      <w:pPr>
        <w:ind w:left="4" w:right="60" w:firstLine="987"/>
        <w:spacing w:after="0" w:line="259" w:lineRule="auto"/>
        <w:tabs>
          <w:tab w:leader="none" w:pos="12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not limit in any respect the actions of any director of the Company in his or her capacity as such, recognizing that such actions are subject to such director’s fiduciary duties to the Company and its stockholders (it being understood and agreed that neither the Investors nor any of their Affiliates shall seek to do indirectly through any director or other party anything that would be prohibited if done by any of the Investors or their Affiliates).</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7" w:lineRule="exact"/>
        <w:rPr>
          <w:rFonts w:ascii="Arial" w:cs="Arial" w:eastAsia="Arial" w:hAnsi="Arial"/>
          <w:sz w:val="18"/>
          <w:szCs w:val="18"/>
          <w:color w:val="auto"/>
        </w:rPr>
      </w:pPr>
    </w:p>
    <w:p>
      <w:pPr>
        <w:ind w:left="1604" w:hanging="212"/>
        <w:spacing w:after="0"/>
        <w:tabs>
          <w:tab w:leader="none" w:pos="1604" w:val="left"/>
        </w:tabs>
        <w:numPr>
          <w:ilvl w:val="2"/>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“Affiliate” as defined in Rule 12b-2 promulgated by the SEC under the Exchange Act;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0" w:name="page11"/>
    <w:bookmarkEnd w:id="10"/>
    <w:p>
      <w:pPr>
        <w:ind w:left="1640" w:hanging="272"/>
        <w:spacing w:after="0"/>
        <w:tabs>
          <w:tab w:leader="none" w:pos="1640" w:val="left"/>
        </w:tabs>
        <w:numPr>
          <w:ilvl w:val="2"/>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Associate</w:t>
      </w:r>
      <w:r>
        <w:rPr>
          <w:rFonts w:ascii="Arial" w:cs="Arial" w:eastAsia="Arial" w:hAnsi="Arial"/>
          <w:sz w:val="18"/>
          <w:szCs w:val="18"/>
          <w:color w:val="auto"/>
        </w:rPr>
        <w:t>” shall mean any “Associate” as defined in Rule 12b-2 promulgated by the SEC under the Exchange Act;</w:t>
      </w:r>
    </w:p>
    <w:p>
      <w:pPr>
        <w:spacing w:after="0" w:line="117" w:lineRule="exact"/>
        <w:rPr>
          <w:rFonts w:ascii="Arial" w:cs="Arial" w:eastAsia="Arial" w:hAnsi="Arial"/>
          <w:sz w:val="18"/>
          <w:szCs w:val="18"/>
          <w:color w:val="auto"/>
        </w:rPr>
      </w:pPr>
    </w:p>
    <w:p>
      <w:pPr>
        <w:ind w:left="420" w:right="20" w:firstLine="948"/>
        <w:spacing w:after="0" w:line="277" w:lineRule="auto"/>
        <w:tabs>
          <w:tab w:leader="none" w:pos="1687" w:val="left"/>
        </w:tabs>
        <w:numPr>
          <w:ilvl w:val="2"/>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same meanings as set forth in Rule 13d-3 promulgated by the SEC under the Exchange Act;</w:t>
      </w:r>
    </w:p>
    <w:p>
      <w:pPr>
        <w:spacing w:after="0" w:line="62" w:lineRule="exact"/>
        <w:rPr>
          <w:rFonts w:ascii="Arial" w:cs="Arial" w:eastAsia="Arial" w:hAnsi="Arial"/>
          <w:sz w:val="18"/>
          <w:szCs w:val="18"/>
          <w:color w:val="auto"/>
        </w:rPr>
      </w:pPr>
    </w:p>
    <w:p>
      <w:pPr>
        <w:ind w:left="420" w:firstLine="948"/>
        <w:spacing w:after="0" w:line="275" w:lineRule="auto"/>
        <w:tabs>
          <w:tab w:leader="none" w:pos="1677" w:val="left"/>
        </w:tabs>
        <w:numPr>
          <w:ilvl w:val="2"/>
          <w:numId w:val="1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of Control</w:t>
      </w:r>
      <w:r>
        <w:rPr>
          <w:rFonts w:ascii="Arial" w:cs="Arial" w:eastAsia="Arial" w:hAnsi="Arial"/>
          <w:sz w:val="17"/>
          <w:szCs w:val="17"/>
          <w:color w:val="auto"/>
        </w:rPr>
        <w:t>” transaction shall be deemed to have taken place if (1) any person is or becomes a beneficial owner, directly or indirectly, of securities of the Company representing more than 50% of the equity interests and voting power of the Company’s then outstanding equity securities, (2) the Company effects a merger or a stock-for-stock transaction whereby immediately after the consummation of the transaction the Company’s stockholders retain less than 50% of the equity interests and voting power of the surviving entity’s then outstanding equity securities or (3) the Company sells substantially all of the Company’s assets;</w:t>
      </w:r>
    </w:p>
    <w:p>
      <w:pPr>
        <w:spacing w:after="0" w:line="68" w:lineRule="exact"/>
        <w:rPr>
          <w:rFonts w:ascii="Arial" w:cs="Arial" w:eastAsia="Arial" w:hAnsi="Arial"/>
          <w:sz w:val="17"/>
          <w:szCs w:val="17"/>
          <w:color w:val="auto"/>
        </w:rPr>
      </w:pPr>
    </w:p>
    <w:p>
      <w:pPr>
        <w:ind w:left="420" w:right="260" w:firstLine="948"/>
        <w:spacing w:after="0" w:line="308" w:lineRule="auto"/>
        <w:tabs>
          <w:tab w:leader="none" w:pos="1627" w:val="left"/>
        </w:tabs>
        <w:numPr>
          <w:ilvl w:val="2"/>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or “</w:t>
      </w:r>
      <w:r>
        <w:rPr>
          <w:rFonts w:ascii="Arial" w:cs="Arial" w:eastAsia="Arial" w:hAnsi="Arial"/>
          <w:sz w:val="17"/>
          <w:szCs w:val="17"/>
          <w:u w:val="single" w:color="auto"/>
          <w:color w:val="auto"/>
        </w:rPr>
        <w:t>persons</w:t>
      </w:r>
      <w:r>
        <w:rPr>
          <w:rFonts w:ascii="Arial" w:cs="Arial" w:eastAsia="Arial" w:hAnsi="Arial"/>
          <w:sz w:val="17"/>
          <w:szCs w:val="17"/>
          <w:color w:val="auto"/>
        </w:rPr>
        <w:t>” shall mean any individual, corporation (including not-for-profit), general or limited partnership, limited liability company, joint venture, estate, trust, association, organization or other entity of any kind or nature; and</w:t>
      </w:r>
    </w:p>
    <w:p>
      <w:pPr>
        <w:spacing w:after="0" w:line="38" w:lineRule="exact"/>
        <w:rPr>
          <w:rFonts w:ascii="Arial" w:cs="Arial" w:eastAsia="Arial" w:hAnsi="Arial"/>
          <w:sz w:val="17"/>
          <w:szCs w:val="17"/>
          <w:color w:val="auto"/>
        </w:rPr>
      </w:pPr>
    </w:p>
    <w:p>
      <w:pPr>
        <w:ind w:left="420" w:right="160" w:firstLine="948"/>
        <w:spacing w:after="0" w:line="311" w:lineRule="auto"/>
        <w:tabs>
          <w:tab w:leader="none" w:pos="1677" w:val="left"/>
        </w:tabs>
        <w:numPr>
          <w:ilvl w:val="2"/>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Standstill Period</w:t>
      </w:r>
      <w:r>
        <w:rPr>
          <w:rFonts w:ascii="Arial" w:cs="Arial" w:eastAsia="Arial" w:hAnsi="Arial"/>
          <w:sz w:val="16"/>
          <w:szCs w:val="16"/>
          <w:color w:val="auto"/>
        </w:rPr>
        <w:t>” shall mean the period commencing on the date of this Agreement and ending on the date that is 20 calendar days prior to the last day of the advance notice period for the submission by stockholders of director nominations for consideration at the 2023 Annual Meeting (as determined in accordance with the advance notice provisions of the Bylaws existing on the date hereof).</w:t>
      </w:r>
    </w:p>
    <w:p>
      <w:pPr>
        <w:spacing w:after="0" w:line="148" w:lineRule="exact"/>
        <w:rPr>
          <w:rFonts w:ascii="Arial" w:cs="Arial" w:eastAsia="Arial" w:hAnsi="Arial"/>
          <w:sz w:val="16"/>
          <w:szCs w:val="16"/>
          <w:color w:val="auto"/>
        </w:rPr>
      </w:pPr>
    </w:p>
    <w:p>
      <w:pPr>
        <w:ind w:left="-20" w:right="40" w:firstLine="987"/>
        <w:spacing w:after="0" w:line="273" w:lineRule="auto"/>
        <w:tabs>
          <w:tab w:leader="none" w:pos="1226"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At any time during the Standstill Period, upon reasonable written notice from the Company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the Investor Group will promptly provide the Company with information regarding the amount of the securities of the Company beneficially or economically owned by each such entity or individual. This ownership information provided to the Company will be kept strictly confidential unless required to be disclosed pursuant to applicable laws and regulations, any subpoena, legal process or other legal requirement or in connection with any litigation or similar proceedings in connection with this Agreement. Unless prohibited by any legal requirement, the Company shall promptly notify the Investor Group of any disclosure made pursuant to the preceding sentence of this Section 4(d).</w:t>
      </w:r>
    </w:p>
    <w:p>
      <w:pPr>
        <w:spacing w:after="0" w:line="173" w:lineRule="exact"/>
        <w:rPr>
          <w:rFonts w:ascii="Arial" w:cs="Arial" w:eastAsia="Arial" w:hAnsi="Arial"/>
          <w:sz w:val="17"/>
          <w:szCs w:val="17"/>
          <w:color w:val="auto"/>
        </w:rPr>
      </w:pPr>
    </w:p>
    <w:p>
      <w:pPr>
        <w:ind w:left="-20" w:firstLine="436"/>
        <w:spacing w:after="0" w:line="270" w:lineRule="auto"/>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represents and warrants to the Investors that (a) the Company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power and authority to execute the Agreement and to bind the Company to this Agreement,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the Company does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or any material agreement, contract, commitment, understanding or arrangement to which the Company is a party or by which it is bound.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11" w:name="page12"/>
    <w:bookmarkEnd w:id="11"/>
    <w:p>
      <w:pPr>
        <w:ind w:firstLine="436"/>
        <w:spacing w:after="0" w:line="284"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and Warranties of the Investors</w:t>
      </w:r>
      <w:r>
        <w:rPr>
          <w:rFonts w:ascii="Arial" w:cs="Arial" w:eastAsia="Arial" w:hAnsi="Arial"/>
          <w:sz w:val="16"/>
          <w:szCs w:val="16"/>
          <w:color w:val="auto"/>
        </w:rPr>
        <w:t>. Each Investor, on behalf of itself, represents and warrants to the Company that (a)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of this Agreement, such Investor beneficially owns, directly or indirectly, only the number of shares of Common Stock as described opposite its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includes all Affiliates of any Investors that own any securities of the Company beneficially or of record and reflects all shares of Common Stock in which the Investors have any interest or right to acquire, whether through derivative securities, voting agreements or otherwise, (b) this Agreement has been duly and validly authorized, executed and delivered by such Investor, and constitutes a valid and binding obligation and agreement of such Investor, enforceable against such Investor in accordance with its terms, except as enforcement thereof may be limited by applicable bankruptcy, insolvency, reorganization, moratorium, fraudulent conveyance or similar laws generally affecting the rights of creditors and subject to general equity principles, (c) such Investor has the authority to execute the Agreement on behalf of itself and the applicable Investor associated with that signatory’s name, and to bind such Investor to the terms of this Agreement, (d) each of the Investors shall use its commercially reasonable efforts to cause each of its respective Related Persons to comply with the terms of this Agreement, and (e) the execution, delivery and performance of this Agreement by such Investor does not violate or conflict with (i) any law, rule, regulation, order, judgment or decree applicable to it,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agreement, contract, commitment, understanding or arrangement to which such member is a party or by which it is bound. Each Investor further agrees that it shall not compensate any New Director for serving on the Board or enter into any contract, agreement, arrangement, commitment or understanding (whether written or oral) relating to the Company with any director or officer of the Company. Each Investor represents and warrants that it has no voting commitments or other arrangements or understandings with any of the New Directors as of the date hereof. Each Investor represents and warrants that it does not have, directly or indirectly, any agreements, arrangements or understandings with any person (other than their own Representatives) with respect to any potential transaction involving the Company, the acquisition, voting or disposition of any securities of the Company, or the potential submission of any proposals or director nominations at the Company (other than Investor’s agreements, arrangements or understandings with any potential director candidate concerning Investor’s nomination or potential nomination of such candidate to the Board, all of which matters have been subsequently addressed by this Agreement).</w:t>
      </w:r>
    </w:p>
    <w:p>
      <w:pPr>
        <w:spacing w:after="0" w:line="395" w:lineRule="exact"/>
        <w:rPr>
          <w:rFonts w:ascii="Arial" w:cs="Arial" w:eastAsia="Arial" w:hAnsi="Arial"/>
          <w:sz w:val="16"/>
          <w:szCs w:val="16"/>
          <w:color w:val="auto"/>
        </w:rPr>
      </w:pPr>
    </w:p>
    <w:p>
      <w:pPr>
        <w:ind w:left="620" w:hanging="18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180" w:firstLine="987"/>
        <w:spacing w:after="0" w:line="259" w:lineRule="auto"/>
        <w:tabs>
          <w:tab w:leader="none" w:pos="1236"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Investor agrees that, until the expiration of the Standstill Period, neither it nor any of its Affiliates will, and it will cause each of its Affiliates and Related Persons not to, directly or indirectly, in any capacity or manner, make, express, transmit, speak, write, verbalize or otherwise communicate in any way (or cause, further, assist, solicit, encourage, support or participate in any of the foregoing), any remark, comment, message,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declaration, communication or other statement of any kind, whether verbal, in writing, electronically transferred or otherwise, that might reasonably be construed to be derogatory toward the Company or any of its past or present directors, officers, Affiliates, subsidiaries, employees, agents or representatives (collectively, the “</w:t>
      </w:r>
      <w:r>
        <w:rPr>
          <w:rFonts w:ascii="Arial" w:cs="Arial" w:eastAsia="Arial" w:hAnsi="Arial"/>
          <w:sz w:val="16"/>
          <w:szCs w:val="16"/>
          <w:u w:val="single" w:color="auto"/>
          <w:color w:val="auto"/>
        </w:rPr>
        <w:t>Company Representatives</w:t>
      </w:r>
      <w:r>
        <w:rPr>
          <w:rFonts w:ascii="Arial" w:cs="Arial" w:eastAsia="Arial" w:hAnsi="Arial"/>
          <w:sz w:val="16"/>
          <w:szCs w:val="16"/>
          <w:color w:val="auto"/>
        </w:rPr>
        <w:t xml:space="preserve">”), or that reveals, discloses, incorporates, is based upon, discusses, includes or otherwise involves any confidential or proprietary information of the Company or its subsidiaries or Affiliates, or to malign, harm, disparage, defame or damage the reputation or good name of the Company, any Company Representative or the Company’s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prevent the Investor Group from privately communicating to the Company, or any directors or executive officers of the Company factual information based on publicly available information that does not otherwise violate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Agreement.</w:t>
      </w:r>
    </w:p>
    <w:p>
      <w:pPr>
        <w:spacing w:after="0" w:line="166" w:lineRule="exact"/>
        <w:rPr>
          <w:sz w:val="20"/>
          <w:szCs w:val="20"/>
          <w:color w:val="auto"/>
        </w:rPr>
      </w:pPr>
    </w:p>
    <w:p>
      <w:pPr>
        <w:ind w:firstLine="987"/>
        <w:spacing w:after="0" w:line="270" w:lineRule="auto"/>
        <w:tabs>
          <w:tab w:leader="none" w:pos="1246"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Company agrees that, until the expiration of the Standstill Period, neither it nor any of its executive officers or directors will, directly or indirectly, in any capacity or manner,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in writing, electronically transferred or otherwise, that might reasonably be construed to be derogatory toward any Investor or any of its past or present directors, officers, Affiliates, subsidiaries, employees, agents or representatives (collectively, the “</w:t>
      </w:r>
      <w:r>
        <w:rPr>
          <w:rFonts w:ascii="Arial" w:cs="Arial" w:eastAsia="Arial" w:hAnsi="Arial"/>
          <w:sz w:val="17"/>
          <w:szCs w:val="17"/>
          <w:u w:val="single" w:color="auto"/>
          <w:color w:val="auto"/>
        </w:rPr>
        <w:t>Investor Representatives</w:t>
      </w:r>
      <w:r>
        <w:rPr>
          <w:rFonts w:ascii="Arial" w:cs="Arial" w:eastAsia="Arial" w:hAnsi="Arial"/>
          <w:sz w:val="17"/>
          <w:szCs w:val="17"/>
          <w:color w:val="auto"/>
        </w:rPr>
        <w:t xml:space="preserve">”), or that reveals, discloses, incorporates, is based upon, discusses, includes or otherwise involves any confidential or proprietary information of any Investor or its Affiliates, or to malign, harm, disparage, defame or damage the reputation or good name of any Investor, any Investor Representative or any Investor’s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prevent private communications to the Investor Group or Investor Representatives of factual information based on publicly available information.</w:t>
      </w:r>
    </w:p>
    <w:p>
      <w:pPr>
        <w:spacing w:after="0" w:line="180" w:lineRule="exact"/>
        <w:rPr>
          <w:rFonts w:ascii="Arial" w:cs="Arial" w:eastAsia="Arial" w:hAnsi="Arial"/>
          <w:sz w:val="17"/>
          <w:szCs w:val="17"/>
          <w:color w:val="auto"/>
        </w:rPr>
      </w:pPr>
    </w:p>
    <w:p>
      <w:pPr>
        <w:ind w:right="320" w:firstLine="987"/>
        <w:spacing w:after="0" w:line="255" w:lineRule="auto"/>
        <w:tabs>
          <w:tab w:leader="none" w:pos="12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Notwithstanding the foregoing, nothing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elsewhere in this Agreement shall prohibit any party to this Agreement from making any statement or disclosure required under the federal securities laws or other applicable laws, rules or regulations so long as such requirement is not due to a breach by any party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party must, to the extent legally permissible and practicable, provide written notice to the other party at least five (5) business days prior to making any such statement or disclosure required under the federal securities laws or other applicable laws that would otherwise be prohibited by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and shall reasonably consider any comments of the other party.</w:t>
      </w:r>
    </w:p>
    <w:p>
      <w:pPr>
        <w:spacing w:after="0" w:line="192" w:lineRule="exact"/>
        <w:rPr>
          <w:rFonts w:ascii="Arial" w:cs="Arial" w:eastAsia="Arial" w:hAnsi="Arial"/>
          <w:sz w:val="18"/>
          <w:szCs w:val="18"/>
          <w:color w:val="auto"/>
        </w:rPr>
      </w:pPr>
    </w:p>
    <w:p>
      <w:pPr>
        <w:ind w:right="460" w:firstLine="987"/>
        <w:spacing w:after="0" w:line="263" w:lineRule="auto"/>
        <w:tabs>
          <w:tab w:leader="none" w:pos="12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limitations set forth in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7(b)</w:t>
      </w:r>
      <w:r>
        <w:rPr>
          <w:rFonts w:ascii="Arial" w:cs="Arial" w:eastAsia="Arial" w:hAnsi="Arial"/>
          <w:sz w:val="18"/>
          <w:szCs w:val="18"/>
          <w:color w:val="auto"/>
        </w:rPr>
        <w:t xml:space="preserve"> shall not prevent any party to this Agreement from responding to any public statement made by the other party of the nature described in </w:t>
      </w:r>
      <w:r>
        <w:rPr>
          <w:rFonts w:ascii="Arial" w:cs="Arial" w:eastAsia="Arial" w:hAnsi="Arial"/>
          <w:sz w:val="18"/>
          <w:szCs w:val="18"/>
          <w:u w:val="single" w:color="auto"/>
          <w:color w:val="auto"/>
        </w:rPr>
        <w:t>Sections 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7(b)</w:t>
      </w:r>
      <w:r>
        <w:rPr>
          <w:rFonts w:ascii="Arial" w:cs="Arial" w:eastAsia="Arial" w:hAnsi="Arial"/>
          <w:sz w:val="18"/>
          <w:szCs w:val="18"/>
          <w:color w:val="auto"/>
        </w:rPr>
        <w:t xml:space="preserve"> if such statement by the other party was made in breach of this Agreement.</w:t>
      </w:r>
    </w:p>
    <w:p>
      <w:pPr>
        <w:spacing w:after="0" w:line="179" w:lineRule="exact"/>
        <w:rPr>
          <w:rFonts w:ascii="Arial" w:cs="Arial" w:eastAsia="Arial" w:hAnsi="Arial"/>
          <w:sz w:val="18"/>
          <w:szCs w:val="18"/>
          <w:color w:val="auto"/>
        </w:rPr>
      </w:pPr>
    </w:p>
    <w:p>
      <w:pPr>
        <w:ind w:right="60" w:firstLine="436"/>
        <w:spacing w:after="0" w:line="261"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Public Announcements</w:t>
      </w:r>
      <w:r>
        <w:rPr>
          <w:rFonts w:ascii="Arial" w:cs="Arial" w:eastAsia="Arial" w:hAnsi="Arial"/>
          <w:sz w:val="18"/>
          <w:szCs w:val="18"/>
          <w:color w:val="auto"/>
        </w:rPr>
        <w:t>. Promptly following the execution of this Agreement, the Company and the Investor Group shall issue a mutually</w:t>
      </w:r>
      <w:r>
        <w:rPr>
          <w:rFonts w:ascii="Arial" w:cs="Arial" w:eastAsia="Arial" w:hAnsi="Arial"/>
          <w:sz w:val="18"/>
          <w:szCs w:val="18"/>
          <w:b w:val="1"/>
          <w:bCs w:val="1"/>
          <w:color w:val="auto"/>
        </w:rPr>
        <w:t xml:space="preserve"> </w:t>
      </w:r>
      <w:r>
        <w:rPr>
          <w:rFonts w:ascii="Arial" w:cs="Arial" w:eastAsia="Arial" w:hAnsi="Arial"/>
          <w:sz w:val="18"/>
          <w:szCs w:val="18"/>
          <w:color w:val="auto"/>
        </w:rPr>
        <w:t>agreeable press release (the “</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announcing this Agreement, substantially in the form attached to this 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Prior to the issuance of the Press Release, neither the Company nor any of the Investors shall issue any press release or make any public announcement regarding this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3" w:name="page14"/>
    <w:bookmarkEnd w:id="13"/>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or take any action that would require public disclosure relating to such action without the prior written consent of the other party. No party or any of its Affiliates shall make any public statement (including, without limitation, in any filing required under the Exchange Act) concerning the subject matter of this Agreement inconsistent with the Press Release.</w:t>
      </w:r>
    </w:p>
    <w:p>
      <w:pPr>
        <w:spacing w:after="0" w:line="180" w:lineRule="exact"/>
        <w:rPr>
          <w:sz w:val="20"/>
          <w:szCs w:val="20"/>
          <w:color w:val="auto"/>
        </w:rPr>
      </w:pPr>
    </w:p>
    <w:p>
      <w:pPr>
        <w:ind w:left="624" w:hanging="184"/>
        <w:spacing w:after="0"/>
        <w:tabs>
          <w:tab w:leader="none" w:pos="624" w:val="left"/>
        </w:tabs>
        <w:numPr>
          <w:ilvl w:val="1"/>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SEC Filings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right="100" w:firstLine="987"/>
        <w:spacing w:after="0" w:line="259" w:lineRule="auto"/>
        <w:tabs>
          <w:tab w:leader="none" w:pos="1240" w:val="left"/>
        </w:tabs>
        <w:numPr>
          <w:ilvl w:val="2"/>
          <w:numId w:val="20"/>
        </w:numPr>
        <w:rPr>
          <w:rFonts w:ascii="Arial" w:cs="Arial" w:eastAsia="Arial" w:hAnsi="Arial"/>
          <w:sz w:val="18"/>
          <w:szCs w:val="18"/>
          <w:color w:val="auto"/>
        </w:rPr>
      </w:pPr>
      <w:r>
        <w:rPr>
          <w:rFonts w:ascii="Arial" w:cs="Arial" w:eastAsia="Arial" w:hAnsi="Arial"/>
          <w:sz w:val="18"/>
          <w:szCs w:val="18"/>
          <w:color w:val="auto"/>
        </w:rPr>
        <w:t>No later than four (4) business days following the execution of this Agreement, the Company shall file a Current Report on Form 8-K with the SEC reporting the appointment of the New Directors and appending or incorporating by reference this Agreement as an exhibit. The Company shall provide the Investor Group with a reasonable opportunity to review and comment on the Form 8-K prior to it being filed with the SEC and consider in good faith any comments of the Investor Group.</w:t>
      </w:r>
    </w:p>
    <w:p>
      <w:pPr>
        <w:spacing w:after="0" w:line="186" w:lineRule="exact"/>
        <w:rPr>
          <w:rFonts w:ascii="Arial" w:cs="Arial" w:eastAsia="Arial" w:hAnsi="Arial"/>
          <w:sz w:val="18"/>
          <w:szCs w:val="18"/>
          <w:color w:val="auto"/>
        </w:rPr>
      </w:pPr>
    </w:p>
    <w:p>
      <w:pPr>
        <w:ind w:left="4" w:right="80" w:firstLine="987"/>
        <w:spacing w:after="0" w:line="255" w:lineRule="auto"/>
        <w:tabs>
          <w:tab w:leader="none" w:pos="125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As soon as practicable following the execution of this Agreement, if required by the Exchange Act, the Investor Group shall file with the SEC either (i) an amendment to that certain Schedule 13G, dated February 16, 2021, as amended and may be amended with respect to the Company that has been filed with the SEC, or (ii) a Schedule 13D, in either case reporting the entry into this Agreement and appending or incorporating by reference this Agreement as an exhibit thereto (the “Investor Group Filing”). The Investor Group shall provide the Company with a reasonable opportunity to review and comment on the Investor Group Filing prior to it being filed with the SEC and consider in good faith any comments of the Company.</w:t>
      </w:r>
    </w:p>
    <w:p>
      <w:pPr>
        <w:spacing w:after="0" w:line="192" w:lineRule="exact"/>
        <w:rPr>
          <w:rFonts w:ascii="Arial" w:cs="Arial" w:eastAsia="Arial" w:hAnsi="Arial"/>
          <w:sz w:val="18"/>
          <w:szCs w:val="18"/>
          <w:color w:val="auto"/>
        </w:rPr>
      </w:pPr>
    </w:p>
    <w:p>
      <w:pPr>
        <w:ind w:left="4" w:right="220" w:firstLine="987"/>
        <w:spacing w:after="0" w:line="287" w:lineRule="auto"/>
        <w:tabs>
          <w:tab w:leader="none" w:pos="12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Except for amendments to the the Investor Group Filing made solely to report material changes to the information contained therein, including a change in the level of ownership of Common Stock and the entry into this Agreement and the issuance of the Press Release, none of the Investors shall, during the Standstill Period, (i) issue a press release in connection with this Agreement or the actions contemplated hereby or</w:t>
      </w:r>
    </w:p>
    <w:p>
      <w:pPr>
        <w:spacing w:after="0" w:line="2" w:lineRule="exact"/>
        <w:rPr>
          <w:rFonts w:ascii="Arial" w:cs="Arial" w:eastAsia="Arial" w:hAnsi="Arial"/>
          <w:sz w:val="16"/>
          <w:szCs w:val="16"/>
          <w:color w:val="auto"/>
        </w:rPr>
      </w:pPr>
    </w:p>
    <w:p>
      <w:pPr>
        <w:jc w:val="both"/>
        <w:ind w:left="4" w:right="180" w:hanging="4"/>
        <w:spacing w:after="0" w:line="302" w:lineRule="auto"/>
        <w:tabs>
          <w:tab w:leader="none" w:pos="2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otherwise make any public statement, disclosure or announcement with respect to this Agreement or the actions contemplated hereby, in each case without the prior written consent of the Company, unless required by applicable law, rules or regulations in which case the Investor shall first preview such disclosure or announcement with the Company in advance of making such disclosure or announcement and consider comments by the Company.</w:t>
      </w:r>
    </w:p>
    <w:p>
      <w:pPr>
        <w:spacing w:after="0" w:line="151" w:lineRule="exact"/>
        <w:rPr>
          <w:rFonts w:ascii="Arial" w:cs="Arial" w:eastAsia="Arial" w:hAnsi="Arial"/>
          <w:sz w:val="16"/>
          <w:szCs w:val="16"/>
          <w:color w:val="auto"/>
        </w:rPr>
      </w:pPr>
    </w:p>
    <w:p>
      <w:pPr>
        <w:ind w:left="4" w:right="40" w:firstLine="436"/>
        <w:spacing w:after="0" w:line="255" w:lineRule="auto"/>
        <w:tabs>
          <w:tab w:leader="none" w:pos="714"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Each of the Investors, on the one hand, and the Company, on the other hand, acknowledges and agrees that irreparable</w:t>
      </w:r>
      <w:r>
        <w:rPr>
          <w:rFonts w:ascii="Arial" w:cs="Arial" w:eastAsia="Arial" w:hAnsi="Arial"/>
          <w:sz w:val="18"/>
          <w:szCs w:val="18"/>
          <w:b w:val="1"/>
          <w:bCs w:val="1"/>
          <w:color w:val="auto"/>
        </w:rPr>
        <w:t xml:space="preserve"> </w:t>
      </w:r>
      <w:r>
        <w:rPr>
          <w:rFonts w:ascii="Arial" w:cs="Arial" w:eastAsia="Arial" w:hAnsi="Arial"/>
          <w:sz w:val="18"/>
          <w:szCs w:val="18"/>
          <w:color w:val="auto"/>
        </w:rPr>
        <w:t>injury to the other party to this Agreement would occur in the event any of the provisions of this Agreement are not performed in accordance with their specific terms or are otherwise breached and that such injury would not be adequately compensable in monetary damages. It is accordingly agreed that the Investors or any Investor, on the one hand, and the Company, on the other hand (the “</w:t>
      </w:r>
      <w:r>
        <w:rPr>
          <w:rFonts w:ascii="Arial" w:cs="Arial" w:eastAsia="Arial" w:hAnsi="Arial"/>
          <w:sz w:val="18"/>
          <w:szCs w:val="18"/>
          <w:u w:val="single" w:color="auto"/>
          <w:color w:val="auto"/>
        </w:rPr>
        <w:t>Moving Party</w:t>
      </w:r>
      <w:r>
        <w:rPr>
          <w:rFonts w:ascii="Arial" w:cs="Arial" w:eastAsia="Arial" w:hAnsi="Arial"/>
          <w:sz w:val="18"/>
          <w:szCs w:val="18"/>
          <w:color w:val="auto"/>
        </w:rPr>
        <w:t>”), shall each be entitled to specific enforcement of, and injunctive or other equitable relief as a remedy for any such breach or to prevent any violation or threatened violation of, the terms of this Agreement, and the other party to this Agreement will not take action, directly or indirectly, in opposition to the Moving Party seeking such relief on the grounds that any other</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4" w:name="page15"/>
    <w:bookmarkEnd w:id="14"/>
    <w:p>
      <w:pPr>
        <w:jc w:val="both"/>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remedy or relief is available at law or in equity. The parties further agree to waive any requirement for the security or posting of any bond in connection with any such relief. Such remedies shall not be deemed to be the exclusive remedies for a breach of this Agreement but shall be in addition to all other remedies available at law or equity.</w:t>
      </w:r>
    </w:p>
    <w:p>
      <w:pPr>
        <w:spacing w:after="0" w:line="180" w:lineRule="exact"/>
        <w:rPr>
          <w:sz w:val="20"/>
          <w:szCs w:val="20"/>
          <w:color w:val="auto"/>
        </w:rPr>
      </w:pPr>
    </w:p>
    <w:p>
      <w:pPr>
        <w:ind w:left="4" w:right="20" w:firstLine="436"/>
        <w:spacing w:after="0" w:line="289" w:lineRule="auto"/>
        <w:tabs>
          <w:tab w:leader="none" w:pos="707" w:val="left"/>
        </w:tabs>
        <w:numPr>
          <w:ilvl w:val="1"/>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Any notices, consents, determinations, waivers or other communications required or permitted to be given under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must be in writing and will be deemed to have been delivered: (i) upon receipt, when delivered personally; (ii) upon receipt, when sent by email or facsimile (provided confirmation of transmission is mechanically or electronically generated and kept on file by the sending party); or (iii) one</w:t>
      </w:r>
    </w:p>
    <w:p>
      <w:pPr>
        <w:spacing w:after="0" w:line="1" w:lineRule="exact"/>
        <w:rPr>
          <w:rFonts w:ascii="Arial" w:cs="Arial" w:eastAsia="Arial" w:hAnsi="Arial"/>
          <w:sz w:val="16"/>
          <w:szCs w:val="16"/>
          <w:color w:val="auto"/>
        </w:rPr>
      </w:pPr>
    </w:p>
    <w:p>
      <w:pPr>
        <w:ind w:left="4" w:right="100" w:hanging="4"/>
        <w:spacing w:after="0" w:line="260"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day after deposit with a nationally recognized overnight delivery service, in each case properly addressed to the party to receive the same. The addresses for such communications shall be:</w:t>
      </w:r>
    </w:p>
    <w:p>
      <w:pPr>
        <w:spacing w:after="0" w:line="7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Attn: Matt Heiter</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Email: matt.heiter@nninc.com</w:t>
      </w:r>
    </w:p>
    <w:p>
      <w:pPr>
        <w:spacing w:after="0" w:line="10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Attn: Eric Swedenburg</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Email: eswedenburg@stblaw.com</w:t>
      </w:r>
    </w:p>
    <w:p>
      <w:pPr>
        <w:spacing w:after="0" w:line="10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If to any Investor:</w:t>
      </w:r>
    </w:p>
    <w:p>
      <w:pPr>
        <w:spacing w:after="0" w:line="117"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Corre Partners Management, LLC</w:t>
      </w:r>
    </w:p>
    <w:p>
      <w:pPr>
        <w:spacing w:after="0" w:line="23"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12 East 49th Street, 40th Floor</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Attn: Saurabh Kapadia</w:t>
      </w:r>
    </w:p>
    <w:p>
      <w:pPr>
        <w:spacing w:after="0" w:line="9" w:lineRule="exact"/>
        <w:rPr>
          <w:sz w:val="20"/>
          <w:szCs w:val="20"/>
          <w:color w:val="auto"/>
        </w:rPr>
      </w:pPr>
    </w:p>
    <w:p>
      <w:pPr>
        <w:ind w:left="1824"/>
        <w:spacing w:after="0"/>
        <w:rPr>
          <w:sz w:val="20"/>
          <w:szCs w:val="20"/>
          <w:color w:val="auto"/>
        </w:rPr>
      </w:pPr>
      <w:r>
        <w:rPr>
          <w:rFonts w:ascii="Arial" w:cs="Arial" w:eastAsia="Arial" w:hAnsi="Arial"/>
          <w:sz w:val="18"/>
          <w:szCs w:val="18"/>
          <w:color w:val="auto"/>
        </w:rPr>
        <w:t>Email: skapadia@correpartners.com</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4"/>
          </w:cols>
          <w:pgMar w:left="436" w:top="274" w:right="539" w:bottom="1440" w:gutter="0" w:footer="0" w:header="0"/>
        </w:sectPr>
      </w:pPr>
    </w:p>
    <w:bookmarkStart w:id="15" w:name="page16"/>
    <w:bookmarkEnd w:id="15"/>
    <w:p>
      <w:pPr>
        <w:ind w:right="180" w:firstLine="436"/>
        <w:spacing w:after="0" w:line="266"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Arial" w:cs="Arial" w:eastAsia="Arial" w:hAnsi="Arial"/>
          <w:sz w:val="18"/>
          <w:szCs w:val="18"/>
          <w:color w:val="auto"/>
        </w:rPr>
        <w:t>. This Agreement and any claim, controversy or dispute arising under or related to this Agreement, the relationship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and/or the interpretation and enforcement of the rights and duties of the parties shall be governed by and construed and enforced in accordance with the laws of the State of New York, without regard to any conflict of laws provisions thereof.</w:t>
      </w:r>
    </w:p>
    <w:p>
      <w:pPr>
        <w:spacing w:after="0" w:line="175" w:lineRule="exact"/>
        <w:rPr>
          <w:rFonts w:ascii="Arial" w:cs="Arial" w:eastAsia="Arial" w:hAnsi="Arial"/>
          <w:sz w:val="18"/>
          <w:szCs w:val="18"/>
          <w:color w:val="auto"/>
        </w:rPr>
      </w:pPr>
    </w:p>
    <w:p>
      <w:pPr>
        <w:ind w:firstLine="436"/>
        <w:spacing w:after="0" w:line="289" w:lineRule="auto"/>
        <w:tabs>
          <w:tab w:leader="none" w:pos="710"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Jurisdiction</w:t>
      </w:r>
      <w:r>
        <w:rPr>
          <w:rFonts w:ascii="Arial" w:cs="Arial" w:eastAsia="Arial" w:hAnsi="Arial"/>
          <w:sz w:val="16"/>
          <w:szCs w:val="16"/>
          <w:color w:val="auto"/>
        </w:rPr>
        <w:t>. Each party to this Agreement agrees, on behalf of itself and its Affiliates and Associates, that any actions, suits or proceedings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arising out of or relating to this Agreement or the transactions contemplated by this Agreement will be brought solely and exclusively in any state or federal court in the State of New York (and the parties agree not to commence any action, suit or proceeding relating to this Agreement or the transactions contemplated by this Agreement except in such courts), and further agrees that service of any process, summons, notice or document by U.S. registered mail to the respective addresses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will be effective service of process for any such action, suit or proceeding brought against any party in any such court. Each party, on behalf of itself and its Affiliates and Associates, irrevocably and unconditionally waives any objection to the laying of venue of any action, suit or proceeding arising out of this Agreement or the transactions contemplated by this Agreement, in any state or federal court in the State of New York, and further irrevocably and unconditionally waives and agrees not to plead or claim in any such court that any such action, suit or proceeding brought in any such court has been brought in an improper or inconvenient forum.</w:t>
      </w:r>
    </w:p>
    <w:p>
      <w:pPr>
        <w:spacing w:after="0" w:line="166" w:lineRule="exact"/>
        <w:rPr>
          <w:rFonts w:ascii="Arial" w:cs="Arial" w:eastAsia="Arial" w:hAnsi="Arial"/>
          <w:sz w:val="16"/>
          <w:szCs w:val="16"/>
          <w:color w:val="auto"/>
        </w:rPr>
      </w:pPr>
    </w:p>
    <w:p>
      <w:pPr>
        <w:ind w:right="120" w:firstLine="436"/>
        <w:spacing w:after="0" w:line="271" w:lineRule="auto"/>
        <w:tabs>
          <w:tab w:leader="none" w:pos="710"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EACH PARTY ACKNOWLEDGES AND AGREES THAT ANY CONTROVERSY WHICH MAY ARISE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100" w:firstLine="436"/>
        <w:spacing w:after="0" w:line="258"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 Each Investor irrevocably appoints Corre Partners, acting by any of its Managing Members, as its attorney-in-fact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(the “</w:t>
      </w:r>
      <w:r>
        <w:rPr>
          <w:rFonts w:ascii="Arial" w:cs="Arial" w:eastAsia="Arial" w:hAnsi="Arial"/>
          <w:sz w:val="18"/>
          <w:szCs w:val="18"/>
          <w:u w:val="single" w:color="auto"/>
          <w:color w:val="auto"/>
        </w:rPr>
        <w:t>Corre Representative</w:t>
      </w:r>
      <w:r>
        <w:rPr>
          <w:rFonts w:ascii="Arial" w:cs="Arial" w:eastAsia="Arial" w:hAnsi="Arial"/>
          <w:sz w:val="18"/>
          <w:szCs w:val="18"/>
          <w:color w:val="auto"/>
        </w:rPr>
        <w:t>”), in such Investor’s place and stead, to do any and all things and to execute any and all documents and give and receive any and all notices or instructions in connection with this Agreement and the transactions contemplated by this Agreement. The Company shall be entitled to rely, as being binding on each Investor, upon any action taken by the Corre Representative or upon any document, notice, instruction or other writing given or executed by the Corre Representative.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6" w:name="page17"/>
    <w:bookmarkEnd w:id="16"/>
    <w:p>
      <w:pPr>
        <w:ind w:left="-60" w:right="320" w:firstLine="436"/>
        <w:spacing w:after="0" w:line="258"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Arial" w:cs="Arial" w:eastAsia="Arial" w:hAnsi="Arial"/>
          <w:sz w:val="18"/>
          <w:szCs w:val="18"/>
          <w:color w:val="auto"/>
        </w:rPr>
        <w:t>. This Agreement and the Conversion Limitation constitute the full and entire understanding and agreement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regard to the subject matter of this Agreement, and supersede all prior and contemporaneous agreements, understandings and representations, whether oral or written, of the parties with respect to the subject matter of this Agreement. There are no restrictions, agreements, promises, representations, warranties, covenants or undertakings, oral or written, between the parties other than those expressly set forth in this Agreement and the Conversion Limitation.</w:t>
      </w:r>
    </w:p>
    <w:p>
      <w:pPr>
        <w:spacing w:after="0" w:line="183" w:lineRule="exact"/>
        <w:rPr>
          <w:rFonts w:ascii="Arial" w:cs="Arial" w:eastAsia="Arial" w:hAnsi="Arial"/>
          <w:sz w:val="18"/>
          <w:szCs w:val="18"/>
          <w:color w:val="auto"/>
        </w:rPr>
      </w:pPr>
    </w:p>
    <w:p>
      <w:pPr>
        <w:ind w:left="-60" w:right="160" w:firstLine="436"/>
        <w:spacing w:after="0" w:line="282"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headings contained in this Agreement are for reference purposes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161" w:lineRule="exact"/>
        <w:rPr>
          <w:rFonts w:ascii="Arial" w:cs="Arial" w:eastAsia="Arial" w:hAnsi="Arial"/>
          <w:sz w:val="18"/>
          <w:szCs w:val="18"/>
          <w:color w:val="auto"/>
        </w:rPr>
      </w:pPr>
    </w:p>
    <w:p>
      <w:pPr>
        <w:ind w:left="-60" w:right="220" w:firstLine="436"/>
        <w:spacing w:after="0" w:line="289" w:lineRule="auto"/>
        <w:tabs>
          <w:tab w:leader="none" w:pos="650"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w:t>
      </w:r>
      <w:r>
        <w:rPr>
          <w:rFonts w:ascii="Arial" w:cs="Arial" w:eastAsia="Arial" w:hAnsi="Arial"/>
          <w:sz w:val="17"/>
          <w:szCs w:val="17"/>
          <w:color w:val="auto"/>
        </w:rPr>
        <w:t>. No failure on the part of any party to exercise, and no delay in exercising, any right, power or remedy under this Agreement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operate as a waiver of such right, power or remedy, nor shall any single or partial exercise of such right, power or remedy by such party preclude any other or further exercise of such right, power or remedy or the exercise of any other right, power or remedy.</w:t>
      </w:r>
    </w:p>
    <w:p>
      <w:pPr>
        <w:spacing w:after="0" w:line="157" w:lineRule="exact"/>
        <w:rPr>
          <w:rFonts w:ascii="Arial" w:cs="Arial" w:eastAsia="Arial" w:hAnsi="Arial"/>
          <w:sz w:val="17"/>
          <w:szCs w:val="17"/>
          <w:color w:val="auto"/>
        </w:rPr>
      </w:pPr>
    </w:p>
    <w:p>
      <w:pPr>
        <w:ind w:left="640" w:hanging="264"/>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All remedies under this Agreement are cumulative and are not exclusive of any other remedies provided by law or equity.</w:t>
      </w:r>
    </w:p>
    <w:p>
      <w:pPr>
        <w:spacing w:after="0" w:line="236" w:lineRule="exact"/>
        <w:rPr>
          <w:rFonts w:ascii="Arial" w:cs="Arial" w:eastAsia="Arial" w:hAnsi="Arial"/>
          <w:sz w:val="17"/>
          <w:szCs w:val="17"/>
          <w:color w:val="auto"/>
        </w:rPr>
      </w:pPr>
    </w:p>
    <w:p>
      <w:pPr>
        <w:ind w:left="-60" w:firstLine="436"/>
        <w:spacing w:after="0" w:line="254"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When a reference is made in this Agreement to a Section, such reference shall be to a Section of this Agreement,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indicated. The headings contained in this Agreement are for reference purposes only and shall not affect in any way the meaning or interpretation of this Agreement. Whenever the words “include,” “includes” and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“will” shall be construed to have the same meaning as the word “shall.” The words “dates hereof” will refer to the date of this Agreement. The word “or” is not exclusive. The definitions contained in this Agreement are applicable to the singular as well as the plural forms of such terms. Any agreement, instrument, law, rule or statute defined or referred to herein means, unless otherwise indicated, such agreement, instrument, law, rule or statute as from time to time amended, modified or supplemented.</w:t>
      </w:r>
    </w:p>
    <w:p>
      <w:pPr>
        <w:spacing w:after="0" w:line="188" w:lineRule="exact"/>
        <w:rPr>
          <w:rFonts w:ascii="Arial" w:cs="Arial" w:eastAsia="Arial" w:hAnsi="Arial"/>
          <w:sz w:val="18"/>
          <w:szCs w:val="18"/>
          <w:color w:val="auto"/>
        </w:rPr>
      </w:pPr>
    </w:p>
    <w:p>
      <w:pPr>
        <w:ind w:left="-60" w:right="100" w:firstLine="436"/>
        <w:spacing w:after="0" w:line="258"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purposes of such invalid or unenforceable provision.</w:t>
      </w:r>
    </w:p>
    <w:p>
      <w:pPr>
        <w:spacing w:after="0" w:line="183" w:lineRule="exact"/>
        <w:rPr>
          <w:rFonts w:ascii="Arial" w:cs="Arial" w:eastAsia="Arial" w:hAnsi="Arial"/>
          <w:sz w:val="18"/>
          <w:szCs w:val="18"/>
          <w:color w:val="auto"/>
        </w:rPr>
      </w:pPr>
    </w:p>
    <w:p>
      <w:pPr>
        <w:ind w:left="-60" w:right="180" w:firstLine="436"/>
        <w:spacing w:after="0" w:line="282"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modified, amended or otherwise changed only in a writing signed by the Company, on the one hand,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Corre Representative (on behalf of itself and the other members of the Investor Group), on the other hand.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500" w:top="270" w:right="519" w:bottom="1440" w:gutter="0" w:footer="0" w:header="0"/>
        </w:sectPr>
      </w:pPr>
    </w:p>
    <w:bookmarkStart w:id="17" w:name="page18"/>
    <w:bookmarkEnd w:id="17"/>
    <w:p>
      <w:pPr>
        <w:jc w:val="both"/>
        <w:ind w:left="-20" w:right="40" w:firstLine="436"/>
        <w:spacing w:after="0" w:line="303" w:lineRule="auto"/>
        <w:tabs>
          <w:tab w:leader="none" w:pos="69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6"/>
          <w:szCs w:val="16"/>
          <w:color w:val="auto"/>
        </w:rPr>
        <w:t>. Upon the expiration of the Standstill Period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4(c)(vi)</w:t>
      </w:r>
      <w:r>
        <w:rPr>
          <w:rFonts w:ascii="Arial" w:cs="Arial" w:eastAsia="Arial" w:hAnsi="Arial"/>
          <w:sz w:val="16"/>
          <w:szCs w:val="16"/>
          <w:b w:val="1"/>
          <w:bCs w:val="1"/>
          <w:color w:val="auto"/>
        </w:rPr>
        <w:t xml:space="preserve"> </w:t>
      </w:r>
      <w:r>
        <w:rPr>
          <w:rFonts w:ascii="Arial" w:cs="Arial" w:eastAsia="Arial" w:hAnsi="Arial"/>
          <w:sz w:val="16"/>
          <w:szCs w:val="16"/>
          <w:color w:val="auto"/>
        </w:rPr>
        <w:t>hereof or upon the public announcement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of entry into a definitive agreement that would constitute a Change of Control, this Agreement shall immediately and automatically terminate. Notwithstanding the foregoing, the provisions of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survive the termination of this Agreement. No termination of this Agreement shall relieve any party from liability for any breach of this Agreement that occurred prior to such termination.</w:t>
      </w:r>
    </w:p>
    <w:p>
      <w:pPr>
        <w:spacing w:after="0" w:line="150" w:lineRule="exact"/>
        <w:rPr>
          <w:rFonts w:ascii="Arial" w:cs="Arial" w:eastAsia="Arial" w:hAnsi="Arial"/>
          <w:sz w:val="16"/>
          <w:szCs w:val="16"/>
          <w:color w:val="auto"/>
        </w:rPr>
      </w:pPr>
    </w:p>
    <w:p>
      <w:pPr>
        <w:ind w:left="-20" w:firstLine="436"/>
        <w:spacing w:after="0" w:line="258"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terms and conditions of this Agreement shall be binding upon and be enforceable by the parties hereto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respective successors, heirs, executors, legal representatives and permitted assigns of the parties, and inure to the benefit of any successor, heir, executor, legal representative or permitted assign of any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party may assign this Agreement or any rights or obligations hereunder without, with respect to any Investor, the express prior written consent of the Company, and with respect to the Company, the prior written consent of the Corre Representative.</w:t>
      </w:r>
    </w:p>
    <w:p>
      <w:pPr>
        <w:spacing w:after="0" w:line="183" w:lineRule="exact"/>
        <w:rPr>
          <w:rFonts w:ascii="Arial" w:cs="Arial" w:eastAsia="Arial" w:hAnsi="Arial"/>
          <w:sz w:val="18"/>
          <w:szCs w:val="18"/>
          <w:color w:val="auto"/>
        </w:rPr>
      </w:pPr>
    </w:p>
    <w:p>
      <w:pPr>
        <w:jc w:val="both"/>
        <w:ind w:left="-20" w:right="400" w:firstLine="436"/>
        <w:spacing w:after="0" w:line="314" w:lineRule="auto"/>
        <w:tabs>
          <w:tab w:leader="none" w:pos="69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No Third-Party Beneficiaries</w:t>
      </w:r>
      <w:r>
        <w:rPr>
          <w:rFonts w:ascii="Arial" w:cs="Arial" w:eastAsia="Arial" w:hAnsi="Arial"/>
          <w:sz w:val="16"/>
          <w:szCs w:val="16"/>
          <w:color w:val="auto"/>
        </w:rPr>
        <w:t>. The representations, warranties and agreements of the parties contained herein are intended solely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the party to whom such representations, warranties or agreements are made, and shall confer no rights, benefits, remedies, obligations, or liabilities hereunder, whether legal or equitable, in any other person or entity, and no other person or entity shall be entitled to rely thereon.</w:t>
      </w:r>
    </w:p>
    <w:p>
      <w:pPr>
        <w:spacing w:after="0" w:line="141" w:lineRule="exact"/>
        <w:rPr>
          <w:rFonts w:ascii="Arial" w:cs="Arial" w:eastAsia="Arial" w:hAnsi="Arial"/>
          <w:sz w:val="16"/>
          <w:szCs w:val="16"/>
          <w:color w:val="auto"/>
        </w:rPr>
      </w:pPr>
    </w:p>
    <w:p>
      <w:pPr>
        <w:ind w:left="-20" w:right="40" w:firstLine="436"/>
        <w:spacing w:after="0" w:line="274" w:lineRule="auto"/>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 Facsimile / PDF Signatures</w:t>
      </w:r>
      <w:r>
        <w:rPr>
          <w:rFonts w:ascii="Arial" w:cs="Arial" w:eastAsia="Arial" w:hAnsi="Arial"/>
          <w:sz w:val="17"/>
          <w:szCs w:val="17"/>
          <w:color w:val="auto"/>
        </w:rPr>
        <w:t>. This Agreement and any amendments hereto may be signed in any number of counterparts,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shall be an original, with the same effect as if the signatures thereto and hereto were upon the same instrument. This Agreement shall become effective when each party hereto shall have received a counterpart hereof signed by the other parties hereto. In the event that any signature to this Agreement or any amendment hereto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3" w:lineRule="exact"/>
        <w:rPr>
          <w:rFonts w:ascii="Arial" w:cs="Arial" w:eastAsia="Arial" w:hAnsi="Arial"/>
          <w:sz w:val="17"/>
          <w:szCs w:val="17"/>
          <w:color w:val="auto"/>
        </w:rPr>
      </w:pPr>
    </w:p>
    <w:p>
      <w:pPr>
        <w:ind w:left="-20" w:right="600" w:firstLine="436"/>
        <w:spacing w:after="0" w:line="289" w:lineRule="auto"/>
        <w:tabs>
          <w:tab w:leader="none" w:pos="690"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Expenses</w:t>
      </w:r>
      <w:r>
        <w:rPr>
          <w:rFonts w:ascii="Arial" w:cs="Arial" w:eastAsia="Arial" w:hAnsi="Arial"/>
          <w:sz w:val="17"/>
          <w:szCs w:val="17"/>
          <w:color w:val="auto"/>
        </w:rPr>
        <w:t>. Each of the Company and the Investors shall be responsible for its own fees and expenses incurred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 execution, and effectuation of this Agreement and the transactions contemplated hereby, including, but not limited to attorneys’ fees incurred in connection with the negotiation and execution of this Agreement and all other activities related to the foregoing.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0" w:right="45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duly executed and delivered this Agreement as of the date first above written.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5"/>
          </w:tcPr>
          <w:p>
            <w:pPr>
              <w:spacing w:after="0"/>
              <w:rPr>
                <w:sz w:val="20"/>
                <w:szCs w:val="20"/>
                <w:color w:val="auto"/>
              </w:rPr>
            </w:pPr>
            <w:r>
              <w:rPr>
                <w:rFonts w:ascii="Arial" w:cs="Arial" w:eastAsia="Arial" w:hAnsi="Arial"/>
                <w:sz w:val="18"/>
                <w:szCs w:val="18"/>
                <w:b w:val="1"/>
                <w:bCs w:val="1"/>
                <w:color w:val="auto"/>
              </w:rPr>
              <w:t>NN, INC,</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0"/>
        </w:trPr>
        <w:tc>
          <w:tcPr>
            <w:tcW w:w="720" w:type="dxa"/>
            <w:vAlign w:val="bottom"/>
            <w:gridSpan w:val="3"/>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479"/>
        </w:trPr>
        <w:tc>
          <w:tcPr>
            <w:tcW w:w="4400" w:type="dxa"/>
            <w:vAlign w:val="bottom"/>
            <w:gridSpan w:val="5"/>
          </w:tcPr>
          <w:p>
            <w:pPr>
              <w:spacing w:after="0"/>
              <w:rPr>
                <w:sz w:val="20"/>
                <w:szCs w:val="20"/>
                <w:color w:val="auto"/>
              </w:rPr>
            </w:pPr>
            <w:r>
              <w:rPr>
                <w:rFonts w:ascii="Arial" w:cs="Arial" w:eastAsia="Arial" w:hAnsi="Arial"/>
                <w:sz w:val="18"/>
                <w:szCs w:val="18"/>
                <w:color w:val="auto"/>
              </w:rPr>
              <w:t>By:  /s/ Matthew S. Heiter</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406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Name: Matthew S. Heiter</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74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060" w:type="dxa"/>
            <w:vAlign w:val="bottom"/>
            <w:gridSpan w:val="4"/>
          </w:tcPr>
          <w:p>
            <w:pPr>
              <w:ind w:left="60"/>
              <w:spacing w:after="0"/>
              <w:rPr>
                <w:sz w:val="20"/>
                <w:szCs w:val="20"/>
                <w:color w:val="auto"/>
              </w:rPr>
            </w:pPr>
            <w:r>
              <w:rPr>
                <w:rFonts w:ascii="Arial" w:cs="Arial" w:eastAsia="Arial" w:hAnsi="Arial"/>
                <w:sz w:val="18"/>
                <w:szCs w:val="18"/>
                <w:color w:val="auto"/>
              </w:rPr>
              <w:t>Title: Senior Vice President</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18"/>
        </w:trPr>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CORRE PARTIES:</w:t>
            </w:r>
          </w:p>
        </w:tc>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7"/>
        </w:trPr>
        <w:tc>
          <w:tcPr>
            <w:tcW w:w="4400" w:type="dxa"/>
            <w:vAlign w:val="bottom"/>
            <w:gridSpan w:val="5"/>
          </w:tcPr>
          <w:p>
            <w:pPr>
              <w:spacing w:after="0"/>
              <w:rPr>
                <w:sz w:val="20"/>
                <w:szCs w:val="20"/>
                <w:color w:val="auto"/>
              </w:rPr>
            </w:pPr>
            <w:r>
              <w:rPr>
                <w:rFonts w:ascii="Arial" w:cs="Arial" w:eastAsia="Arial" w:hAnsi="Arial"/>
                <w:sz w:val="18"/>
                <w:szCs w:val="18"/>
                <w:b w:val="1"/>
                <w:bCs w:val="1"/>
                <w:color w:val="auto"/>
              </w:rPr>
              <w:t>Corre Opportunities Qualified Master Fund, LP</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Corre Partners Management, LLC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/s/ John Barrett</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By:  /s/ John Barrett</w:t>
            </w:r>
          </w:p>
        </w:tc>
      </w:tr>
      <w:tr>
        <w:trPr>
          <w:trHeight w:val="209"/>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John Barrett</w:t>
            </w:r>
          </w:p>
        </w:tc>
        <w:tc>
          <w:tcPr>
            <w:tcW w:w="7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John Barrett</w:t>
            </w:r>
          </w:p>
        </w:tc>
      </w:tr>
      <w:tr>
        <w:trPr>
          <w:trHeight w:val="230"/>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Title: Authorized Signatory</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32"/>
        </w:trPr>
        <w:tc>
          <w:tcPr>
            <w:tcW w:w="4400" w:type="dxa"/>
            <w:vAlign w:val="bottom"/>
            <w:gridSpan w:val="5"/>
          </w:tcPr>
          <w:p>
            <w:pPr>
              <w:spacing w:after="0"/>
              <w:rPr>
                <w:sz w:val="20"/>
                <w:szCs w:val="20"/>
                <w:color w:val="auto"/>
              </w:rPr>
            </w:pPr>
            <w:r>
              <w:rPr>
                <w:rFonts w:ascii="Arial" w:cs="Arial" w:eastAsia="Arial" w:hAnsi="Arial"/>
                <w:sz w:val="18"/>
                <w:szCs w:val="18"/>
                <w:b w:val="1"/>
                <w:bCs w:val="1"/>
                <w:color w:val="auto"/>
              </w:rPr>
              <w:t>Corre Partners Advisors, LLC</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John Barrett</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Barrett</w:t>
            </w:r>
          </w:p>
        </w:tc>
        <w:tc>
          <w:tcPr>
            <w:tcW w:w="7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Barrett</w:t>
            </w:r>
          </w:p>
        </w:tc>
      </w:tr>
      <w:tr>
        <w:trPr>
          <w:trHeight w:val="209"/>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Name: John Barrett</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Title: Managing Member</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Soderlund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74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171450</wp:posOffset>
            </wp:positionV>
            <wp:extent cx="1714500" cy="51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514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874395</wp:posOffset>
            </wp:positionV>
            <wp:extent cx="840105" cy="822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Charlotte, NC 28277</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NN, INC. Announces Cooperation Agreement with Corre Partners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Adds New Independent Director</w:t>
      </w:r>
    </w:p>
    <w:p>
      <w:pPr>
        <w:spacing w:after="0" w:line="207" w:lineRule="exact"/>
        <w:rPr>
          <w:sz w:val="20"/>
          <w:szCs w:val="20"/>
          <w:color w:val="auto"/>
        </w:rPr>
      </w:pPr>
    </w:p>
    <w:p>
      <w:pPr>
        <w:jc w:val="both"/>
        <w:ind w:left="4" w:right="120"/>
        <w:spacing w:after="0" w:line="266" w:lineRule="auto"/>
        <w:rPr>
          <w:sz w:val="20"/>
          <w:szCs w:val="20"/>
          <w:color w:val="auto"/>
        </w:rPr>
      </w:pPr>
      <w:r>
        <w:rPr>
          <w:rFonts w:ascii="Arial" w:cs="Arial" w:eastAsia="Arial" w:hAnsi="Arial"/>
          <w:sz w:val="18"/>
          <w:szCs w:val="18"/>
          <w:b w:val="1"/>
          <w:bCs w:val="1"/>
          <w:color w:val="auto"/>
        </w:rPr>
        <w:t xml:space="preserve">Charlotte, N.C., May 14, 2021 – </w:t>
      </w:r>
      <w:r>
        <w:rPr>
          <w:rFonts w:ascii="Arial" w:cs="Arial" w:eastAsia="Arial" w:hAnsi="Arial"/>
          <w:sz w:val="18"/>
          <w:szCs w:val="18"/>
          <w:color w:val="auto"/>
        </w:rPr>
        <w:t>NN, Inc. (NASDAQ: NNBR), a diversified industrial company, today announced that its board of directors has voted</w:t>
      </w:r>
      <w:r>
        <w:rPr>
          <w:rFonts w:ascii="Arial" w:cs="Arial" w:eastAsia="Arial" w:hAnsi="Arial"/>
          <w:sz w:val="18"/>
          <w:szCs w:val="18"/>
          <w:b w:val="1"/>
          <w:bCs w:val="1"/>
          <w:color w:val="auto"/>
        </w:rPr>
        <w:t xml:space="preserve"> </w:t>
      </w:r>
      <w:r>
        <w:rPr>
          <w:rFonts w:ascii="Arial" w:cs="Arial" w:eastAsia="Arial" w:hAnsi="Arial"/>
          <w:sz w:val="18"/>
          <w:szCs w:val="18"/>
          <w:color w:val="auto"/>
        </w:rPr>
        <w:t>to expand its board by appointing Dr. Rajeev Gautam, President and Chief Executive Officer of Performance Materials and Technologies of Honeywell International, Inc., as a director, effective immediately.</w:t>
      </w:r>
    </w:p>
    <w:p>
      <w:pPr>
        <w:spacing w:after="0" w:line="180" w:lineRule="exact"/>
        <w:rPr>
          <w:sz w:val="20"/>
          <w:szCs w:val="20"/>
          <w:color w:val="auto"/>
        </w:rPr>
      </w:pPr>
    </w:p>
    <w:p>
      <w:pPr>
        <w:ind w:left="4" w:right="220" w:hanging="4"/>
        <w:spacing w:after="0" w:line="263" w:lineRule="auto"/>
        <w:tabs>
          <w:tab w:leader="none" w:pos="3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also nominate Dr. Gautam to stand for election at the Company’s upcoming annual meeting of shareholders to be held on May 27, 2021. This nomination will be included in a supplement to the proxy statement to be mailed to NN stockholders and filed with the Securities and Exchange Commission.</w:t>
      </w:r>
    </w:p>
    <w:p>
      <w:pPr>
        <w:spacing w:after="0" w:line="184" w:lineRule="exact"/>
        <w:rPr>
          <w:sz w:val="20"/>
          <w:szCs w:val="20"/>
          <w:color w:val="auto"/>
        </w:rPr>
      </w:pPr>
    </w:p>
    <w:p>
      <w:pPr>
        <w:ind w:left="4" w:right="440"/>
        <w:spacing w:after="0" w:line="263" w:lineRule="auto"/>
        <w:rPr>
          <w:sz w:val="20"/>
          <w:szCs w:val="20"/>
          <w:color w:val="auto"/>
        </w:rPr>
      </w:pPr>
      <w:r>
        <w:rPr>
          <w:rFonts w:ascii="Arial" w:cs="Arial" w:eastAsia="Arial" w:hAnsi="Arial"/>
          <w:sz w:val="18"/>
          <w:szCs w:val="18"/>
          <w:color w:val="auto"/>
        </w:rPr>
        <w:t>These actions follow constructive dialogue and collaboration with Corre Partners Management, LLC (“Corre Partners”), an investment firm whose affiliated funds are long-time, significant stockholders of the Company. Today’s announcement reflects the Company’s entry into an associated cooperation agreement between NN, Corre Partners and certain of its affiliates.</w:t>
      </w:r>
    </w:p>
    <w:p>
      <w:pPr>
        <w:spacing w:after="0" w:line="184"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“Dr. Gautam’s broad managerial and leadership experience within a large public company will bring valuable guidance to NN, and we welcome him to our Board,” commented Jeri Harman, Chairman of NN’s Board of Directors. “The knowledge he brings, including commercialization of products across multiple applications, will help shape NN’s future direction.</w:t>
      </w:r>
    </w:p>
    <w:p>
      <w:pPr>
        <w:spacing w:after="0" w:line="184"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Warren Veltman, NN President and Chief Executive Officer, said, “The extensive career of Dr. Gautam will offer unique insights for our Mobile and Power Solutions businesses, as his technical expertise in manufacturing, process technologies and performance materials is sure to add operational and long-term strategic value .”</w:t>
      </w:r>
    </w:p>
    <w:p>
      <w:pPr>
        <w:spacing w:after="0" w:line="184"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“The addition of Dr. Gautam as an independent director will add experienced business leadership and valuable strategic expertise to the Board as NN accelerates its commercial efforts to capitalize on the significant secular growth opportunities in its end markets today,” said John Barrett, Managing Partner of Corre Partners. “We appreciate Jeri’s leadership and NN’s commitment to strengthening its Board at this pivotal moment in its operating life cycle. This is a positive addition for all NN shareholders.”</w:t>
      </w:r>
    </w:p>
    <w:p>
      <w:pPr>
        <w:spacing w:after="0" w:line="187"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Dr. Gautam said, “I look forward to working with the Board and management team to provide insights based on my experience that will support continued shareholder value creation.”</w:t>
      </w:r>
    </w:p>
    <w:p>
      <w:pPr>
        <w:spacing w:after="0" w:line="170" w:lineRule="exact"/>
        <w:rPr>
          <w:sz w:val="20"/>
          <w:szCs w:val="20"/>
          <w:color w:val="auto"/>
        </w:rPr>
      </w:pPr>
    </w:p>
    <w:p>
      <w:pPr>
        <w:ind w:left="4" w:right="280"/>
        <w:spacing w:after="0" w:line="308" w:lineRule="auto"/>
        <w:rPr>
          <w:sz w:val="20"/>
          <w:szCs w:val="20"/>
          <w:color w:val="auto"/>
        </w:rPr>
      </w:pPr>
      <w:r>
        <w:rPr>
          <w:rFonts w:ascii="Arial" w:cs="Arial" w:eastAsia="Arial" w:hAnsi="Arial"/>
          <w:sz w:val="17"/>
          <w:szCs w:val="17"/>
          <w:color w:val="auto"/>
        </w:rPr>
        <w:t>The NN Board is now comprised of 10 members, nine of whom are independent. After the Company’s 2021 Annual Meeting of Stockholders and the retirement of Director Steven Warshaw, the Board will be comprised of nine members, eight of whom are independent.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Dr. Rajeev Gautam</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Dr. Gautam brings substantive experience as a senior executive to manufacturing companies, and his current service as a senior executive for a publicly traded company, enables him to bring valuable insight, knowledge and experience to the Board.</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Dr. Rajeev Gautam, 68, is the President and Chief Executive Officer, Performance Materials and Technologies of Honeywell International, Inc. (NASDAQ: HON), a global provider in developing and manufacturing high-quality performance chemicals and materials, process technologies and automation solutions.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32 facilities in North America, Europe, South America, and China.</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and, when filed, the Company’s Quarterly Report on Form 10-Q for the three months ended March 31, 2021. Except as required by law, we undertake no obligation to update or revise any forward-looking statements we make in our press releases,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Mike Danehy,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Mike.Danehy@nninc.com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(980) 264-4312</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lvl w:ilvl="1">
      <w:lvlJc w:val="left"/>
      <w:lvlText w:val="(%2)"/>
      <w:numFmt w:val="lowerLetter"/>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lvl w:ilvl="1">
      <w:lvlJc w:val="left"/>
      <w:lvlText w:val="(%2)"/>
      <w:numFmt w:val="lowerLetter"/>
      <w:start w:val="2"/>
    </w:lvl>
  </w:abstractNum>
  <w:abstractNum w:abstractNumId="4">
    <w:nsid w:val="6B68079A"/>
    <w:multiLevelType w:val="hybridMultilevel"/>
    <w:lvl w:ilvl="0">
      <w:lvlJc w:val="left"/>
      <w:lvlText w:val="%1."/>
      <w:numFmt w:val="decimal"/>
      <w:start w:val="2"/>
    </w:lvl>
    <w:lvl w:ilvl="1">
      <w:lvlJc w:val="left"/>
      <w:lvlText w:val="%2"/>
      <w:numFmt w:val="lowerLetter"/>
      <w:start w:val="1"/>
    </w:lvl>
  </w:abstractNum>
  <w:abstractNum w:abstractNumId="5">
    <w:nsid w:val="4E6AFB6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6">
    <w:nsid w:val="25E45D32"/>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7">
    <w:nsid w:val="519B500D"/>
    <w:multiLevelType w:val="hybridMultilevel"/>
    <w:lvl w:ilvl="0">
      <w:lvlJc w:val="left"/>
      <w:lvlText w:val="%1"/>
      <w:numFmt w:val="upperLetter"/>
      <w:start w:val="1"/>
    </w:lvl>
    <w:lvl w:ilvl="1">
      <w:lvlJc w:val="left"/>
      <w:lvlText w:val="(%2)"/>
      <w:numFmt w:val="lowerRoman"/>
      <w:start w:val="2"/>
    </w:lvl>
  </w:abstractNum>
  <w:abstractNum w:abstractNumId="8">
    <w:nsid w:val="431BD7B7"/>
    <w:multiLevelType w:val="hybridMultilevel"/>
    <w:lvl w:ilvl="0">
      <w:lvlJc w:val="left"/>
      <w:lvlText w:val="(%1)"/>
      <w:numFmt w:val="upperLetter"/>
      <w:start w:val="2"/>
    </w:lvl>
    <w:lvl w:ilvl="1">
      <w:lvlJc w:val="left"/>
      <w:lvlText w:val="(%2)"/>
      <w:numFmt w:val="lowerRoman"/>
      <w:start w:val="6"/>
    </w:lvl>
  </w:abstractNum>
  <w:abstractNum w:abstractNumId="9">
    <w:nsid w:val="3F2DBA31"/>
    <w:multiLevelType w:val="hybridMultilevel"/>
    <w:lvl w:ilvl="0">
      <w:lvlJc w:val="left"/>
      <w:lvlText w:val="(%1)"/>
      <w:numFmt w:val="lowerRoman"/>
      <w:start w:val="7"/>
    </w:lvl>
  </w:abstractNum>
  <w:abstractNum w:abstractNumId="10">
    <w:nsid w:val="7C83E458"/>
    <w:multiLevelType w:val="hybridMultilevel"/>
    <w:lvl w:ilvl="0">
      <w:lvlJc w:val="left"/>
      <w:lvlText w:val="(%1)"/>
      <w:numFmt w:val="lowerRoman"/>
      <w:start w:val="15"/>
    </w:lvl>
  </w:abstractNum>
  <w:abstractNum w:abstractNumId="11">
    <w:nsid w:val="257130A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2">
    <w:nsid w:val="62BBD95A"/>
    <w:multiLevelType w:val="hybridMultilevel"/>
    <w:lvl w:ilvl="0">
      <w:lvlJc w:val="left"/>
      <w:lvlText w:val="(%1)"/>
      <w:numFmt w:val="upperLetter"/>
      <w:start w:val="7"/>
    </w:lvl>
    <w:lvl w:ilvl="1">
      <w:lvlJc w:val="left"/>
      <w:lvlText w:val="(%2)"/>
      <w:numFmt w:val="lowerLetter"/>
      <w:start w:val="2"/>
    </w:lvl>
    <w:lvl w:ilvl="2">
      <w:lvlJc w:val="left"/>
      <w:lvlText w:val="(%3)"/>
      <w:numFmt w:val="lowerLetter"/>
      <w:start w:val="9"/>
    </w:lvl>
  </w:abstractNum>
  <w:abstractNum w:abstractNumId="13">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4">
    <w:nsid w:val="628C895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5">
    <w:nsid w:val="333AB1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721DA317"/>
    <w:multiLevelType w:val="hybridMultilevel"/>
    <w:lvl w:ilvl="0">
      <w:lvlJc w:val="left"/>
      <w:lvlText w:val="%1."/>
      <w:numFmt w:val="decimal"/>
      <w:start w:val="6"/>
    </w:lvl>
    <w:lvl w:ilvl="1">
      <w:lvlJc w:val="left"/>
      <w:lvlText w:val="(%2)"/>
      <w:numFmt w:val="lowerLetter"/>
      <w:start w:val="1"/>
    </w:lvl>
  </w:abstractNum>
  <w:abstractNum w:abstractNumId="17">
    <w:nsid w:val="2443A858"/>
    <w:multiLevelType w:val="hybridMultilevel"/>
    <w:lvl w:ilvl="0">
      <w:lvlJc w:val="left"/>
      <w:lvlText w:val="%1"/>
      <w:numFmt w:val="decimal"/>
      <w:start w:val="1"/>
    </w:lvl>
    <w:lvl w:ilvl="1">
      <w:lvlJc w:val="left"/>
      <w:lvlText w:val="(%2)"/>
      <w:numFmt w:val="lowerLetter"/>
      <w:start w:val="2"/>
    </w:lvl>
  </w:abstractNum>
  <w:abstractNum w:abstractNumId="18">
    <w:nsid w:val="2D1D5AE9"/>
    <w:multiLevelType w:val="hybridMultilevel"/>
    <w:lvl w:ilvl="0">
      <w:lvlJc w:val="left"/>
      <w:lvlText w:val="%1."/>
      <w:numFmt w:val="decimal"/>
      <w:start w:val="8"/>
    </w:lvl>
    <w:lvl w:ilvl="1">
      <w:lvlJc w:val="left"/>
      <w:lvlText w:val="%2"/>
      <w:numFmt w:val="lowerLetter"/>
      <w:start w:val="1"/>
    </w:lvl>
  </w:abstractNum>
  <w:abstractNum w:abstractNumId="19">
    <w:nsid w:val="6763845E"/>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0">
    <w:nsid w:val="75A2A8D4"/>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21">
    <w:nsid w:val="8EDBDAB"/>
    <w:multiLevelType w:val="hybridMultilevel"/>
    <w:lvl w:ilvl="0">
      <w:lvlJc w:val="left"/>
      <w:lvlText w:val="%1"/>
      <w:numFmt w:val="decimal"/>
      <w:start w:val="1"/>
    </w:lvl>
    <w:lvl w:ilvl="1">
      <w:lvlJc w:val="left"/>
      <w:lvlText w:val="%2."/>
      <w:numFmt w:val="decimal"/>
      <w:start w:val="11"/>
    </w:lvl>
  </w:abstractNum>
  <w:abstractNum w:abstractNumId="22">
    <w:nsid w:val="79838CB2"/>
    <w:multiLevelType w:val="hybridMultilevel"/>
    <w:lvl w:ilvl="0">
      <w:lvlJc w:val="left"/>
      <w:lvlText w:val="(%1)"/>
      <w:numFmt w:val="decimal"/>
      <w:start w:val="1"/>
    </w:lvl>
    <w:lvl w:ilvl="1">
      <w:lvlJc w:val="left"/>
      <w:lvlText w:val="%2"/>
      <w:numFmt w:val="decimal"/>
      <w:start w:val="1"/>
    </w:lvl>
  </w:abstractNum>
  <w:abstractNum w:abstractNumId="23">
    <w:nsid w:val="4353D0CD"/>
    <w:multiLevelType w:val="hybridMultilevel"/>
    <w:lvl w:ilvl="0">
      <w:lvlJc w:val="left"/>
      <w:lvlText w:val="%1."/>
      <w:numFmt w:val="decimal"/>
      <w:start w:val="12"/>
    </w:lvl>
  </w:abstractNum>
  <w:abstractNum w:abstractNumId="24">
    <w:nsid w:val="B03E0C6"/>
    <w:multiLevelType w:val="hybridMultilevel"/>
    <w:lvl w:ilvl="0">
      <w:lvlJc w:val="left"/>
      <w:lvlText w:val="%1."/>
      <w:numFmt w:val="decimal"/>
      <w:start w:val="16"/>
    </w:lvl>
  </w:abstractNum>
  <w:abstractNum w:abstractNumId="25">
    <w:nsid w:val="189A769B"/>
    <w:multiLevelType w:val="hybridMultilevel"/>
    <w:lvl w:ilvl="0">
      <w:lvlJc w:val="left"/>
      <w:lvlText w:val="%1."/>
      <w:numFmt w:val="decimal"/>
      <w:start w:val="23"/>
    </w:lvl>
  </w:abstractNum>
  <w:abstractNum w:abstractNumId="26">
    <w:nsid w:val="54E49EB4"/>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2021-05-14T16:44:47Z</dcterms:created>
  <dcterms:modified xsi:type="dcterms:W3CDTF">2021-05-14T16:44:47Z</dcterms:modified>
</cp:coreProperties>
</file>