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71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7149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Heiter Matthew S.</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6210 ARDREY KELL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0" w:hanging="354"/>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03/14/2019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5"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35"/>
        <w:spacing w:after="0"/>
        <w:rPr>
          <w:sz w:val="20"/>
          <w:szCs w:val="20"/>
          <w:color w:val="auto"/>
        </w:rPr>
      </w:pPr>
      <w:r>
        <w:rPr>
          <w:rFonts w:ascii="Arial" w:cs="Arial" w:eastAsia="Arial" w:hAnsi="Arial"/>
          <w:sz w:val="17"/>
          <w:szCs w:val="17"/>
          <w:color w:val="0000FF"/>
        </w:rPr>
        <w:t>Senior VP and General Counsel</w:t>
      </w:r>
    </w:p>
    <w:p>
      <w:pPr>
        <w:spacing w:after="0" w:line="332" w:lineRule="exact"/>
        <w:rPr>
          <w:sz w:val="24"/>
          <w:szCs w:val="24"/>
          <w:color w:val="auto"/>
        </w:rPr>
      </w:pPr>
    </w:p>
    <w:p>
      <w:pPr>
        <w:sectPr>
          <w:pgSz w:w="11900" w:h="16838" w:orient="portrait"/>
          <w:cols w:equalWidth="0" w:num="3">
            <w:col w:w="3340" w:space="720"/>
            <w:col w:w="3265" w:space="720"/>
            <w:col w:w="3475"/>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CHARLOTTE</w:t>
            </w:r>
          </w:p>
        </w:tc>
        <w:tc>
          <w:tcPr>
            <w:tcW w:w="960" w:type="dxa"/>
            <w:vAlign w:val="bottom"/>
          </w:tcPr>
          <w:p>
            <w:pPr>
              <w:ind w:left="120"/>
              <w:spacing w:after="0"/>
              <w:rPr>
                <w:sz w:val="20"/>
                <w:szCs w:val="20"/>
                <w:color w:val="auto"/>
              </w:rPr>
            </w:pPr>
            <w:r>
              <w:rPr>
                <w:rFonts w:ascii="Arial" w:cs="Arial" w:eastAsia="Arial" w:hAnsi="Arial"/>
                <w:sz w:val="17"/>
                <w:szCs w:val="17"/>
                <w:color w:val="0000FF"/>
              </w:rPr>
              <w:t>NC</w:t>
            </w:r>
          </w:p>
        </w:tc>
        <w:tc>
          <w:tcPr>
            <w:tcW w:w="1660" w:type="dxa"/>
            <w:vAlign w:val="bottom"/>
          </w:tcPr>
          <w:p>
            <w:pPr>
              <w:ind w:left="440"/>
              <w:spacing w:after="0"/>
              <w:rPr>
                <w:sz w:val="20"/>
                <w:szCs w:val="20"/>
                <w:color w:val="auto"/>
              </w:rPr>
            </w:pPr>
            <w:r>
              <w:rPr>
                <w:rFonts w:ascii="Arial" w:cs="Arial" w:eastAsia="Arial" w:hAnsi="Arial"/>
                <w:sz w:val="17"/>
                <w:szCs w:val="17"/>
                <w:color w:val="0000FF"/>
              </w:rPr>
              <w:t>28277</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5"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66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40" w:type="dxa"/>
            <w:vAlign w:val="bottom"/>
            <w:gridSpan w:val="2"/>
          </w:tcPr>
          <w:p>
            <w:pPr>
              <w:jc w:val="center"/>
              <w:ind w:left="489"/>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489"/>
              <w:spacing w:after="0"/>
              <w:rPr>
                <w:sz w:val="20"/>
                <w:szCs w:val="20"/>
                <w:color w:val="auto"/>
              </w:rPr>
            </w:pPr>
            <w:r>
              <w:rPr>
                <w:rFonts w:ascii="Arial" w:cs="Arial" w:eastAsia="Arial" w:hAnsi="Arial"/>
                <w:sz w:val="17"/>
                <w:szCs w:val="17"/>
                <w:color w:val="0000FF"/>
                <w:w w:val="91"/>
              </w:rPr>
              <w:t>03/14/2019</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7"/>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(1)</w:t>
            </w:r>
          </w:p>
        </w:tc>
        <w:tc>
          <w:tcPr>
            <w:tcW w:w="720" w:type="dxa"/>
            <w:vAlign w:val="bottom"/>
            <w:tcBorders>
              <w:bottom w:val="single" w:sz="8" w:color="2C2C2C"/>
            </w:tcBorders>
          </w:tcPr>
          <w:p>
            <w:pPr>
              <w:jc w:val="center"/>
              <w:ind w:left="173"/>
              <w:spacing w:after="0"/>
              <w:rPr>
                <w:sz w:val="20"/>
                <w:szCs w:val="20"/>
                <w:color w:val="auto"/>
              </w:rPr>
            </w:pPr>
            <w:r>
              <w:rPr>
                <w:rFonts w:ascii="Arial" w:cs="Arial" w:eastAsia="Arial" w:hAnsi="Arial"/>
                <w:sz w:val="17"/>
                <w:szCs w:val="17"/>
                <w:color w:val="0000FF"/>
                <w:w w:val="92"/>
              </w:rPr>
              <w:t>12,687</w:t>
            </w:r>
          </w:p>
        </w:tc>
        <w:tc>
          <w:tcPr>
            <w:tcW w:w="66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4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30,871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489"/>
              <w:spacing w:after="0"/>
              <w:rPr>
                <w:sz w:val="20"/>
                <w:szCs w:val="20"/>
                <w:color w:val="auto"/>
              </w:rPr>
            </w:pPr>
            <w:r>
              <w:rPr>
                <w:rFonts w:ascii="Arial" w:cs="Arial" w:eastAsia="Arial" w:hAnsi="Arial"/>
                <w:sz w:val="17"/>
                <w:szCs w:val="17"/>
                <w:color w:val="0000FF"/>
                <w:w w:val="91"/>
              </w:rPr>
              <w:t>03/14/2019</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153"/>
              <w:spacing w:after="0"/>
              <w:rPr>
                <w:sz w:val="20"/>
                <w:szCs w:val="20"/>
                <w:color w:val="auto"/>
              </w:rPr>
            </w:pPr>
            <w:r>
              <w:rPr>
                <w:rFonts w:ascii="Arial" w:cs="Arial" w:eastAsia="Arial" w:hAnsi="Arial"/>
                <w:sz w:val="17"/>
                <w:szCs w:val="17"/>
                <w:color w:val="0000FF"/>
                <w:w w:val="82"/>
              </w:rPr>
              <w:t>386</w:t>
            </w:r>
            <w:r>
              <w:rPr>
                <w:rFonts w:ascii="Arial" w:cs="Arial" w:eastAsia="Arial" w:hAnsi="Arial"/>
                <w:sz w:val="22"/>
                <w:szCs w:val="22"/>
                <w:color w:val="008000"/>
                <w:w w:val="82"/>
                <w:vertAlign w:val="superscript"/>
              </w:rPr>
              <w:t>(2)</w:t>
            </w:r>
          </w:p>
        </w:tc>
        <w:tc>
          <w:tcPr>
            <w:tcW w:w="66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7.93</w:t>
            </w:r>
          </w:p>
        </w:tc>
        <w:tc>
          <w:tcPr>
            <w:tcW w:w="134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30,485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489"/>
              <w:spacing w:after="0"/>
              <w:rPr>
                <w:sz w:val="20"/>
                <w:szCs w:val="20"/>
                <w:color w:val="auto"/>
              </w:rPr>
            </w:pPr>
            <w:r>
              <w:rPr>
                <w:rFonts w:ascii="Arial" w:cs="Arial" w:eastAsia="Arial" w:hAnsi="Arial"/>
                <w:sz w:val="17"/>
                <w:szCs w:val="17"/>
                <w:color w:val="0000FF"/>
                <w:w w:val="91"/>
              </w:rPr>
              <w:t>03/16/2019</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153"/>
              <w:spacing w:after="0"/>
              <w:rPr>
                <w:sz w:val="20"/>
                <w:szCs w:val="20"/>
                <w:color w:val="auto"/>
              </w:rPr>
            </w:pPr>
            <w:r>
              <w:rPr>
                <w:rFonts w:ascii="Arial" w:cs="Arial" w:eastAsia="Arial" w:hAnsi="Arial"/>
                <w:sz w:val="17"/>
                <w:szCs w:val="17"/>
                <w:color w:val="0000FF"/>
                <w:w w:val="82"/>
              </w:rPr>
              <w:t>790</w:t>
            </w:r>
            <w:r>
              <w:rPr>
                <w:rFonts w:ascii="Arial" w:cs="Arial" w:eastAsia="Arial" w:hAnsi="Arial"/>
                <w:sz w:val="22"/>
                <w:szCs w:val="22"/>
                <w:color w:val="008000"/>
                <w:w w:val="82"/>
                <w:vertAlign w:val="superscript"/>
              </w:rPr>
              <w:t>(2)</w:t>
            </w:r>
          </w:p>
        </w:tc>
        <w:tc>
          <w:tcPr>
            <w:tcW w:w="66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7.61</w:t>
            </w:r>
          </w:p>
        </w:tc>
        <w:tc>
          <w:tcPr>
            <w:tcW w:w="134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29,695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489"/>
              <w:spacing w:after="0"/>
              <w:rPr>
                <w:sz w:val="20"/>
                <w:szCs w:val="20"/>
                <w:color w:val="auto"/>
              </w:rPr>
            </w:pPr>
            <w:r>
              <w:rPr>
                <w:rFonts w:ascii="Arial" w:cs="Arial" w:eastAsia="Arial" w:hAnsi="Arial"/>
                <w:sz w:val="17"/>
                <w:szCs w:val="17"/>
                <w:color w:val="0000FF"/>
                <w:w w:val="91"/>
              </w:rPr>
              <w:t>03/17/2019</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153"/>
              <w:spacing w:after="0" w:line="321" w:lineRule="exact"/>
              <w:rPr>
                <w:sz w:val="20"/>
                <w:szCs w:val="20"/>
                <w:color w:val="auto"/>
              </w:rPr>
            </w:pPr>
            <w:r>
              <w:rPr>
                <w:rFonts w:ascii="Arial" w:cs="Arial" w:eastAsia="Arial" w:hAnsi="Arial"/>
                <w:sz w:val="34"/>
                <w:szCs w:val="34"/>
                <w:color w:val="0000FF"/>
                <w:w w:val="74"/>
                <w:vertAlign w:val="subscript"/>
              </w:rPr>
              <w:t>380</w:t>
            </w:r>
            <w:r>
              <w:rPr>
                <w:rFonts w:ascii="Arial" w:cs="Arial" w:eastAsia="Arial" w:hAnsi="Arial"/>
                <w:sz w:val="11"/>
                <w:szCs w:val="11"/>
                <w:color w:val="008000"/>
                <w:w w:val="74"/>
              </w:rPr>
              <w:t>(2)</w:t>
            </w:r>
          </w:p>
        </w:tc>
        <w:tc>
          <w:tcPr>
            <w:tcW w:w="66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7.61</w:t>
            </w:r>
          </w:p>
        </w:tc>
        <w:tc>
          <w:tcPr>
            <w:tcW w:w="134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29,315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60" w:type="dxa"/>
            <w:vAlign w:val="bottom"/>
            <w:gridSpan w:val="11"/>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820" w:type="dxa"/>
            <w:vAlign w:val="bottom"/>
          </w:tcPr>
          <w:p>
            <w:pPr>
              <w:ind w:left="340"/>
              <w:spacing w:after="0"/>
              <w:rPr>
                <w:sz w:val="20"/>
                <w:szCs w:val="20"/>
                <w:color w:val="auto"/>
              </w:rPr>
            </w:pPr>
            <w:r>
              <w:rPr>
                <w:rFonts w:ascii="Arial" w:cs="Arial" w:eastAsia="Arial" w:hAnsi="Arial"/>
                <w:sz w:val="11"/>
                <w:szCs w:val="11"/>
                <w:color w:val="008000"/>
              </w:rPr>
              <w:t>(3)</w:t>
            </w:r>
          </w:p>
        </w:tc>
        <w:tc>
          <w:tcPr>
            <w:tcW w:w="1120" w:type="dxa"/>
            <w:vAlign w:val="bottom"/>
          </w:tcPr>
          <w:p>
            <w:pPr>
              <w:ind w:left="260"/>
              <w:spacing w:after="0"/>
              <w:rPr>
                <w:sz w:val="20"/>
                <w:szCs w:val="20"/>
                <w:color w:val="auto"/>
              </w:rPr>
            </w:pPr>
            <w:r>
              <w:rPr>
                <w:rFonts w:ascii="Arial" w:cs="Arial" w:eastAsia="Arial" w:hAnsi="Arial"/>
                <w:sz w:val="13"/>
                <w:szCs w:val="13"/>
                <w:color w:val="0000FF"/>
              </w:rPr>
              <w:t>03/14/2019</w:t>
            </w:r>
          </w:p>
        </w:tc>
        <w:tc>
          <w:tcPr>
            <w:tcW w:w="1120" w:type="dxa"/>
            <w:vAlign w:val="bottom"/>
          </w:tcPr>
          <w:p>
            <w:pPr>
              <w:spacing w:after="0"/>
              <w:rPr>
                <w:sz w:val="20"/>
                <w:szCs w:val="20"/>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20"/>
                <w:szCs w:val="20"/>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0000FF"/>
              </w:rPr>
              <w:t>9,896</w:t>
            </w:r>
          </w:p>
        </w:tc>
        <w:tc>
          <w:tcPr>
            <w:tcW w:w="300" w:type="dxa"/>
            <w:vAlign w:val="bottom"/>
          </w:tcPr>
          <w:p>
            <w:pPr>
              <w:spacing w:after="0"/>
              <w:rPr>
                <w:sz w:val="20"/>
                <w:szCs w:val="20"/>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20" w:type="dxa"/>
            <w:vAlign w:val="bottom"/>
          </w:tcPr>
          <w:p>
            <w:pPr>
              <w:ind w:left="240"/>
              <w:spacing w:after="0"/>
              <w:rPr>
                <w:sz w:val="20"/>
                <w:szCs w:val="20"/>
                <w:color w:val="auto"/>
              </w:rPr>
            </w:pPr>
            <w:r>
              <w:rPr>
                <w:rFonts w:ascii="Arial" w:cs="Arial" w:eastAsia="Arial" w:hAnsi="Arial"/>
                <w:sz w:val="11"/>
                <w:szCs w:val="11"/>
                <w:color w:val="008000"/>
              </w:rPr>
              <w:t>(4)</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9,896</w:t>
            </w:r>
          </w:p>
        </w:tc>
        <w:tc>
          <w:tcPr>
            <w:tcW w:w="40" w:type="dxa"/>
            <w:vAlign w:val="bottom"/>
          </w:tcPr>
          <w:p>
            <w:pPr>
              <w:spacing w:after="0"/>
              <w:rPr>
                <w:sz w:val="20"/>
                <w:szCs w:val="20"/>
                <w:color w:val="auto"/>
              </w:rPr>
            </w:pPr>
          </w:p>
        </w:tc>
        <w:tc>
          <w:tcPr>
            <w:tcW w:w="76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9,896</w:t>
            </w:r>
          </w:p>
        </w:tc>
        <w:tc>
          <w:tcPr>
            <w:tcW w:w="30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Rights</w:t>
            </w: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and vest in three equal annual installments beginning on March 14, 2020.</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the amount of shares delivered to satisfy applicable tax withholding obligations in connection with the vesting of shares of restricted stock.</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51" w:lineRule="exact"/>
        <w:rPr>
          <w:rFonts w:ascii="Arial" w:cs="Arial" w:eastAsia="Arial" w:hAnsi="Arial"/>
          <w:sz w:val="13"/>
          <w:szCs w:val="13"/>
          <w:color w:val="008000"/>
        </w:rPr>
      </w:pPr>
    </w:p>
    <w:p>
      <w:pPr>
        <w:ind w:left="40" w:right="300" w:firstLine="7"/>
        <w:spacing w:after="0" w:line="254"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performance rights will vest pursuant to the terms and subject to the conditions set forth in the Issuer's 2016 Omnibus Incentive Plan and the applicable Performance Share Unit Award Agreement based on the relative total shareholder return ("TSR") of the Issuer, as compared to the TSR of the S&amp;P SmallCap 600 Index over the period beginning on January 1, 2019 and ending December 31, 2021. The performance rights granted represent the right to receive the target shares, and actual performance rights earned may be between 50% and 150% of the target shares.</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00" w:type="dxa"/>
            <w:vAlign w:val="bottom"/>
          </w:tcPr>
          <w:p>
            <w:pPr>
              <w:spacing w:after="0"/>
              <w:rPr>
                <w:sz w:val="20"/>
                <w:szCs w:val="20"/>
                <w:color w:val="auto"/>
              </w:rPr>
            </w:pPr>
            <w:r>
              <w:rPr>
                <w:rFonts w:ascii="Arial" w:cs="Arial" w:eastAsia="Arial" w:hAnsi="Arial"/>
                <w:sz w:val="17"/>
                <w:szCs w:val="17"/>
                <w:color w:val="0000FF"/>
                <w:w w:val="93"/>
              </w:rPr>
              <w:t>/s/ Matthew S. Heiter</w:t>
            </w:r>
          </w:p>
        </w:tc>
        <w:tc>
          <w:tcPr>
            <w:tcW w:w="62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7"/>
                <w:szCs w:val="17"/>
                <w:color w:val="0000FF"/>
                <w:w w:val="91"/>
              </w:rPr>
              <w:t>03/18/2019</w:t>
            </w: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4"/>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7819"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2019-12-23T15:59:34Z</dcterms:created>
  <dcterms:modified xsi:type="dcterms:W3CDTF">2019-12-23T15:59:34Z</dcterms:modified>
</cp:coreProperties>
</file>