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8, 2020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422275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20" w:type="dxa"/>
            <w:vAlign w:val="bottom"/>
          </w:tcPr>
          <w:p>
            <w:pPr>
              <w:jc w:val="center"/>
              <w:ind w:right="2265"/>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60" w:type="dxa"/>
            <w:vAlign w:val="bottom"/>
          </w:tcPr>
          <w:p>
            <w:pPr>
              <w:jc w:val="right"/>
              <w:ind w:right="64"/>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20" w:type="dxa"/>
            <w:vAlign w:val="bottom"/>
          </w:tcPr>
          <w:p>
            <w:pPr>
              <w:jc w:val="center"/>
              <w:ind w:right="2245"/>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4"/>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20" w:type="dxa"/>
            <w:vAlign w:val="bottom"/>
          </w:tcPr>
          <w:p>
            <w:pPr>
              <w:jc w:val="center"/>
              <w:ind w:right="2245"/>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4"/>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4020" w:type="dxa"/>
            <w:vAlign w:val="bottom"/>
          </w:tcPr>
          <w:p>
            <w:pPr>
              <w:jc w:val="center"/>
              <w:ind w:left="1245"/>
              <w:spacing w:after="0"/>
              <w:rPr>
                <w:sz w:val="20"/>
                <w:szCs w:val="20"/>
                <w:color w:val="auto"/>
              </w:rPr>
            </w:pPr>
            <w:r>
              <w:rPr>
                <w:rFonts w:ascii="Arial" w:cs="Arial" w:eastAsia="Arial" w:hAnsi="Arial"/>
                <w:sz w:val="14"/>
                <w:szCs w:val="14"/>
                <w:b w:val="1"/>
                <w:bCs w:val="1"/>
                <w:color w:val="auto"/>
                <w:w w:val="95"/>
              </w:rPr>
              <w:t>6210 Ardrey Kell Road</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62"/>
        </w:trPr>
        <w:tc>
          <w:tcPr>
            <w:tcW w:w="4020" w:type="dxa"/>
            <w:vAlign w:val="bottom"/>
          </w:tcPr>
          <w:p>
            <w:pPr>
              <w:jc w:val="center"/>
              <w:ind w:left="1245"/>
              <w:spacing w:after="0"/>
              <w:rPr>
                <w:sz w:val="20"/>
                <w:szCs w:val="20"/>
                <w:color w:val="auto"/>
              </w:rPr>
            </w:pPr>
            <w:r>
              <w:rPr>
                <w:rFonts w:ascii="Arial" w:cs="Arial" w:eastAsia="Arial" w:hAnsi="Arial"/>
                <w:sz w:val="14"/>
                <w:szCs w:val="14"/>
                <w:b w:val="1"/>
                <w:bCs w:val="1"/>
                <w:color w:val="auto"/>
                <w:w w:val="97"/>
              </w:rPr>
              <w:t>Charlotte, North Carolina</w:t>
            </w:r>
          </w:p>
        </w:tc>
        <w:tc>
          <w:tcPr>
            <w:tcW w:w="2320" w:type="dxa"/>
            <w:vAlign w:val="bottom"/>
          </w:tcPr>
          <w:p>
            <w:pPr>
              <w:spacing w:after="0"/>
              <w:rPr>
                <w:sz w:val="14"/>
                <w:szCs w:val="14"/>
                <w:color w:val="auto"/>
              </w:rPr>
            </w:pPr>
          </w:p>
        </w:tc>
        <w:tc>
          <w:tcPr>
            <w:tcW w:w="2460" w:type="dxa"/>
            <w:vAlign w:val="bottom"/>
          </w:tcPr>
          <w:p>
            <w:pPr>
              <w:jc w:val="right"/>
              <w:ind w:right="304"/>
              <w:spacing w:after="0"/>
              <w:rPr>
                <w:sz w:val="20"/>
                <w:szCs w:val="20"/>
                <w:color w:val="auto"/>
              </w:rPr>
            </w:pPr>
            <w:r>
              <w:rPr>
                <w:rFonts w:ascii="Arial" w:cs="Arial" w:eastAsia="Arial" w:hAnsi="Arial"/>
                <w:sz w:val="14"/>
                <w:szCs w:val="14"/>
                <w:b w:val="1"/>
                <w:bCs w:val="1"/>
                <w:color w:val="auto"/>
              </w:rPr>
              <w:t>28277</w:t>
            </w:r>
          </w:p>
        </w:tc>
      </w:tr>
      <w:tr>
        <w:trPr>
          <w:trHeight w:val="186"/>
        </w:trPr>
        <w:tc>
          <w:tcPr>
            <w:tcW w:w="4020" w:type="dxa"/>
            <w:vAlign w:val="bottom"/>
          </w:tcPr>
          <w:p>
            <w:pPr>
              <w:jc w:val="center"/>
              <w:ind w:left="124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4"/>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tab/>
        <w:t>RESULTS OF OPERATIONS AND FINANCIAL CONDITION.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On May 7, 2020, NN, Inc. (the “Company”) issued a press release announcing the Company’s financial results for the quarter ended March 31,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2020. The full text of the press release is furnished as Exhibit 99.1 and is incorporated herein by reference.</w:t>
      </w:r>
    </w:p>
    <w:p>
      <w:pPr>
        <w:spacing w:after="0" w:line="21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32"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9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64"/>
        <w:spacing w:after="0"/>
        <w:tabs>
          <w:tab w:leader="none" w:pos="9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May 7, 2020</w:t>
        </w:r>
      </w:hyperlink>
    </w:p>
    <w:p>
      <w:pPr>
        <w:sectPr>
          <w:pgSz w:w="11900" w:h="16838" w:orient="portrait"/>
          <w:cols w:equalWidth="0" w:num="1">
            <w:col w:w="10944"/>
          </w:cols>
          <w:pgMar w:left="436" w:top="270"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14070"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4070" cy="79756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171450</wp:posOffset>
            </wp:positionV>
            <wp:extent cx="170561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56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FIRST QUARTER 2020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Implemented additional cost savings initiatives to increase financial flexibility and liquidity position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Significantly improved free cash flow by $15.7 million</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Charlotte, N.C., May 7, 2020 – </w:t>
      </w:r>
      <w:r>
        <w:rPr>
          <w:rFonts w:ascii="Arial" w:cs="Arial" w:eastAsia="Arial" w:hAnsi="Arial"/>
          <w:sz w:val="18"/>
          <w:szCs w:val="18"/>
          <w:color w:val="auto"/>
        </w:rPr>
        <w:t>NN, Inc., (NASDAQ: NNBR), a diversified industrial company, today reported its financial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Net sales for the first quarter of 2020 decreased $13.5 million, or 6.3%, to $199.7 million, compared to $213.3 million for the first quarter of 2019, driven by a decrease in organic volume of $11.4 million, as a result of decreases in core volumes in the orthopaedic, automotive, and electrical end markets; unfavorable foreign exchange effects of $2.1 million; and decreased demand across all segments related to the COVID-19 pandemic.</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 GAAP basis, loss from operations for the first quarter of 2020 was $245.3 million, compared to a loss from operations of $0.3 million for the same period in 2019. In the first quarter of 2020, the loss from operations included a goodwill impairment charge of $239.7 million, which negatively impacted Life Sciences by $146.8 million and Power Solutions by $92.9 million. This negative impact was partially offset by a decrease in selling, general and administrative expense of $3.3 million, compared to the first quarter of 2019, primarily due to cost reduction initiatives that drove decreases in personnel costs and travel costs.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loss on a GAAP basis for the first quarter of 2020 was $248.2 million, compared to net loss on a GAAP basis of $19.5 million in the first quarter of 2019.</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 GAAP basis, loss from operations for first quarter 2020 in the Life Sciences segment was $141.0 million, compared to income from operations of $3.8 million for the same period in 2019.</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a GAAP basis, income from operations for first quarter 2020 in the Mobile Solutions segment was $0.3 million, compared to income from operations of $3.2 million for the same period in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 GAAP basis, loss from operations for first quarter 2020 in the Power Solutions segment was $90.3 million, compared to income from operations of $3.8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Adjusted income from operations for the first quarter of 2020 was $17.1 million, compared to $22.4 million for the same period in 2019. Adjusted EBITDA for the first quarter of 2020 was $30.4 million, or 15.2% of sales, versus $33.8 million, or 15.9% of sales, for the same period in 2019. Adjusted net income was $0.2 million, or $0.01 per diluted share, compared to $7.8 million, or $0.19 per diluted share, for the same period in 2019. Free cash flow improved significantly by $15.7 million along with a decline in net debt of $79.1 million in comparison to the same period in 2019.</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Warren Veltman, President and Chief Executive Officer, said, “In the face of COVID-19, its negative impact on our business and the continued uncertainty around the pandemic, NN has prioritized cash performance during the first quarter. As a result of a series of actions to improve financial flexibility and our liquidity, we significantly improved our free cash flow compared to the same period last year despite the impact of the global health crisis late in the quarter, while reducing days payable outstanding for our vendors. Moving forward, we will remain focused on continuing to improve our free cash flow and maintaining disciplined cash management.”</w:t>
      </w:r>
    </w:p>
    <w:p>
      <w:pPr>
        <w:spacing w:after="0" w:line="1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Mr. Veltman continued: “Despite the challenges on our business from the global COVID-19 pandemic, the health and safety of our employees remain our top priorities as we work to continue to serve our customers and meet their volume requirements. During this unprecedented time, our employees have demonstrated tremendous resilience and worked tirelessly to help deliver the products our customers need.”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Net sales for the first quarter of 2020 were $84.0 million, compared to $86.0 million in the first quarter of 2019, a decrease of 2.3% or $2.0 million. Adjusted income from operations for the first quarter of 2020 was $16.1 million, compared to $17.2 million in the first quarter of 2019. Lost variable margin on lower sales and higher depreciation expense attributable to the capital investments made during 2019 to support the business growth contributed to the decrease in adjusted income from operations. In addition, as a result of COVID-19, net sales were negatively impacted due to decreased demand for elective surgeries.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sales for the first quarter of 2020 were $69.9 million, compared to $78.1 million in the first quarter of 2019, a decrease of 10.5% or $8.2 million. Adjusted income from operations for the first quarter of 2020 was $1.5 million, compared to $5.8 million in the first quarter of 2019. The reduction in adjusted operating income was due to lost variable margin on the sales volume decline, which was partially offset by fixed cost reduction actions taken in response to the decline in sales volume.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Net sales for the first quarter of 2020 were $46.4 million, compared to $49.7 million in the first quarter of 2019, a decrease of $3.3 million or 6.6%. Adjusted income from operations for the quarter was $7.0 million, compared to $8.4 million in the first quarter of 2019. The reduction in adjusted operating income was due to lost variable margin on the sales volume decline, which was partially offset by fixed cost reduction actions taken in response to the decline in sales volume.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COVID-19 Impact and Response</w:t>
      </w:r>
    </w:p>
    <w:p>
      <w:pPr>
        <w:spacing w:after="0" w:line="12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All of NN’s facilities have implemented appropriate safety measures in line with guidance from federal, state and local governmental authorities, including performing employee temperature checks prior to accessing facilities, virus exposure screening, providing personal protective equipment for on-site employees, establishing enhanced disinfecting processes in operational facilities, following social distancing best practices and remote work arrangements.</w:t>
      </w:r>
    </w:p>
    <w:p>
      <w:pPr>
        <w:spacing w:after="0" w:line="18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 light of uncertainty due to COVID-19, NN has taken actions to enhance its financial flexibility and liquidity position, which are expected to generate cash savings of more than $45 million over the next year, in addition to the $32 million in cash savings initiatives outlined in October 2019. These combined measures include:</w:t>
      </w:r>
    </w:p>
    <w:p>
      <w:pPr>
        <w:spacing w:after="0" w:line="89" w:lineRule="exact"/>
        <w:rPr>
          <w:sz w:val="20"/>
          <w:szCs w:val="20"/>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Temporary wage reductions of 5%-25% for all salaried personnel, and suspension of Board cash compensation;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benefits, including 401(k) matching contribution and gainsharing programs;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Indirect and SG&amp;A labor reductions;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CARES Act benefits associated with net operating loss carrybacks that generate cash refunds and FICA remittance deferrals;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travel expenses;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deferrals;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Consolidating operating facilities and reducing overall SG&amp;A costs;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capital expenditures.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to the above actions, NN drew down $60 million on the Company’s revolving credit facility in the first quarter.</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Mr. Veltman stated, “The initiatives we undertook prior to the pandemic and in response to COVID-19 are expected to generate over $77 million in cash savings over the next year, which will continue to provide us the necessary liquidity to operate during the significant uncertainty surrounding the COVID-19 crisis. As the impact of COVID-19 evolves, NN’s leadership team will continue to evaluate additional cost-savings opportunities as thoughtfully and strategically as possible.”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left="4" w:right="140" w:hanging="4"/>
        <w:spacing w:after="0" w:line="286" w:lineRule="auto"/>
        <w:tabs>
          <w:tab w:leader="none" w:pos="309"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will discuss its results during its quarterly investor conference call on May 8, 2020 at 9:00 a.m. ET. The call and supplemental presentation may be accessed via NN’s website, </w:t>
      </w:r>
      <w:r>
        <w:rPr>
          <w:rFonts w:ascii="Arial" w:cs="Arial" w:eastAsia="Arial" w:hAnsi="Arial"/>
          <w:sz w:val="17"/>
          <w:szCs w:val="17"/>
          <w:u w:val="single" w:color="auto"/>
          <w:color w:val="auto"/>
        </w:rPr>
        <w:t>www.nninc.com</w:t>
      </w:r>
      <w:r>
        <w:rPr>
          <w:rFonts w:ascii="Arial" w:cs="Arial" w:eastAsia="Arial" w:hAnsi="Arial"/>
          <w:sz w:val="17"/>
          <w:szCs w:val="17"/>
          <w:color w:val="auto"/>
        </w:rPr>
        <w:t>. The conference call can also be accessed by dialing 1-888-204-4368 or 1-323-994-2093 Conference ID: 6902704. For those who are unavailable to listen to the live broadcast, a replay will be available shortly after the call for 30 days.</w:t>
      </w:r>
    </w:p>
    <w:p>
      <w:pPr>
        <w:spacing w:after="0" w:line="165" w:lineRule="exact"/>
        <w:rPr>
          <w:sz w:val="20"/>
          <w:szCs w:val="20"/>
          <w:color w:val="auto"/>
        </w:rPr>
      </w:pPr>
    </w:p>
    <w:p>
      <w:pPr>
        <w:ind w:left="4" w:hanging="4"/>
        <w:spacing w:after="0" w:line="275" w:lineRule="auto"/>
        <w:tabs>
          <w:tab w:leader="none" w:pos="309"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discloses in this press release the non-GAAP financial measures of adjusted income from operations, adjusted EBITDA, adjusted net income (loss), adjusted net income per diluted share, free cash flow and net debt. Each of adjusted income from operations, adjusted EBITDA, adjusted net income (loss), adjusted net income per diluted share and free cash flow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 Net debt is defined as debt and finance leases less cash.</w:t>
      </w:r>
    </w:p>
    <w:p>
      <w:pPr>
        <w:spacing w:after="0" w:line="176"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EBITDA, adjusted net income (loss), adjusted net income (loss) per diluted share and free cash flow to the U.S. GAAP financial measures of income from operations, net income (loss), net income (loss) per diluted share and net cash provided by (used in) operating activities.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and when filed, the Company’s Quarterly Report on Form 10-Q for the three months ended March 31, 2020. Except as required by law, we undertake no obligation to update or revise any forward-looking statements we make in our press releases, whether as a result of new information, future events or otherwise.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Financial Tables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0" w:right="5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01"/>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926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00" w:type="dxa"/>
            <w:vAlign w:val="bottom"/>
          </w:tcPr>
          <w:p>
            <w:pPr>
              <w:spacing w:after="0"/>
              <w:rPr>
                <w:sz w:val="14"/>
                <w:szCs w:val="14"/>
                <w:color w:val="auto"/>
              </w:rPr>
            </w:pPr>
          </w:p>
        </w:tc>
        <w:tc>
          <w:tcPr>
            <w:tcW w:w="166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26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162,187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51,069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24,824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Restructuring and integration expense, net</w:t>
            </w: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239,699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(245,332)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17,077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 and share of net income from joint venture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(263,529)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(17,546)</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15,609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(loss) from joint venture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(248,191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(19,518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(14,342)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720"/>
              <w:spacing w:after="0"/>
              <w:rPr>
                <w:sz w:val="20"/>
                <w:szCs w:val="20"/>
                <w:color w:val="auto"/>
              </w:rPr>
            </w:pPr>
            <w:r>
              <w:rPr>
                <w:rFonts w:ascii="Arial" w:cs="Arial" w:eastAsia="Arial" w:hAnsi="Arial"/>
                <w:sz w:val="18"/>
                <w:szCs w:val="18"/>
                <w:color w:val="auto"/>
              </w:rPr>
              <w:t>Change in fair value of interest rate swap, net of tax</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(11,209)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reclassification adjustment for (gains) losses included in net income, net of tax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(24,499)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(272,690)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(22,053)</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b w:val="1"/>
                <w:bCs w:val="1"/>
                <w:color w:val="auto"/>
              </w:rPr>
              <w:t>Basic 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common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(5.96)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4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128,458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131,558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118,722</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362,982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350,369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374,513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68,407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65,496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196,281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439,095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317,918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329,260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1,325,153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1,541,984</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59,792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57,340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wages and benefits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19,160</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24,873</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152,533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85,799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Non-current income tax payable</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814,972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757,440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72,389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66,980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32,386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44,723</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1,150,587</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1,095,695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95,664</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93,012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499,925</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501,615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Accumulated deficit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(353,474)</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(105,283)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78,902</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1,325,153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1,541,984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100" w:type="dxa"/>
            <w:vAlign w:val="bottom"/>
            <w:vMerge w:val="restart"/>
          </w:tcPr>
          <w:p>
            <w:pPr>
              <w:jc w:val="right"/>
              <w:ind w:right="339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(248,191)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$(19,518)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Depreciation and amortization of continuing operations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23,184</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239,699</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from issuance of share-based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(3,923)</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excluding 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(2,507)</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Income taxes receivable and payable,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(12,676)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Acquisition of property, plant and equipment, net of acquisitions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(11,260)</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Cash paid for debt issuance or prepayment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60,012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(repayments of) short-term debt,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47,511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31,703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546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220" w:type="dxa"/>
            <w:vAlign w:val="bottom"/>
            <w:gridSpan w:val="3"/>
          </w:tcPr>
          <w:p>
            <w:pPr>
              <w:jc w:val="center"/>
              <w:ind w:left="416"/>
              <w:spacing w:after="0" w:line="149" w:lineRule="exact"/>
              <w:rPr>
                <w:sz w:val="20"/>
                <w:szCs w:val="20"/>
                <w:color w:val="auto"/>
              </w:rPr>
            </w:pPr>
            <w:r>
              <w:rPr>
                <w:rFonts w:ascii="Arial" w:cs="Arial" w:eastAsia="Arial" w:hAnsi="Arial"/>
                <w:sz w:val="14"/>
                <w:szCs w:val="14"/>
                <w:b w:val="1"/>
                <w:bCs w:val="1"/>
                <w:color w:val="auto"/>
                <w:w w:val="99"/>
              </w:rPr>
              <w:t>March 31,</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(245,332)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11,342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239,706</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17,135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22,390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199,745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213,256</w:t>
            </w:r>
          </w:p>
        </w:tc>
        <w:tc>
          <w:tcPr>
            <w:tcW w:w="0" w:type="dxa"/>
            <w:vAlign w:val="bottom"/>
          </w:tcPr>
          <w:p>
            <w:pPr>
              <w:spacing w:after="0"/>
              <w:rPr>
                <w:sz w:val="1"/>
                <w:szCs w:val="1"/>
                <w:color w:val="auto"/>
              </w:rPr>
            </w:pPr>
          </w:p>
        </w:tc>
      </w:tr>
      <w:tr>
        <w:trPr>
          <w:trHeight w:val="32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220" w:type="dxa"/>
            <w:vAlign w:val="bottom"/>
            <w:gridSpan w:val="3"/>
          </w:tcPr>
          <w:p>
            <w:pPr>
              <w:jc w:val="center"/>
              <w:ind w:left="416"/>
              <w:spacing w:after="0" w:line="149" w:lineRule="exact"/>
              <w:rPr>
                <w:sz w:val="20"/>
                <w:szCs w:val="20"/>
                <w:color w:val="auto"/>
              </w:rPr>
            </w:pPr>
            <w:r>
              <w:rPr>
                <w:rFonts w:ascii="Arial" w:cs="Arial" w:eastAsia="Arial" w:hAnsi="Arial"/>
                <w:sz w:val="14"/>
                <w:szCs w:val="14"/>
                <w:b w:val="1"/>
                <w:bCs w:val="1"/>
                <w:color w:val="auto"/>
                <w:w w:val="99"/>
              </w:rPr>
              <w:t>March 31,</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Mobile Solutions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Impairments (Goodwill and fixed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1,486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of net income from joint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operations with JV</w:t>
            </w: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69,884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78,075</w:t>
            </w:r>
          </w:p>
        </w:tc>
        <w:tc>
          <w:tcPr>
            <w:tcW w:w="0" w:type="dxa"/>
            <w:vAlign w:val="bottom"/>
          </w:tcPr>
          <w:p>
            <w:pPr>
              <w:spacing w:after="0"/>
              <w:rPr>
                <w:sz w:val="1"/>
                <w:szCs w:val="1"/>
                <w:color w:val="auto"/>
              </w:rPr>
            </w:pPr>
          </w:p>
        </w:tc>
      </w:tr>
      <w:tr>
        <w:trPr>
          <w:trHeight w:val="32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220" w:type="dxa"/>
            <w:vAlign w:val="bottom"/>
            <w:gridSpan w:val="3"/>
          </w:tcPr>
          <w:p>
            <w:pPr>
              <w:jc w:val="center"/>
              <w:ind w:left="416"/>
              <w:spacing w:after="0" w:line="149" w:lineRule="exact"/>
              <w:rPr>
                <w:sz w:val="20"/>
                <w:szCs w:val="20"/>
                <w:color w:val="auto"/>
              </w:rPr>
            </w:pPr>
            <w:r>
              <w:rPr>
                <w:rFonts w:ascii="Arial" w:cs="Arial" w:eastAsia="Arial" w:hAnsi="Arial"/>
                <w:sz w:val="14"/>
                <w:szCs w:val="14"/>
                <w:b w:val="1"/>
                <w:bCs w:val="1"/>
                <w:color w:val="auto"/>
                <w:w w:val="99"/>
              </w:rPr>
              <w:t>March 31,</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435"/>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(90,334)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2,748</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Impairments (Goodwill and fixed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6,983</w:t>
            </w:r>
          </w:p>
        </w:tc>
        <w:tc>
          <w:tcPr>
            <w:tcW w:w="4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GAAP net sales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46,401</w:t>
            </w:r>
          </w:p>
        </w:tc>
        <w:tc>
          <w:tcPr>
            <w:tcW w:w="4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49,657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435"/>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Life Sciences</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(140,979)</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7"/>
              </w:rPr>
              <w:t>Impairments (Goodwill and fixed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146,758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16,068</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17,205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GAAP net sales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84,048</w:t>
            </w:r>
          </w:p>
        </w:tc>
        <w:tc>
          <w:tcPr>
            <w:tcW w:w="4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86,008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6"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17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20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2020 Includes Capacity &amp; Capabilities Dev - $1.1 / Prof Fees - $1.7 / Integration &amp; Transformation - $3.8 / Acq Transaction Costs - $0.0 / Asset Write-Downs/Lease Modification - $4.8</w:t>
      </w:r>
    </w:p>
    <w:p>
      <w:pPr>
        <w:ind w:left="424" w:right="200"/>
        <w:spacing w:after="0" w:line="260" w:lineRule="auto"/>
        <w:rPr>
          <w:rFonts w:ascii="Arial" w:cs="Arial" w:eastAsia="Arial" w:hAnsi="Arial"/>
          <w:sz w:val="18"/>
          <w:szCs w:val="18"/>
          <w:color w:val="auto"/>
        </w:rPr>
      </w:pPr>
      <w:r>
        <w:rPr>
          <w:rFonts w:ascii="Arial" w:cs="Arial" w:eastAsia="Arial" w:hAnsi="Arial"/>
          <w:sz w:val="18"/>
          <w:szCs w:val="18"/>
          <w:color w:val="auto"/>
        </w:rPr>
        <w:t>2019 Includes Capacity &amp; Capabilities Dev - $2.9 / Prof Fees - $1.3 / Integration &amp; Transformation - $5.9 / Acq Transaction Costs - $0.0 / Asset Write-Downs/Lease Modification - $0.0</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(248,191)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(15,609)</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preferred stock tax withholding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23,184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Restructuring and integration expense</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JV and fixed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239,706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Non-GAAP adjusted EBITDA (b)</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33,839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margin (2)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199,745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213,256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w:t>
        <w:tab/>
        <w:t>Non-GAAP adjusted EBITDA margin = Non-GAAP adjusted EBITDA / GAAP net sales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Net Income (Loss) and Net Income (Loss) per Diluted Share to Non-GAAP Adjusted Net Income (Loss) per Diluted Share</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ind w:left="460"/>
              <w:spacing w:after="0" w:line="149" w:lineRule="exact"/>
              <w:rPr>
                <w:sz w:val="20"/>
                <w:szCs w:val="20"/>
                <w:color w:val="auto"/>
              </w:rPr>
            </w:pPr>
            <w:r>
              <w:rPr>
                <w:rFonts w:ascii="Arial" w:cs="Arial" w:eastAsia="Arial" w:hAnsi="Arial"/>
                <w:sz w:val="14"/>
                <w:szCs w:val="14"/>
                <w:b w:val="1"/>
                <w:bCs w:val="1"/>
                <w:color w:val="auto"/>
                <w:w w:val="95"/>
              </w:rPr>
              <w:t>March 31,</w:t>
            </w: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(248,191)</w:t>
            </w: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(19,518)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11,418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10,069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0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Pre-tax change in fair value of preferred stock tax withholding</w:t>
            </w: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13,841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adjustments reflected above (c)</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Non-GAAP discrete tax adjustments</w:t>
            </w: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(11,929)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JV)</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239,699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Non-GAAP adjusted net income (loss) (d)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7"/>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tcPr>
          <w:p>
            <w:pPr>
              <w:ind w:left="460"/>
              <w:spacing w:after="0" w:line="149" w:lineRule="exact"/>
              <w:rPr>
                <w:sz w:val="20"/>
                <w:szCs w:val="20"/>
                <w:color w:val="auto"/>
              </w:rPr>
            </w:pPr>
            <w:r>
              <w:rPr>
                <w:rFonts w:ascii="Arial" w:cs="Arial" w:eastAsia="Arial" w:hAnsi="Arial"/>
                <w:sz w:val="14"/>
                <w:szCs w:val="14"/>
                <w:b w:val="1"/>
                <w:bCs w:val="1"/>
                <w:color w:val="auto"/>
                <w:w w:val="95"/>
              </w:rPr>
              <w:t>March 31,</w:t>
            </w: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Amounts per share, diluted</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00" w:type="dxa"/>
            <w:vAlign w:val="bottom"/>
          </w:tcPr>
          <w:p>
            <w:pPr>
              <w:spacing w:after="0"/>
              <w:rPr>
                <w:sz w:val="20"/>
                <w:szCs w:val="20"/>
                <w:color w:val="auto"/>
              </w:rPr>
            </w:pPr>
            <w:r>
              <w:rPr>
                <w:rFonts w:ascii="Arial" w:cs="Arial" w:eastAsia="Arial" w:hAnsi="Arial"/>
                <w:sz w:val="18"/>
                <w:szCs w:val="18"/>
                <w:color w:val="auto"/>
              </w:rPr>
              <w:t>Pre-tax acquisition and transition expense</w:t>
            </w: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(gain) loss on inter-company loans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Pre-tax restructuring and integration expense</w:t>
            </w:r>
          </w:p>
        </w:tc>
        <w:tc>
          <w:tcPr>
            <w:tcW w:w="10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Pre-tax write-off of unamortized debt issuance costs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Pre-tax change in fair value of preferred stock tax withholding</w:t>
            </w: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and deferred financing costs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Pre-tax impairments of fixed asset costs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adjustments reflected above (c)</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Non-GAAP discrete tax adjustments</w:t>
            </w: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Impairments (Goodwill and JV)</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Preferred stock cumulative dividends and deemed dividends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(loss) per diluted share (d)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500" w:type="dxa"/>
            <w:vAlign w:val="bottom"/>
          </w:tcPr>
          <w:p>
            <w:pPr>
              <w:ind w:left="4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760" w:top="270" w:right="77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Operating Cash Flow to Free Cash Flow</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2"/>
              </w:rPr>
              <w:t>$ 10,224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(2,712)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7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(11,260)</w:t>
            </w:r>
          </w:p>
        </w:tc>
        <w:tc>
          <w:tcPr>
            <w:tcW w:w="1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(1,036)</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(16,785)</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3180"/>
              <w:spacing w:after="0"/>
              <w:rPr>
                <w:sz w:val="20"/>
                <w:szCs w:val="20"/>
                <w:color w:val="auto"/>
              </w:rPr>
            </w:pPr>
            <w:r>
              <w:rPr>
                <w:rFonts w:ascii="Arial" w:cs="Arial" w:eastAsia="Arial" w:hAnsi="Arial"/>
                <w:sz w:val="18"/>
                <w:szCs w:val="18"/>
                <w:b w:val="1"/>
                <w:bCs w:val="1"/>
                <w:color w:val="auto"/>
              </w:rPr>
              <w:t>Reconciliation of Net Debt</w:t>
            </w: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i w:val="1"/>
                <w:iCs w:val="1"/>
                <w:color w:val="auto"/>
              </w:rPr>
              <w:t>$000s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debt &amp; finance lease liability</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83"/>
              </w:rPr>
              <w:t>23,207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$ 35,845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Long term debt and finance lease liability (ex- issuance costs)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824,897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832,424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Funded debt</w:t>
            </w: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848,104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868,269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79,214</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20,268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debt</w:t>
            </w:r>
          </w:p>
        </w:tc>
        <w:tc>
          <w:tcPr>
            <w:tcW w:w="7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768,890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848,001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line="287" w:lineRule="auto"/>
        <w:rPr>
          <w:sz w:val="20"/>
          <w:szCs w:val="20"/>
          <w:color w:val="auto"/>
        </w:rPr>
      </w:pPr>
      <w:r>
        <w:rPr>
          <w:rFonts w:ascii="Arial" w:cs="Arial" w:eastAsia="Arial" w:hAnsi="Arial"/>
          <w:sz w:val="16"/>
          <w:szCs w:val="16"/>
          <w:i w:val="1"/>
          <w:iCs w:val="1"/>
          <w:color w:val="auto"/>
        </w:rPr>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7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left="4" w:hanging="4"/>
        <w:spacing w:after="0" w:line="254" w:lineRule="auto"/>
        <w:tabs>
          <w:tab w:leader="none" w:pos="259"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94" w:lineRule="exact"/>
        <w:rPr>
          <w:rFonts w:ascii="Arial" w:cs="Arial" w:eastAsia="Arial" w:hAnsi="Arial"/>
          <w:sz w:val="18"/>
          <w:szCs w:val="18"/>
          <w:i w:val="1"/>
          <w:iCs w:val="1"/>
          <w:color w:val="auto"/>
        </w:rPr>
      </w:pPr>
    </w:p>
    <w:p>
      <w:pPr>
        <w:ind w:left="4" w:right="140" w:hanging="4"/>
        <w:spacing w:after="0" w:line="272" w:lineRule="auto"/>
        <w:tabs>
          <w:tab w:leader="none" w:pos="259"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EBITDA represents GAAP net income (loss), adjusted to include income taxes, interest expense, Interest rate swaps and write-offs, depreciation and amortization, charges related to acquisition and transition costs, non-cash stock compensation expense, foreign exchange gain (loss) on inter-company loans, restructuring and integration expense,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left="4" w:right="300" w:hanging="4"/>
        <w:spacing w:after="0" w:line="286" w:lineRule="auto"/>
        <w:tabs>
          <w:tab w:leader="none" w:pos="249"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165" w:lineRule="exact"/>
        <w:rPr>
          <w:rFonts w:ascii="Arial" w:cs="Arial" w:eastAsia="Arial" w:hAnsi="Arial"/>
          <w:sz w:val="17"/>
          <w:szCs w:val="17"/>
          <w:i w:val="1"/>
          <w:iCs w:val="1"/>
          <w:color w:val="auto"/>
        </w:rPr>
      </w:pPr>
    </w:p>
    <w:p>
      <w:pPr>
        <w:ind w:left="4" w:hanging="4"/>
        <w:spacing w:after="0" w:line="270" w:lineRule="auto"/>
        <w:tabs>
          <w:tab w:leader="none" w:pos="259"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upperLetter"/>
      <w:start w:val="40"/>
    </w:lvl>
  </w:abstractNum>
  <w:abstractNum w:abstractNumId="4">
    <w:nsid w:val="41B71EFB"/>
    <w:multiLevelType w:val="hybridMultilevel"/>
    <w:lvl w:ilvl="0">
      <w:lvlJc w:val="left"/>
      <w:lvlText w:val="%1"/>
      <w:numFmt w:val="upperLetter"/>
      <w:start w:val="40"/>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2020-05-08T08:06:26Z</dcterms:created>
  <dcterms:modified xsi:type="dcterms:W3CDTF">2020-05-08T08:06:26Z</dcterms:modified>
</cp:coreProperties>
</file>