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115570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78105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March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111125</wp:posOffset>
            </wp:positionV>
            <wp:extent cx="2597150"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52705</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5" w:lineRule="exact"/>
        <w:rPr>
          <w:sz w:val="24"/>
          <w:szCs w:val="24"/>
          <w:color w:val="auto"/>
        </w:rPr>
      </w:pPr>
    </w:p>
    <w:tbl>
      <w:tblPr>
        <w:tblLayout w:type="fixed"/>
        <w:tblInd w:w="940" w:type="dxa"/>
        <w:tblCellMar>
          <w:top w:w="0" w:type="dxa"/>
          <w:left w:w="0" w:type="dxa"/>
          <w:bottom w:w="0" w:type="dxa"/>
          <w:right w:w="0" w:type="dxa"/>
        </w:tblCellMar>
      </w:tblPr>
      <w:tr>
        <w:trPr>
          <w:trHeight w:val="253"/>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001-39268</w:t>
            </w:r>
          </w:p>
        </w:tc>
        <w:tc>
          <w:tcPr>
            <w:tcW w:w="14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62-1096725</w:t>
            </w:r>
          </w:p>
        </w:tc>
      </w:tr>
      <w:tr>
        <w:trPr>
          <w:trHeight w:val="168"/>
        </w:trPr>
        <w:tc>
          <w:tcPr>
            <w:tcW w:w="19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64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i w:val="1"/>
                <w:iCs w:val="1"/>
                <w:color w:val="auto"/>
              </w:rPr>
              <w:t>(Commission File Number)</w:t>
            </w:r>
          </w:p>
        </w:tc>
        <w:tc>
          <w:tcPr>
            <w:tcW w:w="1400" w:type="dxa"/>
            <w:vAlign w:val="bottom"/>
          </w:tcPr>
          <w:p>
            <w:pPr>
              <w:jc w:val="center"/>
              <w:ind w:left="119"/>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incorporation)</w:t>
            </w:r>
          </w:p>
        </w:tc>
        <w:tc>
          <w:tcPr>
            <w:tcW w:w="3640" w:type="dxa"/>
            <w:vAlign w:val="bottom"/>
          </w:tcPr>
          <w:p>
            <w:pPr>
              <w:spacing w:after="0"/>
              <w:rPr>
                <w:sz w:val="18"/>
                <w:szCs w:val="18"/>
                <w:color w:val="auto"/>
              </w:rPr>
            </w:pPr>
          </w:p>
        </w:tc>
        <w:tc>
          <w:tcPr>
            <w:tcW w:w="1400" w:type="dxa"/>
            <w:vAlign w:val="bottom"/>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659"/>
        </w:trPr>
        <w:tc>
          <w:tcPr>
            <w:tcW w:w="5560" w:type="dxa"/>
            <w:vAlign w:val="bottom"/>
            <w:gridSpan w:val="2"/>
          </w:tcPr>
          <w:p>
            <w:pPr>
              <w:jc w:val="center"/>
              <w:ind w:right="1639"/>
              <w:spacing w:after="0"/>
              <w:rPr>
                <w:sz w:val="20"/>
                <w:szCs w:val="20"/>
                <w:color w:val="auto"/>
              </w:rPr>
            </w:pPr>
            <w:r>
              <w:rPr>
                <w:rFonts w:ascii="Times New Roman" w:cs="Times New Roman" w:eastAsia="Times New Roman" w:hAnsi="Times New Roman"/>
                <w:sz w:val="16"/>
                <w:szCs w:val="16"/>
                <w:b w:val="1"/>
                <w:bCs w:val="1"/>
                <w:color w:val="auto"/>
              </w:rPr>
              <w:t>6210 Ardrey Kell Road, Suite 120</w:t>
            </w:r>
          </w:p>
        </w:tc>
        <w:tc>
          <w:tcPr>
            <w:tcW w:w="1400" w:type="dxa"/>
            <w:vAlign w:val="bottom"/>
          </w:tcPr>
          <w:p>
            <w:pPr>
              <w:spacing w:after="0"/>
              <w:rPr>
                <w:sz w:val="24"/>
                <w:szCs w:val="24"/>
                <w:color w:val="auto"/>
              </w:rPr>
            </w:pPr>
          </w:p>
        </w:tc>
      </w:tr>
      <w:tr>
        <w:trPr>
          <w:trHeight w:val="257"/>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Charlotte, North Carolina</w:t>
            </w:r>
          </w:p>
        </w:tc>
        <w:tc>
          <w:tcPr>
            <w:tcW w:w="14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571"/>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(980) 264-4300</w:t>
            </w:r>
          </w:p>
        </w:tc>
        <w:tc>
          <w:tcPr>
            <w:tcW w:w="1400" w:type="dxa"/>
            <w:vAlign w:val="bottom"/>
          </w:tcPr>
          <w:p>
            <w:pPr>
              <w:spacing w:after="0"/>
              <w:rPr>
                <w:sz w:val="24"/>
                <w:szCs w:val="24"/>
                <w:color w:val="auto"/>
              </w:rPr>
            </w:pPr>
          </w:p>
        </w:tc>
      </w:tr>
      <w:tr>
        <w:trPr>
          <w:trHeight w:val="212"/>
        </w:trPr>
        <w:tc>
          <w:tcPr>
            <w:tcW w:w="1920" w:type="dxa"/>
            <w:vAlign w:val="bottom"/>
          </w:tcPr>
          <w:p>
            <w:pPr>
              <w:spacing w:after="0"/>
              <w:rPr>
                <w:sz w:val="18"/>
                <w:szCs w:val="18"/>
                <w:color w:val="auto"/>
              </w:rPr>
            </w:pPr>
          </w:p>
        </w:tc>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400" w:type="dxa"/>
            <w:vAlign w:val="bottom"/>
          </w:tcPr>
          <w:p>
            <w:pPr>
              <w:spacing w:after="0"/>
              <w:rPr>
                <w:sz w:val="18"/>
                <w:szCs w:val="18"/>
                <w:color w:val="auto"/>
              </w:rPr>
            </w:pPr>
          </w:p>
        </w:tc>
      </w:tr>
    </w:tbl>
    <w:p>
      <w:pPr>
        <w:spacing w:after="0" w:line="1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41910</wp:posOffset>
            </wp:positionV>
            <wp:extent cx="2125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38" w:lineRule="exact"/>
        <w:rPr>
          <w:sz w:val="24"/>
          <w:szCs w:val="24"/>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7"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9120"/>
          </w:cols>
          <w:pgMar w:left="1340" w:top="1289" w:right="1439" w:bottom="1440" w:gutter="0" w:footer="0" w:header="0"/>
        </w:sectPr>
      </w:pPr>
    </w:p>
    <w:p>
      <w:pPr>
        <w:spacing w:after="0" w:line="55"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55" w:lineRule="exact"/>
        <w:rPr>
          <w:sz w:val="24"/>
          <w:szCs w:val="24"/>
          <w:color w:val="auto"/>
        </w:rPr>
      </w:pPr>
    </w:p>
    <w:p>
      <w:pPr>
        <w:sectPr>
          <w:pgSz w:w="11900" w:h="16838" w:orient="portrait"/>
          <w:cols w:equalWidth="0" w:num="3">
            <w:col w:w="3420" w:space="720"/>
            <w:col w:w="1340" w:space="720"/>
            <w:col w:w="2920"/>
          </w:cols>
          <w:pgMar w:left="1340" w:top="1289" w:right="14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3660" w:space="720"/>
            <w:col w:w="1400" w:space="720"/>
            <w:col w:w="2620"/>
          </w:cols>
          <w:pgMar w:left="1340" w:top="1289" w:right="1439" w:bottom="1440" w:gutter="0" w:footer="0" w:header="0"/>
          <w:type w:val="continuous"/>
        </w:sectPr>
      </w:pPr>
    </w:p>
    <w:p>
      <w:pPr>
        <w:spacing w:after="0" w:line="226" w:lineRule="exact"/>
        <w:rPr>
          <w:sz w:val="24"/>
          <w:szCs w:val="24"/>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ind w:left="68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0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741045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599440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625475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20"/>
          </w:cols>
          <w:pgMar w:left="1340" w:top="1289" w:right="14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67"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On March 28, 2025, NN, Inc., a Delaware corporation (the “Company”), certain subsidiaries of the Company named therein, the lenders party thereto and Oaktree Fund Administration, LLC, as administrative agent (“Oaktree”), entered into that certain Amendment No. 6 to Term Loan Credit Agreement (the “Amendment”), which amended the Company’s existing Term Loan Credit Agreement, dated as of March 22, 2021 (as previously amended and as amended by the Amendment, the “Term Loan Credit Agreement”), by and among the Company, the lenders party thereto from time to time, and Oaktree.</w:t>
      </w:r>
    </w:p>
    <w:p>
      <w:pPr>
        <w:spacing w:after="0" w:line="7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Amendment, among other things, increases the quarterly maximum Consolidated Net Leverage Ratio (as defined in the Term Loan Credit Agreement) requirement and lowers the Domestic Liquidity (as defined in the Term Loan Agreement) requirement, for the fiscal quarter ending March 31, 2025.</w:t>
      </w:r>
    </w:p>
    <w:p>
      <w:pPr>
        <w:spacing w:after="0" w:line="6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full text of the Amendment, which is filed as Exhibit 10.1 to this Current Report on Form 8-K and incorporated herein by reference.</w:t>
      </w:r>
    </w:p>
    <w:p>
      <w:pPr>
        <w:spacing w:after="0" w:line="200" w:lineRule="exact"/>
        <w:rPr>
          <w:sz w:val="20"/>
          <w:szCs w:val="20"/>
          <w:color w:val="auto"/>
        </w:rPr>
      </w:pPr>
    </w:p>
    <w:p>
      <w:pPr>
        <w:spacing w:after="0" w:line="201" w:lineRule="exact"/>
        <w:rPr>
          <w:sz w:val="20"/>
          <w:szCs w:val="20"/>
          <w:color w:val="auto"/>
        </w:rPr>
      </w:pPr>
    </w:p>
    <w:p>
      <w:pPr>
        <w:ind w:left="1020" w:right="960" w:hanging="1295"/>
        <w:spacing w:after="0" w:line="284"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ind w:left="660"/>
        <w:spacing w:after="0"/>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is incorporated herein by reference.</w:t>
      </w:r>
    </w:p>
    <w:p>
      <w:pPr>
        <w:spacing w:after="0" w:line="200" w:lineRule="exact"/>
        <w:rPr>
          <w:sz w:val="20"/>
          <w:szCs w:val="20"/>
          <w:color w:val="auto"/>
        </w:rPr>
      </w:pPr>
    </w:p>
    <w:p>
      <w:pPr>
        <w:spacing w:after="0" w:line="26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65" w:lineRule="exact"/>
        <w:rPr>
          <w:sz w:val="20"/>
          <w:szCs w:val="20"/>
          <w:color w:val="auto"/>
        </w:rPr>
      </w:pPr>
    </w:p>
    <w:p>
      <w:pPr>
        <w:ind w:left="440" w:hanging="387"/>
        <w:spacing w:after="0"/>
        <w:tabs>
          <w:tab w:leader="none" w:pos="4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8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3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gridSpan w:val="2"/>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No.</w:t>
            </w:r>
          </w:p>
        </w:tc>
        <w:tc>
          <w:tcPr>
            <w:tcW w:w="360" w:type="dxa"/>
            <w:vAlign w:val="bottom"/>
          </w:tcPr>
          <w:p>
            <w:pPr>
              <w:spacing w:after="0"/>
              <w:rPr>
                <w:sz w:val="10"/>
                <w:szCs w:val="10"/>
                <w:color w:val="auto"/>
              </w:rPr>
            </w:pPr>
          </w:p>
        </w:tc>
        <w:tc>
          <w:tcPr>
            <w:tcW w:w="103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9"/>
                <w:szCs w:val="19"/>
                <w:color w:val="auto"/>
              </w:rPr>
            </w:pPr>
          </w:p>
        </w:tc>
        <w:tc>
          <w:tcPr>
            <w:tcW w:w="10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Amendment No. 6 to Term Loan Credit Agreement, dated as of March 28, 2025, by and among NN, Inc., certain subsidiaries of NN, Inc., the</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18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lenders party thereto and Oaktree Fund Administration, LLC, as administrative agent.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2"/>
                <w:szCs w:val="22"/>
                <w:color w:val="auto"/>
              </w:rPr>
            </w:pPr>
          </w:p>
        </w:tc>
        <w:tc>
          <w:tcPr>
            <w:tcW w:w="6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41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208"/>
        </w:trPr>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April 2, 2025</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NN, INC.</w:t>
            </w:r>
          </w:p>
        </w:tc>
        <w:tc>
          <w:tcPr>
            <w:tcW w:w="3920" w:type="dxa"/>
            <w:vAlign w:val="bottom"/>
          </w:tcPr>
          <w:p>
            <w:pPr>
              <w:spacing w:after="0"/>
              <w:rPr>
                <w:sz w:val="20"/>
                <w:szCs w:val="20"/>
                <w:color w:val="auto"/>
              </w:rPr>
            </w:pPr>
          </w:p>
        </w:tc>
      </w:tr>
      <w:tr>
        <w:trPr>
          <w:trHeight w:val="52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9220"/>
          </w:cols>
          <w:pgMar w:left="1340" w:top="887" w:right="1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6 TO TERM LOAN CREDIT AGREEMENT</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This AMENDMENT NO. 6 TO TERM LOAN CREDIT AGREEMENT, dated as of March 28, 2025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by and among NN,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other Loan Party party hereto, each Lender (as defined below) party hereto, and Oaktree Fund Administration, LLC, as administrative agent and collateral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the Borrower, the lenders party thereto from time to time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individually,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the Administrative Agent are parties to that certain Term Loan Credit Agreement, dated as of March 22, 2021 and amended by that certain Amendment No. 1 to Term Loan Credit Agreement, dated as of March 3, 2022, by that certain Amendment No. 2 to Term Loan Credit Agreement, dated as of March 3, 2023, by that certain Amendment No. 3 to Term Loan Credit Agreement dated as of March 15, 2024, by that certain Amendment No. 4 to Term Loan Credit Agreement dated as of August 29, 2024, and by that certain Amendment No. 5 to Term Loan Credit Agreement dated as of December 30, 2024 (and as further amended, restated, amended and restated, supplemented or otherwise modified from time to time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the Credit Agreement, after giving effect to the effectiveness of this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WHEREAS, the Borrower has requested that the Lenders agree to amend certain provisions of the Credit Agreement as provided for herein, and, subject to and in accordance with the terms and conditions contain herein, the Lenders party hereto constituting the Required Lenders together with the Administrative Agent are willing to agree to such amendment to the Credit Agreement.</w:t>
      </w:r>
    </w:p>
    <w:p>
      <w:pPr>
        <w:spacing w:after="0" w:line="168"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20"/>
          <w:szCs w:val="20"/>
          <w:color w:val="auto"/>
        </w:rPr>
        <w:t>NOW, THEREFORE, in consideration of the covenants and agreements contained herein, as well as other good and valuable consideration, the receipt and sufficiency of which are hereby acknowledged, the parties hereto hereby agree as follows:</w:t>
      </w:r>
    </w:p>
    <w:p>
      <w:pPr>
        <w:spacing w:after="0" w:line="1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010000"/>
        </w:rPr>
        <w:t xml:space="preserve">SECTION 1. </w:t>
      </w:r>
      <w:r>
        <w:rPr>
          <w:rFonts w:ascii="Times New Roman" w:cs="Times New Roman" w:eastAsia="Times New Roman" w:hAnsi="Times New Roman"/>
          <w:sz w:val="20"/>
          <w:szCs w:val="20"/>
          <w:u w:val="single" w:color="auto"/>
          <w:color w:val="000000"/>
        </w:rPr>
        <w:t>Defined Terms</w:t>
      </w:r>
      <w:r>
        <w:rPr>
          <w:rFonts w:ascii="Times New Roman" w:cs="Times New Roman" w:eastAsia="Times New Roman" w:hAnsi="Times New Roman"/>
          <w:sz w:val="20"/>
          <w:szCs w:val="20"/>
          <w:color w:val="000000"/>
        </w:rPr>
        <w:t>. Capitalized terms used but not defined herein shall have the meanings assigned to such terms in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Credit Agreement.</w:t>
      </w:r>
    </w:p>
    <w:p>
      <w:pPr>
        <w:spacing w:after="0" w:line="14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010000"/>
        </w:rPr>
        <w:t>SECTION 2.</w:t>
      </w:r>
      <w:r>
        <w:rPr>
          <w:sz w:val="20"/>
          <w:szCs w:val="20"/>
          <w:color w:val="auto"/>
        </w:rPr>
        <w:tab/>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840" w:hanging="536"/>
        <w:spacing w:after="0"/>
        <w:tabs>
          <w:tab w:leader="none" w:pos="18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1.01 of the Credit Agreement is hereby amended by inserting the following definitions in the appropriate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alphabetical order:</w:t>
      </w:r>
    </w:p>
    <w:p>
      <w:pPr>
        <w:spacing w:after="0" w:line="209" w:lineRule="exact"/>
        <w:rPr>
          <w:sz w:val="20"/>
          <w:szCs w:val="20"/>
          <w:color w:val="auto"/>
        </w:rPr>
      </w:pPr>
    </w:p>
    <w:p>
      <w:pPr>
        <w:jc w:val="both"/>
        <w:ind w:left="1960"/>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No. 6</w:t>
      </w:r>
      <w:r>
        <w:rPr>
          <w:rFonts w:ascii="Times New Roman" w:cs="Times New Roman" w:eastAsia="Times New Roman" w:hAnsi="Times New Roman"/>
          <w:sz w:val="20"/>
          <w:szCs w:val="20"/>
          <w:color w:val="auto"/>
        </w:rPr>
        <w:t>” means that certain Amendment No. 6 to Term Loan Credit Agreement, dated as of March 28, 2025, among the Borrower, each other Loan Party thereto, each Lender party thereto, and Oaktree Fund Administration, LLC, as administrative agent and collateral agent.</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Amendment No. 6 Effective Date</w:t>
      </w:r>
      <w:r>
        <w:rPr>
          <w:rFonts w:ascii="Times New Roman" w:cs="Times New Roman" w:eastAsia="Times New Roman" w:hAnsi="Times New Roman"/>
          <w:sz w:val="20"/>
          <w:szCs w:val="20"/>
          <w:color w:val="auto"/>
        </w:rPr>
        <w:t>” means March 28, 2025.</w:t>
      </w:r>
    </w:p>
    <w:p>
      <w:pPr>
        <w:spacing w:after="0" w:line="222"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Section 7.14(a) of the Credit Agreement is hereby amended and restated in its entirety as follows:</w:t>
      </w:r>
    </w:p>
    <w:p>
      <w:pPr>
        <w:sectPr>
          <w:pgSz w:w="11900" w:h="16838" w:orient="portrait"/>
          <w:cols w:equalWidth="0" w:num="1">
            <w:col w:w="11240"/>
          </w:cols>
          <w:pgMar w:left="320" w:top="94" w:right="339" w:bottom="1440" w:gutter="0" w:footer="0" w:header="0"/>
        </w:sectPr>
      </w:pPr>
    </w:p>
    <w:bookmarkStart w:id="4" w:name="page5"/>
    <w:bookmarkEnd w:id="4"/>
    <w:p>
      <w:pPr>
        <w:jc w:val="both"/>
        <w:ind w:left="1300" w:firstLine="652"/>
        <w:spacing w:after="0" w:line="270" w:lineRule="auto"/>
        <w:tabs>
          <w:tab w:leader="none" w:pos="22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Consolidated Net Leverage Ratio</w:t>
      </w:r>
      <w:r>
        <w:rPr>
          <w:rFonts w:ascii="Times New Roman" w:cs="Times New Roman" w:eastAsia="Times New Roman" w:hAnsi="Times New Roman"/>
          <w:sz w:val="19"/>
          <w:szCs w:val="19"/>
          <w:color w:val="auto"/>
        </w:rPr>
        <w:t>. For the benefit of the Lenders (and the Administrative Agent on their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behalf), permit the Consolidated Net Leverage Ratio of the Borrower and its Subsidiaries as of the last day of any fiscal quarter of the Borrower to exceed the Consolidated Net Leverage Ratio set forth for the applicable fiscal quarter below, which will be tested quarterly on a trailing four (4) fiscal quarter basis for the most recent four fiscal quarter period for which financial statements are required to be delivered under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19"/>
          <w:szCs w:val="19"/>
          <w:color w:val="auto"/>
        </w:rPr>
        <w:t>, as of the last day of any fiscal quarter of the Borrower (commencing with the first full fiscal quarter of the Borrower following the Closing Date) (the “</w:t>
      </w:r>
      <w:r>
        <w:rPr>
          <w:rFonts w:ascii="Times New Roman" w:cs="Times New Roman" w:eastAsia="Times New Roman" w:hAnsi="Times New Roman"/>
          <w:sz w:val="21"/>
          <w:szCs w:val="21"/>
          <w:u w:val="single" w:color="auto"/>
          <w:color w:val="auto"/>
        </w:rPr>
        <w:t>Consolidated Net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Leverage Ratio Covenant</w:t>
      </w:r>
      <w:r>
        <w:rPr>
          <w:rFonts w:ascii="Times New Roman" w:cs="Times New Roman" w:eastAsia="Times New Roman" w:hAnsi="Times New Roman"/>
          <w:sz w:val="19"/>
          <w:szCs w:val="19"/>
          <w:color w:val="auto"/>
        </w:rPr>
        <w:t>”):</w:t>
      </w:r>
    </w:p>
    <w:p>
      <w:pPr>
        <w:spacing w:after="0" w:line="229" w:lineRule="exact"/>
        <w:rPr>
          <w:sz w:val="20"/>
          <w:szCs w:val="20"/>
          <w:color w:val="auto"/>
        </w:rPr>
      </w:pPr>
    </w:p>
    <w:tbl>
      <w:tblPr>
        <w:tblLayout w:type="fixed"/>
        <w:tblInd w:w="1310" w:type="dxa"/>
        <w:tblCellMar>
          <w:top w:w="0" w:type="dxa"/>
          <w:left w:w="0" w:type="dxa"/>
          <w:bottom w:w="0" w:type="dxa"/>
          <w:right w:w="0" w:type="dxa"/>
        </w:tblCellMar>
      </w:tblPr>
      <w:tr>
        <w:trPr>
          <w:trHeight w:val="238"/>
        </w:trPr>
        <w:tc>
          <w:tcPr>
            <w:tcW w:w="3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Quarter</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Net Leverage Ratio</w:t>
            </w:r>
          </w:p>
        </w:tc>
      </w:tr>
      <w:tr>
        <w:trPr>
          <w:trHeight w:val="223"/>
        </w:trPr>
        <w:tc>
          <w:tcPr>
            <w:tcW w:w="3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3.25:1.00</w:t>
            </w:r>
          </w:p>
        </w:tc>
      </w:tr>
      <w:tr>
        <w:trPr>
          <w:trHeight w:val="223"/>
        </w:trPr>
        <w:tc>
          <w:tcPr>
            <w:tcW w:w="3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Thereafter</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3.00:1.00</w:t>
            </w:r>
          </w:p>
        </w:tc>
      </w:tr>
    </w:tbl>
    <w:p>
      <w:pPr>
        <w:spacing w:after="0" w:line="315"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Section 7.14(b) of the Credit Agreement is hereby amended and restated in its entirety as follows:</w:t>
      </w:r>
    </w:p>
    <w:p>
      <w:pPr>
        <w:spacing w:after="0" w:line="216" w:lineRule="exact"/>
        <w:rPr>
          <w:sz w:val="20"/>
          <w:szCs w:val="20"/>
          <w:color w:val="auto"/>
        </w:rPr>
      </w:pPr>
    </w:p>
    <w:p>
      <w:pPr>
        <w:jc w:val="both"/>
        <w:ind w:left="1300" w:right="640" w:firstLine="4"/>
        <w:spacing w:after="0" w:line="252" w:lineRule="auto"/>
        <w:tabs>
          <w:tab w:leader="none" w:pos="174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(i) Permit Domestic Liquidity (x) as of the last day of any fiscal quarter other than the fiscal quarter ending March 31, 2025, to be less than $20,000,000 and (y) as of the last day of the fiscal quarter ending March 31, 2025, to be less than $10,000,000, and (ii) within five (5) Business Days following the last day of each fiscal quarter in which (A) the Consolidated Net Leverage Ratio of the Borrower and its Subsidiaries is equal to or greater than 3.00:1.00 or (B) Domestic Liquidity of the Borrower and its Subsidiaries is equal to or less than $35,000,000, the Borrower shall deliver to the Administrative Agent and each Lender a weekly projected cash flow statement of the Borrower and its Subsidiaries for the succeeding thirteen (13) weeks (clauses (i) and (ii) collectively, the “</w:t>
      </w:r>
      <w:r>
        <w:rPr>
          <w:rFonts w:ascii="Times New Roman" w:cs="Times New Roman" w:eastAsia="Times New Roman" w:hAnsi="Times New Roman"/>
          <w:sz w:val="20"/>
          <w:szCs w:val="20"/>
          <w:u w:val="single" w:color="auto"/>
          <w:color w:val="auto"/>
        </w:rPr>
        <w:t>Minimum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Liquidity Covenant</w:t>
      </w:r>
      <w:r>
        <w:rPr>
          <w:rFonts w:ascii="Times New Roman" w:cs="Times New Roman" w:eastAsia="Times New Roman" w:hAnsi="Times New Roman"/>
          <w:sz w:val="20"/>
          <w:szCs w:val="20"/>
          <w:color w:val="auto"/>
        </w:rPr>
        <w:t>”, and together with the Consolidated Net Leverage Ratio Covenant, the “</w:t>
      </w:r>
      <w:r>
        <w:rPr>
          <w:rFonts w:ascii="Times New Roman" w:cs="Times New Roman" w:eastAsia="Times New Roman" w:hAnsi="Times New Roman"/>
          <w:sz w:val="20"/>
          <w:szCs w:val="20"/>
          <w:u w:val="single" w:color="auto"/>
          <w:color w:val="auto"/>
        </w:rPr>
        <w:t>Financial Covenants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Financial Covenant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color w:val="010000"/>
        </w:rPr>
        <w:t>SECTION 3.</w:t>
      </w:r>
      <w:r>
        <w:rPr>
          <w:sz w:val="20"/>
          <w:szCs w:val="20"/>
          <w:color w:val="auto"/>
        </w:rPr>
        <w:tab/>
      </w:r>
      <w:r>
        <w:rPr>
          <w:rFonts w:ascii="Times New Roman" w:cs="Times New Roman" w:eastAsia="Times New Roman" w:hAnsi="Times New Roman"/>
          <w:sz w:val="19"/>
          <w:szCs w:val="19"/>
          <w:u w:val="single" w:color="auto"/>
          <w:color w:val="auto"/>
        </w:rPr>
        <w:t>Conditions to Effectiveness</w:t>
      </w:r>
      <w:r>
        <w:rPr>
          <w:rFonts w:ascii="Times New Roman" w:cs="Times New Roman" w:eastAsia="Times New Roman" w:hAnsi="Times New Roman"/>
          <w:sz w:val="19"/>
          <w:szCs w:val="19"/>
          <w:color w:val="auto"/>
        </w:rPr>
        <w:t>. This Amendment shall become effective upon satisfaction (or effective waiver)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following conditions precedent (such date, the “</w:t>
      </w:r>
      <w:r>
        <w:rPr>
          <w:rFonts w:ascii="Times New Roman" w:cs="Times New Roman" w:eastAsia="Times New Roman" w:hAnsi="Times New Roman"/>
          <w:sz w:val="20"/>
          <w:szCs w:val="20"/>
          <w:u w:val="single" w:color="auto"/>
          <w:color w:val="auto"/>
        </w:rPr>
        <w:t>Amendment No. 6 Effective Date</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jc w:val="both"/>
        <w:ind w:firstLine="1304"/>
        <w:spacing w:after="0" w:line="261" w:lineRule="auto"/>
        <w:tabs>
          <w:tab w:leader="none" w:pos="182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from the Borrower, each other Loan Party, and the Required Lenders an executed counterpart of this Amendment (or photocopies thereof sent by fax, .pdf or other electronic means, each of which shall be enforceable with the same effect as a signed original).</w:t>
      </w:r>
    </w:p>
    <w:p>
      <w:pPr>
        <w:spacing w:after="0" w:line="18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2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Amendment, the representations and warranties contained in each of the Loan Documents are true and correct in all material respects on and as of the Amendment No. 6 Effective Date (or to the extent such representations and warranties specifically relate to an earlier date, on and as of such earlier date).</w:t>
      </w:r>
    </w:p>
    <w:p>
      <w:pPr>
        <w:spacing w:after="0" w:line="18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after giving effect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5" w:name="page6"/>
    <w:bookmarkEnd w:id="5"/>
    <w:p>
      <w:pPr>
        <w:jc w:val="both"/>
        <w:ind w:firstLine="1304"/>
        <w:spacing w:after="0" w:line="253" w:lineRule="auto"/>
        <w:tabs>
          <w:tab w:leader="none" w:pos="184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reimbursement or payment of all fees and expenses required to be reimbursed or paid hereunder or under any other Loan Document or otherwise agreed to in writing to be paid (including the reasonable and documented fees, charges and disbursements of Proskauer Rose LLP, as counsel to the Administrative Agent), in each case, on or prior to the Amendment No. 6 Effective Date, in the case of reimbursement of expenses, to the extent invoiced at least three (3) Business Days prior to the Amendment No. 6 Effective Date (or such later date as the Borrower may agree).</w:t>
      </w:r>
    </w:p>
    <w:p>
      <w:pPr>
        <w:spacing w:after="0" w:line="19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010000"/>
        </w:rPr>
        <w:t>SECTION 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010000"/>
        </w:rPr>
        <w:t>SECTION 5.</w:t>
      </w:r>
      <w:r>
        <w:rPr>
          <w:sz w:val="20"/>
          <w:szCs w:val="20"/>
          <w:color w:val="auto"/>
        </w:rPr>
        <w:tab/>
      </w:r>
      <w:r>
        <w:rPr>
          <w:rFonts w:ascii="Times New Roman" w:cs="Times New Roman" w:eastAsia="Times New Roman" w:hAnsi="Times New Roman"/>
          <w:sz w:val="19"/>
          <w:szCs w:val="19"/>
          <w:u w:val="single" w:color="auto"/>
          <w:color w:val="auto"/>
        </w:rPr>
        <w:t>Effects on Loan Documents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7" w:lineRule="auto"/>
        <w:tabs>
          <w:tab w:leader="none" w:pos="184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Amendment No. 6 Effective Date, each reference in the Amended Credit Agreement to “this Agreement,” “hereunder,” “hereof” or words of like import shall, unless expressly provided otherwise, mean and be a reference to the Amended Credit Agreement and each reference in each other Loan Document to the Credit Agreement (including by means of words like “thereunder,” “thereof” and words of like import) shall, unless expressly provided otherwise, mean and be a reference to the Amended Credit Agreement.</w:t>
      </w:r>
    </w:p>
    <w:p>
      <w:pPr>
        <w:spacing w:after="0" w:line="172"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6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each and every term, condition, obligation, covenant and agreement contained in the Credit Agreement or any other provision of either such agreement or any other Loan Document is hereby ratified and re-affirmed in all respects and shall continue in full force and effect and each Loan Party reaffirms its obligations under each of the Loan Documents to which it is party (including, for the avoidance of doubt, the Guaranty Agreement), and confirms that all obligations of such Loan Party under the Loan Documents to which such Loan Party is a party shall continue to apply to the Amended Credit Agreement.</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72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amended hereby, all Loan Documents shall continue to be in full force and effect and are hereby in all respects ratified and confirmed.</w:t>
      </w:r>
    </w:p>
    <w:p>
      <w:pPr>
        <w:spacing w:after="0" w:line="14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2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Amendment shall not operate as a waiver of any right, power or remedy of any Lender, the Administrative Agent or any other Secured Party under any of the Loan Documents, nor constitute a waiver of any provision of the Loan Documents or in any way limit, impair or otherwise affect the rights and remedies of the Administrative Agent, the Lenders or any of the other Secured Parties under the Loan Documents.</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74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parties hereto hereby acknowledge and agree that, from and after the Amendment No. 6 Effective Date, this Amendment shall constitute a Loan Document for all purposes of the Amended Credit Agreement.</w:t>
      </w:r>
    </w:p>
    <w:p>
      <w:pPr>
        <w:spacing w:after="0" w:line="17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010000"/>
        </w:rPr>
        <w:t>SECTION 6.</w:t>
      </w:r>
      <w:r>
        <w:rPr>
          <w:sz w:val="20"/>
          <w:szCs w:val="20"/>
          <w:color w:val="auto"/>
        </w:rPr>
        <w:tab/>
      </w: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820" w:hanging="516"/>
        <w:spacing w:after="0"/>
        <w:tabs>
          <w:tab w:leader="none" w:pos="18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binding and enforceable as of the date hereof against each party hereto and its successors and</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assigns.</w:t>
      </w:r>
    </w:p>
    <w:p>
      <w:pPr>
        <w:spacing w:after="0" w:line="213"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6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be executed in one or more counterparts, each of which shall be deemed an original, but all of which together shall constitute one and the same instrument. Delivery of an executed signature page of this Amendment by facsimile or other electronic mail transmission shall be effective as delivery of a manually executed counterpart hereof. A set of the copies of this Amendment signed by all the parties shall be lodged with the Administrative Agent. Each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20"/>
          <w:szCs w:val="20"/>
          <w:color w:val="auto"/>
        </w:rPr>
        <w:t>hereto agrees that the words “execution,” “signed,” “signature,” “delivery,” and words of like import in or relating to this Amendment shall be deemed to include electronic signatures or the keeping of electronic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jc w:val="both"/>
        <w:ind w:firstLine="1304"/>
        <w:spacing w:after="0" w:line="253" w:lineRule="auto"/>
        <w:tabs>
          <w:tab w:leader="none" w:pos="185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of this Amendment is held to be illegal, invalid or unenforceable, (x) the legality, validity and enforceability of the remaining provisions of this Amendment shall not be affected or impaired thereby and (y)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91" w:lineRule="exact"/>
        <w:rPr>
          <w:rFonts w:ascii="Times New Roman" w:cs="Times New Roman" w:eastAsia="Times New Roman" w:hAnsi="Times New Roman"/>
          <w:sz w:val="20"/>
          <w:szCs w:val="20"/>
          <w:color w:val="auto"/>
        </w:rPr>
      </w:pPr>
    </w:p>
    <w:p>
      <w:pPr>
        <w:ind w:firstLine="1304"/>
        <w:spacing w:after="0" w:line="283" w:lineRule="auto"/>
        <w:tabs>
          <w:tab w:leader="none" w:pos="179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parties hereto hereby agrees that Sections 10.14 and 10.15 of the Credit Agreement are incorporated by reference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and shall have the same force and effect with respect to this Amendment as if originally set forth herein.</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73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are included herein for convenience of reference only and shall not constitute a part hereof for any other purpose or be given any substantive effect.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7" w:name="page8"/>
    <w:bookmarkEnd w:id="7"/>
    <w:p>
      <w:pPr>
        <w:ind w:firstLine="1296"/>
        <w:spacing w:after="0" w:line="297"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by their respective proper and duly authorized officers as of the day and year first above written.</w:t>
      </w:r>
    </w:p>
    <w:p>
      <w:pPr>
        <w:spacing w:after="0" w:line="3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NN, INC.</w:t>
      </w:r>
      <w:r>
        <w:rPr>
          <w:rFonts w:ascii="Times New Roman" w:cs="Times New Roman" w:eastAsia="Times New Roman" w:hAnsi="Times New Roman"/>
          <w:sz w:val="20"/>
          <w:szCs w:val="20"/>
          <w:color w:val="auto"/>
        </w:rPr>
        <w:t>, as the Borrower</w:t>
      </w:r>
    </w:p>
    <w:p>
      <w:pPr>
        <w:spacing w:after="0" w:line="200" w:lineRule="exact"/>
        <w:rPr>
          <w:sz w:val="20"/>
          <w:szCs w:val="20"/>
          <w:color w:val="auto"/>
        </w:rPr>
      </w:pPr>
    </w:p>
    <w:p>
      <w:pPr>
        <w:spacing w:after="0" w:line="330" w:lineRule="exact"/>
        <w:rPr>
          <w:sz w:val="20"/>
          <w:szCs w:val="20"/>
          <w:color w:val="auto"/>
        </w:rPr>
      </w:pPr>
    </w:p>
    <w:tbl>
      <w:tblPr>
        <w:tblLayout w:type="fixed"/>
        <w:tblInd w:w="3920" w:type="dxa"/>
        <w:tblCellMar>
          <w:top w:w="0" w:type="dxa"/>
          <w:left w:w="0" w:type="dxa"/>
          <w:bottom w:w="0" w:type="dxa"/>
          <w:right w:w="0" w:type="dxa"/>
        </w:tblCellMar>
      </w:tblPr>
      <w:tr>
        <w:trPr>
          <w:trHeight w:val="259"/>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Christopher Bohnert</w:t>
            </w:r>
          </w:p>
        </w:tc>
        <w:tc>
          <w:tcPr>
            <w:tcW w:w="0" w:type="dxa"/>
            <w:vAlign w:val="bottom"/>
          </w:tcPr>
          <w:p>
            <w:pPr>
              <w:spacing w:after="0"/>
              <w:rPr>
                <w:sz w:val="1"/>
                <w:szCs w:val="1"/>
                <w:color w:val="auto"/>
              </w:rPr>
            </w:pP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Christopher Bohnert</w:t>
            </w:r>
          </w:p>
        </w:tc>
        <w:tc>
          <w:tcPr>
            <w:tcW w:w="0" w:type="dxa"/>
            <w:vAlign w:val="bottom"/>
          </w:tcPr>
          <w:p>
            <w:pPr>
              <w:spacing w:after="0"/>
              <w:rPr>
                <w:sz w:val="1"/>
                <w:szCs w:val="1"/>
                <w:color w:val="auto"/>
              </w:rPr>
            </w:pPr>
          </w:p>
        </w:tc>
      </w:tr>
      <w:tr>
        <w:trPr>
          <w:trHeight w:val="218"/>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800" w:type="dxa"/>
            <w:vAlign w:val="bottom"/>
          </w:tcPr>
          <w:p>
            <w:pPr>
              <w:ind w:left="20"/>
              <w:spacing w:after="0" w:line="218" w:lineRule="exact"/>
              <w:rPr>
                <w:sz w:val="20"/>
                <w:szCs w:val="20"/>
                <w:color w:val="auto"/>
              </w:rPr>
            </w:pPr>
            <w:r>
              <w:rPr>
                <w:rFonts w:ascii="Times New Roman" w:cs="Times New Roman" w:eastAsia="Times New Roman" w:hAnsi="Times New Roman"/>
                <w:sz w:val="20"/>
                <w:szCs w:val="20"/>
                <w:color w:val="auto"/>
              </w:rPr>
              <w:t>Senior Vice President and Chief Financial</w:t>
            </w:r>
          </w:p>
        </w:tc>
        <w:tc>
          <w:tcPr>
            <w:tcW w:w="0" w:type="dxa"/>
            <w:vAlign w:val="bottom"/>
          </w:tcPr>
          <w:p>
            <w:pPr>
              <w:spacing w:after="0"/>
              <w:rPr>
                <w:sz w:val="1"/>
                <w:szCs w:val="1"/>
                <w:color w:val="auto"/>
              </w:rPr>
            </w:pPr>
          </w:p>
        </w:tc>
      </w:tr>
      <w:tr>
        <w:trPr>
          <w:trHeight w:val="258"/>
        </w:trPr>
        <w:tc>
          <w:tcPr>
            <w:tcW w:w="720" w:type="dxa"/>
            <w:vAlign w:val="bottom"/>
            <w:vMerge w:val="continue"/>
          </w:tcPr>
          <w:p>
            <w:pPr>
              <w:spacing w:after="0"/>
              <w:rPr>
                <w:sz w:val="22"/>
                <w:szCs w:val="22"/>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Amendment No. 6 to Term Loan Credit Agreement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26" w:right="339" w:bottom="1440" w:gutter="0" w:footer="0" w:header="0"/>
        </w:sectPr>
      </w:pPr>
    </w:p>
    <w:bookmarkStart w:id="8" w:name="page9"/>
    <w:bookmarkEnd w:id="8"/>
    <w:p>
      <w:pPr>
        <w:ind w:left="2780"/>
        <w:spacing w:after="0"/>
        <w:rPr>
          <w:sz w:val="20"/>
          <w:szCs w:val="20"/>
          <w:color w:val="auto"/>
        </w:rPr>
      </w:pPr>
      <w:r>
        <w:rPr>
          <w:rFonts w:ascii="Times New Roman" w:cs="Times New Roman" w:eastAsia="Times New Roman" w:hAnsi="Times New Roman"/>
          <w:sz w:val="20"/>
          <w:szCs w:val="20"/>
          <w:color w:val="auto"/>
        </w:rPr>
        <w:t>The following other Loan Parties:</w:t>
      </w:r>
    </w:p>
    <w:p>
      <w:pPr>
        <w:spacing w:after="0" w:line="2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Whirlaway Corporation</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PNC Acquisition Company,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PMC USA Acquisition Company,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PMC Acquisition Company, Inc.</w:t>
      </w:r>
    </w:p>
    <w:p>
      <w:pPr>
        <w:spacing w:after="0" w:line="6" w:lineRule="exact"/>
        <w:rPr>
          <w:sz w:val="20"/>
          <w:szCs w:val="20"/>
          <w:color w:val="auto"/>
        </w:rPr>
      </w:pPr>
    </w:p>
    <w:p>
      <w:pPr>
        <w:ind w:left="2780" w:right="3179" w:hanging="4"/>
        <w:spacing w:after="0" w:line="249" w:lineRule="auto"/>
        <w:tabs>
          <w:tab w:leader="none" w:pos="3115"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Precision Plastics, Inc. Caprock Manufacturing, Inc. Caprock Enclosures, LLC Brainin-Advance Industries LLC Wauconda Tool &amp; Engineering LLC General Metal Finishing LLC Advanced Precision Products, Inc. HowesTemco, LLC</w:t>
      </w:r>
    </w:p>
    <w:p>
      <w:pPr>
        <w:spacing w:after="0" w:line="233" w:lineRule="exact"/>
        <w:rPr>
          <w:rFonts w:ascii="Times New Roman" w:cs="Times New Roman" w:eastAsia="Times New Roman" w:hAnsi="Times New Roman"/>
          <w:sz w:val="20"/>
          <w:szCs w:val="20"/>
          <w:b w:val="1"/>
          <w:bCs w:val="1"/>
          <w:color w:val="auto"/>
        </w:rPr>
      </w:pPr>
    </w:p>
    <w:p>
      <w:pPr>
        <w:ind w:left="2780" w:right="4379"/>
        <w:spacing w:after="0" w:line="24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Premco, Inc. Profiles, Incorporated Holmed, LLC</w:t>
      </w:r>
    </w:p>
    <w:p>
      <w:pPr>
        <w:spacing w:after="0" w:line="2" w:lineRule="exact"/>
        <w:rPr>
          <w:rFonts w:ascii="Times New Roman" w:cs="Times New Roman" w:eastAsia="Times New Roman" w:hAnsi="Times New Roman"/>
          <w:sz w:val="20"/>
          <w:szCs w:val="20"/>
          <w:b w:val="1"/>
          <w:bCs w:val="1"/>
          <w:color w:val="auto"/>
        </w:rPr>
      </w:pPr>
    </w:p>
    <w:p>
      <w:pPr>
        <w:ind w:left="2780" w:right="2839"/>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Southern California Technical Arts, Inc. Autocam Corporation Autocam-Pax, Inc.</w:t>
      </w:r>
    </w:p>
    <w:p>
      <w:pPr>
        <w:spacing w:after="0" w:line="1" w:lineRule="exact"/>
        <w:rPr>
          <w:rFonts w:ascii="Times New Roman" w:cs="Times New Roman" w:eastAsia="Times New Roman" w:hAnsi="Times New Roman"/>
          <w:sz w:val="20"/>
          <w:szCs w:val="20"/>
          <w:b w:val="1"/>
          <w:bCs w:val="1"/>
          <w:color w:val="auto"/>
        </w:rPr>
      </w:pPr>
    </w:p>
    <w:p>
      <w:pPr>
        <w:ind w:left="27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Polymetallurgical LLC</w:t>
      </w:r>
    </w:p>
    <w:p>
      <w:pPr>
        <w:spacing w:after="0" w:line="6" w:lineRule="exact"/>
        <w:rPr>
          <w:rFonts w:ascii="Times New Roman" w:cs="Times New Roman" w:eastAsia="Times New Roman" w:hAnsi="Times New Roman"/>
          <w:sz w:val="20"/>
          <w:szCs w:val="20"/>
          <w:b w:val="1"/>
          <w:bCs w:val="1"/>
          <w:color w:val="auto"/>
        </w:rPr>
      </w:pPr>
    </w:p>
    <w:p>
      <w:pPr>
        <w:ind w:left="2780" w:right="3219"/>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NN Power Solutions Holdings, LLC NN Power Solutions, LLC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2800" w:type="dxa"/>
        <w:tblCellMar>
          <w:top w:w="0" w:type="dxa"/>
          <w:left w:w="0" w:type="dxa"/>
          <w:bottom w:w="0" w:type="dxa"/>
          <w:right w:w="0" w:type="dxa"/>
        </w:tblCellMar>
      </w:tblPr>
      <w:tr>
        <w:trPr>
          <w:trHeight w:val="259"/>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Christopher Bohnert</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Christopher Bohnert</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6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13" w:right="1440" w:bottom="1440" w:gutter="0" w:footer="0" w:header="0"/>
        </w:sectPr>
      </w:pPr>
    </w:p>
    <w:bookmarkStart w:id="9" w:name="page10"/>
    <w:bookmarkEnd w:id="9"/>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OAKTREE FUND ADMINISTRATION, LLC,</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the Administrative Agent</w:t>
      </w:r>
    </w:p>
    <w:p>
      <w:pPr>
        <w:spacing w:after="0" w:line="200" w:lineRule="exact"/>
        <w:rPr>
          <w:sz w:val="20"/>
          <w:szCs w:val="20"/>
          <w:color w:val="auto"/>
        </w:rPr>
      </w:pPr>
    </w:p>
    <w:p>
      <w:pPr>
        <w:spacing w:after="0" w:line="365"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517"/>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4"/>
        </w:trPr>
        <w:tc>
          <w:tcPr>
            <w:tcW w:w="66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Name: Mary Gallegly</w:t>
            </w:r>
          </w:p>
        </w:tc>
      </w:tr>
      <w:tr>
        <w:trPr>
          <w:trHeight w:val="258"/>
        </w:trPr>
        <w:tc>
          <w:tcPr>
            <w:tcW w:w="660" w:type="dxa"/>
            <w:vAlign w:val="bottom"/>
          </w:tcPr>
          <w:p>
            <w:pPr>
              <w:spacing w:after="0"/>
              <w:rPr>
                <w:sz w:val="22"/>
                <w:szCs w:val="22"/>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Title: Managing Director</w:t>
            </w:r>
          </w:p>
        </w:tc>
      </w:tr>
      <w:tr>
        <w:trPr>
          <w:trHeight w:val="53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4"/>
        </w:trPr>
        <w:tc>
          <w:tcPr>
            <w:tcW w:w="66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Name: Jessica Dombroff</w:t>
            </w:r>
          </w:p>
        </w:tc>
      </w:tr>
      <w:tr>
        <w:trPr>
          <w:trHeight w:val="258"/>
        </w:trPr>
        <w:tc>
          <w:tcPr>
            <w:tcW w:w="660" w:type="dxa"/>
            <w:vAlign w:val="bottom"/>
          </w:tcPr>
          <w:p>
            <w:pPr>
              <w:spacing w:after="0"/>
              <w:rPr>
                <w:sz w:val="22"/>
                <w:szCs w:val="22"/>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6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bookmarkStart w:id="10" w:name="page11"/>
    <w:bookmarkEnd w:id="10"/>
    <w:p>
      <w:pPr>
        <w:ind w:left="2780"/>
        <w:spacing w:after="0"/>
        <w:rPr>
          <w:sz w:val="20"/>
          <w:szCs w:val="20"/>
          <w:color w:val="auto"/>
        </w:rPr>
      </w:pPr>
      <w:r>
        <w:rPr>
          <w:rFonts w:ascii="Times New Roman" w:cs="Times New Roman" w:eastAsia="Times New Roman" w:hAnsi="Times New Roman"/>
          <w:sz w:val="19"/>
          <w:szCs w:val="19"/>
          <w:b w:val="1"/>
          <w:bCs w:val="1"/>
          <w:color w:val="auto"/>
        </w:rPr>
        <w:t>OAKTREE GILEAD INVESTMENT FUND AIF (DELAWARE), L.P.</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AIF Series, L.P. – Series T</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GP AIF, LLC</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GP III,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77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6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sectPr>
      </w:pPr>
    </w:p>
    <w:bookmarkStart w:id="11" w:name="page12"/>
    <w:bookmarkEnd w:id="11"/>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OAKTREE GCP FUND DELAWARE HOLDINGS, L.P.</w:t>
      </w:r>
    </w:p>
    <w:p>
      <w:pPr>
        <w:spacing w:after="0" w:line="294" w:lineRule="exact"/>
        <w:rPr>
          <w:sz w:val="20"/>
          <w:szCs w:val="20"/>
          <w:color w:val="auto"/>
        </w:rPr>
      </w:pPr>
    </w:p>
    <w:tbl>
      <w:tblPr>
        <w:tblLayout w:type="fixed"/>
        <w:tblInd w:w="2800" w:type="dxa"/>
        <w:tblCellMar>
          <w:top w:w="0" w:type="dxa"/>
          <w:left w:w="0" w:type="dxa"/>
          <w:bottom w:w="0" w:type="dxa"/>
          <w:right w:w="0" w:type="dxa"/>
        </w:tblCellMar>
      </w:tblPr>
      <w:tr>
        <w:trPr>
          <w:trHeight w:val="256"/>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Global Credit Plus Fund GP,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Global Credit Plus Fund GP Ltd.</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77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6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bookmarkStart w:id="12" w:name="page13"/>
    <w:bookmarkEnd w:id="12"/>
    <w:p>
      <w:pPr>
        <w:ind w:left="2780"/>
        <w:spacing w:after="0" w:line="287" w:lineRule="auto"/>
        <w:rPr>
          <w:sz w:val="20"/>
          <w:szCs w:val="20"/>
          <w:color w:val="auto"/>
        </w:rPr>
      </w:pPr>
      <w:r>
        <w:rPr>
          <w:rFonts w:ascii="Times New Roman" w:cs="Times New Roman" w:eastAsia="Times New Roman" w:hAnsi="Times New Roman"/>
          <w:sz w:val="20"/>
          <w:szCs w:val="20"/>
          <w:b w:val="1"/>
          <w:bCs w:val="1"/>
          <w:color w:val="auto"/>
        </w:rPr>
        <w:t>OAKTREE HUNTINGTON-GCF INVESTMENT FUND (DIRECT LENDING AIF), L.P.</w:t>
      </w:r>
    </w:p>
    <w:p>
      <w:pPr>
        <w:spacing w:after="0" w:line="210"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Huntington-GCF Investment Fund</w:t>
            </w:r>
          </w:p>
        </w:tc>
      </w:tr>
      <w:tr>
        <w:trPr>
          <w:trHeight w:val="257"/>
        </w:trPr>
        <w:tc>
          <w:tcPr>
            <w:tcW w:w="4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 Lending AIF) GP,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Huntington-GCF Investment Fund</w:t>
            </w:r>
          </w:p>
        </w:tc>
      </w:tr>
      <w:tr>
        <w:trPr>
          <w:trHeight w:val="257"/>
        </w:trPr>
        <w:tc>
          <w:tcPr>
            <w:tcW w:w="4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 Lending AIF) GP, LLC</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GP III,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77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r>
        <w:trPr>
          <w:trHeight w:val="52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Amendment No. 6 to Term Loan Credit Agreement</w:t>
      </w:r>
      <w:r>
        <w:rPr>
          <w:rFonts w:ascii="Times New Roman" w:cs="Times New Roman" w:eastAsia="Times New Roman" w:hAnsi="Times New Roman"/>
          <w:sz w:val="20"/>
          <w:szCs w:val="20"/>
          <w:color w:val="auto"/>
        </w:rPr>
        <w:t>]</w:t>
      </w:r>
    </w:p>
    <w:p>
      <w:pPr>
        <w:sectPr>
          <w:pgSz w:w="11900" w:h="16838" w:orient="portrait"/>
          <w:cols w:equalWidth="0" w:num="1">
            <w:col w:w="10020"/>
          </w:cols>
          <w:pgMar w:left="1440" w:top="1409" w:right="439" w:bottom="1440" w:gutter="0" w:footer="0" w:header="0"/>
        </w:sectPr>
      </w:pPr>
    </w:p>
    <w:bookmarkStart w:id="13" w:name="page14"/>
    <w:bookmarkEnd w:id="13"/>
    <w:p>
      <w:pPr>
        <w:spacing w:after="0" w:line="3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OSI 2 SENIOR LENDING SPV, LLC</w:t>
      </w:r>
    </w:p>
    <w:p>
      <w:pPr>
        <w:spacing w:after="0" w:line="301"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Specialty Lending Corporation</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525"/>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Advisors, LLC</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6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bookmarkStart w:id="14" w:name="page15"/>
    <w:bookmarkEnd w:id="14"/>
    <w:p>
      <w:pPr>
        <w:ind w:left="2780"/>
        <w:spacing w:after="0"/>
        <w:rPr>
          <w:sz w:val="20"/>
          <w:szCs w:val="20"/>
          <w:color w:val="auto"/>
        </w:rPr>
      </w:pPr>
      <w:r>
        <w:rPr>
          <w:rFonts w:ascii="Times New Roman" w:cs="Times New Roman" w:eastAsia="Times New Roman" w:hAnsi="Times New Roman"/>
          <w:sz w:val="19"/>
          <w:szCs w:val="19"/>
          <w:b w:val="1"/>
          <w:bCs w:val="1"/>
          <w:color w:val="auto"/>
        </w:rPr>
        <w:t>EXELON STRATEGIC CREDIT HOLDINGS, LLC</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51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OAKTREE-NGP STRATEGIC CREDIT, LLC</w:t>
      </w:r>
    </w:p>
    <w:p>
      <w:pPr>
        <w:spacing w:after="0" w:line="301"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3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OAKTREE-FORREST MULTI-STRATEGY, LLC</w:t>
      </w:r>
    </w:p>
    <w:p>
      <w:pPr>
        <w:spacing w:after="0" w:line="287" w:lineRule="exact"/>
        <w:rPr>
          <w:sz w:val="20"/>
          <w:szCs w:val="20"/>
          <w:color w:val="auto"/>
        </w:rPr>
      </w:pPr>
    </w:p>
    <w:tbl>
      <w:tblPr>
        <w:tblLayout w:type="fixed"/>
        <w:tblInd w:w="2800" w:type="dxa"/>
        <w:tblCellMar>
          <w:top w:w="0" w:type="dxa"/>
          <w:left w:w="0" w:type="dxa"/>
          <w:bottom w:w="0" w:type="dxa"/>
          <w:right w:w="0" w:type="dxa"/>
        </w:tblCellMar>
      </w:tblPr>
      <w:tr>
        <w:trPr>
          <w:trHeight w:val="256"/>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6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type w:val="continuous"/>
        </w:sectPr>
      </w:pPr>
    </w:p>
    <w:bookmarkStart w:id="15" w:name="page16"/>
    <w:bookmarkEnd w:id="15"/>
    <w:p>
      <w:pPr>
        <w:ind w:left="2780"/>
        <w:spacing w:after="0"/>
        <w:rPr>
          <w:sz w:val="20"/>
          <w:szCs w:val="20"/>
          <w:color w:val="auto"/>
        </w:rPr>
      </w:pPr>
      <w:r>
        <w:rPr>
          <w:rFonts w:ascii="Times New Roman" w:cs="Times New Roman" w:eastAsia="Times New Roman" w:hAnsi="Times New Roman"/>
          <w:sz w:val="19"/>
          <w:szCs w:val="19"/>
          <w:b w:val="1"/>
          <w:bCs w:val="1"/>
          <w:color w:val="auto"/>
        </w:rPr>
        <w:t>OAKTREE-TBMR STRATEGIC CREDIT FUND C, LLC</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OAKTREE-TBMR STRATEGIC CREDIT FUND F, LLC</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3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OAKTREE-TBMR STRATEGIC CREDIT FUND G, LLC</w:t>
      </w:r>
    </w:p>
    <w:p>
      <w:pPr>
        <w:spacing w:after="0" w:line="299"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6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type w:val="continuous"/>
        </w:sectPr>
      </w:pPr>
    </w:p>
    <w:bookmarkStart w:id="16" w:name="page17"/>
    <w:bookmarkEnd w:id="16"/>
    <w:p>
      <w:pPr>
        <w:ind w:left="2780"/>
        <w:spacing w:after="0"/>
        <w:rPr>
          <w:sz w:val="20"/>
          <w:szCs w:val="20"/>
          <w:color w:val="auto"/>
        </w:rPr>
      </w:pPr>
      <w:r>
        <w:rPr>
          <w:rFonts w:ascii="Times New Roman" w:cs="Times New Roman" w:eastAsia="Times New Roman" w:hAnsi="Times New Roman"/>
          <w:sz w:val="20"/>
          <w:szCs w:val="20"/>
          <w:b w:val="1"/>
          <w:bCs w:val="1"/>
          <w:color w:val="auto"/>
        </w:rPr>
        <w:t>OAKTREE-MINN STRATEGIC CREDIT, LLC</w:t>
      </w:r>
    </w:p>
    <w:p>
      <w:pPr>
        <w:spacing w:after="0" w:line="301"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34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INPRS STRATEGIC CREDIT HOLDINGS, LLC</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3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OAKTREE-TCDRS STRATEGIC CREDIT, LLC</w:t>
      </w:r>
    </w:p>
    <w:p>
      <w:pPr>
        <w:spacing w:after="0" w:line="299"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6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type w:val="continuous"/>
        </w:sectPr>
      </w:pPr>
    </w:p>
    <w:bookmarkStart w:id="17" w:name="page18"/>
    <w:bookmarkEnd w:id="17"/>
    <w:p>
      <w:pPr>
        <w:ind w:left="2780"/>
        <w:spacing w:after="0"/>
        <w:rPr>
          <w:sz w:val="20"/>
          <w:szCs w:val="20"/>
          <w:color w:val="auto"/>
        </w:rPr>
      </w:pPr>
      <w:r>
        <w:rPr>
          <w:rFonts w:ascii="Times New Roman" w:cs="Times New Roman" w:eastAsia="Times New Roman" w:hAnsi="Times New Roman"/>
          <w:sz w:val="20"/>
          <w:szCs w:val="20"/>
          <w:b w:val="1"/>
          <w:bCs w:val="1"/>
          <w:color w:val="auto"/>
        </w:rPr>
        <w:t>OAKTREE-TSE 16 STRATEGIC CREDIT, LLC</w:t>
      </w:r>
    </w:p>
    <w:p>
      <w:pPr>
        <w:spacing w:after="0" w:line="301"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Capital Management, L.P.</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6 to Term Loan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sectPr>
      </w:pPr>
    </w:p>
    <w:bookmarkStart w:id="18" w:name="page19"/>
    <w:bookmarkEnd w:id="18"/>
    <w:p>
      <w:pPr>
        <w:ind w:left="2780"/>
        <w:spacing w:after="0"/>
        <w:rPr>
          <w:sz w:val="20"/>
          <w:szCs w:val="20"/>
          <w:color w:val="auto"/>
        </w:rPr>
      </w:pPr>
      <w:r>
        <w:rPr>
          <w:rFonts w:ascii="Times New Roman" w:cs="Times New Roman" w:eastAsia="Times New Roman" w:hAnsi="Times New Roman"/>
          <w:sz w:val="19"/>
          <w:szCs w:val="19"/>
          <w:b w:val="1"/>
          <w:bCs w:val="1"/>
          <w:color w:val="auto"/>
        </w:rPr>
        <w:t>OAKTREE SPECIALTY LENDING CORPORATION</w:t>
      </w:r>
    </w:p>
    <w:p>
      <w:pPr>
        <w:spacing w:after="0" w:line="312" w:lineRule="exact"/>
        <w:rPr>
          <w:sz w:val="20"/>
          <w:szCs w:val="20"/>
          <w:color w:val="auto"/>
        </w:rPr>
      </w:pPr>
    </w:p>
    <w:tbl>
      <w:tblPr>
        <w:tblLayout w:type="fixed"/>
        <w:tblInd w:w="280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Oaktree Fund Advisors, LLC</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Advisor</w:t>
            </w:r>
          </w:p>
        </w:tc>
      </w:tr>
      <w:tr>
        <w:trPr>
          <w:trHeight w:val="78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Mary Gallegly</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Mary Gallegly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52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Jessica Dombroff</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Jessica Dombroff</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Amendment No. 6 to Term Loan Credit Agreement</w:t>
      </w:r>
      <w:r>
        <w:rPr>
          <w:rFonts w:ascii="Times New Roman" w:cs="Times New Roman" w:eastAsia="Times New Roman" w:hAnsi="Times New Roman"/>
          <w:sz w:val="19"/>
          <w:szCs w:val="19"/>
          <w:color w:val="auto"/>
        </w:rPr>
        <w:t>]</w:t>
      </w:r>
    </w:p>
    <w:sectPr>
      <w:pgSz w:w="11900" w:h="16838" w:orient="portrait"/>
      <w:cols w:equalWidth="0" w:num="1">
        <w:col w:w="9019"/>
      </w:cols>
      <w:pgMar w:left="1440" w:top="1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2025-04-02T15:49:40Z</dcterms:created>
  <dcterms:modified xsi:type="dcterms:W3CDTF">2025-04-02T15:49:40Z</dcterms:modified>
</cp:coreProperties>
</file>