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160020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600"/>
        <w:spacing w:after="0"/>
        <w:rPr>
          <w:sz w:val="20"/>
          <w:szCs w:val="20"/>
          <w:color w:val="auto"/>
        </w:rPr>
      </w:pPr>
      <w:r>
        <w:rPr>
          <w:rFonts w:ascii="Arial" w:cs="Arial" w:eastAsia="Arial" w:hAnsi="Arial"/>
          <w:sz w:val="16"/>
          <w:szCs w:val="16"/>
          <w:i w:val="1"/>
          <w:iCs w:val="1"/>
          <w:color w:val="auto"/>
        </w:rPr>
        <w:t>(I.R.S. Employer</w:t>
      </w:r>
    </w:p>
    <w:p>
      <w:pPr>
        <w:jc w:val="center"/>
        <w:ind w:right="16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3080"/>
          </w:cols>
          <w:pgMar w:left="320" w:top="1295" w:right="339" w:bottom="1440" w:gutter="0" w:footer="0" w:header="0"/>
          <w:type w:val="continuous"/>
        </w:sectPr>
      </w:pPr>
    </w:p>
    <w:p>
      <w:pPr>
        <w:spacing w:after="0" w:line="231" w:lineRule="exact"/>
        <w:rPr>
          <w:sz w:val="24"/>
          <w:szCs w:val="24"/>
          <w:color w:val="auto"/>
        </w:rPr>
      </w:pPr>
    </w:p>
    <w:p>
      <w:pPr>
        <w:jc w:val="center"/>
        <w:ind w:left="440"/>
        <w:spacing w:after="0"/>
        <w:rPr>
          <w:sz w:val="20"/>
          <w:szCs w:val="20"/>
          <w:color w:val="auto"/>
        </w:rPr>
      </w:pPr>
      <w:r>
        <w:rPr>
          <w:rFonts w:ascii="Arial" w:cs="Arial" w:eastAsia="Arial" w:hAnsi="Arial"/>
          <w:sz w:val="14"/>
          <w:szCs w:val="14"/>
          <w:b w:val="1"/>
          <w:bCs w:val="1"/>
          <w:color w:val="auto"/>
        </w:rPr>
        <w:t>6210 Ardrey Kell Road, Suite 600</w:t>
      </w:r>
    </w:p>
    <w:p>
      <w:pPr>
        <w:spacing w:after="0" w:line="109" w:lineRule="exact"/>
        <w:rPr>
          <w:sz w:val="24"/>
          <w:szCs w:val="24"/>
          <w:color w:val="auto"/>
        </w:rPr>
      </w:pPr>
    </w:p>
    <w:p>
      <w:pPr>
        <w:jc w:val="center"/>
        <w:ind w:left="44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780"/>
        <w:spacing w:after="0"/>
        <w:rPr>
          <w:sz w:val="20"/>
          <w:szCs w:val="20"/>
          <w:color w:val="auto"/>
        </w:rPr>
      </w:pPr>
      <w:r>
        <w:rPr>
          <w:rFonts w:ascii="Arial" w:cs="Arial" w:eastAsia="Arial" w:hAnsi="Arial"/>
          <w:sz w:val="15"/>
          <w:szCs w:val="15"/>
          <w:b w:val="1"/>
          <w:bCs w:val="1"/>
          <w:color w:val="auto"/>
        </w:rPr>
        <w:t>28277</w:t>
      </w:r>
    </w:p>
    <w:p>
      <w:pPr>
        <w:spacing w:after="0" w:line="101" w:lineRule="exact"/>
        <w:rPr>
          <w:sz w:val="24"/>
          <w:szCs w:val="24"/>
          <w:color w:val="auto"/>
        </w:rPr>
      </w:pPr>
    </w:p>
    <w:p>
      <w:pPr>
        <w:sectPr>
          <w:pgSz w:w="11900" w:h="16838" w:orient="portrait"/>
          <w:cols w:equalWidth="0" w:num="2">
            <w:col w:w="7320" w:space="720"/>
            <w:col w:w="3200"/>
          </w:cols>
          <w:pgMar w:left="320" w:top="1295" w:right="339" w:bottom="1440" w:gutter="0" w:footer="0" w:header="0"/>
          <w:type w:val="continuous"/>
        </w:sectPr>
      </w:pPr>
    </w:p>
    <w:p>
      <w:pPr>
        <w:jc w:val="center"/>
        <w:ind w:left="6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7180" w:space="720"/>
            <w:col w:w="3340"/>
          </w:cols>
          <w:pgMar w:left="320" w:top="1295"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240"/>
          </w:cols>
          <w:pgMar w:left="320" w:top="1295" w:right="3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32385</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8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95" w:right="339" w:bottom="1440" w:gutter="0" w:footer="0" w:header="0"/>
          <w:type w:val="continuous"/>
        </w:sectPr>
      </w:pPr>
    </w:p>
    <w:p>
      <w:pPr>
        <w:spacing w:after="0" w:line="32" w:lineRule="exact"/>
        <w:rPr>
          <w:sz w:val="24"/>
          <w:szCs w:val="24"/>
          <w:color w:val="auto"/>
        </w:rPr>
      </w:pPr>
    </w:p>
    <w:p>
      <w:pPr>
        <w:ind w:left="1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7" w:lineRule="exact"/>
        <w:rPr>
          <w:sz w:val="24"/>
          <w:szCs w:val="24"/>
          <w:color w:val="auto"/>
        </w:rPr>
      </w:pPr>
    </w:p>
    <w:p>
      <w:pPr>
        <w:sectPr>
          <w:pgSz w:w="11900" w:h="16838" w:orient="portrait"/>
          <w:cols w:equalWidth="0" w:num="3">
            <w:col w:w="4440" w:space="720"/>
            <w:col w:w="1940" w:space="720"/>
            <w:col w:w="3420"/>
          </w:cols>
          <w:pgMar w:left="320" w:top="1295"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2" w:lineRule="exact"/>
        <w:rPr>
          <w:sz w:val="24"/>
          <w:szCs w:val="24"/>
          <w:color w:val="auto"/>
        </w:rPr>
      </w:pPr>
    </w:p>
    <w:p>
      <w:pPr>
        <w:sectPr>
          <w:pgSz w:w="11900" w:h="16838" w:orient="portrait"/>
          <w:cols w:equalWidth="0" w:num="3">
            <w:col w:w="4680" w:space="720"/>
            <w:col w:w="2000" w:space="720"/>
            <w:col w:w="3120"/>
          </w:cols>
          <w:pgMar w:left="320" w:top="1295" w:right="33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August 5, 2021, NN, Inc. (the “Company”) issued a press release announcing the Company’s financial results for the quarter ended June 30, 2021. The full text of the press release is furnished as Exhibit 99.1 and is incorporated herein by reference.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5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08"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9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No.</w:t>
            </w:r>
          </w:p>
        </w:tc>
        <w:tc>
          <w:tcPr>
            <w:tcW w:w="12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9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issued by NN, Inc., dated July 30, 2021</w:t>
              </w:r>
            </w:hyperlink>
          </w:p>
        </w:tc>
        <w:tc>
          <w:tcPr>
            <w:tcW w:w="5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00"/>
        </w:trPr>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97"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4360" w:type="dxa"/>
            <w:vAlign w:val="bottom"/>
          </w:tcPr>
          <w:p>
            <w:pPr>
              <w:spacing w:after="0"/>
              <w:rPr>
                <w:sz w:val="20"/>
                <w:szCs w:val="20"/>
                <w:color w:val="auto"/>
              </w:rPr>
            </w:pPr>
          </w:p>
        </w:tc>
      </w:tr>
      <w:tr>
        <w:trPr>
          <w:trHeight w:val="499"/>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1285875" cy="1259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702945</wp:posOffset>
            </wp:positionV>
            <wp:extent cx="192849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84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REPORTS STRONG SALES GROWTH AND MARGIN IMPROVEMENT FOR SECOND QUARTER 2021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Second quarter net sales increased 56.8% over prior year, driving improved profitability within the quarter</w:t>
      </w:r>
    </w:p>
    <w:p>
      <w:pPr>
        <w:spacing w:after="0" w:line="200" w:lineRule="exact"/>
        <w:rPr>
          <w:sz w:val="20"/>
          <w:szCs w:val="20"/>
          <w:color w:val="auto"/>
        </w:rPr>
      </w:pPr>
    </w:p>
    <w:p>
      <w:pPr>
        <w:spacing w:after="0" w:line="228"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b w:val="1"/>
          <w:bCs w:val="1"/>
          <w:color w:val="auto"/>
        </w:rPr>
        <w:t xml:space="preserve">CHARLOTTE, N.C., August 5, 2021 </w:t>
      </w:r>
      <w:r>
        <w:rPr>
          <w:rFonts w:ascii="Arial" w:cs="Arial" w:eastAsia="Arial" w:hAnsi="Arial"/>
          <w:sz w:val="20"/>
          <w:szCs w:val="20"/>
          <w:color w:val="auto"/>
        </w:rPr>
        <w:t>– NN, Inc. (NASDAQ: NNBR), a diversified industrial company, today reported its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second quarter ended June 30,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Results</w:t>
      </w:r>
    </w:p>
    <w:p>
      <w:pPr>
        <w:spacing w:after="0" w:line="91"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color w:val="auto"/>
        </w:rPr>
        <w:t>Net sales for the second quarter of 2021 increased $44.6 million, or 56.8%, to $123.2 million, compared to $78.5 million for the second quarter of 2020, led by strong sales growth across both segments due to higher demand within markets that were negatively impacted by the COVID-19 pandemic in the prior year and new business in the general industrial market. Second quarter Mobile Solutions sales increased 80.0% and Power Solutions sales increased 31.4% compared to the prior year.</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Loss from operations for the second quarter of 2021 was $1.6 million, compared to loss from operations of $11.2 million for the same period in 2020. The reduction in loss from operations was primarily driven by an increase in sales volume and the ongoing impact of cost reduction initiatives, partially offset by the reinstatement of certain costs that were temporarily suspended in the prior year.</w:t>
      </w:r>
    </w:p>
    <w:p>
      <w:pPr>
        <w:spacing w:after="0" w:line="180"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Income from operations for second quarter 2021 in the Mobile Solutions segment was $2.5 million, compared to loss from operations of $4.6 million for the same period in 2020. Income from operations for second quarter 2021 in the Power Solutions segment was $2.9 million, compared to income from operations of $1.5 million for the same period in 2020.</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Net loss for the second quarter of 2021 was $5.4 million, compared to net loss of $21.7 million for the same period in 2020. The reduction in net loss for the second quarter of 2021 was driven by the improvement in gross profit generated from incremental sales volume, as well as reductions in SG&amp;A, interest expense, and overall loss from discontinued operations, which were partially offset by increases in other expenses due to foreign exchange effects on intercompany borrowings and litigation related expenses incurred during the second quarter.</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93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color w:val="auto"/>
        </w:rPr>
        <w:t>Adjusted Results</w:t>
      </w:r>
    </w:p>
    <w:p>
      <w:pPr>
        <w:spacing w:after="0" w:line="91"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Adjusted income from operations for the second quarter of 2021 was $3.2 million, compared to an adjusted loss from operations of $5.7 million for the same period in 2020. Adjusted EBITDA for the second quarter of 2021 was $13.4 million, or 10.9% of sales, versus $4.9 million, or 6.2% of sales, for the same period in 2020. Adjusted net loss for the second quarter of 2021 was $0.2 million, or $0.00 per diluted share, compared to adjusted net loss of $10.2 million, or $0.24 per diluted share, for the same period in 2020. Free cash flow for the second quarter of 2021 was a use of cash of $7.5 million, compared to net cash inflow of $1.3 million for the same period in 2020. Free cash flow within the second quarter of 2021 was impacted by $9.2 million in payments related to the sale of Life Sciences.</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Warren Veltman, President and Chief Executive Officer, said, "NN’s strong momentum continued in the second quarter, with strong top-line growth driven by customer demand across our two segments. Higher sales and associated increases in gross profit, coupled with the continuing impact of our cost reduction efforts, contributed to the improvement in our bottom line during the quarter. While we are continuing to see the impact of supply chain challenges on some of our customers due to the continuing impact of the COVID-19 pandemic, we are optimistic on the long-term prospects for continued growth and profitability in our business."</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Mobile Solutions</w:t>
      </w:r>
    </w:p>
    <w:p>
      <w:pPr>
        <w:spacing w:after="0" w:line="9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Net sales for the second quarter of 2021 were $73.9 million, compared to $41.0 million in the second quarter of 2020, an increase of 80.0% or $32.8 million. The increase in sales was driven by higher demand within all markets that were negatively impacted by the COVID-19 pandemic in the prior year, as well as new business in the general industrial market. Adjusted income from operations for the second quarter of 2021 was $3.3 million, compared to $3.4 million of adjusted operating loss in the second quarter of 2020. Adjusted operating income increased as a result of the higher sales as well as a build-up of inventory to combat supply interruptions that resulted in favorable overhead absorption in the quarter. This was partially offset by the reintroduction of costs that were suspended in the prior year due to the COVID-19 pandemic, including certain benefits and overtime pay, as well as an increase in costs with the resumption of travel in the second quarter of 2021.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Solutions</w:t>
      </w:r>
    </w:p>
    <w:p>
      <w:pPr>
        <w:spacing w:after="0" w:line="9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Net sales for the second quarter of 2021 were $49.3 million, compared to $37.5 million in the second quarter of 2020, an increase of 31.4% or $11.8 million. The increase in sales was driven primarily by demand within the end markets which were negatively impacted by the COVID-19 pandemic in the prior year, as well as the impact of higher precious metals prices, which are passed through to customers. Adjusted income from operations for the second quarter was $5.7 million, compared to $4.7 million in the second quarter of 2020. The increase in adjusted operating income was due primarily to higher sales volumes partially offset by lower margins on products that use precious metals as well as the reintroduction of expenses and benefits that were temporarily suspended in the prior year due to the COVID-19 pandemic.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91" w:lineRule="exact"/>
        <w:rPr>
          <w:sz w:val="20"/>
          <w:szCs w:val="20"/>
          <w:color w:val="auto"/>
        </w:rPr>
      </w:pPr>
    </w:p>
    <w:p>
      <w:pPr>
        <w:ind w:right="260" w:firstLine="8"/>
        <w:spacing w:after="0" w:line="256" w:lineRule="auto"/>
        <w:tabs>
          <w:tab w:leader="none" w:pos="341" w:val="left"/>
        </w:tabs>
        <w:numPr>
          <w:ilvl w:val="0"/>
          <w:numId w:val="3"/>
        </w:numPr>
        <w:rPr>
          <w:rFonts w:ascii="Arial" w:cs="Arial" w:eastAsia="Arial" w:hAnsi="Arial"/>
          <w:sz w:val="20"/>
          <w:szCs w:val="20"/>
          <w:color w:val="auto"/>
        </w:rPr>
      </w:pPr>
      <w:r>
        <w:rPr>
          <w:rFonts w:ascii="Arial" w:cs="Arial" w:eastAsia="Arial" w:hAnsi="Arial"/>
          <w:sz w:val="20"/>
          <w:szCs w:val="20"/>
          <w:color w:val="auto"/>
        </w:rPr>
        <w:t>will discuss its results during its quarterly investor conference call on August 6, 2021, at 9:00 a.m. ET. The call and supplemental presentation may be accessed via NN's website, www.nninc.com. The conference call can also be accessed by dialing 1-877-317-6789 or 1-412-317-6789, Conference ID: 10155662. For those who are unavailable to listen to the live broadcast, a replay will be available shortly after the call until August 6, 2022.</w:t>
      </w:r>
    </w:p>
    <w:p>
      <w:pPr>
        <w:spacing w:after="0" w:line="166" w:lineRule="exact"/>
        <w:rPr>
          <w:sz w:val="20"/>
          <w:szCs w:val="20"/>
          <w:color w:val="auto"/>
        </w:rPr>
      </w:pPr>
    </w:p>
    <w:p>
      <w:pPr>
        <w:ind w:right="120" w:firstLine="8"/>
        <w:spacing w:after="0" w:line="255" w:lineRule="auto"/>
        <w:tabs>
          <w:tab w:leader="none" w:pos="341" w:val="left"/>
        </w:tabs>
        <w:numPr>
          <w:ilvl w:val="0"/>
          <w:numId w:val="4"/>
        </w:numPr>
        <w:rPr>
          <w:rFonts w:ascii="Arial" w:cs="Arial" w:eastAsia="Arial" w:hAnsi="Arial"/>
          <w:sz w:val="20"/>
          <w:szCs w:val="20"/>
          <w:color w:val="auto"/>
        </w:rPr>
      </w:pPr>
      <w:r>
        <w:rPr>
          <w:rFonts w:ascii="Arial" w:cs="Arial" w:eastAsia="Arial" w:hAnsi="Arial"/>
          <w:sz w:val="20"/>
          <w:szCs w:val="20"/>
          <w:color w:val="auto"/>
        </w:rPr>
        <w:t>discloses in this press release the non-GAAP financial measures of adjusted income (loss) from operations, adjusted EBITDA, adjusted net income (loss), adjusted net income (loss) per diluted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The financial tables found later in this press release include a reconciliation of adjusted income (loss) from operations, adjusted operating margin, adjusted EBITDA, adjusted EBITDA margin, adjusted net income (loss), adjusted net income</w:t>
      </w:r>
    </w:p>
    <w:p>
      <w:pPr>
        <w:sectPr>
          <w:pgSz w:w="11900" w:h="16838" w:orient="portrait"/>
          <w:cols w:equalWidth="0" w:num="1">
            <w:col w:w="11240"/>
          </w:cols>
          <w:pgMar w:left="320" w:top="976" w:right="339" w:bottom="1440" w:gutter="0" w:footer="0" w:header="0"/>
        </w:sect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76" w:right="339" w:bottom="1440" w:gutter="0" w:footer="0" w:header="0"/>
          <w:type w:val="continuous"/>
        </w:sectPr>
      </w:pPr>
    </w:p>
    <w:bookmarkStart w:id="5" w:name="page6"/>
    <w:bookmarkEnd w:id="5"/>
    <w:p>
      <w:pPr>
        <w:ind w:right="240"/>
        <w:spacing w:after="0" w:line="261" w:lineRule="auto"/>
        <w:rPr>
          <w:sz w:val="20"/>
          <w:szCs w:val="20"/>
          <w:color w:val="auto"/>
        </w:rPr>
      </w:pPr>
      <w:r>
        <w:rPr>
          <w:rFonts w:ascii="Arial" w:cs="Arial" w:eastAsia="Arial" w:hAnsi="Arial"/>
          <w:sz w:val="20"/>
          <w:szCs w:val="20"/>
          <w:color w:val="auto"/>
        </w:rPr>
        <w:t>(loss) per diluted share, and free cash flow to the U.S. GAAP financial measures of income (loss) from operations, net income (loss), net income (loss) per diluted share, and cash provided (used) by operating activities.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NN, Inc.</w:t>
      </w:r>
    </w:p>
    <w:p>
      <w:pPr>
        <w:spacing w:after="0" w:line="91" w:lineRule="exact"/>
        <w:rPr>
          <w:sz w:val="20"/>
          <w:szCs w:val="20"/>
          <w:color w:val="auto"/>
        </w:rPr>
      </w:pPr>
    </w:p>
    <w:p>
      <w:pPr>
        <w:ind w:right="280"/>
        <w:spacing w:after="0" w:line="277" w:lineRule="auto"/>
        <w:rPr>
          <w:sz w:val="20"/>
          <w:szCs w:val="20"/>
          <w:color w:val="auto"/>
        </w:rPr>
      </w:pPr>
      <w:r>
        <w:rPr>
          <w:rFonts w:ascii="Arial" w:cs="Arial" w:eastAsia="Arial" w:hAnsi="Arial"/>
          <w:sz w:val="19"/>
          <w:szCs w:val="19"/>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China.</w:t>
      </w:r>
    </w:p>
    <w:p>
      <w:pPr>
        <w:spacing w:after="0" w:line="12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66"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and, when filed, the Company’s Quarterly Report on Form 10-Q for the three months ended June 30, 2021. Except as required by law, we undertake no obligation to update or revise any forward-looking statements we make in our press releases, whether as a result of new information, future events or otherwise.</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Mike Danehy, CPA</w:t>
      </w:r>
    </w:p>
    <w:p>
      <w:pPr>
        <w:spacing w:after="0"/>
        <w:rPr>
          <w:sz w:val="20"/>
          <w:szCs w:val="20"/>
          <w:color w:val="auto"/>
        </w:rPr>
      </w:pPr>
      <w:r>
        <w:rPr>
          <w:rFonts w:ascii="Arial" w:cs="Arial" w:eastAsia="Arial" w:hAnsi="Arial"/>
          <w:sz w:val="20"/>
          <w:szCs w:val="20"/>
          <w:color w:val="auto"/>
        </w:rPr>
        <w:t>Investor Relations Contact</w:t>
      </w:r>
    </w:p>
    <w:p>
      <w:pPr>
        <w:spacing w:after="0"/>
        <w:rPr>
          <w:sz w:val="20"/>
          <w:szCs w:val="20"/>
          <w:color w:val="auto"/>
        </w:rPr>
      </w:pPr>
      <w:r>
        <w:rPr>
          <w:rFonts w:ascii="Arial" w:cs="Arial" w:eastAsia="Arial" w:hAnsi="Arial"/>
          <w:sz w:val="20"/>
          <w:szCs w:val="20"/>
          <w:color w:val="auto"/>
        </w:rPr>
        <w:t>Mike.Danehy@nninc.com</w:t>
      </w:r>
    </w:p>
    <w:p>
      <w:pPr>
        <w:spacing w:after="0"/>
        <w:rPr>
          <w:sz w:val="20"/>
          <w:szCs w:val="20"/>
          <w:color w:val="auto"/>
        </w:rPr>
      </w:pPr>
      <w:r>
        <w:rPr>
          <w:rFonts w:ascii="Arial" w:cs="Arial" w:eastAsia="Arial" w:hAnsi="Arial"/>
          <w:sz w:val="20"/>
          <w:szCs w:val="20"/>
          <w:color w:val="auto"/>
        </w:rPr>
        <w:t>(980) 264-4312</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Financial Tables Follow</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00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2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BFE4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FE4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123,157</w:t>
            </w:r>
          </w:p>
        </w:tc>
        <w:tc>
          <w:tcPr>
            <w:tcW w:w="12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78,532</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249,961</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194,745</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w w:val="97"/>
              </w:rPr>
              <w:t>Cost of sales (exclusive of depreciation and amortization shown separately below)</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99,797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65,058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199,485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159,536</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13,585</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14,273</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28,160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30,433</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22,684</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Goodwill impairment</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92,942</w:t>
            </w:r>
          </w:p>
        </w:tc>
        <w:tc>
          <w:tcPr>
            <w:tcW w:w="0" w:type="dxa"/>
            <w:vAlign w:val="bottom"/>
          </w:tcPr>
          <w:p>
            <w:pPr>
              <w:spacing w:after="0"/>
              <w:rPr>
                <w:sz w:val="1"/>
                <w:szCs w:val="1"/>
                <w:color w:val="auto"/>
              </w:rPr>
            </w:pPr>
          </w:p>
        </w:tc>
      </w:tr>
      <w:tr>
        <w:trPr>
          <w:trHeight w:val="213"/>
        </w:trPr>
        <w:tc>
          <w:tcPr>
            <w:tcW w:w="592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Other operating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4,177</w:t>
            </w:r>
          </w:p>
        </w:tc>
        <w:tc>
          <w:tcPr>
            <w:tcW w:w="0" w:type="dxa"/>
            <w:vAlign w:val="bottom"/>
          </w:tcPr>
          <w:p>
            <w:pPr>
              <w:spacing w:after="0"/>
              <w:rPr>
                <w:sz w:val="1"/>
                <w:szCs w:val="1"/>
                <w:color w:val="auto"/>
              </w:rPr>
            </w:pPr>
          </w:p>
        </w:tc>
      </w:tr>
      <w:tr>
        <w:trPr>
          <w:trHeight w:val="212"/>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(1,588)</w:t>
            </w:r>
          </w:p>
        </w:tc>
        <w:tc>
          <w:tcPr>
            <w:tcW w:w="12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(11,177)</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(115,027)</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10,163</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Derivative payments on interest rate swap</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Loss on interest rate swap</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20" w:type="dxa"/>
            <w:vAlign w:val="bottom"/>
            <w:tcBorders>
              <w:bottom w:val="single" w:sz="8" w:color="BFE4FF"/>
            </w:tcBorders>
          </w:tcPr>
          <w:p>
            <w:pPr>
              <w:ind w:left="24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Borders>
              <w:bottom w:val="single" w:sz="8" w:color="BFE4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49"/>
        </w:trPr>
        <w:tc>
          <w:tcPr>
            <w:tcW w:w="5920" w:type="dxa"/>
            <w:vAlign w:val="bottom"/>
            <w:shd w:val="clear" w:color="auto" w:fill="BFE4FF"/>
          </w:tcPr>
          <w:p>
            <w:pPr>
              <w:ind w:left="20"/>
              <w:spacing w:after="0" w:line="148" w:lineRule="exact"/>
              <w:rPr>
                <w:sz w:val="20"/>
                <w:szCs w:val="20"/>
                <w:color w:val="auto"/>
              </w:rPr>
            </w:pPr>
            <w:r>
              <w:rPr>
                <w:rFonts w:ascii="Arial" w:cs="Arial" w:eastAsia="Arial" w:hAnsi="Arial"/>
                <w:sz w:val="16"/>
                <w:szCs w:val="16"/>
                <w:color w:val="auto"/>
                <w:w w:val="94"/>
              </w:rPr>
              <w:t>Loss from continuing operations before benefit (provision) for income taxes and share of</w:t>
            </w:r>
          </w:p>
        </w:tc>
        <w:tc>
          <w:tcPr>
            <w:tcW w:w="280" w:type="dxa"/>
            <w:vAlign w:val="bottom"/>
            <w:shd w:val="clear" w:color="auto" w:fill="BFE4FF"/>
          </w:tcPr>
          <w:p>
            <w:pPr>
              <w:spacing w:after="0"/>
              <w:rPr>
                <w:sz w:val="12"/>
                <w:szCs w:val="12"/>
                <w:color w:val="auto"/>
              </w:rPr>
            </w:pPr>
          </w:p>
        </w:tc>
        <w:tc>
          <w:tcPr>
            <w:tcW w:w="9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(6,841)</w:t>
            </w:r>
          </w:p>
        </w:tc>
        <w:tc>
          <w:tcPr>
            <w:tcW w:w="120" w:type="dxa"/>
            <w:vAlign w:val="bottom"/>
            <w:shd w:val="clear" w:color="auto" w:fill="BFE4FF"/>
          </w:tcPr>
          <w:p>
            <w:pPr>
              <w:spacing w:after="0"/>
              <w:rPr>
                <w:sz w:val="12"/>
                <w:szCs w:val="12"/>
                <w:color w:val="auto"/>
              </w:rPr>
            </w:pPr>
          </w:p>
        </w:tc>
        <w:tc>
          <w:tcPr>
            <w:tcW w:w="340" w:type="dxa"/>
            <w:vAlign w:val="bottom"/>
            <w:shd w:val="clear" w:color="auto" w:fill="BFE4FF"/>
          </w:tcPr>
          <w:p>
            <w:pPr>
              <w:spacing w:after="0"/>
              <w:rPr>
                <w:sz w:val="12"/>
                <w:szCs w:val="12"/>
                <w:color w:val="auto"/>
              </w:rPr>
            </w:pPr>
          </w:p>
        </w:tc>
        <w:tc>
          <w:tcPr>
            <w:tcW w:w="9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(16,318)</w:t>
            </w:r>
          </w:p>
        </w:tc>
        <w:tc>
          <w:tcPr>
            <w:tcW w:w="100" w:type="dxa"/>
            <w:vAlign w:val="bottom"/>
            <w:shd w:val="clear" w:color="auto" w:fill="BFE4FF"/>
          </w:tcPr>
          <w:p>
            <w:pPr>
              <w:spacing w:after="0"/>
              <w:rPr>
                <w:sz w:val="12"/>
                <w:szCs w:val="12"/>
                <w:color w:val="auto"/>
              </w:rPr>
            </w:pPr>
          </w:p>
        </w:tc>
        <w:tc>
          <w:tcPr>
            <w:tcW w:w="300" w:type="dxa"/>
            <w:vAlign w:val="bottom"/>
            <w:shd w:val="clear" w:color="auto" w:fill="BFE4FF"/>
          </w:tcPr>
          <w:p>
            <w:pPr>
              <w:spacing w:after="0"/>
              <w:rPr>
                <w:sz w:val="12"/>
                <w:szCs w:val="12"/>
                <w:color w:val="auto"/>
              </w:rPr>
            </w:pPr>
          </w:p>
        </w:tc>
        <w:tc>
          <w:tcPr>
            <w:tcW w:w="9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(13,905)</w:t>
            </w:r>
          </w:p>
        </w:tc>
        <w:tc>
          <w:tcPr>
            <w:tcW w:w="100" w:type="dxa"/>
            <w:vAlign w:val="bottom"/>
            <w:shd w:val="clear" w:color="auto" w:fill="BFE4FF"/>
          </w:tcPr>
          <w:p>
            <w:pPr>
              <w:spacing w:after="0"/>
              <w:rPr>
                <w:sz w:val="12"/>
                <w:szCs w:val="12"/>
                <w:color w:val="auto"/>
              </w:rPr>
            </w:pPr>
          </w:p>
        </w:tc>
        <w:tc>
          <w:tcPr>
            <w:tcW w:w="340" w:type="dxa"/>
            <w:vAlign w:val="bottom"/>
            <w:shd w:val="clear" w:color="auto" w:fill="BFE4FF"/>
          </w:tcPr>
          <w:p>
            <w:pPr>
              <w:spacing w:after="0"/>
              <w:rPr>
                <w:sz w:val="12"/>
                <w:szCs w:val="12"/>
                <w:color w:val="auto"/>
              </w:rPr>
            </w:pPr>
          </w:p>
        </w:tc>
        <w:tc>
          <w:tcPr>
            <w:tcW w:w="9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(125,519)</w:t>
            </w:r>
          </w:p>
        </w:tc>
        <w:tc>
          <w:tcPr>
            <w:tcW w:w="0" w:type="dxa"/>
            <w:vAlign w:val="bottom"/>
          </w:tcPr>
          <w:p>
            <w:pPr>
              <w:spacing w:after="0"/>
              <w:rPr>
                <w:sz w:val="1"/>
                <w:szCs w:val="1"/>
                <w:color w:val="auto"/>
              </w:rPr>
            </w:pPr>
          </w:p>
        </w:tc>
      </w:tr>
      <w:tr>
        <w:trPr>
          <w:trHeight w:val="212"/>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net income from joint venture</w:t>
            </w:r>
          </w:p>
        </w:tc>
        <w:tc>
          <w:tcPr>
            <w:tcW w:w="280" w:type="dxa"/>
            <w:vAlign w:val="bottom"/>
            <w:shd w:val="clear" w:color="auto" w:fill="BFE4FF"/>
          </w:tcPr>
          <w:p>
            <w:pPr>
              <w:spacing w:after="0"/>
              <w:rPr>
                <w:sz w:val="18"/>
                <w:szCs w:val="18"/>
                <w:color w:val="auto"/>
              </w:rPr>
            </w:pPr>
          </w:p>
        </w:tc>
        <w:tc>
          <w:tcPr>
            <w:tcW w:w="96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90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92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40"/>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40"/>
              <w:spacing w:after="0"/>
              <w:rPr>
                <w:sz w:val="20"/>
                <w:szCs w:val="20"/>
                <w:color w:val="auto"/>
              </w:rPr>
            </w:pPr>
            <w:r>
              <w:rPr>
                <w:rFonts w:ascii="Arial" w:cs="Arial" w:eastAsia="Arial" w:hAnsi="Arial"/>
                <w:sz w:val="16"/>
                <w:szCs w:val="16"/>
                <w:color w:val="auto"/>
              </w:rPr>
              <w:t>Share of net income from joint venture</w:t>
            </w:r>
          </w:p>
        </w:tc>
        <w:tc>
          <w:tcPr>
            <w:tcW w:w="2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1,219</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2,614</w:t>
            </w:r>
          </w:p>
        </w:tc>
        <w:tc>
          <w:tcPr>
            <w:tcW w:w="10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0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Loss from continuing operations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(125,643)</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(4,182)</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(144,296)</w:t>
            </w:r>
          </w:p>
        </w:tc>
        <w:tc>
          <w:tcPr>
            <w:tcW w:w="0" w:type="dxa"/>
            <w:vAlign w:val="bottom"/>
          </w:tcPr>
          <w:p>
            <w:pPr>
              <w:spacing w:after="0"/>
              <w:rPr>
                <w:sz w:val="1"/>
                <w:szCs w:val="1"/>
                <w:color w:val="auto"/>
              </w:rPr>
            </w:pPr>
          </w:p>
        </w:tc>
      </w:tr>
      <w:tr>
        <w:trPr>
          <w:trHeight w:val="207"/>
        </w:trPr>
        <w:tc>
          <w:tcPr>
            <w:tcW w:w="5920" w:type="dxa"/>
            <w:vAlign w:val="bottom"/>
            <w:tcBorders>
              <w:bottom w:val="single" w:sz="8" w:color="BFE4FF"/>
            </w:tcBorders>
          </w:tcPr>
          <w:p>
            <w:pPr>
              <w:ind w:left="2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(5,391)</w:t>
            </w:r>
          </w:p>
        </w:tc>
        <w:tc>
          <w:tcPr>
            <w:tcW w:w="120" w:type="dxa"/>
            <w:vAlign w:val="bottom"/>
            <w:tcBorders>
              <w:bottom w:val="single" w:sz="8" w:color="BFE4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(21,748)</w:t>
            </w:r>
          </w:p>
        </w:tc>
        <w:tc>
          <w:tcPr>
            <w:tcW w:w="100" w:type="dxa"/>
            <w:vAlign w:val="bottom"/>
            <w:tcBorders>
              <w:bottom w:val="single" w:sz="8" w:color="BFE4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(10,304)</w:t>
            </w:r>
          </w:p>
        </w:tc>
        <w:tc>
          <w:tcPr>
            <w:tcW w:w="100" w:type="dxa"/>
            <w:vAlign w:val="bottom"/>
            <w:tcBorders>
              <w:bottom w:val="single" w:sz="8" w:color="BFE4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(269,939)</w:t>
            </w:r>
          </w:p>
        </w:tc>
        <w:tc>
          <w:tcPr>
            <w:tcW w:w="0" w:type="dxa"/>
            <w:vAlign w:val="bottom"/>
          </w:tcPr>
          <w:p>
            <w:pPr>
              <w:spacing w:after="0"/>
              <w:rPr>
                <w:sz w:val="1"/>
                <w:szCs w:val="1"/>
                <w:color w:val="auto"/>
              </w:rPr>
            </w:pPr>
          </w:p>
        </w:tc>
      </w:tr>
      <w:tr>
        <w:trPr>
          <w:trHeight w:val="199"/>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340" w:type="dxa"/>
            <w:vAlign w:val="bottom"/>
            <w:shd w:val="clear" w:color="auto" w:fill="BFE4FF"/>
          </w:tcPr>
          <w:p>
            <w:pPr>
              <w:spacing w:after="0"/>
              <w:rPr>
                <w:sz w:val="17"/>
                <w:szCs w:val="17"/>
                <w:color w:val="auto"/>
              </w:rPr>
            </w:pPr>
          </w:p>
        </w:tc>
        <w:tc>
          <w:tcPr>
            <w:tcW w:w="9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00" w:type="dxa"/>
            <w:vAlign w:val="bottom"/>
            <w:shd w:val="clear" w:color="auto" w:fill="BFE4FF"/>
          </w:tcPr>
          <w:p>
            <w:pPr>
              <w:spacing w:after="0"/>
              <w:rPr>
                <w:sz w:val="17"/>
                <w:szCs w:val="17"/>
                <w:color w:val="auto"/>
              </w:rPr>
            </w:pPr>
          </w:p>
        </w:tc>
        <w:tc>
          <w:tcPr>
            <w:tcW w:w="9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340" w:type="dxa"/>
            <w:vAlign w:val="bottom"/>
            <w:shd w:val="clear" w:color="auto" w:fill="BFE4FF"/>
          </w:tcPr>
          <w:p>
            <w:pPr>
              <w:spacing w:after="0"/>
              <w:rPr>
                <w:sz w:val="17"/>
                <w:szCs w:val="17"/>
                <w:color w:val="auto"/>
              </w:rPr>
            </w:pPr>
          </w:p>
        </w:tc>
        <w:tc>
          <w:tcPr>
            <w:tcW w:w="9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Foreign currency translation gain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4,409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(13,348)</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Interest rate swap:</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440"/>
              <w:spacing w:after="0"/>
              <w:rPr>
                <w:sz w:val="20"/>
                <w:szCs w:val="20"/>
                <w:color w:val="auto"/>
              </w:rPr>
            </w:pPr>
            <w:r>
              <w:rPr>
                <w:rFonts w:ascii="Arial" w:cs="Arial" w:eastAsia="Arial" w:hAnsi="Arial"/>
                <w:sz w:val="16"/>
                <w:szCs w:val="16"/>
                <w:color w:val="auto"/>
              </w:rPr>
              <w:t>Change in fair value, net of tax</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(12,464)</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440"/>
              <w:spacing w:after="0"/>
              <w:rPr>
                <w:sz w:val="20"/>
                <w:szCs w:val="20"/>
                <w:color w:val="auto"/>
              </w:rPr>
            </w:pPr>
            <w:r>
              <w:rPr>
                <w:rFonts w:ascii="Arial" w:cs="Arial" w:eastAsia="Arial" w:hAnsi="Arial"/>
                <w:sz w:val="16"/>
                <w:szCs w:val="16"/>
                <w:color w:val="auto"/>
              </w:rPr>
              <w:t>Reclassification adjustment for losses included in net loss, net of tax</w:t>
            </w:r>
          </w:p>
        </w:tc>
        <w:tc>
          <w:tcPr>
            <w:tcW w:w="2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2,851</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207"/>
        </w:trPr>
        <w:tc>
          <w:tcPr>
            <w:tcW w:w="59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4,409</w:t>
            </w:r>
          </w:p>
        </w:tc>
        <w:tc>
          <w:tcPr>
            <w:tcW w:w="120" w:type="dxa"/>
            <w:vAlign w:val="bottom"/>
            <w:tcBorders>
              <w:bottom w:val="single" w:sz="8" w:color="BFE4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2,377</w:t>
            </w:r>
          </w:p>
        </w:tc>
        <w:tc>
          <w:tcPr>
            <w:tcW w:w="100" w:type="dxa"/>
            <w:vAlign w:val="bottom"/>
            <w:tcBorders>
              <w:bottom w:val="single" w:sz="8" w:color="BFE4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Borders>
              <w:bottom w:val="single" w:sz="8" w:color="BFE4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(22,122)</w:t>
            </w:r>
          </w:p>
        </w:tc>
        <w:tc>
          <w:tcPr>
            <w:tcW w:w="0" w:type="dxa"/>
            <w:vAlign w:val="bottom"/>
          </w:tcPr>
          <w:p>
            <w:pPr>
              <w:spacing w:after="0"/>
              <w:rPr>
                <w:sz w:val="1"/>
                <w:szCs w:val="1"/>
                <w:color w:val="auto"/>
              </w:rPr>
            </w:pPr>
          </w:p>
        </w:tc>
      </w:tr>
      <w:tr>
        <w:trPr>
          <w:trHeight w:val="238"/>
        </w:trPr>
        <w:tc>
          <w:tcPr>
            <w:tcW w:w="5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Comprehensive loss</w:t>
            </w:r>
          </w:p>
        </w:tc>
        <w:tc>
          <w:tcPr>
            <w:tcW w:w="28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(19,371)</w:t>
            </w:r>
          </w:p>
        </w:tc>
        <w:tc>
          <w:tcPr>
            <w:tcW w:w="10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(6,391)</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(292,061)</w:t>
            </w:r>
          </w:p>
        </w:tc>
        <w:tc>
          <w:tcPr>
            <w:tcW w:w="0" w:type="dxa"/>
            <w:vAlign w:val="bottom"/>
          </w:tcPr>
          <w:p>
            <w:pPr>
              <w:spacing w:after="0"/>
              <w:rPr>
                <w:sz w:val="1"/>
                <w:szCs w:val="1"/>
                <w:color w:val="auto"/>
              </w:rPr>
            </w:pPr>
          </w:p>
        </w:tc>
      </w:tr>
      <w:tr>
        <w:trPr>
          <w:trHeight w:val="20"/>
        </w:trPr>
        <w:tc>
          <w:tcPr>
            <w:tcW w:w="592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Basic net loss per common share:</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Loss from discontinued operations per common share</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8"/>
        </w:trPr>
        <w:tc>
          <w:tcPr>
            <w:tcW w:w="5920" w:type="dxa"/>
            <w:vAlign w:val="bottom"/>
            <w:tcBorders>
              <w:top w:val="single" w:sz="8" w:color="BFE4FF"/>
              <w:bottom w:val="single" w:sz="8" w:color="BFE4FF"/>
            </w:tcBorders>
            <w:shd w:val="clear" w:color="auto" w:fill="BFE4FF"/>
          </w:tcPr>
          <w:p>
            <w:pPr>
              <w:ind w:left="22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top w:val="single" w:sz="8" w:color="auto"/>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340" w:type="dxa"/>
            <w:vAlign w:val="bottom"/>
            <w:tcBorders>
              <w:top w:val="single" w:sz="8" w:color="auto"/>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00" w:type="dxa"/>
            <w:vAlign w:val="bottom"/>
            <w:tcBorders>
              <w:top w:val="single" w:sz="8" w:color="auto"/>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340" w:type="dxa"/>
            <w:vAlign w:val="bottom"/>
            <w:tcBorders>
              <w:top w:val="single" w:sz="8" w:color="auto"/>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
        </w:trPr>
        <w:tc>
          <w:tcPr>
            <w:tcW w:w="5920" w:type="dxa"/>
            <w:vAlign w:val="bottom"/>
            <w:tcBorders>
              <w:top w:val="single" w:sz="8" w:color="BFE4FF"/>
              <w:bottom w:val="single" w:sz="8" w:color="BFE4FF"/>
            </w:tcBorders>
            <w:vMerge w:val="restart"/>
          </w:tcPr>
          <w:p>
            <w:pPr>
              <w:ind w:left="22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9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42,154</w:t>
            </w:r>
          </w:p>
        </w:tc>
        <w:tc>
          <w:tcPr>
            <w:tcW w:w="0" w:type="dxa"/>
            <w:vAlign w:val="bottom"/>
          </w:tcPr>
          <w:p>
            <w:pPr>
              <w:spacing w:after="0"/>
              <w:rPr>
                <w:sz w:val="1"/>
                <w:szCs w:val="1"/>
                <w:color w:val="auto"/>
              </w:rPr>
            </w:pPr>
          </w:p>
        </w:tc>
      </w:tr>
      <w:tr>
        <w:trPr>
          <w:trHeight w:val="219"/>
        </w:trPr>
        <w:tc>
          <w:tcPr>
            <w:tcW w:w="592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Diluted net loss per common share:</w:t>
            </w: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Loss from continuing operations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6"/>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Loss from discontinued operations per common share</w:t>
            </w:r>
          </w:p>
        </w:tc>
        <w:tc>
          <w:tcPr>
            <w:tcW w:w="280" w:type="dxa"/>
            <w:vAlign w:val="bottom"/>
            <w:shd w:val="clear" w:color="auto" w:fill="BFE4FF"/>
          </w:tcPr>
          <w:p>
            <w:pPr>
              <w:spacing w:after="0"/>
              <w:rPr>
                <w:sz w:val="18"/>
                <w:szCs w:val="18"/>
                <w:color w:val="auto"/>
              </w:rPr>
            </w:pPr>
          </w:p>
        </w:tc>
        <w:tc>
          <w:tcPr>
            <w:tcW w:w="108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8"/>
                <w:szCs w:val="18"/>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106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3"/>
        </w:trPr>
        <w:tc>
          <w:tcPr>
            <w:tcW w:w="5920" w:type="dxa"/>
            <w:vAlign w:val="bottom"/>
          </w:tcPr>
          <w:p>
            <w:pPr>
              <w:ind w:left="22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
        </w:trPr>
        <w:tc>
          <w:tcPr>
            <w:tcW w:w="592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BFE4FF"/>
          </w:tcPr>
          <w:p>
            <w:pPr>
              <w:ind w:left="22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44,440</w:t>
            </w:r>
          </w:p>
        </w:tc>
        <w:tc>
          <w:tcPr>
            <w:tcW w:w="12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42,197</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43,561</w:t>
            </w:r>
          </w:p>
        </w:tc>
        <w:tc>
          <w:tcPr>
            <w:tcW w:w="100" w:type="dxa"/>
            <w:vAlign w:val="bottom"/>
            <w:shd w:val="clear" w:color="auto" w:fill="BFE4FF"/>
          </w:tcPr>
          <w:p>
            <w:pPr>
              <w:spacing w:after="0"/>
              <w:rPr>
                <w:sz w:val="18"/>
                <w:szCs w:val="18"/>
                <w:color w:val="auto"/>
              </w:rPr>
            </w:pPr>
          </w:p>
        </w:tc>
        <w:tc>
          <w:tcPr>
            <w:tcW w:w="340" w:type="dxa"/>
            <w:vAlign w:val="bottom"/>
            <w:shd w:val="clear" w:color="auto" w:fill="BFE4FF"/>
          </w:tcPr>
          <w:p>
            <w:pPr>
              <w:spacing w:after="0"/>
              <w:rPr>
                <w:sz w:val="18"/>
                <w:szCs w:val="18"/>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42,154</w:t>
            </w:r>
          </w:p>
        </w:tc>
        <w:tc>
          <w:tcPr>
            <w:tcW w:w="0" w:type="dxa"/>
            <w:vAlign w:val="bottom"/>
          </w:tcPr>
          <w:p>
            <w:pPr>
              <w:spacing w:after="0"/>
              <w:rPr>
                <w:sz w:val="1"/>
                <w:szCs w:val="1"/>
                <w:color w:val="auto"/>
              </w:rPr>
            </w:pPr>
          </w:p>
        </w:tc>
      </w:tr>
      <w:tr>
        <w:trPr>
          <w:trHeight w:val="598"/>
        </w:trPr>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72" w:right="339" w:bottom="1440" w:gutter="0" w:footer="0" w:header="0"/>
        </w:sectPr>
      </w:pPr>
    </w:p>
    <w:bookmarkStart w:id="7" w:name="page8"/>
    <w:bookmarkEnd w:id="7"/>
    <w:p>
      <w:pPr>
        <w:ind w:left="5300"/>
        <w:spacing w:after="0"/>
        <w:rPr>
          <w:sz w:val="20"/>
          <w:szCs w:val="20"/>
          <w:color w:val="auto"/>
        </w:rPr>
      </w:pPr>
      <w:r>
        <w:rPr>
          <w:rFonts w:ascii="Arial" w:cs="Arial" w:eastAsia="Arial" w:hAnsi="Arial"/>
          <w:sz w:val="18"/>
          <w:szCs w:val="18"/>
          <w:b w:val="1"/>
          <w:bCs w:val="1"/>
          <w:color w:val="auto"/>
        </w:rPr>
        <w:t>NN, Inc.</w:t>
      </w:r>
    </w:p>
    <w:p>
      <w:pPr>
        <w:spacing w:after="0" w:line="3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02"/>
        </w:trPr>
        <w:tc>
          <w:tcPr>
            <w:tcW w:w="860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BFE4FF"/>
          </w:tcPr>
          <w:p>
            <w:pPr>
              <w:spacing w:after="0"/>
              <w:rPr>
                <w:sz w:val="17"/>
                <w:szCs w:val="17"/>
                <w:color w:val="auto"/>
              </w:rPr>
            </w:pPr>
          </w:p>
        </w:tc>
        <w:tc>
          <w:tcPr>
            <w:tcW w:w="1080" w:type="dxa"/>
            <w:vAlign w:val="bottom"/>
            <w:tcBorders>
              <w:top w:val="single" w:sz="8" w:color="auto"/>
            </w:tcBorders>
            <w:shd w:val="clear" w:color="auto" w:fill="BFE4FF"/>
          </w:tcPr>
          <w:p>
            <w:pPr>
              <w:spacing w:after="0"/>
              <w:rPr>
                <w:sz w:val="17"/>
                <w:szCs w:val="17"/>
                <w:color w:val="auto"/>
              </w:rPr>
            </w:pPr>
          </w:p>
        </w:tc>
        <w:tc>
          <w:tcPr>
            <w:tcW w:w="120" w:type="dxa"/>
            <w:vAlign w:val="bottom"/>
            <w:tcBorders>
              <w:top w:val="single" w:sz="8" w:color="BFE4FF"/>
            </w:tcBorders>
            <w:shd w:val="clear" w:color="auto" w:fill="BFE4FF"/>
          </w:tcPr>
          <w:p>
            <w:pPr>
              <w:spacing w:after="0"/>
              <w:rPr>
                <w:sz w:val="17"/>
                <w:szCs w:val="17"/>
                <w:color w:val="auto"/>
              </w:rPr>
            </w:pPr>
          </w:p>
        </w:tc>
        <w:tc>
          <w:tcPr>
            <w:tcW w:w="340" w:type="dxa"/>
            <w:vAlign w:val="bottom"/>
            <w:tcBorders>
              <w:top w:val="single" w:sz="8" w:color="auto"/>
            </w:tcBorders>
            <w:shd w:val="clear" w:color="auto" w:fill="BFE4FF"/>
          </w:tcPr>
          <w:p>
            <w:pPr>
              <w:spacing w:after="0"/>
              <w:rPr>
                <w:sz w:val="17"/>
                <w:szCs w:val="17"/>
                <w:color w:val="auto"/>
              </w:rPr>
            </w:pPr>
          </w:p>
        </w:tc>
        <w:tc>
          <w:tcPr>
            <w:tcW w:w="920" w:type="dxa"/>
            <w:vAlign w:val="bottom"/>
            <w:tcBorders>
              <w:top w:val="single" w:sz="8" w:color="auto"/>
            </w:tcBorders>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31,543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48,138</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82,177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84,615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74,770</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62,517</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8,800</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13,125</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11,148</w:t>
            </w:r>
          </w:p>
        </w:tc>
        <w:tc>
          <w:tcPr>
            <w:tcW w:w="0" w:type="dxa"/>
            <w:vAlign w:val="bottom"/>
          </w:tcPr>
          <w:p>
            <w:pPr>
              <w:spacing w:after="0"/>
              <w:rPr>
                <w:sz w:val="1"/>
                <w:szCs w:val="1"/>
                <w:color w:val="auto"/>
              </w:rPr>
            </w:pPr>
          </w:p>
        </w:tc>
      </w:tr>
      <w:tr>
        <w:trPr>
          <w:trHeight w:val="207"/>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214,686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215,218</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219,808</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223,690</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50,264</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95,891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103,065</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Investment in joint venture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29,897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26,983</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4,763</w:t>
            </w:r>
          </w:p>
        </w:tc>
        <w:tc>
          <w:tcPr>
            <w:tcW w:w="12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234"/>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613,583</w:t>
            </w:r>
          </w:p>
        </w:tc>
        <w:tc>
          <w:tcPr>
            <w:tcW w:w="12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624,962</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46,834</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37,435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Accrued salaries, wages and benefits</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21,279</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21,296</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4,808</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4,885</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Current portion of operating lease liabilities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4,797</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12,651</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31,261</w:t>
            </w:r>
          </w:p>
        </w:tc>
        <w:tc>
          <w:tcPr>
            <w:tcW w:w="0" w:type="dxa"/>
            <w:vAlign w:val="bottom"/>
          </w:tcPr>
          <w:p>
            <w:pPr>
              <w:spacing w:after="0"/>
              <w:rPr>
                <w:sz w:val="1"/>
                <w:szCs w:val="1"/>
                <w:color w:val="auto"/>
              </w:rPr>
            </w:pPr>
          </w:p>
        </w:tc>
      </w:tr>
      <w:tr>
        <w:trPr>
          <w:trHeight w:val="207"/>
        </w:trPr>
        <w:tc>
          <w:tcPr>
            <w:tcW w:w="86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92,196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103,231</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9,196</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11,178</w:t>
            </w:r>
          </w:p>
        </w:tc>
        <w:tc>
          <w:tcPr>
            <w:tcW w:w="0" w:type="dxa"/>
            <w:vAlign w:val="bottom"/>
          </w:tcPr>
          <w:p>
            <w:pPr>
              <w:spacing w:after="0"/>
              <w:rPr>
                <w:sz w:val="1"/>
                <w:szCs w:val="1"/>
                <w:color w:val="auto"/>
              </w:rPr>
            </w:pPr>
          </w:p>
        </w:tc>
      </w:tr>
      <w:tr>
        <w:trPr>
          <w:trHeight w:val="213"/>
        </w:trPr>
        <w:tc>
          <w:tcPr>
            <w:tcW w:w="860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150,728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79,025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Operating lease liabilities, net of current portion</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53,601</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55,053</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26,438</w:t>
            </w:r>
          </w:p>
        </w:tc>
        <w:tc>
          <w:tcPr>
            <w:tcW w:w="120" w:type="dxa"/>
            <w:vAlign w:val="bottom"/>
            <w:tcBorders>
              <w:bottom w:val="single" w:sz="8" w:color="BFE4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17,237</w:t>
            </w:r>
          </w:p>
        </w:tc>
        <w:tc>
          <w:tcPr>
            <w:tcW w:w="0" w:type="dxa"/>
            <w:vAlign w:val="bottom"/>
          </w:tcPr>
          <w:p>
            <w:pPr>
              <w:spacing w:after="0"/>
              <w:rPr>
                <w:sz w:val="1"/>
                <w:szCs w:val="1"/>
                <w:color w:val="auto"/>
              </w:rPr>
            </w:pPr>
          </w:p>
        </w:tc>
      </w:tr>
      <w:tr>
        <w:trPr>
          <w:trHeight w:val="213"/>
        </w:trPr>
        <w:tc>
          <w:tcPr>
            <w:tcW w:w="8600" w:type="dxa"/>
            <w:vAlign w:val="bottom"/>
            <w:shd w:val="clear" w:color="auto" w:fill="BFE4FF"/>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BFE4FF"/>
          </w:tcPr>
          <w:p>
            <w:pPr>
              <w:spacing w:after="0"/>
              <w:rPr>
                <w:sz w:val="18"/>
                <w:szCs w:val="18"/>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332,159</w:t>
            </w:r>
          </w:p>
        </w:tc>
        <w:tc>
          <w:tcPr>
            <w:tcW w:w="120" w:type="dxa"/>
            <w:vAlign w:val="bottom"/>
            <w:shd w:val="clear" w:color="auto" w:fill="BFE4FF"/>
          </w:tcPr>
          <w:p>
            <w:pPr>
              <w:spacing w:after="0"/>
              <w:rPr>
                <w:sz w:val="18"/>
                <w:szCs w:val="18"/>
                <w:color w:val="auto"/>
              </w:rPr>
            </w:pPr>
          </w:p>
        </w:tc>
        <w:tc>
          <w:tcPr>
            <w:tcW w:w="340" w:type="dxa"/>
            <w:vAlign w:val="bottom"/>
            <w:tcBorders>
              <w:bottom w:val="single" w:sz="8" w:color="auto"/>
            </w:tcBorders>
            <w:shd w:val="clear" w:color="auto" w:fill="BFE4FF"/>
          </w:tcPr>
          <w:p>
            <w:pPr>
              <w:spacing w:after="0"/>
              <w:rPr>
                <w:sz w:val="18"/>
                <w:szCs w:val="18"/>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265,724</w:t>
            </w:r>
          </w:p>
        </w:tc>
        <w:tc>
          <w:tcPr>
            <w:tcW w:w="0" w:type="dxa"/>
            <w:vAlign w:val="bottom"/>
          </w:tcPr>
          <w:p>
            <w:pPr>
              <w:spacing w:after="0"/>
              <w:rPr>
                <w:sz w:val="1"/>
                <w:szCs w:val="1"/>
                <w:color w:val="auto"/>
              </w:rPr>
            </w:pPr>
          </w:p>
        </w:tc>
      </w:tr>
      <w:tr>
        <w:trPr>
          <w:trHeight w:val="193"/>
        </w:trPr>
        <w:tc>
          <w:tcPr>
            <w:tcW w:w="8600" w:type="dxa"/>
            <w:vAlign w:val="bottom"/>
          </w:tcPr>
          <w:p>
            <w:pPr>
              <w:ind w:left="14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w w:val="94"/>
              </w:rPr>
              <w:t>Series D perpetual preferred stock - $0.01 par value per share, 65 shares authorized, issued and outstanding at June 30, 2021</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49,069</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600" w:type="dxa"/>
            <w:vAlign w:val="bottom"/>
          </w:tcPr>
          <w:p>
            <w:pPr>
              <w:ind w:left="140"/>
              <w:spacing w:after="0" w:line="166" w:lineRule="exact"/>
              <w:rPr>
                <w:sz w:val="20"/>
                <w:szCs w:val="20"/>
                <w:color w:val="auto"/>
              </w:rPr>
            </w:pPr>
            <w:r>
              <w:rPr>
                <w:rFonts w:ascii="Arial" w:cs="Arial" w:eastAsia="Arial" w:hAnsi="Arial"/>
                <w:sz w:val="16"/>
                <w:szCs w:val="16"/>
                <w:color w:val="auto"/>
                <w:w w:val="92"/>
              </w:rPr>
              <w:t>Series B convertible preferred stock - $0.01 par value per share, 100 shares authorized, issued and outstanding at December 31,</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105,086</w:t>
            </w:r>
          </w:p>
        </w:tc>
        <w:tc>
          <w:tcPr>
            <w:tcW w:w="0" w:type="dxa"/>
            <w:vAlign w:val="bottom"/>
          </w:tcPr>
          <w:p>
            <w:pPr>
              <w:spacing w:after="0"/>
              <w:rPr>
                <w:sz w:val="1"/>
                <w:szCs w:val="1"/>
                <w:color w:val="auto"/>
              </w:rPr>
            </w:pPr>
          </w:p>
        </w:tc>
      </w:tr>
      <w:tr>
        <w:trPr>
          <w:trHeight w:val="209"/>
        </w:trPr>
        <w:tc>
          <w:tcPr>
            <w:tcW w:w="8600" w:type="dxa"/>
            <w:vAlign w:val="bottom"/>
          </w:tcPr>
          <w:p>
            <w:pPr>
              <w:ind w:left="14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0" w:type="dxa"/>
            <w:vAlign w:val="bottom"/>
          </w:tcPr>
          <w:p>
            <w:pPr>
              <w:ind w:left="360"/>
              <w:spacing w:after="0" w:line="166" w:lineRule="exact"/>
              <w:rPr>
                <w:sz w:val="20"/>
                <w:szCs w:val="20"/>
                <w:color w:val="auto"/>
              </w:rPr>
            </w:pPr>
            <w:r>
              <w:rPr>
                <w:rFonts w:ascii="Arial" w:cs="Arial" w:eastAsia="Arial" w:hAnsi="Arial"/>
                <w:sz w:val="16"/>
                <w:szCs w:val="16"/>
                <w:color w:val="auto"/>
                <w:w w:val="94"/>
              </w:rPr>
              <w:t>Common stock - $0.01 par value per share, 90,000 shares authorized, 42,686 and 43,034 shares issued and outstanding at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9"/>
        </w:trPr>
        <w:tc>
          <w:tcPr>
            <w:tcW w:w="8600" w:type="dxa"/>
            <w:vAlign w:val="bottom"/>
          </w:tcPr>
          <w:p>
            <w:pPr>
              <w:ind w:left="360"/>
              <w:spacing w:after="0"/>
              <w:rPr>
                <w:sz w:val="20"/>
                <w:szCs w:val="20"/>
                <w:color w:val="auto"/>
              </w:rPr>
            </w:pPr>
            <w:r>
              <w:rPr>
                <w:rFonts w:ascii="Arial" w:cs="Arial" w:eastAsia="Arial" w:hAnsi="Arial"/>
                <w:sz w:val="16"/>
                <w:szCs w:val="16"/>
                <w:color w:val="auto"/>
              </w:rPr>
              <w:t>December 31, 2020, and June 30, 2021, respectively</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477,923</w:t>
            </w:r>
          </w:p>
        </w:tc>
        <w:tc>
          <w:tcPr>
            <w:tcW w:w="1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493,332</w:t>
            </w: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(216,179)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(205,875)</w:t>
            </w:r>
          </w:p>
        </w:tc>
        <w:tc>
          <w:tcPr>
            <w:tcW w:w="0" w:type="dxa"/>
            <w:vAlign w:val="bottom"/>
          </w:tcPr>
          <w:p>
            <w:pPr>
              <w:spacing w:after="0"/>
              <w:rPr>
                <w:sz w:val="1"/>
                <w:szCs w:val="1"/>
                <w:color w:val="auto"/>
              </w:rPr>
            </w:pPr>
          </w:p>
        </w:tc>
      </w:tr>
      <w:tr>
        <w:trPr>
          <w:trHeight w:val="219"/>
        </w:trPr>
        <w:tc>
          <w:tcPr>
            <w:tcW w:w="8600" w:type="dxa"/>
            <w:vAlign w:val="bottom"/>
            <w:shd w:val="clear" w:color="auto" w:fill="BFE4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BFE4FF"/>
          </w:tcPr>
          <w:p>
            <w:pPr>
              <w:spacing w:after="0"/>
              <w:rPr>
                <w:sz w:val="19"/>
                <w:szCs w:val="19"/>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(29,819)</w:t>
            </w:r>
          </w:p>
        </w:tc>
        <w:tc>
          <w:tcPr>
            <w:tcW w:w="120" w:type="dxa"/>
            <w:vAlign w:val="bottom"/>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spacing w:after="0"/>
              <w:rPr>
                <w:sz w:val="19"/>
                <w:szCs w:val="19"/>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(33,732)</w:t>
            </w:r>
          </w:p>
        </w:tc>
        <w:tc>
          <w:tcPr>
            <w:tcW w:w="0" w:type="dxa"/>
            <w:vAlign w:val="bottom"/>
          </w:tcPr>
          <w:p>
            <w:pPr>
              <w:spacing w:after="0"/>
              <w:rPr>
                <w:sz w:val="1"/>
                <w:szCs w:val="1"/>
                <w:color w:val="auto"/>
              </w:rPr>
            </w:pPr>
          </w:p>
        </w:tc>
      </w:tr>
      <w:tr>
        <w:trPr>
          <w:trHeight w:val="206"/>
        </w:trPr>
        <w:tc>
          <w:tcPr>
            <w:tcW w:w="8600" w:type="dxa"/>
            <w:vAlign w:val="bottom"/>
            <w:tcBorders>
              <w:bottom w:val="single" w:sz="8" w:color="BFE4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232,355</w:t>
            </w:r>
          </w:p>
        </w:tc>
        <w:tc>
          <w:tcPr>
            <w:tcW w:w="120" w:type="dxa"/>
            <w:vAlign w:val="bottom"/>
            <w:tcBorders>
              <w:bottom w:val="single" w:sz="8" w:color="BFE4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254,152</w:t>
            </w:r>
          </w:p>
        </w:tc>
        <w:tc>
          <w:tcPr>
            <w:tcW w:w="0" w:type="dxa"/>
            <w:vAlign w:val="bottom"/>
          </w:tcPr>
          <w:p>
            <w:pPr>
              <w:spacing w:after="0"/>
              <w:rPr>
                <w:sz w:val="1"/>
                <w:szCs w:val="1"/>
                <w:color w:val="auto"/>
              </w:rPr>
            </w:pPr>
          </w:p>
        </w:tc>
      </w:tr>
      <w:tr>
        <w:trPr>
          <w:trHeight w:val="235"/>
        </w:trPr>
        <w:tc>
          <w:tcPr>
            <w:tcW w:w="8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liabilities, preferred stock, and stockholders’ equity</w:t>
            </w: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613,583</w:t>
            </w:r>
          </w:p>
        </w:tc>
        <w:tc>
          <w:tcPr>
            <w:tcW w:w="12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jc w:val="right"/>
              <w:ind w:right="16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624,962</w:t>
            </w:r>
          </w:p>
        </w:tc>
        <w:tc>
          <w:tcPr>
            <w:tcW w:w="0" w:type="dxa"/>
            <w:vAlign w:val="bottom"/>
          </w:tcPr>
          <w:p>
            <w:pPr>
              <w:spacing w:after="0"/>
              <w:rPr>
                <w:sz w:val="1"/>
                <w:szCs w:val="1"/>
                <w:color w:val="auto"/>
              </w:rPr>
            </w:pPr>
          </w:p>
        </w:tc>
      </w:tr>
      <w:tr>
        <w:trPr>
          <w:trHeight w:val="20"/>
        </w:trPr>
        <w:tc>
          <w:tcPr>
            <w:tcW w:w="86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7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86"/>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4"/>
        </w:trPr>
        <w:tc>
          <w:tcPr>
            <w:tcW w:w="840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BFE4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w w:val="89"/>
              </w:rPr>
              <w:t>2020</w:t>
            </w:r>
          </w:p>
        </w:tc>
      </w:tr>
      <w:tr>
        <w:trPr>
          <w:trHeight w:val="197"/>
        </w:trPr>
        <w:tc>
          <w:tcPr>
            <w:tcW w:w="8400" w:type="dxa"/>
            <w:vAlign w:val="bottom"/>
            <w:shd w:val="clear" w:color="auto" w:fill="BFE4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BFE4FF"/>
          </w:tcPr>
          <w:p>
            <w:pPr>
              <w:spacing w:after="0"/>
              <w:rPr>
                <w:sz w:val="17"/>
                <w:szCs w:val="17"/>
                <w:color w:val="auto"/>
              </w:rPr>
            </w:pPr>
          </w:p>
        </w:tc>
        <w:tc>
          <w:tcPr>
            <w:tcW w:w="104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520" w:type="dxa"/>
            <w:vAlign w:val="bottom"/>
            <w:shd w:val="clear" w:color="auto" w:fill="BFE4FF"/>
          </w:tcPr>
          <w:p>
            <w:pPr>
              <w:spacing w:after="0"/>
              <w:rPr>
                <w:sz w:val="17"/>
                <w:szCs w:val="17"/>
                <w:color w:val="auto"/>
              </w:rPr>
            </w:pPr>
          </w:p>
        </w:tc>
        <w:tc>
          <w:tcPr>
            <w:tcW w:w="840" w:type="dxa"/>
            <w:vAlign w:val="bottom"/>
            <w:shd w:val="clear" w:color="auto" w:fill="BFE4FF"/>
          </w:tcPr>
          <w:p>
            <w:pPr>
              <w:spacing w:after="0"/>
              <w:rPr>
                <w:sz w:val="17"/>
                <w:szCs w:val="17"/>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(10,304)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(269,939)</w:t>
            </w: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r>
      <w:tr>
        <w:trPr>
          <w:trHeight w:val="213"/>
        </w:trPr>
        <w:tc>
          <w:tcPr>
            <w:tcW w:w="8400" w:type="dxa"/>
            <w:vAlign w:val="bottom"/>
          </w:tcPr>
          <w:p>
            <w:pPr>
              <w:ind w:left="480"/>
              <w:spacing w:after="0"/>
              <w:rPr>
                <w:sz w:val="20"/>
                <w:szCs w:val="20"/>
                <w:color w:val="auto"/>
              </w:rPr>
            </w:pPr>
            <w:r>
              <w:rPr>
                <w:rFonts w:ascii="Arial" w:cs="Arial" w:eastAsia="Arial" w:hAnsi="Arial"/>
                <w:sz w:val="16"/>
                <w:szCs w:val="16"/>
                <w:color w:val="auto"/>
              </w:rPr>
              <w:t>Depreciation and amortization of continuing operations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22,684</w:t>
            </w:r>
          </w:p>
        </w:tc>
      </w:tr>
      <w:tr>
        <w:trPr>
          <w:trHeight w:val="219"/>
        </w:trPr>
        <w:tc>
          <w:tcPr>
            <w:tcW w:w="840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Depreciation and amortization of discontinued operations</w:t>
            </w:r>
          </w:p>
        </w:tc>
        <w:tc>
          <w:tcPr>
            <w:tcW w:w="320" w:type="dxa"/>
            <w:vAlign w:val="bottom"/>
            <w:shd w:val="clear" w:color="auto" w:fill="BFE4FF"/>
          </w:tcPr>
          <w:p>
            <w:pPr>
              <w:spacing w:after="0"/>
              <w:rPr>
                <w:sz w:val="19"/>
                <w:szCs w:val="19"/>
                <w:color w:val="auto"/>
              </w:rPr>
            </w:pPr>
          </w:p>
        </w:tc>
        <w:tc>
          <w:tcPr>
            <w:tcW w:w="116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23,701</w:t>
            </w:r>
          </w:p>
        </w:tc>
      </w:tr>
      <w:tr>
        <w:trPr>
          <w:trHeight w:val="213"/>
        </w:trPr>
        <w:tc>
          <w:tcPr>
            <w:tcW w:w="8400" w:type="dxa"/>
            <w:vAlign w:val="bottom"/>
          </w:tcPr>
          <w:p>
            <w:pPr>
              <w:ind w:left="480"/>
              <w:spacing w:after="0"/>
              <w:rPr>
                <w:sz w:val="20"/>
                <w:szCs w:val="20"/>
                <w:color w:val="auto"/>
              </w:rPr>
            </w:pPr>
            <w:r>
              <w:rPr>
                <w:rFonts w:ascii="Arial" w:cs="Arial" w:eastAsia="Arial" w:hAnsi="Arial"/>
                <w:sz w:val="16"/>
                <w:szCs w:val="16"/>
                <w:color w:val="auto"/>
              </w:rPr>
              <w:t>Amortization of debt issuance costs and discount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3,348</w:t>
            </w:r>
          </w:p>
        </w:tc>
      </w:tr>
      <w:tr>
        <w:trPr>
          <w:trHeight w:val="219"/>
        </w:trPr>
        <w:tc>
          <w:tcPr>
            <w:tcW w:w="8400" w:type="dxa"/>
            <w:vAlign w:val="bottom"/>
            <w:shd w:val="clear" w:color="auto" w:fill="BFE4FF"/>
          </w:tcPr>
          <w:p>
            <w:pPr>
              <w:ind w:left="480"/>
              <w:spacing w:after="0"/>
              <w:rPr>
                <w:sz w:val="20"/>
                <w:szCs w:val="20"/>
                <w:color w:val="auto"/>
              </w:rPr>
            </w:pPr>
            <w:r>
              <w:rPr>
                <w:rFonts w:ascii="Arial" w:cs="Arial" w:eastAsia="Arial" w:hAnsi="Arial"/>
                <w:sz w:val="16"/>
                <w:szCs w:val="16"/>
                <w:color w:val="auto"/>
              </w:rPr>
              <w:t>Goodwill impairment of continuing operations</w:t>
            </w:r>
          </w:p>
        </w:tc>
        <w:tc>
          <w:tcPr>
            <w:tcW w:w="320" w:type="dxa"/>
            <w:vAlign w:val="bottom"/>
            <w:shd w:val="clear" w:color="auto" w:fill="BFE4FF"/>
          </w:tcPr>
          <w:p>
            <w:pPr>
              <w:spacing w:after="0"/>
              <w:rPr>
                <w:sz w:val="19"/>
                <w:szCs w:val="19"/>
                <w:color w:val="auto"/>
              </w:rPr>
            </w:pPr>
          </w:p>
        </w:tc>
        <w:tc>
          <w:tcPr>
            <w:tcW w:w="116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92,942</w:t>
            </w:r>
          </w:p>
        </w:tc>
      </w:tr>
      <w:tr>
        <w:trPr>
          <w:trHeight w:val="213"/>
        </w:trPr>
        <w:tc>
          <w:tcPr>
            <w:tcW w:w="8400" w:type="dxa"/>
            <w:vAlign w:val="bottom"/>
          </w:tcPr>
          <w:p>
            <w:pPr>
              <w:ind w:left="480"/>
              <w:spacing w:after="0"/>
              <w:rPr>
                <w:sz w:val="20"/>
                <w:szCs w:val="20"/>
                <w:color w:val="auto"/>
              </w:rPr>
            </w:pPr>
            <w:r>
              <w:rPr>
                <w:rFonts w:ascii="Arial" w:cs="Arial" w:eastAsia="Arial" w:hAnsi="Arial"/>
                <w:sz w:val="16"/>
                <w:szCs w:val="16"/>
                <w:color w:val="auto"/>
              </w:rPr>
              <w:t>Goodwill impairment of discontinued operations</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146,757</w:t>
            </w:r>
          </w:p>
        </w:tc>
      </w:tr>
      <w:tr>
        <w:trPr>
          <w:trHeight w:val="219"/>
        </w:trPr>
        <w:tc>
          <w:tcPr>
            <w:tcW w:w="8400" w:type="dxa"/>
            <w:vAlign w:val="bottom"/>
            <w:shd w:val="clear" w:color="auto" w:fill="BFE4FF"/>
          </w:tcPr>
          <w:p>
            <w:pPr>
              <w:ind w:left="4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480"/>
              <w:spacing w:after="0"/>
              <w:rPr>
                <w:sz w:val="20"/>
                <w:szCs w:val="20"/>
                <w:color w:val="auto"/>
              </w:rPr>
            </w:pPr>
            <w:r>
              <w:rPr>
                <w:rFonts w:ascii="Arial" w:cs="Arial" w:eastAsia="Arial" w:hAnsi="Arial"/>
                <w:sz w:val="16"/>
                <w:szCs w:val="16"/>
                <w:color w:val="auto"/>
              </w:rPr>
              <w:t>Total derivative loss, net of cash settlements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00" w:type="dxa"/>
            <w:vAlign w:val="bottom"/>
            <w:shd w:val="clear" w:color="auto" w:fill="BFE4FF"/>
          </w:tcPr>
          <w:p>
            <w:pPr>
              <w:ind w:left="480"/>
              <w:spacing w:after="0"/>
              <w:rPr>
                <w:sz w:val="20"/>
                <w:szCs w:val="20"/>
                <w:color w:val="auto"/>
              </w:rPr>
            </w:pPr>
            <w:r>
              <w:rPr>
                <w:rFonts w:ascii="Arial" w:cs="Arial" w:eastAsia="Arial" w:hAnsi="Arial"/>
                <w:sz w:val="16"/>
                <w:szCs w:val="16"/>
                <w:color w:val="auto"/>
              </w:rPr>
              <w:t>Share of net income from joint venture</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(2,614)</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(656)</w:t>
            </w:r>
          </w:p>
        </w:tc>
      </w:tr>
      <w:tr>
        <w:trPr>
          <w:trHeight w:val="213"/>
        </w:trPr>
        <w:tc>
          <w:tcPr>
            <w:tcW w:w="8400" w:type="dxa"/>
            <w:vAlign w:val="bottom"/>
          </w:tcPr>
          <w:p>
            <w:pPr>
              <w:ind w:left="480"/>
              <w:spacing w:after="0"/>
              <w:rPr>
                <w:sz w:val="20"/>
                <w:szCs w:val="20"/>
                <w:color w:val="auto"/>
              </w:rPr>
            </w:pPr>
            <w:r>
              <w:rPr>
                <w:rFonts w:ascii="Arial" w:cs="Arial" w:eastAsia="Arial" w:hAnsi="Arial"/>
                <w:sz w:val="16"/>
                <w:szCs w:val="16"/>
                <w:color w:val="auto"/>
              </w:rPr>
              <w:t>Compensation expense from issuance of share-based awards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19"/>
        </w:trPr>
        <w:tc>
          <w:tcPr>
            <w:tcW w:w="8400" w:type="dxa"/>
            <w:vAlign w:val="bottom"/>
            <w:shd w:val="clear" w:color="auto" w:fill="BFE4FF"/>
          </w:tcPr>
          <w:p>
            <w:pPr>
              <w:ind w:left="4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(3,050)</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(8,889)</w:t>
            </w:r>
          </w:p>
        </w:tc>
      </w:tr>
      <w:tr>
        <w:trPr>
          <w:trHeight w:val="213"/>
        </w:trPr>
        <w:tc>
          <w:tcPr>
            <w:tcW w:w="8400" w:type="dxa"/>
            <w:vAlign w:val="bottom"/>
          </w:tcPr>
          <w:p>
            <w:pPr>
              <w:ind w:left="4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(2,207)</w:t>
            </w:r>
          </w:p>
        </w:tc>
      </w:tr>
      <w:tr>
        <w:trPr>
          <w:trHeight w:val="219"/>
        </w:trPr>
        <w:tc>
          <w:tcPr>
            <w:tcW w:w="8400" w:type="dxa"/>
            <w:vAlign w:val="bottom"/>
            <w:shd w:val="clear" w:color="auto" w:fill="BFE4FF"/>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r>
      <w:tr>
        <w:trPr>
          <w:trHeight w:val="213"/>
        </w:trPr>
        <w:tc>
          <w:tcPr>
            <w:tcW w:w="8400" w:type="dxa"/>
            <w:vAlign w:val="bottom"/>
          </w:tcPr>
          <w:p>
            <w:pPr>
              <w:ind w:left="8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23,485</w:t>
            </w:r>
          </w:p>
        </w:tc>
      </w:tr>
      <w:tr>
        <w:trPr>
          <w:trHeight w:val="219"/>
        </w:trPr>
        <w:tc>
          <w:tcPr>
            <w:tcW w:w="840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(12,052)</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(4,327)</w:t>
            </w:r>
          </w:p>
        </w:tc>
      </w:tr>
      <w:tr>
        <w:trPr>
          <w:trHeight w:val="213"/>
        </w:trPr>
        <w:tc>
          <w:tcPr>
            <w:tcW w:w="8400" w:type="dxa"/>
            <w:vAlign w:val="bottom"/>
          </w:tcPr>
          <w:p>
            <w:pPr>
              <w:ind w:left="8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(12,391)</w:t>
            </w:r>
          </w:p>
        </w:tc>
      </w:tr>
      <w:tr>
        <w:trPr>
          <w:trHeight w:val="219"/>
        </w:trPr>
        <w:tc>
          <w:tcPr>
            <w:tcW w:w="8400" w:type="dxa"/>
            <w:vAlign w:val="bottom"/>
            <w:shd w:val="clear" w:color="auto" w:fill="BFE4FF"/>
          </w:tcPr>
          <w:p>
            <w:pPr>
              <w:ind w:left="880"/>
              <w:spacing w:after="0"/>
              <w:rPr>
                <w:sz w:val="20"/>
                <w:szCs w:val="20"/>
                <w:color w:val="auto"/>
              </w:rPr>
            </w:pPr>
            <w:r>
              <w:rPr>
                <w:rFonts w:ascii="Arial" w:cs="Arial" w:eastAsia="Arial" w:hAnsi="Arial"/>
                <w:sz w:val="16"/>
                <w:szCs w:val="16"/>
                <w:color w:val="auto"/>
              </w:rPr>
              <w:t>Income taxes receivable and payable, net</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(6,326)</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(12,897)</w:t>
            </w:r>
          </w:p>
        </w:tc>
      </w:tr>
      <w:tr>
        <w:trPr>
          <w:trHeight w:val="213"/>
        </w:trPr>
        <w:tc>
          <w:tcPr>
            <w:tcW w:w="8400" w:type="dxa"/>
            <w:vAlign w:val="bottom"/>
            <w:tcBorders>
              <w:bottom w:val="single" w:sz="8" w:color="BFE4FF"/>
            </w:tcBorders>
          </w:tcPr>
          <w:p>
            <w:pPr>
              <w:ind w:left="8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BFE4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11,544</w:t>
            </w:r>
          </w:p>
        </w:tc>
      </w:tr>
      <w:tr>
        <w:trPr>
          <w:trHeight w:val="213"/>
        </w:trPr>
        <w:tc>
          <w:tcPr>
            <w:tcW w:w="840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BFE4FF"/>
          </w:tcPr>
          <w:p>
            <w:pPr>
              <w:spacing w:after="0"/>
              <w:rPr>
                <w:sz w:val="18"/>
                <w:szCs w:val="18"/>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5,898</w:t>
            </w:r>
          </w:p>
        </w:tc>
        <w:tc>
          <w:tcPr>
            <w:tcW w:w="120" w:type="dxa"/>
            <w:vAlign w:val="bottom"/>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spacing w:after="0"/>
              <w:rPr>
                <w:sz w:val="18"/>
                <w:szCs w:val="18"/>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15,862</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Acquisition of property, plant and equipment</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(11,015)</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(15,624)</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3,112</w:t>
            </w: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paid for post-closing adjustments on sale of business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400" w:type="dxa"/>
            <w:vAlign w:val="bottom"/>
            <w:tcBorders>
              <w:bottom w:val="single" w:sz="8" w:color="BFE4FF"/>
            </w:tcBorders>
          </w:tcPr>
          <w:p>
            <w:pPr>
              <w:ind w:left="140"/>
              <w:spacing w:after="0"/>
              <w:rPr>
                <w:sz w:val="20"/>
                <w:szCs w:val="20"/>
                <w:color w:val="auto"/>
              </w:rPr>
            </w:pPr>
            <w:r>
              <w:rPr>
                <w:rFonts w:ascii="Arial" w:cs="Arial" w:eastAsia="Arial" w:hAnsi="Arial"/>
                <w:sz w:val="16"/>
                <w:szCs w:val="16"/>
                <w:color w:val="auto"/>
              </w:rPr>
              <w:t>Cash settlements of interest rate swap</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(15,420)</w:t>
            </w:r>
          </w:p>
        </w:tc>
        <w:tc>
          <w:tcPr>
            <w:tcW w:w="120" w:type="dxa"/>
            <w:vAlign w:val="bottom"/>
            <w:tcBorders>
              <w:bottom w:val="single" w:sz="8" w:color="BFE4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shd w:val="clear" w:color="auto" w:fill="BFE4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BFE4FF"/>
          </w:tcPr>
          <w:p>
            <w:pPr>
              <w:spacing w:after="0"/>
              <w:rPr>
                <w:sz w:val="18"/>
                <w:szCs w:val="18"/>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(30,241)</w:t>
            </w:r>
          </w:p>
        </w:tc>
        <w:tc>
          <w:tcPr>
            <w:tcW w:w="120" w:type="dxa"/>
            <w:vAlign w:val="bottom"/>
            <w:shd w:val="clear" w:color="auto" w:fill="BFE4FF"/>
          </w:tcPr>
          <w:p>
            <w:pPr>
              <w:spacing w:after="0"/>
              <w:rPr>
                <w:sz w:val="18"/>
                <w:szCs w:val="18"/>
                <w:color w:val="auto"/>
              </w:rPr>
            </w:pPr>
          </w:p>
        </w:tc>
        <w:tc>
          <w:tcPr>
            <w:tcW w:w="520" w:type="dxa"/>
            <w:vAlign w:val="bottom"/>
            <w:tcBorders>
              <w:bottom w:val="single" w:sz="8" w:color="auto"/>
            </w:tcBorders>
            <w:shd w:val="clear" w:color="auto" w:fill="BFE4FF"/>
          </w:tcPr>
          <w:p>
            <w:pPr>
              <w:spacing w:after="0"/>
              <w:rPr>
                <w:sz w:val="18"/>
                <w:szCs w:val="18"/>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(12,512)</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paid for debt issuance costs</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(6,981)</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Proceeds from issuance of preferred stock</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61,793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Redemption of preferred stock</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(122,434)</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Proceeds from long-term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156,000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64,716</w:t>
            </w: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Repayments of long-term debt</w:t>
            </w: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(77,442)</w:t>
            </w:r>
          </w:p>
        </w:tc>
        <w:tc>
          <w:tcPr>
            <w:tcW w:w="120" w:type="dxa"/>
            <w:vAlign w:val="bottom"/>
            <w:shd w:val="clear" w:color="auto" w:fill="BFE4FF"/>
          </w:tcPr>
          <w:p>
            <w:pPr>
              <w:spacing w:after="0"/>
              <w:rPr>
                <w:sz w:val="19"/>
                <w:szCs w:val="19"/>
                <w:color w:val="auto"/>
              </w:rPr>
            </w:pPr>
          </w:p>
        </w:tc>
        <w:tc>
          <w:tcPr>
            <w:tcW w:w="52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(9,078)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Repayments of short-term debt,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(2,685)</w:t>
            </w:r>
          </w:p>
        </w:tc>
        <w:tc>
          <w:tcPr>
            <w:tcW w:w="120" w:type="dxa"/>
            <w:vAlign w:val="bottom"/>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spacing w:after="0"/>
              <w:rPr>
                <w:sz w:val="19"/>
                <w:szCs w:val="19"/>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(1,523)</w:t>
            </w:r>
          </w:p>
        </w:tc>
      </w:tr>
      <w:tr>
        <w:trPr>
          <w:trHeight w:val="206"/>
        </w:trPr>
        <w:tc>
          <w:tcPr>
            <w:tcW w:w="8400" w:type="dxa"/>
            <w:vAlign w:val="bottom"/>
            <w:tcBorders>
              <w:bottom w:val="single" w:sz="8" w:color="BFE4FF"/>
            </w:tcBorders>
          </w:tcPr>
          <w:p>
            <w:pPr>
              <w:ind w:left="11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6,930</w:t>
            </w:r>
          </w:p>
        </w:tc>
        <w:tc>
          <w:tcPr>
            <w:tcW w:w="120" w:type="dxa"/>
            <w:vAlign w:val="bottom"/>
            <w:tcBorders>
              <w:bottom w:val="single" w:sz="8" w:color="BFE4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53,418</w:t>
            </w:r>
          </w:p>
        </w:tc>
      </w:tr>
      <w:tr>
        <w:trPr>
          <w:trHeight w:val="213"/>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Effect of exchange rate changes on cash flows</w:t>
            </w:r>
          </w:p>
        </w:tc>
        <w:tc>
          <w:tcPr>
            <w:tcW w:w="32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BFE4FF"/>
          </w:tcPr>
          <w:p>
            <w:pPr>
              <w:spacing w:after="0"/>
              <w:rPr>
                <w:sz w:val="18"/>
                <w:szCs w:val="18"/>
                <w:color w:val="auto"/>
              </w:rPr>
            </w:pPr>
          </w:p>
        </w:tc>
        <w:tc>
          <w:tcPr>
            <w:tcW w:w="520" w:type="dxa"/>
            <w:vAlign w:val="bottom"/>
            <w:shd w:val="clear" w:color="auto" w:fill="BFE4FF"/>
          </w:tcPr>
          <w:p>
            <w:pPr>
              <w:spacing w:after="0"/>
              <w:rPr>
                <w:sz w:val="18"/>
                <w:szCs w:val="18"/>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(5,776)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(16,595)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50,992</w:t>
            </w:r>
          </w:p>
        </w:tc>
      </w:tr>
      <w:tr>
        <w:trPr>
          <w:trHeight w:val="219"/>
        </w:trPr>
        <w:tc>
          <w:tcPr>
            <w:tcW w:w="8400" w:type="dxa"/>
            <w:vAlign w:val="bottom"/>
            <w:shd w:val="clear" w:color="auto" w:fill="BFE4FF"/>
          </w:tcPr>
          <w:p>
            <w:pPr>
              <w:ind w:left="140"/>
              <w:spacing w:after="0"/>
              <w:rPr>
                <w:sz w:val="20"/>
                <w:szCs w:val="20"/>
                <w:color w:val="auto"/>
              </w:rPr>
            </w:pPr>
            <w:r>
              <w:rPr>
                <w:rFonts w:ascii="Arial" w:cs="Arial" w:eastAsia="Arial" w:hAnsi="Arial"/>
                <w:sz w:val="16"/>
                <w:szCs w:val="16"/>
                <w:color w:val="auto"/>
              </w:rPr>
              <w:t>Cash and cash equivalents at beginning of period (1)</w:t>
            </w:r>
          </w:p>
        </w:tc>
        <w:tc>
          <w:tcPr>
            <w:tcW w:w="320" w:type="dxa"/>
            <w:vAlign w:val="bottom"/>
            <w:tcBorders>
              <w:bottom w:val="single" w:sz="8" w:color="auto"/>
            </w:tcBorders>
            <w:shd w:val="clear" w:color="auto" w:fill="BFE4FF"/>
          </w:tcPr>
          <w:p>
            <w:pPr>
              <w:spacing w:after="0"/>
              <w:rPr>
                <w:sz w:val="19"/>
                <w:szCs w:val="19"/>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48,138</w:t>
            </w:r>
          </w:p>
        </w:tc>
        <w:tc>
          <w:tcPr>
            <w:tcW w:w="120" w:type="dxa"/>
            <w:vAlign w:val="bottom"/>
            <w:shd w:val="clear" w:color="auto" w:fill="BFE4FF"/>
          </w:tcPr>
          <w:p>
            <w:pPr>
              <w:spacing w:after="0"/>
              <w:rPr>
                <w:sz w:val="19"/>
                <w:szCs w:val="19"/>
                <w:color w:val="auto"/>
              </w:rPr>
            </w:pPr>
          </w:p>
        </w:tc>
        <w:tc>
          <w:tcPr>
            <w:tcW w:w="520" w:type="dxa"/>
            <w:vAlign w:val="bottom"/>
            <w:tcBorders>
              <w:bottom w:val="single" w:sz="8" w:color="auto"/>
            </w:tcBorders>
            <w:shd w:val="clear" w:color="auto" w:fill="BFE4FF"/>
          </w:tcPr>
          <w:p>
            <w:pPr>
              <w:spacing w:after="0"/>
              <w:rPr>
                <w:sz w:val="19"/>
                <w:szCs w:val="19"/>
                <w:color w:val="auto"/>
              </w:rPr>
            </w:pPr>
          </w:p>
        </w:tc>
        <w:tc>
          <w:tcPr>
            <w:tcW w:w="8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31,703</w:t>
            </w:r>
          </w:p>
        </w:tc>
      </w:tr>
      <w:tr>
        <w:trPr>
          <w:trHeight w:val="206"/>
        </w:trPr>
        <w:tc>
          <w:tcPr>
            <w:tcW w:w="8400" w:type="dxa"/>
            <w:vAlign w:val="bottom"/>
          </w:tcPr>
          <w:p>
            <w:pPr>
              <w:ind w:left="140"/>
              <w:spacing w:after="0"/>
              <w:rPr>
                <w:sz w:val="20"/>
                <w:szCs w:val="20"/>
                <w:color w:val="auto"/>
              </w:rPr>
            </w:pPr>
            <w:r>
              <w:rPr>
                <w:rFonts w:ascii="Arial" w:cs="Arial" w:eastAsia="Arial" w:hAnsi="Arial"/>
                <w:sz w:val="16"/>
                <w:szCs w:val="16"/>
                <w:color w:val="auto"/>
              </w:rPr>
              <w:t>Cash and cash equivalents at end of period (1)</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31,543</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82,695</w:t>
            </w:r>
          </w:p>
        </w:tc>
      </w:tr>
      <w:tr>
        <w:trPr>
          <w:trHeight w:val="24"/>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74" w:lineRule="exact"/>
        <w:rPr>
          <w:sz w:val="20"/>
          <w:szCs w:val="20"/>
          <w:color w:val="auto"/>
        </w:rPr>
      </w:pPr>
    </w:p>
    <w:p>
      <w:pPr>
        <w:ind w:left="900" w:right="60" w:hanging="244"/>
        <w:spacing w:after="0" w:line="258" w:lineRule="auto"/>
        <w:tabs>
          <w:tab w:leader="none" w:pos="873"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Cash and cash equivalents include $12.2 million and $13.8 million of cash and cash equivalents that were included in current assets of discontinued operations as of June 30, 2020, and December 31, 2019, respectively.</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7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Reconciliation of GAAP Income (Loss) from Operations to Non-GAAP Adjusted Income (Loss) from Operations</w:t>
      </w: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$000s</w:t>
            </w:r>
          </w:p>
        </w:tc>
        <w:tc>
          <w:tcPr>
            <w:tcW w:w="220" w:type="dxa"/>
            <w:vAlign w:val="bottom"/>
          </w:tcPr>
          <w:p>
            <w:pPr>
              <w:spacing w:after="0"/>
              <w:rPr>
                <w:sz w:val="16"/>
                <w:szCs w:val="16"/>
                <w:color w:val="auto"/>
              </w:rPr>
            </w:pPr>
          </w:p>
        </w:tc>
        <w:tc>
          <w:tcPr>
            <w:tcW w:w="234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w w:val="98"/>
              </w:rPr>
              <w:t>Three Months Ended June 30,</w:t>
            </w:r>
          </w:p>
        </w:tc>
        <w:tc>
          <w:tcPr>
            <w:tcW w:w="60" w:type="dxa"/>
            <w:vAlign w:val="bottom"/>
          </w:tcPr>
          <w:p>
            <w:pPr>
              <w:spacing w:after="0"/>
              <w:rPr>
                <w:sz w:val="16"/>
                <w:szCs w:val="16"/>
                <w:color w:val="auto"/>
              </w:rPr>
            </w:pPr>
          </w:p>
        </w:tc>
        <w:tc>
          <w:tcPr>
            <w:tcW w:w="2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$000s</w:t>
            </w:r>
          </w:p>
        </w:tc>
        <w:tc>
          <w:tcPr>
            <w:tcW w:w="200" w:type="dxa"/>
            <w:vAlign w:val="bottom"/>
          </w:tcPr>
          <w:p>
            <w:pPr>
              <w:spacing w:after="0"/>
              <w:rPr>
                <w:sz w:val="16"/>
                <w:szCs w:val="16"/>
                <w:color w:val="auto"/>
              </w:rPr>
            </w:pPr>
          </w:p>
        </w:tc>
        <w:tc>
          <w:tcPr>
            <w:tcW w:w="23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w w:val="99"/>
              </w:rPr>
              <w:t>Three Months Ended June 30,</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NN, Inc. Consolidated</w:t>
            </w:r>
          </w:p>
        </w:tc>
        <w:tc>
          <w:tcPr>
            <w:tcW w:w="220" w:type="dxa"/>
            <w:vAlign w:val="bottom"/>
          </w:tcPr>
          <w:p>
            <w:pPr>
              <w:spacing w:after="0"/>
              <w:rPr>
                <w:sz w:val="2"/>
                <w:szCs w:val="2"/>
                <w:color w:val="auto"/>
              </w:rPr>
            </w:pPr>
          </w:p>
        </w:tc>
        <w:tc>
          <w:tcPr>
            <w:tcW w:w="100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vMerge w:val="restart"/>
          </w:tcPr>
          <w:p>
            <w:pPr>
              <w:spacing w:after="0" w:line="155" w:lineRule="exact"/>
              <w:rPr>
                <w:sz w:val="20"/>
                <w:szCs w:val="20"/>
                <w:color w:val="auto"/>
              </w:rPr>
            </w:pPr>
            <w:r>
              <w:rPr>
                <w:rFonts w:ascii="Arial" w:cs="Arial" w:eastAsia="Arial" w:hAnsi="Arial"/>
                <w:sz w:val="14"/>
                <w:szCs w:val="14"/>
                <w:b w:val="1"/>
                <w:bCs w:val="1"/>
                <w:color w:val="auto"/>
              </w:rPr>
              <w:t>Mobile Solutions</w:t>
            </w:r>
          </w:p>
        </w:tc>
        <w:tc>
          <w:tcPr>
            <w:tcW w:w="200" w:type="dxa"/>
            <w:vAlign w:val="bottom"/>
          </w:tcPr>
          <w:p>
            <w:pPr>
              <w:spacing w:after="0"/>
              <w:rPr>
                <w:sz w:val="11"/>
                <w:szCs w:val="11"/>
                <w:color w:val="auto"/>
              </w:rPr>
            </w:pPr>
          </w:p>
        </w:tc>
        <w:tc>
          <w:tcPr>
            <w:tcW w:w="1000" w:type="dxa"/>
            <w:vAlign w:val="bottom"/>
            <w:vMerge w:val="restart"/>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80"/>
        </w:trPr>
        <w:tc>
          <w:tcPr>
            <w:tcW w:w="2780" w:type="dxa"/>
            <w:vAlign w:val="bottom"/>
            <w:tcBorders>
              <w:bottom w:val="single" w:sz="8" w:color="BFE4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80" w:type="dxa"/>
            <w:vAlign w:val="bottom"/>
            <w:tcBorders>
              <w:top w:val="single" w:sz="8" w:color="BFE4FF"/>
            </w:tcBorders>
            <w:shd w:val="clear" w:color="auto" w:fill="BFE4FF"/>
          </w:tcPr>
          <w:p>
            <w:pPr>
              <w:ind w:left="20"/>
              <w:spacing w:after="0" w:line="117" w:lineRule="exact"/>
              <w:rPr>
                <w:sz w:val="20"/>
                <w:szCs w:val="20"/>
                <w:color w:val="auto"/>
              </w:rPr>
            </w:pPr>
            <w:r>
              <w:rPr>
                <w:rFonts w:ascii="Arial" w:cs="Arial" w:eastAsia="Arial" w:hAnsi="Arial"/>
                <w:sz w:val="13"/>
                <w:szCs w:val="13"/>
                <w:color w:val="auto"/>
              </w:rPr>
              <w:t>GAAP income (loss) from operations</w:t>
            </w:r>
          </w:p>
        </w:tc>
        <w:tc>
          <w:tcPr>
            <w:tcW w:w="220" w:type="dxa"/>
            <w:vAlign w:val="bottom"/>
            <w:tcBorders>
              <w:top w:val="single" w:sz="8" w:color="BFE4FF"/>
            </w:tcBorders>
            <w:shd w:val="clear" w:color="auto" w:fill="BFE4FF"/>
          </w:tcPr>
          <w:p>
            <w:pPr>
              <w:jc w:val="right"/>
              <w:ind w:right="70"/>
              <w:spacing w:after="0" w:line="130"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BFE4FF"/>
            </w:tcBorders>
            <w:shd w:val="clear" w:color="auto" w:fill="BFE4FF"/>
          </w:tcPr>
          <w:p>
            <w:pPr>
              <w:jc w:val="right"/>
              <w:ind w:right="69"/>
              <w:spacing w:after="0" w:line="130" w:lineRule="exact"/>
              <w:rPr>
                <w:sz w:val="20"/>
                <w:szCs w:val="20"/>
                <w:color w:val="auto"/>
              </w:rPr>
            </w:pPr>
            <w:r>
              <w:rPr>
                <w:rFonts w:ascii="Arial" w:cs="Arial" w:eastAsia="Arial" w:hAnsi="Arial"/>
                <w:sz w:val="14"/>
                <w:szCs w:val="14"/>
                <w:color w:val="auto"/>
              </w:rPr>
              <w:t>(1,588)</w:t>
            </w:r>
          </w:p>
        </w:tc>
        <w:tc>
          <w:tcPr>
            <w:tcW w:w="100" w:type="dxa"/>
            <w:vAlign w:val="bottom"/>
            <w:tcBorders>
              <w:top w:val="single" w:sz="8" w:color="BFE4FF"/>
            </w:tcBorders>
            <w:shd w:val="clear" w:color="auto" w:fill="BFE4FF"/>
          </w:tcPr>
          <w:p>
            <w:pPr>
              <w:spacing w:after="0"/>
              <w:rPr>
                <w:sz w:val="15"/>
                <w:szCs w:val="15"/>
                <w:color w:val="auto"/>
              </w:rPr>
            </w:pPr>
          </w:p>
        </w:tc>
        <w:tc>
          <w:tcPr>
            <w:tcW w:w="300" w:type="dxa"/>
            <w:vAlign w:val="bottom"/>
            <w:tcBorders>
              <w:top w:val="single" w:sz="8" w:color="BFE4FF"/>
            </w:tcBorders>
            <w:shd w:val="clear" w:color="auto" w:fill="BFE4FF"/>
          </w:tcPr>
          <w:p>
            <w:pPr>
              <w:jc w:val="right"/>
              <w:ind w:right="130"/>
              <w:spacing w:after="0" w:line="130"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BFE4FF"/>
            </w:tcBorders>
            <w:shd w:val="clear" w:color="auto" w:fill="BFE4FF"/>
          </w:tcPr>
          <w:p>
            <w:pPr>
              <w:jc w:val="right"/>
              <w:ind w:right="69"/>
              <w:spacing w:after="0" w:line="130" w:lineRule="exact"/>
              <w:rPr>
                <w:sz w:val="20"/>
                <w:szCs w:val="20"/>
                <w:color w:val="auto"/>
              </w:rPr>
            </w:pPr>
            <w:r>
              <w:rPr>
                <w:rFonts w:ascii="Arial" w:cs="Arial" w:eastAsia="Arial" w:hAnsi="Arial"/>
                <w:sz w:val="14"/>
                <w:szCs w:val="14"/>
                <w:color w:val="auto"/>
              </w:rPr>
              <w:t>(11,177)</w:t>
            </w:r>
          </w:p>
        </w:tc>
        <w:tc>
          <w:tcPr>
            <w:tcW w:w="60" w:type="dxa"/>
            <w:vAlign w:val="bottom"/>
          </w:tcPr>
          <w:p>
            <w:pPr>
              <w:spacing w:after="0"/>
              <w:rPr>
                <w:sz w:val="15"/>
                <w:szCs w:val="15"/>
                <w:color w:val="auto"/>
              </w:rPr>
            </w:pPr>
          </w:p>
        </w:tc>
        <w:tc>
          <w:tcPr>
            <w:tcW w:w="2780" w:type="dxa"/>
            <w:vAlign w:val="bottom"/>
            <w:tcBorders>
              <w:top w:val="single" w:sz="8" w:color="BFE4FF"/>
              <w:bottom w:val="single" w:sz="8" w:color="BFE4FF"/>
            </w:tcBorders>
            <w:shd w:val="clear" w:color="auto" w:fill="BFE4FF"/>
          </w:tcPr>
          <w:p>
            <w:pPr>
              <w:spacing w:after="0" w:line="122" w:lineRule="exact"/>
              <w:rPr>
                <w:sz w:val="20"/>
                <w:szCs w:val="20"/>
                <w:color w:val="auto"/>
              </w:rPr>
            </w:pPr>
            <w:r>
              <w:rPr>
                <w:rFonts w:ascii="Arial" w:cs="Arial" w:eastAsia="Arial" w:hAnsi="Arial"/>
                <w:sz w:val="14"/>
                <w:szCs w:val="14"/>
                <w:color w:val="auto"/>
              </w:rPr>
              <w:t>GAAP income (loss) from operations</w:t>
            </w:r>
          </w:p>
        </w:tc>
        <w:tc>
          <w:tcPr>
            <w:tcW w:w="200" w:type="dxa"/>
            <w:vAlign w:val="bottom"/>
            <w:tcBorders>
              <w:top w:val="single" w:sz="8" w:color="auto"/>
              <w:bottom w:val="single" w:sz="8" w:color="BFE4FF"/>
            </w:tcBorders>
            <w:shd w:val="clear" w:color="auto" w:fill="BFE4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BFE4FF"/>
            </w:tcBorders>
            <w:shd w:val="clear" w:color="auto" w:fill="BFE4FF"/>
          </w:tcPr>
          <w:p>
            <w:pPr>
              <w:jc w:val="right"/>
              <w:ind w:right="108"/>
              <w:spacing w:after="0" w:line="129" w:lineRule="exact"/>
              <w:rPr>
                <w:sz w:val="20"/>
                <w:szCs w:val="20"/>
                <w:color w:val="auto"/>
              </w:rPr>
            </w:pPr>
            <w:r>
              <w:rPr>
                <w:rFonts w:ascii="Arial" w:cs="Arial" w:eastAsia="Arial" w:hAnsi="Arial"/>
                <w:sz w:val="14"/>
                <w:szCs w:val="14"/>
                <w:color w:val="auto"/>
              </w:rPr>
              <w:t>2,509</w:t>
            </w:r>
          </w:p>
        </w:tc>
        <w:tc>
          <w:tcPr>
            <w:tcW w:w="120" w:type="dxa"/>
            <w:vAlign w:val="bottom"/>
            <w:tcBorders>
              <w:top w:val="single" w:sz="8" w:color="BFE4FF"/>
              <w:bottom w:val="single" w:sz="8" w:color="BFE4FF"/>
            </w:tcBorders>
            <w:shd w:val="clear" w:color="auto" w:fill="BFE4FF"/>
          </w:tcPr>
          <w:p>
            <w:pPr>
              <w:spacing w:after="0"/>
              <w:rPr>
                <w:sz w:val="15"/>
                <w:szCs w:val="15"/>
                <w:color w:val="auto"/>
              </w:rPr>
            </w:pPr>
          </w:p>
        </w:tc>
        <w:tc>
          <w:tcPr>
            <w:tcW w:w="280" w:type="dxa"/>
            <w:vAlign w:val="bottom"/>
            <w:tcBorders>
              <w:top w:val="single" w:sz="8" w:color="auto"/>
              <w:bottom w:val="single" w:sz="8" w:color="BFE4FF"/>
            </w:tcBorders>
            <w:shd w:val="clear" w:color="auto" w:fill="BFE4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BFE4FF"/>
            </w:tcBorders>
            <w:shd w:val="clear" w:color="auto" w:fill="BFE4FF"/>
          </w:tcPr>
          <w:p>
            <w:pPr>
              <w:jc w:val="right"/>
              <w:ind w:right="68"/>
              <w:spacing w:after="0" w:line="129" w:lineRule="exact"/>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BFE4FF"/>
            </w:tcBorders>
          </w:tcPr>
          <w:p>
            <w:pPr>
              <w:ind w:left="20"/>
              <w:spacing w:after="0" w:line="137" w:lineRule="exact"/>
              <w:rPr>
                <w:sz w:val="20"/>
                <w:szCs w:val="20"/>
                <w:color w:val="auto"/>
              </w:rPr>
            </w:pPr>
            <w:r>
              <w:rPr>
                <w:rFonts w:ascii="Arial" w:cs="Arial" w:eastAsia="Arial" w:hAnsi="Arial"/>
                <w:sz w:val="14"/>
                <w:szCs w:val="14"/>
                <w:color w:val="auto"/>
              </w:rPr>
              <w:t>Acquisition and transition expense*</w:t>
            </w:r>
          </w:p>
        </w:tc>
        <w:tc>
          <w:tcPr>
            <w:tcW w:w="220" w:type="dxa"/>
            <w:vAlign w:val="bottom"/>
            <w:tcBorders>
              <w:bottom w:val="single" w:sz="8" w:color="BFE4FF"/>
            </w:tcBorders>
          </w:tcPr>
          <w:p>
            <w:pPr>
              <w:spacing w:after="0"/>
              <w:rPr>
                <w:sz w:val="17"/>
                <w:szCs w:val="17"/>
                <w:color w:val="auto"/>
              </w:rPr>
            </w:pPr>
          </w:p>
        </w:tc>
        <w:tc>
          <w:tcPr>
            <w:tcW w:w="1000" w:type="dxa"/>
            <w:vAlign w:val="bottom"/>
            <w:tcBorders>
              <w:bottom w:val="single" w:sz="8" w:color="BFE4FF"/>
            </w:tcBorders>
          </w:tcPr>
          <w:p>
            <w:pPr>
              <w:jc w:val="right"/>
              <w:ind w:right="109"/>
              <w:spacing w:after="0" w:line="150" w:lineRule="exact"/>
              <w:rPr>
                <w:sz w:val="20"/>
                <w:szCs w:val="20"/>
                <w:color w:val="auto"/>
              </w:rPr>
            </w:pPr>
            <w:r>
              <w:rPr>
                <w:rFonts w:ascii="Arial" w:cs="Arial" w:eastAsia="Arial" w:hAnsi="Arial"/>
                <w:sz w:val="14"/>
                <w:szCs w:val="14"/>
                <w:color w:val="auto"/>
              </w:rPr>
              <w:t>1,151</w:t>
            </w:r>
          </w:p>
        </w:tc>
        <w:tc>
          <w:tcPr>
            <w:tcW w:w="100" w:type="dxa"/>
            <w:vAlign w:val="bottom"/>
            <w:tcBorders>
              <w:bottom w:val="single" w:sz="8" w:color="BFE4FF"/>
            </w:tcBorders>
          </w:tcPr>
          <w:p>
            <w:pPr>
              <w:spacing w:after="0"/>
              <w:rPr>
                <w:sz w:val="17"/>
                <w:szCs w:val="17"/>
                <w:color w:val="auto"/>
              </w:rPr>
            </w:pPr>
          </w:p>
        </w:tc>
        <w:tc>
          <w:tcPr>
            <w:tcW w:w="300" w:type="dxa"/>
            <w:vAlign w:val="bottom"/>
            <w:tcBorders>
              <w:bottom w:val="single" w:sz="8" w:color="BFE4FF"/>
            </w:tcBorders>
          </w:tcPr>
          <w:p>
            <w:pPr>
              <w:spacing w:after="0"/>
              <w:rPr>
                <w:sz w:val="17"/>
                <w:szCs w:val="17"/>
                <w:color w:val="auto"/>
              </w:rPr>
            </w:pPr>
          </w:p>
        </w:tc>
        <w:tc>
          <w:tcPr>
            <w:tcW w:w="940" w:type="dxa"/>
            <w:vAlign w:val="bottom"/>
            <w:tcBorders>
              <w:bottom w:val="single" w:sz="8" w:color="BFE4FF"/>
            </w:tcBorders>
          </w:tcPr>
          <w:p>
            <w:pPr>
              <w:jc w:val="right"/>
              <w:ind w:right="109"/>
              <w:spacing w:after="0" w:line="150" w:lineRule="exact"/>
              <w:rPr>
                <w:sz w:val="20"/>
                <w:szCs w:val="20"/>
                <w:color w:val="auto"/>
              </w:rPr>
            </w:pPr>
            <w:r>
              <w:rPr>
                <w:rFonts w:ascii="Arial" w:cs="Arial" w:eastAsia="Arial" w:hAnsi="Arial"/>
                <w:sz w:val="14"/>
                <w:szCs w:val="14"/>
                <w:color w:val="auto"/>
              </w:rPr>
              <w:t>1,858</w:t>
            </w:r>
          </w:p>
        </w:tc>
        <w:tc>
          <w:tcPr>
            <w:tcW w:w="60" w:type="dxa"/>
            <w:vAlign w:val="bottom"/>
          </w:tcPr>
          <w:p>
            <w:pPr>
              <w:spacing w:after="0"/>
              <w:rPr>
                <w:sz w:val="17"/>
                <w:szCs w:val="17"/>
                <w:color w:val="auto"/>
              </w:rPr>
            </w:pPr>
          </w:p>
        </w:tc>
        <w:tc>
          <w:tcPr>
            <w:tcW w:w="2780" w:type="dxa"/>
            <w:vAlign w:val="bottom"/>
          </w:tcPr>
          <w:p>
            <w:pPr>
              <w:spacing w:after="0" w:line="142" w:lineRule="exact"/>
              <w:rPr>
                <w:sz w:val="20"/>
                <w:szCs w:val="20"/>
                <w:color w:val="auto"/>
              </w:rPr>
            </w:pPr>
            <w:r>
              <w:rPr>
                <w:rFonts w:ascii="Arial" w:cs="Arial" w:eastAsia="Arial" w:hAnsi="Arial"/>
                <w:sz w:val="14"/>
                <w:szCs w:val="14"/>
                <w:color w:val="auto"/>
              </w:rPr>
              <w:t>Acquisition and transition expense*</w:t>
            </w:r>
          </w:p>
        </w:tc>
        <w:tc>
          <w:tcPr>
            <w:tcW w:w="200" w:type="dxa"/>
            <w:vAlign w:val="bottom"/>
          </w:tcPr>
          <w:p>
            <w:pPr>
              <w:spacing w:after="0"/>
              <w:rPr>
                <w:sz w:val="17"/>
                <w:szCs w:val="17"/>
                <w:color w:val="auto"/>
              </w:rPr>
            </w:pPr>
          </w:p>
        </w:tc>
        <w:tc>
          <w:tcPr>
            <w:tcW w:w="112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16"/>
        </w:trPr>
        <w:tc>
          <w:tcPr>
            <w:tcW w:w="2780" w:type="dxa"/>
            <w:vAlign w:val="bottom"/>
            <w:shd w:val="clear" w:color="auto" w:fill="BFE4FF"/>
          </w:tcPr>
          <w:p>
            <w:pPr>
              <w:ind w:left="20"/>
              <w:spacing w:after="0" w:line="137" w:lineRule="exact"/>
              <w:rPr>
                <w:sz w:val="20"/>
                <w:szCs w:val="20"/>
                <w:color w:val="auto"/>
              </w:rPr>
            </w:pPr>
            <w:r>
              <w:rPr>
                <w:rFonts w:ascii="Arial" w:cs="Arial" w:eastAsia="Arial" w:hAnsi="Arial"/>
                <w:sz w:val="14"/>
                <w:szCs w:val="14"/>
                <w:color w:val="auto"/>
              </w:rPr>
              <w:t>Amortization of intangibles</w:t>
            </w:r>
          </w:p>
        </w:tc>
        <w:tc>
          <w:tcPr>
            <w:tcW w:w="220" w:type="dxa"/>
            <w:vAlign w:val="bottom"/>
            <w:tcBorders>
              <w:bottom w:val="single" w:sz="8" w:color="auto"/>
            </w:tcBorders>
            <w:shd w:val="clear" w:color="auto" w:fill="BFE4FF"/>
          </w:tcPr>
          <w:p>
            <w:pPr>
              <w:spacing w:after="0"/>
              <w:rPr>
                <w:sz w:val="18"/>
                <w:szCs w:val="18"/>
                <w:color w:val="auto"/>
              </w:rPr>
            </w:pPr>
          </w:p>
        </w:tc>
        <w:tc>
          <w:tcPr>
            <w:tcW w:w="1000" w:type="dxa"/>
            <w:vAlign w:val="bottom"/>
            <w:tcBorders>
              <w:bottom w:val="single" w:sz="8" w:color="auto"/>
            </w:tcBorders>
            <w:shd w:val="clear" w:color="auto" w:fill="BFE4FF"/>
          </w:tcPr>
          <w:p>
            <w:pPr>
              <w:jc w:val="right"/>
              <w:ind w:right="109"/>
              <w:spacing w:after="0" w:line="150" w:lineRule="exact"/>
              <w:rPr>
                <w:sz w:val="20"/>
                <w:szCs w:val="20"/>
                <w:color w:val="auto"/>
              </w:rPr>
            </w:pPr>
            <w:r>
              <w:rPr>
                <w:rFonts w:ascii="Arial" w:cs="Arial" w:eastAsia="Arial" w:hAnsi="Arial"/>
                <w:sz w:val="14"/>
                <w:szCs w:val="14"/>
                <w:color w:val="auto"/>
              </w:rPr>
              <w:t>3,588</w:t>
            </w:r>
          </w:p>
        </w:tc>
        <w:tc>
          <w:tcPr>
            <w:tcW w:w="100" w:type="dxa"/>
            <w:vAlign w:val="bottom"/>
            <w:shd w:val="clear" w:color="auto" w:fill="BFE4FF"/>
          </w:tcPr>
          <w:p>
            <w:pPr>
              <w:spacing w:after="0"/>
              <w:rPr>
                <w:sz w:val="18"/>
                <w:szCs w:val="18"/>
                <w:color w:val="auto"/>
              </w:rPr>
            </w:pPr>
          </w:p>
        </w:tc>
        <w:tc>
          <w:tcPr>
            <w:tcW w:w="300" w:type="dxa"/>
            <w:vAlign w:val="bottom"/>
            <w:tcBorders>
              <w:bottom w:val="single" w:sz="8" w:color="auto"/>
            </w:tcBorders>
            <w:shd w:val="clear" w:color="auto" w:fill="BFE4FF"/>
          </w:tcPr>
          <w:p>
            <w:pPr>
              <w:spacing w:after="0"/>
              <w:rPr>
                <w:sz w:val="18"/>
                <w:szCs w:val="18"/>
                <w:color w:val="auto"/>
              </w:rPr>
            </w:pPr>
          </w:p>
        </w:tc>
        <w:tc>
          <w:tcPr>
            <w:tcW w:w="940" w:type="dxa"/>
            <w:vAlign w:val="bottom"/>
            <w:tcBorders>
              <w:bottom w:val="single" w:sz="8" w:color="auto"/>
            </w:tcBorders>
            <w:shd w:val="clear" w:color="auto" w:fill="BFE4FF"/>
          </w:tcPr>
          <w:p>
            <w:pPr>
              <w:jc w:val="right"/>
              <w:ind w:right="109"/>
              <w:spacing w:after="0" w:line="150" w:lineRule="exact"/>
              <w:rPr>
                <w:sz w:val="20"/>
                <w:szCs w:val="20"/>
                <w:color w:val="auto"/>
              </w:rPr>
            </w:pPr>
            <w:r>
              <w:rPr>
                <w:rFonts w:ascii="Arial" w:cs="Arial" w:eastAsia="Arial" w:hAnsi="Arial"/>
                <w:sz w:val="14"/>
                <w:szCs w:val="14"/>
                <w:color w:val="auto"/>
              </w:rPr>
              <w:t>3,587</w:t>
            </w:r>
          </w:p>
        </w:tc>
        <w:tc>
          <w:tcPr>
            <w:tcW w:w="60" w:type="dxa"/>
            <w:vAlign w:val="bottom"/>
          </w:tcPr>
          <w:p>
            <w:pPr>
              <w:spacing w:after="0"/>
              <w:rPr>
                <w:sz w:val="18"/>
                <w:szCs w:val="18"/>
                <w:color w:val="auto"/>
              </w:rPr>
            </w:pPr>
          </w:p>
        </w:tc>
        <w:tc>
          <w:tcPr>
            <w:tcW w:w="2780" w:type="dxa"/>
            <w:vAlign w:val="bottom"/>
            <w:tcBorders>
              <w:bottom w:val="single" w:sz="8" w:color="BFE4FF"/>
            </w:tcBorders>
            <w:shd w:val="clear" w:color="auto" w:fill="BFE4FF"/>
          </w:tcPr>
          <w:p>
            <w:pPr>
              <w:spacing w:after="0" w:line="142" w:lineRule="exact"/>
              <w:rPr>
                <w:sz w:val="20"/>
                <w:szCs w:val="20"/>
                <w:color w:val="auto"/>
              </w:rPr>
            </w:pPr>
            <w:r>
              <w:rPr>
                <w:rFonts w:ascii="Arial" w:cs="Arial" w:eastAsia="Arial" w:hAnsi="Arial"/>
                <w:sz w:val="14"/>
                <w:szCs w:val="14"/>
                <w:color w:val="auto"/>
              </w:rPr>
              <w:t>Amortization of intangibles</w:t>
            </w:r>
          </w:p>
        </w:tc>
        <w:tc>
          <w:tcPr>
            <w:tcW w:w="200" w:type="dxa"/>
            <w:vAlign w:val="bottom"/>
            <w:tcBorders>
              <w:bottom w:val="single" w:sz="8" w:color="BFE4FF"/>
            </w:tcBorders>
            <w:shd w:val="clear" w:color="auto" w:fill="BFE4FF"/>
          </w:tcPr>
          <w:p>
            <w:pPr>
              <w:spacing w:after="0"/>
              <w:rPr>
                <w:sz w:val="18"/>
                <w:szCs w:val="18"/>
                <w:color w:val="auto"/>
              </w:rPr>
            </w:pPr>
          </w:p>
        </w:tc>
        <w:tc>
          <w:tcPr>
            <w:tcW w:w="1000" w:type="dxa"/>
            <w:vAlign w:val="bottom"/>
            <w:tcBorders>
              <w:bottom w:val="single" w:sz="8" w:color="BFE4FF"/>
            </w:tcBorders>
            <w:shd w:val="clear" w:color="auto" w:fill="BFE4FF"/>
          </w:tcPr>
          <w:p>
            <w:pPr>
              <w:jc w:val="right"/>
              <w:ind w:right="108"/>
              <w:spacing w:after="0" w:line="142" w:lineRule="exact"/>
              <w:rPr>
                <w:sz w:val="20"/>
                <w:szCs w:val="20"/>
                <w:color w:val="auto"/>
              </w:rPr>
            </w:pPr>
            <w:r>
              <w:rPr>
                <w:rFonts w:ascii="Arial" w:cs="Arial" w:eastAsia="Arial" w:hAnsi="Arial"/>
                <w:sz w:val="14"/>
                <w:szCs w:val="14"/>
                <w:color w:val="auto"/>
              </w:rPr>
              <w:t>839</w:t>
            </w:r>
          </w:p>
        </w:tc>
        <w:tc>
          <w:tcPr>
            <w:tcW w:w="120" w:type="dxa"/>
            <w:vAlign w:val="bottom"/>
            <w:tcBorders>
              <w:bottom w:val="single" w:sz="8" w:color="BFE4FF"/>
            </w:tcBorders>
            <w:shd w:val="clear" w:color="auto" w:fill="BFE4FF"/>
          </w:tcPr>
          <w:p>
            <w:pPr>
              <w:spacing w:after="0"/>
              <w:rPr>
                <w:sz w:val="18"/>
                <w:szCs w:val="18"/>
                <w:color w:val="auto"/>
              </w:rPr>
            </w:pPr>
          </w:p>
        </w:tc>
        <w:tc>
          <w:tcPr>
            <w:tcW w:w="280" w:type="dxa"/>
            <w:vAlign w:val="bottom"/>
            <w:tcBorders>
              <w:bottom w:val="single" w:sz="8" w:color="BFE4FF"/>
            </w:tcBorders>
            <w:shd w:val="clear" w:color="auto" w:fill="BFE4FF"/>
          </w:tcPr>
          <w:p>
            <w:pPr>
              <w:spacing w:after="0"/>
              <w:rPr>
                <w:sz w:val="18"/>
                <w:szCs w:val="18"/>
                <w:color w:val="auto"/>
              </w:rPr>
            </w:pPr>
          </w:p>
        </w:tc>
        <w:tc>
          <w:tcPr>
            <w:tcW w:w="940" w:type="dxa"/>
            <w:vAlign w:val="bottom"/>
            <w:tcBorders>
              <w:bottom w:val="single" w:sz="8" w:color="BFE4FF"/>
            </w:tcBorders>
            <w:shd w:val="clear" w:color="auto" w:fill="BFE4FF"/>
          </w:tcPr>
          <w:p>
            <w:pPr>
              <w:jc w:val="right"/>
              <w:ind w:right="108"/>
              <w:spacing w:after="0" w:line="142"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96"/>
        </w:trPr>
        <w:tc>
          <w:tcPr>
            <w:tcW w:w="2780" w:type="dxa"/>
            <w:vAlign w:val="bottom"/>
          </w:tcPr>
          <w:p>
            <w:pPr>
              <w:ind w:left="20"/>
              <w:spacing w:after="0" w:line="96" w:lineRule="exact"/>
              <w:rPr>
                <w:sz w:val="20"/>
                <w:szCs w:val="20"/>
                <w:color w:val="auto"/>
              </w:rPr>
            </w:pPr>
            <w:r>
              <w:rPr>
                <w:rFonts w:ascii="Arial" w:cs="Arial" w:eastAsia="Arial" w:hAnsi="Arial"/>
                <w:sz w:val="11"/>
                <w:szCs w:val="11"/>
                <w:color w:val="auto"/>
              </w:rPr>
              <w:t>Non-GAAP adjusted income (loss) from</w:t>
            </w:r>
          </w:p>
        </w:tc>
        <w:tc>
          <w:tcPr>
            <w:tcW w:w="220" w:type="dxa"/>
            <w:vAlign w:val="bottom"/>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109"/>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8"/>
                <w:szCs w:val="8"/>
                <w:color w:val="auto"/>
              </w:rPr>
            </w:pPr>
          </w:p>
        </w:tc>
        <w:tc>
          <w:tcPr>
            <w:tcW w:w="3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(5,732)</w:t>
            </w:r>
          </w:p>
        </w:tc>
        <w:tc>
          <w:tcPr>
            <w:tcW w:w="60" w:type="dxa"/>
            <w:vAlign w:val="bottom"/>
          </w:tcPr>
          <w:p>
            <w:pPr>
              <w:spacing w:after="0"/>
              <w:rPr>
                <w:sz w:val="8"/>
                <w:szCs w:val="8"/>
                <w:color w:val="auto"/>
              </w:rPr>
            </w:pPr>
          </w:p>
        </w:tc>
        <w:tc>
          <w:tcPr>
            <w:tcW w:w="2780" w:type="dxa"/>
            <w:vAlign w:val="bottom"/>
            <w:vMerge w:val="restart"/>
          </w:tcPr>
          <w:p>
            <w:pPr>
              <w:spacing w:after="0" w:line="151" w:lineRule="exact"/>
              <w:rPr>
                <w:sz w:val="20"/>
                <w:szCs w:val="20"/>
                <w:color w:val="auto"/>
              </w:rPr>
            </w:pPr>
            <w:r>
              <w:rPr>
                <w:rFonts w:ascii="Arial" w:cs="Arial" w:eastAsia="Arial" w:hAnsi="Arial"/>
                <w:sz w:val="14"/>
                <w:szCs w:val="14"/>
                <w:color w:val="auto"/>
              </w:rPr>
              <w:t>Non-GAAP adjusted income (loss) from</w:t>
            </w: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780" w:type="dxa"/>
            <w:vAlign w:val="bottom"/>
            <w:vMerge w:val="restart"/>
          </w:tcPr>
          <w:p>
            <w:pPr>
              <w:ind w:left="20"/>
              <w:spacing w:after="0"/>
              <w:rPr>
                <w:sz w:val="20"/>
                <w:szCs w:val="20"/>
                <w:color w:val="auto"/>
              </w:rPr>
            </w:pPr>
            <w:r>
              <w:rPr>
                <w:rFonts w:ascii="Arial" w:cs="Arial" w:eastAsia="Arial" w:hAnsi="Arial"/>
                <w:sz w:val="14"/>
                <w:szCs w:val="14"/>
                <w:color w:val="auto"/>
              </w:rPr>
              <w:t>operations (a)</w:t>
            </w:r>
          </w:p>
        </w:tc>
        <w:tc>
          <w:tcPr>
            <w:tcW w:w="2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780" w:type="dxa"/>
            <w:vAlign w:val="bottom"/>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vMerge w:val="restart"/>
          </w:tcPr>
          <w:p>
            <w:pPr>
              <w:spacing w:after="0" w:line="134" w:lineRule="exact"/>
              <w:rPr>
                <w:sz w:val="20"/>
                <w:szCs w:val="20"/>
                <w:color w:val="auto"/>
              </w:rPr>
            </w:pPr>
            <w:r>
              <w:rPr>
                <w:rFonts w:ascii="Arial" w:cs="Arial" w:eastAsia="Arial" w:hAnsi="Arial"/>
                <w:sz w:val="14"/>
                <w:szCs w:val="14"/>
                <w:color w:val="auto"/>
              </w:rPr>
              <w:t>operations (a)</w:t>
            </w:r>
          </w:p>
        </w:tc>
        <w:tc>
          <w:tcPr>
            <w:tcW w:w="200" w:type="dxa"/>
            <w:vAlign w:val="bottom"/>
          </w:tcPr>
          <w:p>
            <w:pPr>
              <w:spacing w:after="0"/>
              <w:rPr>
                <w:sz w:val="11"/>
                <w:szCs w:val="11"/>
                <w:color w:val="auto"/>
              </w:rPr>
            </w:pPr>
          </w:p>
        </w:tc>
        <w:tc>
          <w:tcPr>
            <w:tcW w:w="1000" w:type="dxa"/>
            <w:vAlign w:val="bottom"/>
            <w:vMerge w:val="restart"/>
          </w:tcPr>
          <w:p>
            <w:pPr>
              <w:jc w:val="right"/>
              <w:ind w:right="108"/>
              <w:spacing w:after="0" w:line="134" w:lineRule="exact"/>
              <w:rPr>
                <w:sz w:val="20"/>
                <w:szCs w:val="20"/>
                <w:color w:val="auto"/>
              </w:rPr>
            </w:pPr>
            <w:r>
              <w:rPr>
                <w:rFonts w:ascii="Arial" w:cs="Arial" w:eastAsia="Arial" w:hAnsi="Arial"/>
                <w:sz w:val="14"/>
                <w:szCs w:val="14"/>
                <w:color w:val="auto"/>
              </w:rPr>
              <w:t>3,348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68"/>
              <w:spacing w:after="0" w:line="134" w:lineRule="exact"/>
              <w:rPr>
                <w:sz w:val="20"/>
                <w:szCs w:val="20"/>
                <w:color w:val="auto"/>
              </w:rPr>
            </w:pPr>
            <w:r>
              <w:rPr>
                <w:rFonts w:ascii="Arial" w:cs="Arial" w:eastAsia="Arial" w:hAnsi="Arial"/>
                <w:sz w:val="14"/>
                <w:szCs w:val="14"/>
                <w:color w:val="auto"/>
              </w:rPr>
              <w:t>(3,409)</w:t>
            </w:r>
          </w:p>
        </w:tc>
        <w:tc>
          <w:tcPr>
            <w:tcW w:w="0" w:type="dxa"/>
            <w:vAlign w:val="bottom"/>
          </w:tcPr>
          <w:p>
            <w:pPr>
              <w:spacing w:after="0"/>
              <w:rPr>
                <w:sz w:val="1"/>
                <w:szCs w:val="1"/>
                <w:color w:val="auto"/>
              </w:rPr>
            </w:pPr>
          </w:p>
        </w:tc>
      </w:tr>
      <w:tr>
        <w:trPr>
          <w:trHeight w:val="61"/>
        </w:trPr>
        <w:tc>
          <w:tcPr>
            <w:tcW w:w="2780" w:type="dxa"/>
            <w:vAlign w:val="bottom"/>
            <w:tcBorders>
              <w:bottom w:val="single" w:sz="8" w:color="BFE4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80" w:type="dxa"/>
            <w:vAlign w:val="bottom"/>
            <w:tcBorders>
              <w:top w:val="single" w:sz="8" w:color="BFE4FF"/>
            </w:tcBorders>
            <w:shd w:val="clear" w:color="auto" w:fill="BFE4FF"/>
          </w:tcPr>
          <w:p>
            <w:pPr>
              <w:spacing w:after="0"/>
              <w:rPr>
                <w:sz w:val="15"/>
                <w:szCs w:val="15"/>
                <w:color w:val="auto"/>
              </w:rPr>
            </w:pPr>
          </w:p>
        </w:tc>
        <w:tc>
          <w:tcPr>
            <w:tcW w:w="220" w:type="dxa"/>
            <w:vAlign w:val="bottom"/>
            <w:tcBorders>
              <w:top w:val="single" w:sz="8" w:color="BFE4FF"/>
            </w:tcBorders>
            <w:shd w:val="clear" w:color="auto" w:fill="BFE4FF"/>
          </w:tcPr>
          <w:p>
            <w:pPr>
              <w:spacing w:after="0"/>
              <w:rPr>
                <w:sz w:val="15"/>
                <w:szCs w:val="15"/>
                <w:color w:val="auto"/>
              </w:rPr>
            </w:pPr>
          </w:p>
        </w:tc>
        <w:tc>
          <w:tcPr>
            <w:tcW w:w="10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BFE4FF"/>
            </w:tcBorders>
            <w:shd w:val="clear" w:color="auto" w:fill="BFE4FF"/>
          </w:tcPr>
          <w:p>
            <w:pPr>
              <w:spacing w:after="0"/>
              <w:rPr>
                <w:sz w:val="15"/>
                <w:szCs w:val="15"/>
                <w:color w:val="auto"/>
              </w:rPr>
            </w:pPr>
          </w:p>
        </w:tc>
        <w:tc>
          <w:tcPr>
            <w:tcW w:w="300" w:type="dxa"/>
            <w:vAlign w:val="bottom"/>
            <w:tcBorders>
              <w:top w:val="single" w:sz="8" w:color="BFE4FF"/>
            </w:tcBorders>
            <w:shd w:val="clear" w:color="auto" w:fill="BFE4FF"/>
          </w:tcPr>
          <w:p>
            <w:pPr>
              <w:spacing w:after="0"/>
              <w:rPr>
                <w:sz w:val="15"/>
                <w:szCs w:val="15"/>
                <w:color w:val="auto"/>
              </w:rPr>
            </w:pPr>
          </w:p>
        </w:tc>
        <w:tc>
          <w:tcPr>
            <w:tcW w:w="940" w:type="dxa"/>
            <w:vAlign w:val="bottom"/>
            <w:tcBorders>
              <w:top w:val="single" w:sz="8" w:color="BFE4FF"/>
            </w:tcBorders>
            <w:shd w:val="clear" w:color="auto" w:fill="BFE4FF"/>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BFE4FF"/>
              <w:bottom w:val="single" w:sz="8" w:color="BFE4FF"/>
            </w:tcBorders>
            <w:shd w:val="clear" w:color="auto" w:fill="BFE4FF"/>
          </w:tcPr>
          <w:p>
            <w:pPr>
              <w:spacing w:after="0"/>
              <w:rPr>
                <w:sz w:val="15"/>
                <w:szCs w:val="15"/>
                <w:color w:val="auto"/>
              </w:rPr>
            </w:pPr>
          </w:p>
        </w:tc>
        <w:tc>
          <w:tcPr>
            <w:tcW w:w="200" w:type="dxa"/>
            <w:vAlign w:val="bottom"/>
            <w:tcBorders>
              <w:top w:val="single" w:sz="8" w:color="auto"/>
              <w:bottom w:val="single" w:sz="8" w:color="BFE4FF"/>
            </w:tcBorders>
            <w:shd w:val="clear" w:color="auto" w:fill="BFE4FF"/>
          </w:tcPr>
          <w:p>
            <w:pPr>
              <w:spacing w:after="0"/>
              <w:rPr>
                <w:sz w:val="15"/>
                <w:szCs w:val="15"/>
                <w:color w:val="auto"/>
              </w:rPr>
            </w:pPr>
          </w:p>
        </w:tc>
        <w:tc>
          <w:tcPr>
            <w:tcW w:w="1000" w:type="dxa"/>
            <w:vAlign w:val="bottom"/>
            <w:tcBorders>
              <w:top w:val="single" w:sz="8" w:color="auto"/>
              <w:bottom w:val="single" w:sz="8" w:color="BFE4FF"/>
            </w:tcBorders>
            <w:shd w:val="clear" w:color="auto" w:fill="BFE4FF"/>
          </w:tcPr>
          <w:p>
            <w:pPr>
              <w:spacing w:after="0"/>
              <w:rPr>
                <w:sz w:val="15"/>
                <w:szCs w:val="15"/>
                <w:color w:val="auto"/>
              </w:rPr>
            </w:pPr>
          </w:p>
        </w:tc>
        <w:tc>
          <w:tcPr>
            <w:tcW w:w="120" w:type="dxa"/>
            <w:vAlign w:val="bottom"/>
            <w:tcBorders>
              <w:top w:val="single" w:sz="8" w:color="BFE4FF"/>
              <w:bottom w:val="single" w:sz="8" w:color="BFE4FF"/>
            </w:tcBorders>
            <w:shd w:val="clear" w:color="auto" w:fill="BFE4FF"/>
          </w:tcPr>
          <w:p>
            <w:pPr>
              <w:spacing w:after="0"/>
              <w:rPr>
                <w:sz w:val="15"/>
                <w:szCs w:val="15"/>
                <w:color w:val="auto"/>
              </w:rPr>
            </w:pPr>
          </w:p>
        </w:tc>
        <w:tc>
          <w:tcPr>
            <w:tcW w:w="280" w:type="dxa"/>
            <w:vAlign w:val="bottom"/>
            <w:tcBorders>
              <w:top w:val="single" w:sz="8" w:color="auto"/>
              <w:bottom w:val="single" w:sz="8" w:color="BFE4FF"/>
            </w:tcBorders>
            <w:shd w:val="clear" w:color="auto" w:fill="BFE4FF"/>
          </w:tcPr>
          <w:p>
            <w:pPr>
              <w:spacing w:after="0"/>
              <w:rPr>
                <w:sz w:val="15"/>
                <w:szCs w:val="15"/>
                <w:color w:val="auto"/>
              </w:rPr>
            </w:pPr>
          </w:p>
        </w:tc>
        <w:tc>
          <w:tcPr>
            <w:tcW w:w="940" w:type="dxa"/>
            <w:vAlign w:val="bottom"/>
            <w:tcBorders>
              <w:top w:val="single" w:sz="8" w:color="auto"/>
              <w:bottom w:val="single" w:sz="8" w:color="BFE4FF"/>
            </w:tcBorders>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BFE4FF"/>
            </w:tcBorders>
          </w:tcPr>
          <w:p>
            <w:pPr>
              <w:ind w:left="20"/>
              <w:spacing w:after="0" w:line="137" w:lineRule="exact"/>
              <w:rPr>
                <w:sz w:val="20"/>
                <w:szCs w:val="20"/>
                <w:color w:val="auto"/>
              </w:rPr>
            </w:pPr>
            <w:r>
              <w:rPr>
                <w:rFonts w:ascii="Arial" w:cs="Arial" w:eastAsia="Arial" w:hAnsi="Arial"/>
                <w:sz w:val="14"/>
                <w:szCs w:val="14"/>
                <w:color w:val="auto"/>
              </w:rPr>
              <w:t>Non-GAAP adjusted operating margin (1)</w:t>
            </w:r>
          </w:p>
        </w:tc>
        <w:tc>
          <w:tcPr>
            <w:tcW w:w="220" w:type="dxa"/>
            <w:vAlign w:val="bottom"/>
            <w:tcBorders>
              <w:bottom w:val="single" w:sz="8" w:color="BFE4FF"/>
            </w:tcBorders>
          </w:tcPr>
          <w:p>
            <w:pPr>
              <w:spacing w:after="0"/>
              <w:rPr>
                <w:sz w:val="16"/>
                <w:szCs w:val="16"/>
                <w:color w:val="auto"/>
              </w:rPr>
            </w:pPr>
          </w:p>
        </w:tc>
        <w:tc>
          <w:tcPr>
            <w:tcW w:w="1000" w:type="dxa"/>
            <w:vAlign w:val="bottom"/>
            <w:tcBorders>
              <w:bottom w:val="single" w:sz="8" w:color="BFE4FF"/>
            </w:tcBorders>
          </w:tcPr>
          <w:p>
            <w:pPr>
              <w:jc w:val="right"/>
              <w:spacing w:after="0" w:line="137" w:lineRule="exact"/>
              <w:rPr>
                <w:sz w:val="20"/>
                <w:szCs w:val="20"/>
                <w:color w:val="auto"/>
              </w:rPr>
            </w:pPr>
            <w:r>
              <w:rPr>
                <w:rFonts w:ascii="Arial" w:cs="Arial" w:eastAsia="Arial" w:hAnsi="Arial"/>
                <w:sz w:val="14"/>
                <w:szCs w:val="14"/>
                <w:color w:val="auto"/>
              </w:rPr>
              <w:t>2.6 %</w:t>
            </w:r>
          </w:p>
        </w:tc>
        <w:tc>
          <w:tcPr>
            <w:tcW w:w="100" w:type="dxa"/>
            <w:vAlign w:val="bottom"/>
            <w:tcBorders>
              <w:bottom w:val="single" w:sz="8" w:color="BFE4FF"/>
            </w:tcBorders>
          </w:tcPr>
          <w:p>
            <w:pPr>
              <w:spacing w:after="0"/>
              <w:rPr>
                <w:sz w:val="16"/>
                <w:szCs w:val="16"/>
                <w:color w:val="auto"/>
              </w:rPr>
            </w:pPr>
          </w:p>
        </w:tc>
        <w:tc>
          <w:tcPr>
            <w:tcW w:w="300" w:type="dxa"/>
            <w:vAlign w:val="bottom"/>
            <w:tcBorders>
              <w:bottom w:val="single" w:sz="8" w:color="BFE4FF"/>
            </w:tcBorders>
          </w:tcPr>
          <w:p>
            <w:pPr>
              <w:spacing w:after="0"/>
              <w:rPr>
                <w:sz w:val="16"/>
                <w:szCs w:val="16"/>
                <w:color w:val="auto"/>
              </w:rPr>
            </w:pPr>
          </w:p>
        </w:tc>
        <w:tc>
          <w:tcPr>
            <w:tcW w:w="940" w:type="dxa"/>
            <w:vAlign w:val="bottom"/>
            <w:tcBorders>
              <w:bottom w:val="single" w:sz="8" w:color="BFE4FF"/>
            </w:tcBorders>
          </w:tcPr>
          <w:p>
            <w:pPr>
              <w:jc w:val="right"/>
              <w:spacing w:after="0" w:line="137" w:lineRule="exact"/>
              <w:rPr>
                <w:sz w:val="20"/>
                <w:szCs w:val="20"/>
                <w:color w:val="auto"/>
              </w:rPr>
            </w:pPr>
            <w:r>
              <w:rPr>
                <w:rFonts w:ascii="Arial" w:cs="Arial" w:eastAsia="Arial" w:hAnsi="Arial"/>
                <w:sz w:val="14"/>
                <w:szCs w:val="14"/>
                <w:color w:val="auto"/>
              </w:rPr>
              <w:t>(7.3)%</w:t>
            </w:r>
          </w:p>
        </w:tc>
        <w:tc>
          <w:tcPr>
            <w:tcW w:w="60" w:type="dxa"/>
            <w:vAlign w:val="bottom"/>
          </w:tcPr>
          <w:p>
            <w:pPr>
              <w:spacing w:after="0"/>
              <w:rPr>
                <w:sz w:val="16"/>
                <w:szCs w:val="16"/>
                <w:color w:val="auto"/>
              </w:rPr>
            </w:pPr>
          </w:p>
        </w:tc>
        <w:tc>
          <w:tcPr>
            <w:tcW w:w="2780" w:type="dxa"/>
            <w:vAlign w:val="bottom"/>
            <w:tcBorders>
              <w:bottom w:val="single" w:sz="8" w:color="BFE4FF"/>
            </w:tcBorders>
          </w:tcPr>
          <w:p>
            <w:pPr>
              <w:spacing w:after="0"/>
              <w:rPr>
                <w:sz w:val="20"/>
                <w:szCs w:val="20"/>
                <w:color w:val="auto"/>
              </w:rPr>
            </w:pPr>
            <w:r>
              <w:rPr>
                <w:rFonts w:ascii="Arial" w:cs="Arial" w:eastAsia="Arial" w:hAnsi="Arial"/>
                <w:sz w:val="14"/>
                <w:szCs w:val="14"/>
                <w:color w:val="auto"/>
              </w:rPr>
              <w:t>Share of net income from joint venture</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1,219</w:t>
            </w:r>
          </w:p>
        </w:tc>
        <w:tc>
          <w:tcPr>
            <w:tcW w:w="12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9"/>
        </w:trPr>
        <w:tc>
          <w:tcPr>
            <w:tcW w:w="2780" w:type="dxa"/>
            <w:vAlign w:val="bottom"/>
            <w:tcBorders>
              <w:bottom w:val="single" w:sz="8" w:color="BFE4FF"/>
            </w:tcBorders>
            <w:shd w:val="clear" w:color="auto" w:fill="BFE4FF"/>
          </w:tcPr>
          <w:p>
            <w:pPr>
              <w:ind w:left="20"/>
              <w:spacing w:after="0" w:line="115" w:lineRule="exact"/>
              <w:rPr>
                <w:sz w:val="20"/>
                <w:szCs w:val="20"/>
                <w:color w:val="auto"/>
              </w:rPr>
            </w:pPr>
            <w:r>
              <w:rPr>
                <w:rFonts w:ascii="Arial" w:cs="Arial" w:eastAsia="Arial" w:hAnsi="Arial"/>
                <w:sz w:val="13"/>
                <w:szCs w:val="13"/>
                <w:color w:val="auto"/>
              </w:rPr>
              <w:t>GAAP net sales</w:t>
            </w:r>
          </w:p>
        </w:tc>
        <w:tc>
          <w:tcPr>
            <w:tcW w:w="220" w:type="dxa"/>
            <w:vAlign w:val="bottom"/>
            <w:tcBorders>
              <w:bottom w:val="single" w:sz="8" w:color="BFE4FF"/>
            </w:tcBorders>
            <w:shd w:val="clear" w:color="auto" w:fill="BFE4FF"/>
          </w:tcPr>
          <w:p>
            <w:pPr>
              <w:jc w:val="right"/>
              <w:ind w:right="70"/>
              <w:spacing w:after="0" w:line="115"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BFE4FF"/>
            </w:tcBorders>
            <w:shd w:val="clear" w:color="auto" w:fill="BFE4FF"/>
          </w:tcPr>
          <w:p>
            <w:pPr>
              <w:jc w:val="right"/>
              <w:ind w:right="109"/>
              <w:spacing w:after="0" w:line="115" w:lineRule="exact"/>
              <w:rPr>
                <w:sz w:val="20"/>
                <w:szCs w:val="20"/>
                <w:color w:val="auto"/>
              </w:rPr>
            </w:pPr>
            <w:r>
              <w:rPr>
                <w:rFonts w:ascii="Arial" w:cs="Arial" w:eastAsia="Arial" w:hAnsi="Arial"/>
                <w:sz w:val="13"/>
                <w:szCs w:val="13"/>
                <w:color w:val="auto"/>
              </w:rPr>
              <w:t>123,157</w:t>
            </w:r>
          </w:p>
        </w:tc>
        <w:tc>
          <w:tcPr>
            <w:tcW w:w="100" w:type="dxa"/>
            <w:vAlign w:val="bottom"/>
            <w:tcBorders>
              <w:bottom w:val="single" w:sz="8" w:color="BFE4FF"/>
            </w:tcBorders>
            <w:shd w:val="clear" w:color="auto" w:fill="BFE4FF"/>
          </w:tcPr>
          <w:p>
            <w:pPr>
              <w:spacing w:after="0"/>
              <w:rPr>
                <w:sz w:val="12"/>
                <w:szCs w:val="12"/>
                <w:color w:val="auto"/>
              </w:rPr>
            </w:pPr>
          </w:p>
        </w:tc>
        <w:tc>
          <w:tcPr>
            <w:tcW w:w="300" w:type="dxa"/>
            <w:vAlign w:val="bottom"/>
            <w:tcBorders>
              <w:bottom w:val="single" w:sz="8" w:color="BFE4FF"/>
            </w:tcBorders>
            <w:shd w:val="clear" w:color="auto" w:fill="BFE4FF"/>
          </w:tcPr>
          <w:p>
            <w:pPr>
              <w:jc w:val="right"/>
              <w:ind w:right="130"/>
              <w:spacing w:after="0" w:line="115"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BFE4FF"/>
            </w:tcBorders>
            <w:shd w:val="clear" w:color="auto" w:fill="BFE4FF"/>
          </w:tcPr>
          <w:p>
            <w:pPr>
              <w:jc w:val="right"/>
              <w:ind w:right="109"/>
              <w:spacing w:after="0" w:line="115" w:lineRule="exact"/>
              <w:rPr>
                <w:sz w:val="20"/>
                <w:szCs w:val="20"/>
                <w:color w:val="auto"/>
              </w:rPr>
            </w:pPr>
            <w:r>
              <w:rPr>
                <w:rFonts w:ascii="Arial" w:cs="Arial" w:eastAsia="Arial" w:hAnsi="Arial"/>
                <w:sz w:val="13"/>
                <w:szCs w:val="13"/>
                <w:color w:val="auto"/>
              </w:rPr>
              <w:t>78,532</w:t>
            </w:r>
          </w:p>
        </w:tc>
        <w:tc>
          <w:tcPr>
            <w:tcW w:w="60" w:type="dxa"/>
            <w:vAlign w:val="bottom"/>
          </w:tcPr>
          <w:p>
            <w:pPr>
              <w:spacing w:after="0"/>
              <w:rPr>
                <w:sz w:val="12"/>
                <w:szCs w:val="12"/>
                <w:color w:val="auto"/>
              </w:rPr>
            </w:pPr>
          </w:p>
        </w:tc>
        <w:tc>
          <w:tcPr>
            <w:tcW w:w="2780" w:type="dxa"/>
            <w:vAlign w:val="bottom"/>
            <w:tcBorders>
              <w:bottom w:val="single" w:sz="8" w:color="BFE4FF"/>
            </w:tcBorders>
            <w:shd w:val="clear" w:color="auto" w:fill="BFE4FF"/>
          </w:tcPr>
          <w:p>
            <w:pPr>
              <w:spacing w:after="0" w:line="115" w:lineRule="exact"/>
              <w:rPr>
                <w:sz w:val="20"/>
                <w:szCs w:val="20"/>
                <w:color w:val="auto"/>
              </w:rPr>
            </w:pPr>
            <w:r>
              <w:rPr>
                <w:rFonts w:ascii="Arial" w:cs="Arial" w:eastAsia="Arial" w:hAnsi="Arial"/>
                <w:sz w:val="13"/>
                <w:szCs w:val="13"/>
                <w:color w:val="auto"/>
              </w:rPr>
              <w:t>Non-GAAP adjusted income (loss) from</w:t>
            </w:r>
          </w:p>
        </w:tc>
        <w:tc>
          <w:tcPr>
            <w:tcW w:w="200" w:type="dxa"/>
            <w:vAlign w:val="bottom"/>
            <w:tcBorders>
              <w:bottom w:val="single" w:sz="8" w:color="BFE4FF"/>
            </w:tcBorders>
            <w:vMerge w:val="restart"/>
            <w:shd w:val="clear" w:color="auto" w:fill="BFE4FF"/>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BFE4FF"/>
            </w:tcBorders>
            <w:vMerge w:val="restart"/>
            <w:shd w:val="clear" w:color="auto" w:fill="BFE4FF"/>
          </w:tcPr>
          <w:p>
            <w:pPr>
              <w:jc w:val="right"/>
              <w:ind w:right="108"/>
              <w:spacing w:after="0"/>
              <w:rPr>
                <w:sz w:val="20"/>
                <w:szCs w:val="20"/>
                <w:color w:val="auto"/>
              </w:rPr>
            </w:pPr>
            <w:r>
              <w:rPr>
                <w:rFonts w:ascii="Arial" w:cs="Arial" w:eastAsia="Arial" w:hAnsi="Arial"/>
                <w:sz w:val="14"/>
                <w:szCs w:val="14"/>
                <w:color w:val="auto"/>
              </w:rPr>
              <w:t>4,567</w:t>
            </w:r>
          </w:p>
        </w:tc>
        <w:tc>
          <w:tcPr>
            <w:tcW w:w="120" w:type="dxa"/>
            <w:vAlign w:val="bottom"/>
            <w:tcBorders>
              <w:bottom w:val="single" w:sz="8" w:color="BFE4FF"/>
            </w:tcBorders>
            <w:shd w:val="clear" w:color="auto" w:fill="BFE4FF"/>
          </w:tcPr>
          <w:p>
            <w:pPr>
              <w:spacing w:after="0"/>
              <w:rPr>
                <w:sz w:val="12"/>
                <w:szCs w:val="12"/>
                <w:color w:val="auto"/>
              </w:rPr>
            </w:pPr>
          </w:p>
        </w:tc>
        <w:tc>
          <w:tcPr>
            <w:tcW w:w="280" w:type="dxa"/>
            <w:vAlign w:val="bottom"/>
            <w:tcBorders>
              <w:bottom w:val="single" w:sz="8" w:color="BFE4FF"/>
            </w:tcBorders>
            <w:vMerge w:val="restart"/>
            <w:shd w:val="clear" w:color="auto" w:fill="BFE4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BFE4FF"/>
            </w:tcBorders>
            <w:vMerge w:val="restart"/>
            <w:shd w:val="clear" w:color="auto" w:fill="BFE4FF"/>
          </w:tcPr>
          <w:p>
            <w:pPr>
              <w:jc w:val="right"/>
              <w:ind w:right="68"/>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tcBorders>
              <w:bottom w:val="single" w:sz="8" w:color="BFE4FF"/>
            </w:tcBorders>
            <w:shd w:val="clear" w:color="auto" w:fill="BFE4FF"/>
          </w:tcPr>
          <w:p>
            <w:pPr>
              <w:spacing w:after="0" w:line="108" w:lineRule="exact"/>
              <w:rPr>
                <w:sz w:val="20"/>
                <w:szCs w:val="20"/>
                <w:color w:val="auto"/>
              </w:rPr>
            </w:pPr>
            <w:r>
              <w:rPr>
                <w:rFonts w:ascii="Arial" w:cs="Arial" w:eastAsia="Arial" w:hAnsi="Arial"/>
                <w:sz w:val="12"/>
                <w:szCs w:val="12"/>
                <w:color w:val="auto"/>
              </w:rPr>
              <w:t>operations with JV</w:t>
            </w:r>
          </w:p>
        </w:tc>
        <w:tc>
          <w:tcPr>
            <w:tcW w:w="200" w:type="dxa"/>
            <w:vAlign w:val="bottom"/>
            <w:tcBorders>
              <w:bottom w:val="single" w:sz="8" w:color="auto"/>
            </w:tcBorders>
            <w:vMerge w:val="continue"/>
            <w:shd w:val="clear" w:color="auto" w:fill="BFE4FF"/>
          </w:tcPr>
          <w:p>
            <w:pPr>
              <w:spacing w:after="0"/>
              <w:rPr>
                <w:sz w:val="11"/>
                <w:szCs w:val="11"/>
                <w:color w:val="auto"/>
              </w:rPr>
            </w:pPr>
          </w:p>
        </w:tc>
        <w:tc>
          <w:tcPr>
            <w:tcW w:w="1000" w:type="dxa"/>
            <w:vAlign w:val="bottom"/>
            <w:tcBorders>
              <w:bottom w:val="single" w:sz="8" w:color="auto"/>
            </w:tcBorders>
            <w:vMerge w:val="continue"/>
            <w:shd w:val="clear" w:color="auto" w:fill="BFE4FF"/>
          </w:tcPr>
          <w:p>
            <w:pPr>
              <w:spacing w:after="0"/>
              <w:rPr>
                <w:sz w:val="11"/>
                <w:szCs w:val="11"/>
                <w:color w:val="auto"/>
              </w:rPr>
            </w:pPr>
          </w:p>
        </w:tc>
        <w:tc>
          <w:tcPr>
            <w:tcW w:w="120" w:type="dxa"/>
            <w:vAlign w:val="bottom"/>
            <w:tcBorders>
              <w:bottom w:val="single" w:sz="8" w:color="BFE4FF"/>
            </w:tcBorders>
            <w:shd w:val="clear" w:color="auto" w:fill="BFE4FF"/>
          </w:tcPr>
          <w:p>
            <w:pPr>
              <w:spacing w:after="0"/>
              <w:rPr>
                <w:sz w:val="11"/>
                <w:szCs w:val="11"/>
                <w:color w:val="auto"/>
              </w:rPr>
            </w:pPr>
          </w:p>
        </w:tc>
        <w:tc>
          <w:tcPr>
            <w:tcW w:w="280" w:type="dxa"/>
            <w:vAlign w:val="bottom"/>
            <w:tcBorders>
              <w:bottom w:val="single" w:sz="8" w:color="auto"/>
            </w:tcBorders>
            <w:vMerge w:val="continue"/>
            <w:shd w:val="clear" w:color="auto" w:fill="BFE4FF"/>
          </w:tcPr>
          <w:p>
            <w:pPr>
              <w:spacing w:after="0"/>
              <w:rPr>
                <w:sz w:val="11"/>
                <w:szCs w:val="11"/>
                <w:color w:val="auto"/>
              </w:rPr>
            </w:pPr>
          </w:p>
        </w:tc>
        <w:tc>
          <w:tcPr>
            <w:tcW w:w="940" w:type="dxa"/>
            <w:vAlign w:val="bottom"/>
            <w:tcBorders>
              <w:bottom w:val="single" w:sz="8" w:color="auto"/>
            </w:tcBorders>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972" w:right="339" w:bottom="1440" w:gutter="0" w:footer="0" w:header="0"/>
        </w:sectPr>
      </w:pP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$000s</w:t>
            </w:r>
          </w:p>
        </w:tc>
        <w:tc>
          <w:tcPr>
            <w:tcW w:w="220" w:type="dxa"/>
            <w:vAlign w:val="bottom"/>
          </w:tcPr>
          <w:p>
            <w:pPr>
              <w:spacing w:after="0"/>
              <w:rPr>
                <w:sz w:val="16"/>
                <w:szCs w:val="16"/>
                <w:color w:val="auto"/>
              </w:rPr>
            </w:pPr>
          </w:p>
        </w:tc>
        <w:tc>
          <w:tcPr>
            <w:tcW w:w="23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8"/>
              </w:rPr>
              <w:t>Three Months Ended June 30,</w:t>
            </w:r>
          </w:p>
        </w:tc>
        <w:tc>
          <w:tcPr>
            <w:tcW w:w="0" w:type="dxa"/>
            <w:vAlign w:val="bottom"/>
          </w:tcPr>
          <w:p>
            <w:pPr>
              <w:spacing w:after="0"/>
              <w:rPr>
                <w:sz w:val="1"/>
                <w:szCs w:val="1"/>
                <w:color w:val="auto"/>
              </w:rPr>
            </w:pPr>
          </w:p>
        </w:tc>
      </w:tr>
      <w:tr>
        <w:trPr>
          <w:trHeight w:val="26"/>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Power Solutions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278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GAAP income (loss) from operations</w:t>
            </w:r>
          </w:p>
        </w:tc>
        <w:tc>
          <w:tcPr>
            <w:tcW w:w="2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BFE4FF"/>
          </w:tcPr>
          <w:p>
            <w:pPr>
              <w:spacing w:after="0"/>
              <w:rPr>
                <w:sz w:val="17"/>
                <w:szCs w:val="17"/>
                <w:color w:val="auto"/>
              </w:rPr>
            </w:pPr>
          </w:p>
        </w:tc>
        <w:tc>
          <w:tcPr>
            <w:tcW w:w="300" w:type="dxa"/>
            <w:vAlign w:val="bottom"/>
            <w:shd w:val="clear" w:color="auto" w:fill="BFE4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4"/>
                <w:szCs w:val="14"/>
                <w:color w:val="auto"/>
              </w:rPr>
              <w:t>Acquisition and transition expense*</w:t>
            </w:r>
          </w:p>
        </w:tc>
        <w:tc>
          <w:tcPr>
            <w:tcW w:w="22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22"/>
        </w:trPr>
        <w:tc>
          <w:tcPr>
            <w:tcW w:w="2780" w:type="dxa"/>
            <w:vAlign w:val="bottom"/>
            <w:shd w:val="clear" w:color="auto" w:fill="BFE4FF"/>
          </w:tcPr>
          <w:p>
            <w:pPr>
              <w:ind w:left="20"/>
              <w:spacing w:after="0"/>
              <w:rPr>
                <w:sz w:val="20"/>
                <w:szCs w:val="20"/>
                <w:color w:val="auto"/>
              </w:rPr>
            </w:pPr>
            <w:r>
              <w:rPr>
                <w:rFonts w:ascii="Arial" w:cs="Arial" w:eastAsia="Arial" w:hAnsi="Arial"/>
                <w:sz w:val="14"/>
                <w:szCs w:val="14"/>
                <w:color w:val="auto"/>
              </w:rPr>
              <w:t>Amortization of intangibles</w:t>
            </w:r>
          </w:p>
        </w:tc>
        <w:tc>
          <w:tcPr>
            <w:tcW w:w="22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ind w:right="108"/>
              <w:spacing w:after="0"/>
              <w:rPr>
                <w:sz w:val="20"/>
                <w:szCs w:val="20"/>
                <w:color w:val="auto"/>
              </w:rPr>
            </w:pPr>
            <w:r>
              <w:rPr>
                <w:rFonts w:ascii="Arial" w:cs="Arial" w:eastAsia="Arial" w:hAnsi="Arial"/>
                <w:sz w:val="14"/>
                <w:szCs w:val="14"/>
                <w:color w:val="auto"/>
              </w:rPr>
              <w:t>2,749</w:t>
            </w:r>
          </w:p>
        </w:tc>
        <w:tc>
          <w:tcPr>
            <w:tcW w:w="100" w:type="dxa"/>
            <w:vAlign w:val="bottom"/>
            <w:shd w:val="clear" w:color="auto" w:fill="BFE4FF"/>
          </w:tcPr>
          <w:p>
            <w:pPr>
              <w:spacing w:after="0"/>
              <w:rPr>
                <w:sz w:val="19"/>
                <w:szCs w:val="19"/>
                <w:color w:val="auto"/>
              </w:rPr>
            </w:pPr>
          </w:p>
        </w:tc>
        <w:tc>
          <w:tcPr>
            <w:tcW w:w="300" w:type="dxa"/>
            <w:vAlign w:val="bottom"/>
            <w:tcBorders>
              <w:bottom w:val="single" w:sz="8" w:color="auto"/>
            </w:tcBorders>
            <w:shd w:val="clear" w:color="auto" w:fill="BFE4FF"/>
          </w:tcPr>
          <w:p>
            <w:pPr>
              <w:spacing w:after="0"/>
              <w:rPr>
                <w:sz w:val="19"/>
                <w:szCs w:val="19"/>
                <w:color w:val="auto"/>
              </w:rPr>
            </w:pPr>
          </w:p>
        </w:tc>
        <w:tc>
          <w:tcPr>
            <w:tcW w:w="940" w:type="dxa"/>
            <w:vAlign w:val="bottom"/>
            <w:tcBorders>
              <w:bottom w:val="single" w:sz="8" w:color="auto"/>
            </w:tcBorders>
            <w:shd w:val="clear" w:color="auto" w:fill="BFE4FF"/>
          </w:tcPr>
          <w:p>
            <w:pPr>
              <w:jc w:val="right"/>
              <w:ind w:right="108"/>
              <w:spacing w:after="0"/>
              <w:rPr>
                <w:sz w:val="20"/>
                <w:szCs w:val="20"/>
                <w:color w:val="auto"/>
              </w:rPr>
            </w:pPr>
            <w:r>
              <w:rPr>
                <w:rFonts w:ascii="Arial" w:cs="Arial" w:eastAsia="Arial" w:hAnsi="Arial"/>
                <w:sz w:val="14"/>
                <w:szCs w:val="14"/>
                <w:color w:val="auto"/>
              </w:rPr>
              <w:t>2,749</w:t>
            </w:r>
          </w:p>
        </w:tc>
        <w:tc>
          <w:tcPr>
            <w:tcW w:w="0" w:type="dxa"/>
            <w:vAlign w:val="bottom"/>
          </w:tcPr>
          <w:p>
            <w:pPr>
              <w:spacing w:after="0"/>
              <w:rPr>
                <w:sz w:val="1"/>
                <w:szCs w:val="1"/>
                <w:color w:val="auto"/>
              </w:rPr>
            </w:pPr>
          </w:p>
        </w:tc>
      </w:tr>
      <w:tr>
        <w:trPr>
          <w:trHeight w:val="150"/>
        </w:trPr>
        <w:tc>
          <w:tcPr>
            <w:tcW w:w="2780" w:type="dxa"/>
            <w:vAlign w:val="bottom"/>
          </w:tcPr>
          <w:p>
            <w:pPr>
              <w:ind w:left="20"/>
              <w:spacing w:after="0" w:line="151" w:lineRule="exact"/>
              <w:rPr>
                <w:sz w:val="20"/>
                <w:szCs w:val="20"/>
                <w:color w:val="auto"/>
              </w:rPr>
            </w:pPr>
            <w:r>
              <w:rPr>
                <w:rFonts w:ascii="Arial" w:cs="Arial" w:eastAsia="Arial" w:hAnsi="Arial"/>
                <w:sz w:val="14"/>
                <w:szCs w:val="14"/>
                <w:color w:val="auto"/>
              </w:rPr>
              <w:t>Non-GAAP adjusted income (loss) from</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5,729</w:t>
            </w:r>
          </w:p>
        </w:tc>
        <w:tc>
          <w:tcPr>
            <w:tcW w:w="10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4,710</w:t>
            </w:r>
          </w:p>
        </w:tc>
        <w:tc>
          <w:tcPr>
            <w:tcW w:w="0" w:type="dxa"/>
            <w:vAlign w:val="bottom"/>
          </w:tcPr>
          <w:p>
            <w:pPr>
              <w:spacing w:after="0"/>
              <w:rPr>
                <w:sz w:val="1"/>
                <w:szCs w:val="1"/>
                <w:color w:val="auto"/>
              </w:rPr>
            </w:pPr>
          </w:p>
        </w:tc>
      </w:tr>
      <w:tr>
        <w:trPr>
          <w:trHeight w:val="186"/>
        </w:trPr>
        <w:tc>
          <w:tcPr>
            <w:tcW w:w="2780" w:type="dxa"/>
            <w:vAlign w:val="bottom"/>
          </w:tcPr>
          <w:p>
            <w:pPr>
              <w:ind w:left="20"/>
              <w:spacing w:after="0"/>
              <w:rPr>
                <w:sz w:val="20"/>
                <w:szCs w:val="20"/>
                <w:color w:val="auto"/>
              </w:rPr>
            </w:pPr>
            <w:r>
              <w:rPr>
                <w:rFonts w:ascii="Arial" w:cs="Arial" w:eastAsia="Arial" w:hAnsi="Arial"/>
                <w:sz w:val="14"/>
                <w:szCs w:val="14"/>
                <w:color w:val="auto"/>
              </w:rPr>
              <w:t>operations (a)</w:t>
            </w:r>
          </w:p>
        </w:tc>
        <w:tc>
          <w:tcPr>
            <w:tcW w:w="2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10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00" w:type="dxa"/>
            <w:vAlign w:val="bottom"/>
            <w:shd w:val="clear" w:color="auto" w:fill="BFE4FF"/>
          </w:tcPr>
          <w:p>
            <w:pPr>
              <w:spacing w:after="0"/>
              <w:rPr>
                <w:sz w:val="15"/>
                <w:szCs w:val="15"/>
                <w:color w:val="auto"/>
              </w:rPr>
            </w:pPr>
          </w:p>
        </w:tc>
        <w:tc>
          <w:tcPr>
            <w:tcW w:w="94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Non-GAAP adjusted operating margin (1)</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GAAP net sales</w:t>
            </w:r>
          </w:p>
        </w:tc>
        <w:tc>
          <w:tcPr>
            <w:tcW w:w="2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49,271</w:t>
            </w:r>
          </w:p>
        </w:tc>
        <w:tc>
          <w:tcPr>
            <w:tcW w:w="100" w:type="dxa"/>
            <w:vAlign w:val="bottom"/>
            <w:shd w:val="clear" w:color="auto" w:fill="BFE4FF"/>
          </w:tcPr>
          <w:p>
            <w:pPr>
              <w:spacing w:after="0"/>
              <w:rPr>
                <w:sz w:val="18"/>
                <w:szCs w:val="18"/>
                <w:color w:val="auto"/>
              </w:rPr>
            </w:pPr>
          </w:p>
        </w:tc>
        <w:tc>
          <w:tcPr>
            <w:tcW w:w="300" w:type="dxa"/>
            <w:vAlign w:val="bottom"/>
            <w:shd w:val="clear" w:color="auto" w:fill="BFE4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37,491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BFE4FF"/>
          </w:tcPr>
          <w:p>
            <w:pPr>
              <w:spacing w:after="0"/>
              <w:rPr>
                <w:sz w:val="20"/>
                <w:szCs w:val="20"/>
                <w:color w:val="auto"/>
              </w:rPr>
            </w:pPr>
            <w:r>
              <w:rPr>
                <w:rFonts w:ascii="Arial" w:cs="Arial" w:eastAsia="Arial" w:hAnsi="Arial"/>
                <w:sz w:val="14"/>
                <w:szCs w:val="14"/>
                <w:color w:val="auto"/>
              </w:rPr>
              <w:t>Non-GAAP adjusted operating margin (1)</w:t>
            </w:r>
          </w:p>
        </w:tc>
        <w:tc>
          <w:tcPr>
            <w:tcW w:w="520" w:type="dxa"/>
            <w:vAlign w:val="bottom"/>
            <w:shd w:val="clear" w:color="auto" w:fill="BFE4FF"/>
          </w:tcPr>
          <w:p>
            <w:pPr>
              <w:spacing w:after="0"/>
              <w:rPr>
                <w:sz w:val="18"/>
                <w:szCs w:val="18"/>
                <w:color w:val="auto"/>
              </w:rPr>
            </w:pPr>
          </w:p>
        </w:tc>
        <w:tc>
          <w:tcPr>
            <w:tcW w:w="90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6.2 %</w:t>
            </w:r>
          </w:p>
        </w:tc>
        <w:tc>
          <w:tcPr>
            <w:tcW w:w="420" w:type="dxa"/>
            <w:vAlign w:val="bottom"/>
            <w:shd w:val="clear" w:color="auto" w:fill="BFE4FF"/>
          </w:tcPr>
          <w:p>
            <w:pPr>
              <w:spacing w:after="0"/>
              <w:rPr>
                <w:sz w:val="18"/>
                <w:szCs w:val="18"/>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(6.0)%</w:t>
            </w: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GAAP net sales</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73,886</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41,037</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200" w:type="dxa"/>
            <w:vAlign w:val="bottom"/>
          </w:tcPr>
          <w:p>
            <w:pPr>
              <w:spacing w:after="0"/>
              <w:rPr>
                <w:sz w:val="16"/>
                <w:szCs w:val="16"/>
                <w:color w:val="auto"/>
              </w:rPr>
            </w:pPr>
          </w:p>
        </w:tc>
        <w:tc>
          <w:tcPr>
            <w:tcW w:w="23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9"/>
              </w:rPr>
              <w:t>Three Months Ended June 30,</w:t>
            </w:r>
          </w:p>
        </w:tc>
        <w:tc>
          <w:tcPr>
            <w:tcW w:w="0" w:type="dxa"/>
            <w:vAlign w:val="bottom"/>
          </w:tcPr>
          <w:p>
            <w:pPr>
              <w:spacing w:after="0"/>
              <w:rPr>
                <w:sz w:val="1"/>
                <w:szCs w:val="1"/>
                <w:color w:val="auto"/>
              </w:rPr>
            </w:pPr>
          </w:p>
        </w:tc>
      </w:tr>
      <w:tr>
        <w:trPr>
          <w:trHeight w:val="26"/>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278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BFE4FF"/>
          </w:tcPr>
          <w:p>
            <w:pPr>
              <w:spacing w:after="0"/>
              <w:rPr>
                <w:sz w:val="20"/>
                <w:szCs w:val="20"/>
                <w:color w:val="auto"/>
              </w:rPr>
            </w:pPr>
            <w:r>
              <w:rPr>
                <w:rFonts w:ascii="Arial" w:cs="Arial" w:eastAsia="Arial" w:hAnsi="Arial"/>
                <w:sz w:val="14"/>
                <w:szCs w:val="14"/>
                <w:color w:val="auto"/>
              </w:rPr>
              <w:t>GAAP net sales</w:t>
            </w:r>
          </w:p>
        </w:tc>
        <w:tc>
          <w:tcPr>
            <w:tcW w:w="2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BFE4FF"/>
          </w:tcPr>
          <w:p>
            <w:pPr>
              <w:ind w:left="680"/>
              <w:spacing w:after="0"/>
              <w:rPr>
                <w:sz w:val="20"/>
                <w:szCs w:val="20"/>
                <w:color w:val="auto"/>
              </w:rPr>
            </w:pPr>
            <w:r>
              <w:rPr>
                <w:rFonts w:ascii="Arial" w:cs="Arial" w:eastAsia="Arial" w:hAnsi="Arial"/>
                <w:sz w:val="14"/>
                <w:szCs w:val="14"/>
                <w:color w:val="auto"/>
              </w:rPr>
              <w:t>—</w:t>
            </w:r>
          </w:p>
        </w:tc>
        <w:tc>
          <w:tcPr>
            <w:tcW w:w="280" w:type="dxa"/>
            <w:vAlign w:val="bottom"/>
            <w:shd w:val="clear" w:color="auto" w:fill="BFE4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724" w:lineRule="exact"/>
        <w:rPr>
          <w:sz w:val="20"/>
          <w:szCs w:val="20"/>
          <w:color w:val="auto"/>
        </w:rPr>
      </w:pPr>
    </w:p>
    <w:p>
      <w:pPr>
        <w:sectPr>
          <w:pgSz w:w="11900" w:h="16838" w:orient="portrait"/>
          <w:cols w:equalWidth="0" w:num="2">
            <w:col w:w="5600" w:space="60"/>
            <w:col w:w="5580"/>
          </w:cols>
          <w:pgMar w:left="320" w:top="972" w:right="339" w:bottom="1440" w:gutter="0" w:footer="0" w:header="0"/>
          <w:type w:val="continuous"/>
        </w:sect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Non-GAAP adjusted operating margin = Non-GAAP adjusted income from operations / GAAP net sales</w:t>
      </w:r>
    </w:p>
    <w:p>
      <w:pPr>
        <w:spacing w:after="0" w:line="55"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2021 Includes Capacity &amp; Capabilities - $— / Prof Fees - $0.2 / Integration &amp; Transformation - $0.9 / Acq Transaction Costs - $— / Asset Write-Downs/Inventory Step-Up - $—</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2020 Includes Capacity &amp; Capabilities - $0.4 / Prof Fees - $0.9 / Integration &amp; Transformation - $1.4/ Acq Transaction Costs - $— / Asset Write-Downs/Inventory Step-Up - $(0.9)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972" w:right="339" w:bottom="1440" w:gutter="0" w:footer="0" w:header="0"/>
          <w:type w:val="continuous"/>
        </w:sectPr>
      </w:pPr>
    </w:p>
    <w:bookmarkStart w:id="10" w:name="page11"/>
    <w:bookmarkEnd w:id="10"/>
    <w:p>
      <w:pPr>
        <w:ind w:left="1840"/>
        <w:spacing w:after="0"/>
        <w:rPr>
          <w:sz w:val="20"/>
          <w:szCs w:val="20"/>
          <w:color w:val="auto"/>
        </w:rPr>
      </w:pPr>
      <w:r>
        <w:rPr>
          <w:rFonts w:ascii="Arial" w:cs="Arial" w:eastAsia="Arial" w:hAnsi="Arial"/>
          <w:sz w:val="18"/>
          <w:szCs w:val="18"/>
          <w:b w:val="1"/>
          <w:bCs w:val="1"/>
          <w:color w:val="auto"/>
        </w:rPr>
        <w:t>Reconciliation of Net Income (Loss) to Non-GAAP Adjusted EBITDA</w:t>
      </w:r>
    </w:p>
    <w:p>
      <w:pPr>
        <w:spacing w:after="0" w:line="200" w:lineRule="exact"/>
        <w:rPr>
          <w:sz w:val="20"/>
          <w:szCs w:val="20"/>
          <w:color w:val="auto"/>
        </w:rPr>
      </w:pP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4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34"/>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000's</w:t>
            </w:r>
          </w:p>
        </w:tc>
        <w:tc>
          <w:tcPr>
            <w:tcW w:w="6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20"/>
                <w:szCs w:val="20"/>
                <w:color w:val="auto"/>
              </w:rPr>
            </w:pPr>
            <w:r>
              <w:rPr>
                <w:rFonts w:ascii="Arial" w:cs="Arial" w:eastAsia="Arial" w:hAnsi="Arial"/>
                <w:sz w:val="14"/>
                <w:szCs w:val="14"/>
                <w:color w:val="auto"/>
                <w:w w:val="76"/>
              </w:rPr>
              <w:t>GAAP</w:t>
            </w:r>
          </w:p>
        </w:tc>
        <w:tc>
          <w:tcPr>
            <w:tcW w:w="3700" w:type="dxa"/>
            <w:vAlign w:val="bottom"/>
            <w:tcBorders>
              <w:top w:val="single" w:sz="8" w:color="BFE4FF"/>
            </w:tcBorders>
            <w:shd w:val="clear" w:color="auto" w:fill="BFE4FF"/>
          </w:tcPr>
          <w:p>
            <w:pPr>
              <w:ind w:left="100"/>
              <w:spacing w:after="0"/>
              <w:rPr>
                <w:sz w:val="20"/>
                <w:szCs w:val="20"/>
                <w:color w:val="auto"/>
              </w:rPr>
            </w:pPr>
            <w:r>
              <w:rPr>
                <w:rFonts w:ascii="Arial" w:cs="Arial" w:eastAsia="Arial" w:hAnsi="Arial"/>
                <w:sz w:val="14"/>
                <w:szCs w:val="14"/>
                <w:color w:val="auto"/>
              </w:rPr>
              <w:t>net income (loss)</w:t>
            </w:r>
          </w:p>
        </w:tc>
        <w:tc>
          <w:tcPr>
            <w:tcW w:w="660" w:type="dxa"/>
            <w:vAlign w:val="bottom"/>
            <w:tcBorders>
              <w:top w:val="single" w:sz="8" w:color="BFE4FF"/>
            </w:tcBorders>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(5,391)$</w:t>
            </w:r>
          </w:p>
        </w:tc>
        <w:tc>
          <w:tcPr>
            <w:tcW w:w="100" w:type="dxa"/>
            <w:vAlign w:val="bottom"/>
            <w:tcBorders>
              <w:top w:val="single" w:sz="8" w:color="BFE4FF"/>
            </w:tcBorders>
            <w:shd w:val="clear" w:color="auto" w:fill="BFE4FF"/>
          </w:tcPr>
          <w:p>
            <w:pPr>
              <w:spacing w:after="0"/>
              <w:rPr>
                <w:sz w:val="15"/>
                <w:szCs w:val="15"/>
                <w:color w:val="auto"/>
              </w:rPr>
            </w:pPr>
          </w:p>
        </w:tc>
        <w:tc>
          <w:tcPr>
            <w:tcW w:w="13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(21,748)</w:t>
            </w:r>
          </w:p>
        </w:tc>
        <w:tc>
          <w:tcPr>
            <w:tcW w:w="0" w:type="dxa"/>
            <w:vAlign w:val="bottom"/>
          </w:tcPr>
          <w:p>
            <w:pPr>
              <w:spacing w:after="0"/>
              <w:rPr>
                <w:sz w:val="1"/>
                <w:szCs w:val="1"/>
                <w:color w:val="auto"/>
              </w:rPr>
            </w:pPr>
          </w:p>
        </w:tc>
      </w:tr>
      <w:tr>
        <w:trPr>
          <w:trHeight w:val="433"/>
        </w:trPr>
        <w:tc>
          <w:tcPr>
            <w:tcW w:w="4020" w:type="dxa"/>
            <w:vAlign w:val="bottom"/>
            <w:gridSpan w:val="2"/>
          </w:tcPr>
          <w:p>
            <w:pPr>
              <w:spacing w:after="0"/>
              <w:rPr>
                <w:sz w:val="20"/>
                <w:szCs w:val="20"/>
                <w:color w:val="auto"/>
              </w:rPr>
            </w:pPr>
            <w:r>
              <w:rPr>
                <w:rFonts w:ascii="Arial" w:cs="Arial" w:eastAsia="Arial" w:hAnsi="Arial"/>
                <w:sz w:val="14"/>
                <w:szCs w:val="14"/>
                <w:color w:val="auto"/>
              </w:rPr>
              <w:t>Provision (benefit) for income taxes</w:t>
            </w: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r>
        <w:trPr>
          <w:trHeight w:val="189"/>
        </w:trPr>
        <w:tc>
          <w:tcPr>
            <w:tcW w:w="40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6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6,356</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4"/>
                <w:szCs w:val="14"/>
                <w:color w:val="auto"/>
              </w:rPr>
              <w:t>Change in fair value of preferred stock derivatives and warrants</w:t>
            </w:r>
          </w:p>
        </w:tc>
        <w:tc>
          <w:tcPr>
            <w:tcW w:w="6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402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6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11,687</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11,327</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4"/>
                <w:szCs w:val="14"/>
                <w:color w:val="auto"/>
              </w:rPr>
              <w:t>Acquisition and transition expense</w:t>
            </w:r>
          </w:p>
        </w:tc>
        <w:tc>
          <w:tcPr>
            <w:tcW w:w="6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4"/>
                <w:szCs w:val="14"/>
                <w:color w:val="auto"/>
              </w:rPr>
              <w:t>Non-cash stock compensation</w:t>
            </w:r>
          </w:p>
        </w:tc>
        <w:tc>
          <w:tcPr>
            <w:tcW w:w="660" w:type="dxa"/>
            <w:vAlign w:val="bottom"/>
          </w:tcPr>
          <w:p>
            <w:pPr>
              <w:spacing w:after="0"/>
              <w:rPr>
                <w:sz w:val="19"/>
                <w:szCs w:val="19"/>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4"/>
                <w:szCs w:val="14"/>
                <w:color w:val="auto"/>
                <w:w w:val="98"/>
              </w:rPr>
              <w:t>Non-</w:t>
            </w:r>
          </w:p>
        </w:tc>
        <w:tc>
          <w:tcPr>
            <w:tcW w:w="3700" w:type="dxa"/>
            <w:vAlign w:val="bottom"/>
            <w:shd w:val="clear" w:color="auto" w:fill="BFE4FF"/>
          </w:tcPr>
          <w:p>
            <w:pPr>
              <w:spacing w:after="0"/>
              <w:rPr>
                <w:sz w:val="20"/>
                <w:szCs w:val="20"/>
                <w:color w:val="auto"/>
              </w:rPr>
            </w:pPr>
            <w:r>
              <w:rPr>
                <w:rFonts w:ascii="Arial" w:cs="Arial" w:eastAsia="Arial" w:hAnsi="Arial"/>
                <w:sz w:val="14"/>
                <w:szCs w:val="14"/>
                <w:color w:val="auto"/>
              </w:rPr>
              <w:t>cash foreign exchange (gain) loss on inter-company loans</w:t>
            </w:r>
          </w:p>
        </w:tc>
        <w:tc>
          <w:tcPr>
            <w:tcW w:w="660" w:type="dxa"/>
            <w:vAlign w:val="bottom"/>
            <w:shd w:val="clear" w:color="auto" w:fill="BFE4FF"/>
          </w:tcPr>
          <w:p>
            <w:pPr>
              <w:spacing w:after="0"/>
              <w:rPr>
                <w:sz w:val="19"/>
                <w:szCs w:val="19"/>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04"/>
        </w:trPr>
        <w:tc>
          <w:tcPr>
            <w:tcW w:w="4020" w:type="dxa"/>
            <w:vAlign w:val="bottom"/>
            <w:gridSpan w:val="2"/>
          </w:tcPr>
          <w:p>
            <w:pPr>
              <w:spacing w:after="0"/>
              <w:rPr>
                <w:sz w:val="20"/>
                <w:szCs w:val="20"/>
                <w:color w:val="auto"/>
              </w:rPr>
            </w:pPr>
            <w:r>
              <w:rPr>
                <w:rFonts w:ascii="Arial" w:cs="Arial" w:eastAsia="Arial" w:hAnsi="Arial"/>
                <w:sz w:val="14"/>
                <w:szCs w:val="14"/>
                <w:color w:val="auto"/>
              </w:rPr>
              <w:t>Costs related to divested businesses and litigation settlement</w:t>
            </w:r>
          </w:p>
        </w:tc>
        <w:tc>
          <w:tcPr>
            <w:tcW w:w="66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20"/>
                <w:szCs w:val="20"/>
                <w:color w:val="auto"/>
              </w:rPr>
            </w:pPr>
            <w:r>
              <w:rPr>
                <w:rFonts w:ascii="Arial" w:cs="Arial" w:eastAsia="Arial" w:hAnsi="Arial"/>
                <w:sz w:val="14"/>
                <w:szCs w:val="14"/>
                <w:color w:val="auto"/>
              </w:rPr>
              <w:t>Loss</w:t>
            </w:r>
          </w:p>
        </w:tc>
        <w:tc>
          <w:tcPr>
            <w:tcW w:w="3700" w:type="dxa"/>
            <w:vAlign w:val="bottom"/>
            <w:shd w:val="clear" w:color="auto" w:fill="BFE4FF"/>
          </w:tcPr>
          <w:p>
            <w:pPr>
              <w:spacing w:after="0"/>
              <w:rPr>
                <w:sz w:val="20"/>
                <w:szCs w:val="20"/>
                <w:color w:val="auto"/>
              </w:rPr>
            </w:pPr>
            <w:r>
              <w:rPr>
                <w:rFonts w:ascii="Arial" w:cs="Arial" w:eastAsia="Arial" w:hAnsi="Arial"/>
                <w:sz w:val="14"/>
                <w:szCs w:val="14"/>
                <w:color w:val="auto"/>
              </w:rPr>
              <w:t>from discontinued operations, net of tax</w:t>
            </w:r>
          </w:p>
        </w:tc>
        <w:tc>
          <w:tcPr>
            <w:tcW w:w="660" w:type="dxa"/>
            <w:vAlign w:val="bottom"/>
            <w:shd w:val="clear" w:color="auto" w:fill="BFE4FF"/>
          </w:tcPr>
          <w:p>
            <w:pPr>
              <w:spacing w:after="0"/>
              <w:rPr>
                <w:sz w:val="17"/>
                <w:szCs w:val="17"/>
                <w:color w:val="auto"/>
              </w:rPr>
            </w:pPr>
          </w:p>
        </w:tc>
        <w:tc>
          <w:tcPr>
            <w:tcW w:w="142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4,182</w:t>
            </w:r>
          </w:p>
        </w:tc>
        <w:tc>
          <w:tcPr>
            <w:tcW w:w="0" w:type="dxa"/>
            <w:vAlign w:val="bottom"/>
          </w:tcPr>
          <w:p>
            <w:pPr>
              <w:spacing w:after="0"/>
              <w:rPr>
                <w:sz w:val="1"/>
                <w:szCs w:val="1"/>
                <w:color w:val="auto"/>
              </w:rPr>
            </w:pPr>
          </w:p>
        </w:tc>
      </w:tr>
      <w:tr>
        <w:trPr>
          <w:trHeight w:val="183"/>
        </w:trPr>
        <w:tc>
          <w:tcPr>
            <w:tcW w:w="4020" w:type="dxa"/>
            <w:vAlign w:val="bottom"/>
            <w:gridSpan w:val="2"/>
          </w:tcPr>
          <w:p>
            <w:pPr>
              <w:spacing w:after="0"/>
              <w:rPr>
                <w:sz w:val="20"/>
                <w:szCs w:val="20"/>
                <w:color w:val="auto"/>
              </w:rPr>
            </w:pPr>
            <w:r>
              <w:rPr>
                <w:rFonts w:ascii="Arial" w:cs="Arial" w:eastAsia="Arial" w:hAnsi="Arial"/>
                <w:sz w:val="14"/>
                <w:szCs w:val="14"/>
                <w:color w:val="auto"/>
              </w:rPr>
              <w:t>Non-GAAP adjusted EBITDA (b)</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13,394$</w:t>
            </w:r>
          </w:p>
        </w:tc>
        <w:tc>
          <w:tcPr>
            <w:tcW w:w="10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4"/>
                <w:szCs w:val="14"/>
                <w:color w:val="auto"/>
                <w:w w:val="98"/>
              </w:rPr>
              <w:t>Non-</w:t>
            </w:r>
          </w:p>
        </w:tc>
        <w:tc>
          <w:tcPr>
            <w:tcW w:w="3700" w:type="dxa"/>
            <w:vAlign w:val="bottom"/>
            <w:tcBorders>
              <w:bottom w:val="single" w:sz="8" w:color="BFE4FF"/>
            </w:tcBorders>
          </w:tcPr>
          <w:p>
            <w:pPr>
              <w:spacing w:after="0" w:line="20" w:lineRule="exact"/>
              <w:rPr>
                <w:sz w:val="1"/>
                <w:szCs w:val="1"/>
                <w:color w:val="auto"/>
              </w:rPr>
            </w:pPr>
          </w:p>
        </w:tc>
        <w:tc>
          <w:tcPr>
            <w:tcW w:w="660" w:type="dxa"/>
            <w:vAlign w:val="bottom"/>
            <w:tcBorders>
              <w:bottom w:val="single" w:sz="8" w:color="BFE4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vMerge w:val="continue"/>
          </w:tcPr>
          <w:p>
            <w:pPr>
              <w:spacing w:after="0"/>
              <w:rPr>
                <w:sz w:val="19"/>
                <w:szCs w:val="19"/>
                <w:color w:val="auto"/>
              </w:rPr>
            </w:pPr>
          </w:p>
        </w:tc>
        <w:tc>
          <w:tcPr>
            <w:tcW w:w="3700" w:type="dxa"/>
            <w:vAlign w:val="bottom"/>
            <w:shd w:val="clear" w:color="auto" w:fill="BFE4FF"/>
          </w:tcPr>
          <w:p>
            <w:pPr>
              <w:spacing w:after="0"/>
              <w:rPr>
                <w:sz w:val="19"/>
                <w:szCs w:val="19"/>
                <w:color w:val="auto"/>
              </w:rPr>
            </w:pPr>
          </w:p>
        </w:tc>
        <w:tc>
          <w:tcPr>
            <w:tcW w:w="66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20" w:type="dxa"/>
            <w:vAlign w:val="bottom"/>
            <w:vMerge w:val="continue"/>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GAAP adjusted EBITDA margin (2)</w:t>
            </w:r>
          </w:p>
        </w:tc>
        <w:tc>
          <w:tcPr>
            <w:tcW w:w="6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20"/>
                <w:szCs w:val="20"/>
                <w:color w:val="auto"/>
              </w:rPr>
            </w:pPr>
            <w:r>
              <w:rPr>
                <w:rFonts w:ascii="Arial" w:cs="Arial" w:eastAsia="Arial" w:hAnsi="Arial"/>
                <w:sz w:val="14"/>
                <w:szCs w:val="14"/>
                <w:color w:val="auto"/>
                <w:w w:val="76"/>
              </w:rPr>
              <w:t>GAAP</w:t>
            </w:r>
          </w:p>
        </w:tc>
        <w:tc>
          <w:tcPr>
            <w:tcW w:w="3700" w:type="dxa"/>
            <w:vAlign w:val="bottom"/>
            <w:shd w:val="clear" w:color="auto" w:fill="BFE4FF"/>
          </w:tcPr>
          <w:p>
            <w:pPr>
              <w:ind w:left="100"/>
              <w:spacing w:after="0"/>
              <w:rPr>
                <w:sz w:val="20"/>
                <w:szCs w:val="20"/>
                <w:color w:val="auto"/>
              </w:rPr>
            </w:pPr>
            <w:r>
              <w:rPr>
                <w:rFonts w:ascii="Arial" w:cs="Arial" w:eastAsia="Arial" w:hAnsi="Arial"/>
                <w:sz w:val="14"/>
                <w:szCs w:val="14"/>
                <w:color w:val="auto"/>
              </w:rPr>
              <w:t>net sales</w:t>
            </w:r>
          </w:p>
        </w:tc>
        <w:tc>
          <w:tcPr>
            <w:tcW w:w="66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123,157$</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78,532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-1731010</wp:posOffset>
            </wp:positionV>
            <wp:extent cx="451739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17390" cy="12001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-1490980</wp:posOffset>
            </wp:positionV>
            <wp:extent cx="45173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17390" cy="13716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-1233805</wp:posOffset>
            </wp:positionV>
            <wp:extent cx="451739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spacing w:after="0" w:line="191" w:lineRule="exact"/>
        <w:rPr>
          <w:sz w:val="20"/>
          <w:szCs w:val="20"/>
          <w:color w:val="auto"/>
        </w:rPr>
      </w:pPr>
    </w:p>
    <w:p>
      <w:pPr>
        <w:ind w:left="820" w:hanging="312"/>
        <w:spacing w:after="0"/>
        <w:tabs>
          <w:tab w:leader="none" w:pos="8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Non-GAAP adjusted EBITDA margin = Non-GAAP adjusted EBITDA / GAAP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972" w:right="339" w:bottom="1440" w:gutter="0" w:footer="0" w:header="0"/>
        </w:sectPr>
      </w:pPr>
    </w:p>
    <w:bookmarkStart w:id="11" w:name="page12"/>
    <w:bookmarkEnd w:id="11"/>
    <w:p>
      <w:pPr>
        <w:jc w:val="center"/>
        <w:ind w:right="1120"/>
        <w:spacing w:after="0"/>
        <w:rPr>
          <w:sz w:val="20"/>
          <w:szCs w:val="20"/>
          <w:color w:val="auto"/>
        </w:rPr>
      </w:pPr>
      <w:r>
        <w:rPr>
          <w:rFonts w:ascii="Arial" w:cs="Arial" w:eastAsia="Arial" w:hAnsi="Arial"/>
          <w:sz w:val="16"/>
          <w:szCs w:val="16"/>
          <w:b w:val="1"/>
          <w:bCs w:val="1"/>
          <w:color w:val="auto"/>
        </w:rPr>
        <w:t>Reconciliation of Net Income (Loss) to Non-GAAP Adjusted Net Income (Loss) and Net Income (Loss)</w:t>
      </w:r>
    </w:p>
    <w:p>
      <w:pPr>
        <w:spacing w:after="0" w:line="5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per Diluted Share to Non-GAAP Adjusted Net Income (Loss) per Diluted Share</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5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r>
      <w:tr>
        <w:trPr>
          <w:trHeight w:val="184"/>
        </w:trPr>
        <w:tc>
          <w:tcPr>
            <w:tcW w:w="528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i w:val="1"/>
                <w:iCs w:val="1"/>
                <w:color w:val="auto"/>
              </w:rPr>
              <w:t>000's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GAAP net income (loss)</w:t>
            </w:r>
          </w:p>
        </w:tc>
        <w:tc>
          <w:tcPr>
            <w:tcW w:w="300" w:type="dxa"/>
            <w:vAlign w:val="bottom"/>
            <w:shd w:val="clear" w:color="auto" w:fill="BFE4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(5,391)</w:t>
            </w:r>
          </w:p>
        </w:tc>
        <w:tc>
          <w:tcPr>
            <w:tcW w:w="100" w:type="dxa"/>
            <w:vAlign w:val="bottom"/>
            <w:shd w:val="clear" w:color="auto" w:fill="BFE4FF"/>
          </w:tcPr>
          <w:p>
            <w:pPr>
              <w:spacing w:after="0"/>
              <w:rPr>
                <w:sz w:val="15"/>
                <w:szCs w:val="15"/>
                <w:color w:val="auto"/>
              </w:rPr>
            </w:pPr>
          </w:p>
        </w:tc>
        <w:tc>
          <w:tcPr>
            <w:tcW w:w="380" w:type="dxa"/>
            <w:vAlign w:val="bottom"/>
            <w:shd w:val="clear" w:color="auto" w:fill="BFE4FF"/>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(21,748)</w:t>
            </w:r>
          </w:p>
        </w:tc>
      </w:tr>
      <w:tr>
        <w:trPr>
          <w:trHeight w:val="257"/>
        </w:trPr>
        <w:tc>
          <w:tcPr>
            <w:tcW w:w="5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89"/>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acquisition and transition expense</w:t>
            </w:r>
          </w:p>
        </w:tc>
        <w:tc>
          <w:tcPr>
            <w:tcW w:w="300" w:type="dxa"/>
            <w:vAlign w:val="bottom"/>
            <w:shd w:val="clear" w:color="auto" w:fill="BFE4FF"/>
          </w:tcPr>
          <w:p>
            <w:pPr>
              <w:spacing w:after="0"/>
              <w:rPr>
                <w:sz w:val="16"/>
                <w:szCs w:val="16"/>
                <w:color w:val="auto"/>
              </w:rPr>
            </w:pPr>
          </w:p>
        </w:tc>
        <w:tc>
          <w:tcPr>
            <w:tcW w:w="10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1,858</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foreign exchange (gain) loss on inter-company loans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(474)</w:t>
            </w: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change in fair value of preferred stock derivatives and warrants</w:t>
            </w:r>
          </w:p>
        </w:tc>
        <w:tc>
          <w:tcPr>
            <w:tcW w:w="300" w:type="dxa"/>
            <w:vAlign w:val="bottom"/>
            <w:shd w:val="clear" w:color="auto" w:fill="BFE4FF"/>
          </w:tcPr>
          <w:p>
            <w:pPr>
              <w:spacing w:after="0"/>
              <w:rPr>
                <w:sz w:val="16"/>
                <w:szCs w:val="16"/>
                <w:color w:val="auto"/>
              </w:rPr>
            </w:pPr>
          </w:p>
        </w:tc>
        <w:tc>
          <w:tcPr>
            <w:tcW w:w="10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(31)</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amortization of intangibles and deferred financing costs</w:t>
            </w:r>
          </w:p>
        </w:tc>
        <w:tc>
          <w:tcPr>
            <w:tcW w:w="3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3,900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4,035</w:t>
            </w: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costs related to divested businesses and litigation settlement</w:t>
            </w:r>
          </w:p>
        </w:tc>
        <w:tc>
          <w:tcPr>
            <w:tcW w:w="300" w:type="dxa"/>
            <w:vAlign w:val="bottom"/>
            <w:shd w:val="clear" w:color="auto" w:fill="BFE4FF"/>
          </w:tcPr>
          <w:p>
            <w:pPr>
              <w:spacing w:after="0"/>
              <w:rPr>
                <w:sz w:val="16"/>
                <w:szCs w:val="16"/>
                <w:color w:val="auto"/>
              </w:rPr>
            </w:pPr>
          </w:p>
        </w:tc>
        <w:tc>
          <w:tcPr>
            <w:tcW w:w="10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Tax effect of adjustments reflected above (c)</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(1,133)</w:t>
            </w: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Non-GAAP discrete tax adjustments</w:t>
            </w:r>
          </w:p>
        </w:tc>
        <w:tc>
          <w:tcPr>
            <w:tcW w:w="300" w:type="dxa"/>
            <w:vAlign w:val="bottom"/>
            <w:shd w:val="clear" w:color="auto" w:fill="BFE4FF"/>
          </w:tcPr>
          <w:p>
            <w:pPr>
              <w:spacing w:after="0"/>
              <w:rPr>
                <w:sz w:val="16"/>
                <w:szCs w:val="16"/>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3,123</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Loss from discontinued operations</w:t>
            </w:r>
          </w:p>
        </w:tc>
        <w:tc>
          <w:tcPr>
            <w:tcW w:w="3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4,182</w:t>
            </w:r>
          </w:p>
        </w:tc>
      </w:tr>
      <w:tr>
        <w:trPr>
          <w:trHeight w:val="211"/>
        </w:trPr>
        <w:tc>
          <w:tcPr>
            <w:tcW w:w="528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Non-GAAP adjusted net income (loss) (d)</w:t>
            </w:r>
          </w:p>
        </w:tc>
        <w:tc>
          <w:tcPr>
            <w:tcW w:w="300" w:type="dxa"/>
            <w:vAlign w:val="bottom"/>
            <w:tcBorders>
              <w:top w:val="single" w:sz="8" w:color="auto"/>
              <w:bottom w:val="single" w:sz="8" w:color="auto"/>
            </w:tcBorders>
            <w:shd w:val="clear" w:color="auto" w:fill="BFE4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Borders>
              <w:top w:val="single" w:sz="8" w:color="BFE4FF"/>
              <w:bottom w:val="single" w:sz="8" w:color="BFE4FF"/>
            </w:tcBorders>
            <w:shd w:val="clear" w:color="auto" w:fill="BFE4FF"/>
          </w:tcPr>
          <w:p>
            <w:pPr>
              <w:spacing w:after="0"/>
              <w:rPr>
                <w:sz w:val="17"/>
                <w:szCs w:val="17"/>
                <w:color w:val="auto"/>
              </w:rPr>
            </w:pPr>
          </w:p>
        </w:tc>
        <w:tc>
          <w:tcPr>
            <w:tcW w:w="380" w:type="dxa"/>
            <w:vAlign w:val="bottom"/>
            <w:tcBorders>
              <w:top w:val="single" w:sz="8" w:color="auto"/>
              <w:bottom w:val="single" w:sz="8" w:color="auto"/>
            </w:tcBorders>
            <w:shd w:val="clear" w:color="auto" w:fill="BFE4FF"/>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(10,188)</w:t>
            </w:r>
          </w:p>
        </w:tc>
      </w:tr>
      <w:tr>
        <w:trPr>
          <w:trHeight w:val="20"/>
        </w:trPr>
        <w:tc>
          <w:tcPr>
            <w:tcW w:w="528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380" w:type="dxa"/>
            <w:vAlign w:val="bottom"/>
            <w:tcBorders>
              <w:top w:val="single" w:sz="8" w:color="BFE4FF"/>
              <w:bottom w:val="single" w:sz="8" w:color="auto"/>
            </w:tcBorders>
            <w:gridSpan w:val="2"/>
          </w:tcPr>
          <w:p>
            <w:pPr>
              <w:spacing w:after="0" w:line="20" w:lineRule="exact"/>
              <w:rPr>
                <w:sz w:val="1"/>
                <w:szCs w:val="1"/>
                <w:color w:val="auto"/>
              </w:rPr>
            </w:pPr>
          </w:p>
        </w:tc>
      </w:tr>
      <w:tr>
        <w:trPr>
          <w:trHeight w:val="298"/>
        </w:trPr>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5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r>
      <w:tr>
        <w:trPr>
          <w:trHeight w:val="184"/>
        </w:trPr>
        <w:tc>
          <w:tcPr>
            <w:tcW w:w="528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i w:val="1"/>
                <w:iCs w:val="1"/>
                <w:color w:val="auto"/>
              </w:rPr>
              <w:t>Amounts per share, diluted</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GAAP net income (loss) per diluted share</w:t>
            </w:r>
          </w:p>
        </w:tc>
        <w:tc>
          <w:tcPr>
            <w:tcW w:w="300" w:type="dxa"/>
            <w:vAlign w:val="bottom"/>
            <w:shd w:val="clear" w:color="auto" w:fill="BFE4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BFE4FF"/>
          </w:tcPr>
          <w:p>
            <w:pPr>
              <w:spacing w:after="0"/>
              <w:rPr>
                <w:sz w:val="15"/>
                <w:szCs w:val="15"/>
                <w:color w:val="auto"/>
              </w:rPr>
            </w:pPr>
          </w:p>
        </w:tc>
        <w:tc>
          <w:tcPr>
            <w:tcW w:w="380" w:type="dxa"/>
            <w:vAlign w:val="bottom"/>
            <w:shd w:val="clear" w:color="auto" w:fill="BFE4FF"/>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(0.59)</w:t>
            </w:r>
          </w:p>
        </w:tc>
      </w:tr>
      <w:tr>
        <w:trPr>
          <w:trHeight w:val="257"/>
        </w:trPr>
        <w:tc>
          <w:tcPr>
            <w:tcW w:w="5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89"/>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acquisition and transition expense</w:t>
            </w:r>
          </w:p>
        </w:tc>
        <w:tc>
          <w:tcPr>
            <w:tcW w:w="300" w:type="dxa"/>
            <w:vAlign w:val="bottom"/>
            <w:shd w:val="clear" w:color="auto" w:fill="BFE4FF"/>
          </w:tcPr>
          <w:p>
            <w:pPr>
              <w:spacing w:after="0"/>
              <w:rPr>
                <w:sz w:val="16"/>
                <w:szCs w:val="16"/>
                <w:color w:val="auto"/>
              </w:rPr>
            </w:pPr>
          </w:p>
        </w:tc>
        <w:tc>
          <w:tcPr>
            <w:tcW w:w="10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0.04</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foreign exchange (gain) loss on inter-company loans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change in fair value of preferred stock derivatives and warrants</w:t>
            </w:r>
          </w:p>
        </w:tc>
        <w:tc>
          <w:tcPr>
            <w:tcW w:w="300" w:type="dxa"/>
            <w:vAlign w:val="bottom"/>
            <w:shd w:val="clear" w:color="auto" w:fill="BFE4FF"/>
          </w:tcPr>
          <w:p>
            <w:pPr>
              <w:spacing w:after="0"/>
              <w:rPr>
                <w:sz w:val="16"/>
                <w:szCs w:val="16"/>
                <w:color w:val="auto"/>
              </w:rPr>
            </w:pPr>
          </w:p>
        </w:tc>
        <w:tc>
          <w:tcPr>
            <w:tcW w:w="10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Pre-tax amortization of intangibles and deferred financing costs</w:t>
            </w:r>
          </w:p>
        </w:tc>
        <w:tc>
          <w:tcPr>
            <w:tcW w:w="30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Pre-tax costs related to divested businesses and litigation settlement</w:t>
            </w:r>
          </w:p>
        </w:tc>
        <w:tc>
          <w:tcPr>
            <w:tcW w:w="300" w:type="dxa"/>
            <w:vAlign w:val="bottom"/>
            <w:shd w:val="clear" w:color="auto" w:fill="BFE4FF"/>
          </w:tcPr>
          <w:p>
            <w:pPr>
              <w:spacing w:after="0"/>
              <w:rPr>
                <w:sz w:val="16"/>
                <w:szCs w:val="16"/>
                <w:color w:val="auto"/>
              </w:rPr>
            </w:pPr>
          </w:p>
        </w:tc>
        <w:tc>
          <w:tcPr>
            <w:tcW w:w="10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BFE4FF"/>
          </w:tcPr>
          <w:p>
            <w:pPr>
              <w:spacing w:after="0"/>
              <w:rPr>
                <w:sz w:val="16"/>
                <w:szCs w:val="16"/>
                <w:color w:val="auto"/>
              </w:rPr>
            </w:pP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Tax effect of adjustments reflected above (c)</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Non-GAAP discrete tax adjustments</w:t>
            </w:r>
          </w:p>
        </w:tc>
        <w:tc>
          <w:tcPr>
            <w:tcW w:w="300" w:type="dxa"/>
            <w:vAlign w:val="bottom"/>
            <w:shd w:val="clear" w:color="auto" w:fill="BFE4FF"/>
          </w:tcPr>
          <w:p>
            <w:pPr>
              <w:spacing w:after="0"/>
              <w:rPr>
                <w:sz w:val="16"/>
                <w:szCs w:val="16"/>
                <w:color w:val="auto"/>
              </w:rPr>
            </w:pPr>
          </w:p>
        </w:tc>
        <w:tc>
          <w:tcPr>
            <w:tcW w:w="1180" w:type="dxa"/>
            <w:vAlign w:val="bottom"/>
            <w:gridSpan w:val="2"/>
            <w:shd w:val="clear" w:color="auto" w:fill="BFE4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BFE4FF"/>
          </w:tcPr>
          <w:p>
            <w:pPr>
              <w:spacing w:after="0"/>
              <w:rPr>
                <w:sz w:val="16"/>
                <w:szCs w:val="16"/>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0.07</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Loss from discontinued operations</w:t>
            </w:r>
          </w:p>
        </w:tc>
        <w:tc>
          <w:tcPr>
            <w:tcW w:w="3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192"/>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Preferred stock cumulative dividends and deemed dividends</w:t>
            </w:r>
          </w:p>
        </w:tc>
        <w:tc>
          <w:tcPr>
            <w:tcW w:w="300" w:type="dxa"/>
            <w:vAlign w:val="bottom"/>
            <w:tcBorders>
              <w:bottom w:val="single" w:sz="8" w:color="auto"/>
            </w:tcBorders>
            <w:shd w:val="clear" w:color="auto" w:fill="BFE4FF"/>
          </w:tcPr>
          <w:p>
            <w:pPr>
              <w:spacing w:after="0"/>
              <w:rPr>
                <w:sz w:val="16"/>
                <w:szCs w:val="16"/>
                <w:color w:val="auto"/>
              </w:rPr>
            </w:pPr>
          </w:p>
        </w:tc>
        <w:tc>
          <w:tcPr>
            <w:tcW w:w="108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BFE4FF"/>
          </w:tcPr>
          <w:p>
            <w:pPr>
              <w:spacing w:after="0"/>
              <w:rPr>
                <w:sz w:val="16"/>
                <w:szCs w:val="16"/>
                <w:color w:val="auto"/>
              </w:rPr>
            </w:pPr>
          </w:p>
        </w:tc>
        <w:tc>
          <w:tcPr>
            <w:tcW w:w="380" w:type="dxa"/>
            <w:vAlign w:val="bottom"/>
            <w:tcBorders>
              <w:bottom w:val="single" w:sz="8" w:color="auto"/>
            </w:tcBorders>
            <w:shd w:val="clear" w:color="auto" w:fill="BFE4FF"/>
          </w:tcPr>
          <w:p>
            <w:pPr>
              <w:spacing w:after="0"/>
              <w:rPr>
                <w:sz w:val="16"/>
                <w:szCs w:val="16"/>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0.07</w:t>
            </w:r>
          </w:p>
        </w:tc>
      </w:tr>
      <w:tr>
        <w:trPr>
          <w:trHeight w:val="183"/>
        </w:trPr>
        <w:tc>
          <w:tcPr>
            <w:tcW w:w="5280" w:type="dxa"/>
            <w:vAlign w:val="bottom"/>
          </w:tcPr>
          <w:p>
            <w:pPr>
              <w:ind w:left="20"/>
              <w:spacing w:after="0"/>
              <w:rPr>
                <w:sz w:val="20"/>
                <w:szCs w:val="20"/>
                <w:color w:val="auto"/>
              </w:rPr>
            </w:pPr>
            <w:r>
              <w:rPr>
                <w:rFonts w:ascii="Arial" w:cs="Arial" w:eastAsia="Arial" w:hAnsi="Arial"/>
                <w:sz w:val="14"/>
                <w:szCs w:val="14"/>
                <w:color w:val="auto"/>
              </w:rPr>
              <w:t>Non-GAAP adjusted net income (loss) per diluted share (d)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r>
      <w:tr>
        <w:trPr>
          <w:trHeight w:val="20"/>
        </w:trPr>
        <w:tc>
          <w:tcPr>
            <w:tcW w:w="5280" w:type="dxa"/>
            <w:vAlign w:val="bottom"/>
            <w:tcBorders>
              <w:bottom w:val="single" w:sz="8" w:color="BFE4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BFE4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shd w:val="clear" w:color="auto" w:fill="BFE4FF"/>
          </w:tcPr>
          <w:p>
            <w:pPr>
              <w:spacing w:after="0"/>
              <w:rPr>
                <w:sz w:val="15"/>
                <w:szCs w:val="15"/>
                <w:color w:val="auto"/>
              </w:rPr>
            </w:pPr>
          </w:p>
        </w:tc>
        <w:tc>
          <w:tcPr>
            <w:tcW w:w="10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44,440</w:t>
            </w:r>
          </w:p>
        </w:tc>
        <w:tc>
          <w:tcPr>
            <w:tcW w:w="100" w:type="dxa"/>
            <w:vAlign w:val="bottom"/>
            <w:shd w:val="clear" w:color="auto" w:fill="BFE4FF"/>
          </w:tcPr>
          <w:p>
            <w:pPr>
              <w:spacing w:after="0"/>
              <w:rPr>
                <w:sz w:val="15"/>
                <w:szCs w:val="15"/>
                <w:color w:val="auto"/>
              </w:rPr>
            </w:pPr>
          </w:p>
        </w:tc>
        <w:tc>
          <w:tcPr>
            <w:tcW w:w="380" w:type="dxa"/>
            <w:vAlign w:val="bottom"/>
            <w:shd w:val="clear" w:color="auto" w:fill="BFE4FF"/>
          </w:tcPr>
          <w:p>
            <w:pPr>
              <w:spacing w:after="0"/>
              <w:rPr>
                <w:sz w:val="15"/>
                <w:szCs w:val="15"/>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42,197</w:t>
            </w: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20"/>
          </w:cols>
          <w:pgMar w:left="1440" w:top="972" w:right="339" w:bottom="1440" w:gutter="0" w:footer="0" w:header="0"/>
        </w:sectPr>
      </w:pPr>
    </w:p>
    <w:bookmarkStart w:id="12" w:name="page13"/>
    <w:bookmarkEnd w:id="12"/>
    <w:p>
      <w:pPr>
        <w:ind w:left="2280"/>
        <w:spacing w:after="0"/>
        <w:rPr>
          <w:sz w:val="20"/>
          <w:szCs w:val="20"/>
          <w:color w:val="auto"/>
        </w:rPr>
      </w:pPr>
      <w:r>
        <w:rPr>
          <w:rFonts w:ascii="Arial" w:cs="Arial" w:eastAsia="Arial" w:hAnsi="Arial"/>
          <w:sz w:val="18"/>
          <w:szCs w:val="18"/>
          <w:b w:val="1"/>
          <w:bCs w:val="1"/>
          <w:color w:val="auto"/>
        </w:rPr>
        <w:t>Reconciliation of Operating Cash Flow to Free Cash Flow</w:t>
      </w:r>
    </w:p>
    <w:p>
      <w:pPr>
        <w:spacing w:after="0" w:line="2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82"/>
        </w:trPr>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1040" w:type="dxa"/>
            <w:vAlign w:val="bottom"/>
          </w:tcPr>
          <w:p>
            <w:pPr>
              <w:spacing w:after="0"/>
              <w:rPr>
                <w:sz w:val="15"/>
                <w:szCs w:val="15"/>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78"/>
        </w:trPr>
        <w:tc>
          <w:tcPr>
            <w:tcW w:w="3640" w:type="dxa"/>
            <w:vAlign w:val="bottom"/>
            <w:gridSpan w:val="2"/>
          </w:tcPr>
          <w:p>
            <w:pPr>
              <w:spacing w:after="0"/>
              <w:rPr>
                <w:sz w:val="20"/>
                <w:szCs w:val="20"/>
                <w:color w:val="auto"/>
              </w:rPr>
            </w:pPr>
            <w:r>
              <w:rPr>
                <w:rFonts w:ascii="Arial" w:cs="Arial" w:eastAsia="Arial" w:hAnsi="Arial"/>
                <w:sz w:val="14"/>
                <w:szCs w:val="14"/>
                <w:color w:val="auto"/>
              </w:rPr>
              <w:t>Net cash provided by (used in) operating activities</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left="528"/>
              <w:spacing w:after="0"/>
              <w:rPr>
                <w:sz w:val="20"/>
                <w:szCs w:val="20"/>
                <w:color w:val="auto"/>
              </w:rPr>
            </w:pPr>
            <w:r>
              <w:rPr>
                <w:rFonts w:ascii="Arial" w:cs="Arial" w:eastAsia="Arial" w:hAnsi="Arial"/>
                <w:sz w:val="14"/>
                <w:szCs w:val="14"/>
                <w:color w:val="auto"/>
                <w:w w:val="91"/>
              </w:rPr>
              <w:t>5,638</w:t>
            </w:r>
          </w:p>
        </w:tc>
      </w:tr>
      <w:tr>
        <w:trPr>
          <w:trHeight w:val="190"/>
        </w:trPr>
        <w:tc>
          <w:tcPr>
            <w:tcW w:w="3640" w:type="dxa"/>
            <w:vAlign w:val="bottom"/>
            <w:gridSpan w:val="2"/>
          </w:tcPr>
          <w:p>
            <w:pPr>
              <w:spacing w:after="0"/>
              <w:rPr>
                <w:sz w:val="20"/>
                <w:szCs w:val="20"/>
                <w:color w:val="auto"/>
              </w:rPr>
            </w:pPr>
            <w:r>
              <w:rPr>
                <w:rFonts w:ascii="Arial" w:cs="Arial" w:eastAsia="Arial" w:hAnsi="Arial"/>
                <w:sz w:val="14"/>
                <w:szCs w:val="14"/>
                <w:color w:val="auto"/>
              </w:rPr>
              <w:t>Acquisition of property, plant and equipment</w:t>
            </w:r>
          </w:p>
        </w:tc>
        <w:tc>
          <w:tcPr>
            <w:tcW w:w="10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center"/>
              <w:ind w:left="508"/>
              <w:spacing w:after="0"/>
              <w:rPr>
                <w:sz w:val="20"/>
                <w:szCs w:val="20"/>
                <w:color w:val="auto"/>
              </w:rPr>
            </w:pPr>
            <w:r>
              <w:rPr>
                <w:rFonts w:ascii="Arial" w:cs="Arial" w:eastAsia="Arial" w:hAnsi="Arial"/>
                <w:sz w:val="14"/>
                <w:szCs w:val="14"/>
                <w:color w:val="auto"/>
                <w:w w:val="94"/>
              </w:rPr>
              <w:t>(4,364)</w:t>
            </w:r>
          </w:p>
        </w:tc>
      </w:tr>
      <w:tr>
        <w:trPr>
          <w:trHeight w:val="213"/>
        </w:trPr>
        <w:tc>
          <w:tcPr>
            <w:tcW w:w="320" w:type="dxa"/>
            <w:vAlign w:val="bottom"/>
          </w:tcPr>
          <w:p>
            <w:pPr>
              <w:spacing w:after="0"/>
              <w:rPr>
                <w:sz w:val="20"/>
                <w:szCs w:val="20"/>
                <w:color w:val="auto"/>
              </w:rPr>
            </w:pPr>
            <w:r>
              <w:rPr>
                <w:rFonts w:ascii="Arial" w:cs="Arial" w:eastAsia="Arial" w:hAnsi="Arial"/>
                <w:sz w:val="14"/>
                <w:szCs w:val="14"/>
                <w:color w:val="auto"/>
              </w:rPr>
              <w:t>Free</w:t>
            </w:r>
          </w:p>
        </w:tc>
        <w:tc>
          <w:tcPr>
            <w:tcW w:w="3320" w:type="dxa"/>
            <w:vAlign w:val="bottom"/>
            <w:tcBorders>
              <w:top w:val="single" w:sz="8" w:color="BFE4FF"/>
              <w:bottom w:val="single" w:sz="8" w:color="BFE4FF"/>
            </w:tcBorders>
            <w:shd w:val="clear" w:color="auto" w:fill="BFE4FF"/>
          </w:tcPr>
          <w:p>
            <w:pPr>
              <w:spacing w:after="0"/>
              <w:rPr>
                <w:sz w:val="20"/>
                <w:szCs w:val="20"/>
                <w:color w:val="auto"/>
              </w:rPr>
            </w:pPr>
            <w:r>
              <w:rPr>
                <w:rFonts w:ascii="Arial" w:cs="Arial" w:eastAsia="Arial" w:hAnsi="Arial"/>
                <w:sz w:val="14"/>
                <w:szCs w:val="14"/>
                <w:color w:val="auto"/>
              </w:rPr>
              <w:t>cash flow</w:t>
            </w:r>
          </w:p>
        </w:tc>
        <w:tc>
          <w:tcPr>
            <w:tcW w:w="1040" w:type="dxa"/>
            <w:vAlign w:val="bottom"/>
            <w:tcBorders>
              <w:top w:val="single" w:sz="8" w:color="BFE4FF"/>
              <w:bottom w:val="single" w:sz="8" w:color="BFE4FF"/>
            </w:tcBorders>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(7,533)$</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280" w:type="dxa"/>
            <w:vAlign w:val="bottom"/>
            <w:tcBorders>
              <w:top w:val="single" w:sz="8" w:color="auto"/>
              <w:bottom w:val="single" w:sz="8" w:color="auto"/>
            </w:tcBorders>
            <w:shd w:val="clear" w:color="auto" w:fill="BFE4FF"/>
          </w:tcPr>
          <w:p>
            <w:pPr>
              <w:spacing w:after="0"/>
              <w:rPr>
                <w:sz w:val="18"/>
                <w:szCs w:val="18"/>
                <w:color w:val="auto"/>
              </w:rPr>
            </w:pPr>
          </w:p>
        </w:tc>
        <w:tc>
          <w:tcPr>
            <w:tcW w:w="1040" w:type="dxa"/>
            <w:vAlign w:val="bottom"/>
            <w:tcBorders>
              <w:top w:val="single" w:sz="8" w:color="auto"/>
              <w:bottom w:val="single" w:sz="8" w:color="auto"/>
            </w:tcBorders>
            <w:shd w:val="clear" w:color="auto" w:fill="BFE4FF"/>
          </w:tcPr>
          <w:p>
            <w:pPr>
              <w:jc w:val="center"/>
              <w:ind w:left="528"/>
              <w:spacing w:after="0"/>
              <w:rPr>
                <w:sz w:val="20"/>
                <w:szCs w:val="20"/>
                <w:color w:val="auto"/>
              </w:rPr>
            </w:pPr>
            <w:r>
              <w:rPr>
                <w:rFonts w:ascii="Arial" w:cs="Arial" w:eastAsia="Arial" w:hAnsi="Arial"/>
                <w:sz w:val="14"/>
                <w:szCs w:val="14"/>
                <w:color w:val="auto"/>
                <w:w w:val="91"/>
              </w:rPr>
              <w:t>1,274</w:t>
            </w:r>
          </w:p>
        </w:tc>
      </w:tr>
      <w:tr>
        <w:trPr>
          <w:trHeight w:val="20"/>
        </w:trPr>
        <w:tc>
          <w:tcPr>
            <w:tcW w:w="320" w:type="dxa"/>
            <w:vAlign w:val="bottom"/>
          </w:tcPr>
          <w:p>
            <w:pPr>
              <w:spacing w:after="0" w:line="20" w:lineRule="exact"/>
              <w:rPr>
                <w:sz w:val="1"/>
                <w:szCs w:val="1"/>
                <w:color w:val="auto"/>
              </w:rPr>
            </w:pPr>
          </w:p>
        </w:tc>
        <w:tc>
          <w:tcPr>
            <w:tcW w:w="3320" w:type="dxa"/>
            <w:vAlign w:val="bottom"/>
            <w:tcBorders>
              <w:top w:val="single" w:sz="8" w:color="BFE4FF"/>
            </w:tcBorders>
          </w:tcPr>
          <w:p>
            <w:pPr>
              <w:spacing w:after="0" w:line="20" w:lineRule="exact"/>
              <w:rPr>
                <w:sz w:val="1"/>
                <w:szCs w:val="1"/>
                <w:color w:val="auto"/>
              </w:rPr>
            </w:pPr>
          </w:p>
        </w:tc>
        <w:tc>
          <w:tcPr>
            <w:tcW w:w="104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-410845</wp:posOffset>
            </wp:positionV>
            <wp:extent cx="451739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1739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20"/>
          </w:cols>
          <w:pgMar w:left="1440" w:top="972" w:right="339" w:bottom="1440" w:gutter="0" w:footer="0" w:header="0"/>
        </w:sectPr>
      </w:pPr>
    </w:p>
    <w:bookmarkStart w:id="13" w:name="page14"/>
    <w:bookmarkEnd w:id="13"/>
    <w:p>
      <w:pPr>
        <w:spacing w:after="0" w:line="26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(loss) from operations, adjusted EBITDA, adjusted net income (loss), adjusted net income (loss)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share, free cash flow and net debt provides useful information in assessing our underlying business trends and facilitates comparison of our long-term performance over given periods.</w:t>
      </w:r>
    </w:p>
    <w:p>
      <w:pPr>
        <w:spacing w:after="0" w:line="15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45" w:lineRule="exact"/>
        <w:rPr>
          <w:sz w:val="20"/>
          <w:szCs w:val="20"/>
          <w:color w:val="auto"/>
        </w:rPr>
      </w:pPr>
    </w:p>
    <w:p>
      <w:pPr>
        <w:ind w:right="140" w:firstLine="8"/>
        <w:spacing w:after="0" w:line="269" w:lineRule="auto"/>
        <w:tabs>
          <w:tab w:leader="none" w:pos="243"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162" w:lineRule="exact"/>
        <w:rPr>
          <w:rFonts w:ascii="Arial" w:cs="Arial" w:eastAsia="Arial" w:hAnsi="Arial"/>
          <w:sz w:val="16"/>
          <w:szCs w:val="16"/>
          <w:i w:val="1"/>
          <w:iCs w:val="1"/>
          <w:color w:val="auto"/>
        </w:rPr>
      </w:pPr>
    </w:p>
    <w:p>
      <w:pPr>
        <w:ind w:right="100" w:firstLine="8"/>
        <w:spacing w:after="0" w:line="269" w:lineRule="auto"/>
        <w:tabs>
          <w:tab w:leader="none" w:pos="243"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EBITDA represents GAAP net income (loss),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45" w:lineRule="exact"/>
        <w:rPr>
          <w:rFonts w:ascii="Arial" w:cs="Arial" w:eastAsia="Arial" w:hAnsi="Arial"/>
          <w:sz w:val="16"/>
          <w:szCs w:val="16"/>
          <w:i w:val="1"/>
          <w:iCs w:val="1"/>
          <w:color w:val="auto"/>
        </w:rPr>
      </w:pPr>
    </w:p>
    <w:p>
      <w:pPr>
        <w:ind w:right="340" w:firstLine="8"/>
        <w:spacing w:after="0" w:line="281" w:lineRule="auto"/>
        <w:tabs>
          <w:tab w:leader="none" w:pos="23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36" w:lineRule="exact"/>
        <w:rPr>
          <w:rFonts w:ascii="Arial" w:cs="Arial" w:eastAsia="Arial" w:hAnsi="Arial"/>
          <w:sz w:val="16"/>
          <w:szCs w:val="16"/>
          <w:i w:val="1"/>
          <w:iCs w:val="1"/>
          <w:color w:val="auto"/>
        </w:rPr>
      </w:pPr>
    </w:p>
    <w:p>
      <w:pPr>
        <w:ind w:right="20" w:firstLine="8"/>
        <w:spacing w:after="0" w:line="268" w:lineRule="auto"/>
        <w:tabs>
          <w:tab w:leader="none" w:pos="243"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sectPr>
      <w:pgSz w:w="11900" w:h="16838" w:orient="portrait"/>
      <w:cols w:equalWidth="0" w:num="1">
        <w:col w:w="11240"/>
      </w:cols>
      <w:pgMar w:left="320" w:top="9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upperLetter"/>
      <w:start w:val="40"/>
    </w:lvl>
  </w:abstractNum>
  <w:abstractNum w:abstractNumId="3">
    <w:nsid w:val="2EB141F2"/>
    <w:multiLevelType w:val="hybridMultilevel"/>
    <w:lvl w:ilvl="0">
      <w:lvlJc w:val="left"/>
      <w:lvlText w:val="%1"/>
      <w:numFmt w:val="upperLetter"/>
      <w:start w:val="40"/>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2021-08-05T17:24:30Z</dcterms:created>
  <dcterms:modified xsi:type="dcterms:W3CDTF">2021-08-05T17:24:30Z</dcterms:modified>
</cp:coreProperties>
</file>