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629337106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629337106</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0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auto"/>
              <w:right w:val="single" w:sz="8" w:color="auto"/>
            </w:tcBorders>
          </w:tcPr>
          <w:p>
            <w:pPr>
              <w:spacing w:after="0"/>
              <w:rPr>
                <w:sz w:val="18"/>
                <w:szCs w:val="18"/>
                <w:color w:val="auto"/>
              </w:rPr>
            </w:pPr>
          </w:p>
        </w:tc>
        <w:tc>
          <w:tcPr>
            <w:tcW w:w="1098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466"/>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RBC Global Asset Management (U.S.) Inc.</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10080" w:type="dxa"/>
            <w:vAlign w:val="bottom"/>
            <w:tcBorders>
              <w:bottom w:val="single" w:sz="8" w:color="auto"/>
              <w:right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left w:val="single" w:sz="8" w:color="auto"/>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098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right w:val="single" w:sz="8" w:color="auto"/>
            </w:tcBorders>
          </w:tcPr>
          <w:p>
            <w:pPr>
              <w:spacing w:after="0"/>
              <w:rPr>
                <w:sz w:val="19"/>
                <w:szCs w:val="19"/>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6"/>
              </w:rPr>
              <w:t>Minnesota</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5"/>
              </w:rPr>
              <w:t>Number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0" w:type="dxa"/>
            <w:vAlign w:val="bottom"/>
            <w:tcBorders>
              <w:left w:val="single" w:sz="8" w:color="auto"/>
            </w:tcBorders>
          </w:tcPr>
          <w:p>
            <w:pPr>
              <w:spacing w:after="0"/>
              <w:rPr>
                <w:sz w:val="20"/>
                <w:szCs w:val="20"/>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Shares</w:t>
            </w:r>
          </w:p>
        </w:tc>
        <w:tc>
          <w:tcPr>
            <w:tcW w:w="2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1,854,905</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Borders>
              <w:lef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30"/>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1000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tcBorders>
          </w:tcPr>
          <w:p>
            <w:pPr>
              <w:spacing w:after="0"/>
              <w:rPr>
                <w:sz w:val="18"/>
                <w:szCs w:val="18"/>
                <w:color w:val="auto"/>
              </w:rPr>
            </w:pPr>
          </w:p>
        </w:tc>
        <w:tc>
          <w:tcPr>
            <w:tcW w:w="74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4"/>
              </w:rPr>
              <w:t>Person</w:t>
            </w:r>
          </w:p>
        </w:tc>
        <w:tc>
          <w:tcPr>
            <w:tcW w:w="2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0" w:type="dxa"/>
            <w:vAlign w:val="bottom"/>
            <w:tcBorders>
              <w:left w:val="single" w:sz="8" w:color="auto"/>
            </w:tcBorders>
          </w:tcPr>
          <w:p>
            <w:pPr>
              <w:spacing w:after="0"/>
              <w:rPr>
                <w:sz w:val="5"/>
                <w:szCs w:val="5"/>
                <w:color w:val="auto"/>
              </w:rPr>
            </w:pPr>
          </w:p>
        </w:tc>
        <w:tc>
          <w:tcPr>
            <w:tcW w:w="74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w w:val="97"/>
              </w:rPr>
              <w:t>With:</w:t>
            </w: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Borders>
              <w:left w:val="single" w:sz="8" w:color="auto"/>
            </w:tcBorders>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100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0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2,699,088</w:t>
            </w: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9"/>
              </w:rPr>
              <w:t>2,699,088</w:t>
            </w: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20"/>
                <w:szCs w:val="20"/>
                <w:color w:val="auto"/>
              </w:rPr>
            </w:pPr>
          </w:p>
        </w:tc>
        <w:tc>
          <w:tcPr>
            <w:tcW w:w="109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0" w:type="dxa"/>
            <w:vAlign w:val="bottom"/>
            <w:tcBorders>
              <w:left w:val="single" w:sz="8" w:color="auto"/>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5" w:lineRule="exact"/>
        <w:rPr>
          <w:sz w:val="20"/>
          <w:szCs w:val="20"/>
          <w:color w:val="auto"/>
        </w:rPr>
      </w:pPr>
    </w:p>
    <w:p>
      <w:pPr>
        <w:ind w:left="920" w:right="9420" w:hanging="466"/>
        <w:spacing w:after="0" w:line="342" w:lineRule="auto"/>
        <w:tabs>
          <w:tab w:leader="none" w:pos="898"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Issuer NN, Inc.</w:t>
      </w:r>
    </w:p>
    <w:p>
      <w:pPr>
        <w:spacing w:after="0" w:line="29" w:lineRule="exact"/>
        <w:rPr>
          <w:rFonts w:ascii="Arial" w:cs="Arial" w:eastAsia="Arial" w:hAnsi="Arial"/>
          <w:sz w:val="16"/>
          <w:szCs w:val="16"/>
          <w:color w:val="auto"/>
        </w:rPr>
      </w:pPr>
    </w:p>
    <w:p>
      <w:pPr>
        <w:ind w:left="920" w:right="7100" w:hanging="466"/>
        <w:spacing w:after="0" w:line="258" w:lineRule="auto"/>
        <w:tabs>
          <w:tab w:leader="none" w:pos="898"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Address of Issuer’s Principal Executive Offices 207 Mockingbird Lane</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Johnson City, Tennessee 37604</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RBC Global Asset Management (U.S.) Inc.</w:t>
      </w:r>
    </w:p>
    <w:p>
      <w:pPr>
        <w:spacing w:after="0" w:line="116" w:lineRule="exact"/>
        <w:rPr>
          <w:rFonts w:ascii="Arial" w:cs="Arial" w:eastAsia="Arial" w:hAnsi="Arial"/>
          <w:sz w:val="18"/>
          <w:szCs w:val="18"/>
          <w:color w:val="auto"/>
        </w:rPr>
      </w:pPr>
    </w:p>
    <w:p>
      <w:pPr>
        <w:ind w:left="920" w:right="6240" w:hanging="466"/>
        <w:spacing w:after="0" w:line="258" w:lineRule="auto"/>
        <w:tabs>
          <w:tab w:leader="none" w:pos="898"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50 South Sixth Street</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Suite 2350</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Minneapolis, Minnesota 55402</w:t>
      </w:r>
    </w:p>
    <w:p>
      <w:pPr>
        <w:spacing w:after="0" w:line="116"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RBC Global Asset Management (U.S.) Inc. is incorporated under the laws of Minnesota</w:t>
      </w:r>
    </w:p>
    <w:p>
      <w:pPr>
        <w:spacing w:after="0" w:line="116" w:lineRule="exact"/>
        <w:rPr>
          <w:sz w:val="20"/>
          <w:szCs w:val="20"/>
          <w:color w:val="auto"/>
        </w:rPr>
      </w:pPr>
    </w:p>
    <w:p>
      <w:pPr>
        <w:ind w:left="920" w:right="8600" w:hanging="466"/>
        <w:spacing w:after="0" w:line="342" w:lineRule="auto"/>
        <w:tabs>
          <w:tab w:leader="none" w:pos="898"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920" w:right="9380" w:hanging="466"/>
        <w:spacing w:after="0" w:line="342" w:lineRule="auto"/>
        <w:tabs>
          <w:tab w:leader="none" w:pos="898"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629337106</w:t>
      </w: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260" w:hanging="793"/>
        <w:spacing w:after="0" w:line="239" w:lineRule="exact"/>
        <w:tabs>
          <w:tab w:leader="none" w:pos="88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420"/>
          </w:cols>
          <w:pgMar w:left="240" w:top="270" w:right="23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See Item 9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See Item 11 of the Cover Page.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500" w:right="7140" w:hanging="587"/>
        <w:spacing w:after="0" w:line="308" w:lineRule="auto"/>
        <w:tabs>
          <w:tab w:leader="none" w:pos="1489" w:val="left"/>
        </w:tabs>
        <w:numPr>
          <w:ilvl w:val="1"/>
          <w:numId w:val="7"/>
        </w:numPr>
        <w:rPr>
          <w:rFonts w:ascii="Arial" w:cs="Arial" w:eastAsia="Arial" w:hAnsi="Arial"/>
          <w:sz w:val="17"/>
          <w:szCs w:val="17"/>
          <w:color w:val="auto"/>
        </w:rPr>
      </w:pPr>
      <w:r>
        <w:rPr>
          <w:rFonts w:ascii="Arial" w:cs="Arial" w:eastAsia="Arial" w:hAnsi="Arial"/>
          <w:sz w:val="17"/>
          <w:szCs w:val="17"/>
          <w:color w:val="auto"/>
        </w:rPr>
        <w:t>Sole power to vote or to direct the vote See Item 5 of the Cover Page.</w:t>
      </w:r>
    </w:p>
    <w:p>
      <w:pPr>
        <w:spacing w:after="0" w:line="51" w:lineRule="exact"/>
        <w:rPr>
          <w:rFonts w:ascii="Arial" w:cs="Arial" w:eastAsia="Arial" w:hAnsi="Arial"/>
          <w:sz w:val="17"/>
          <w:szCs w:val="17"/>
          <w:color w:val="auto"/>
        </w:rPr>
      </w:pPr>
    </w:p>
    <w:p>
      <w:pPr>
        <w:ind w:left="1500" w:right="6960" w:hanging="587"/>
        <w:spacing w:after="0" w:line="277"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See Item 6 of the Cover Page.</w:t>
      </w:r>
    </w:p>
    <w:p>
      <w:pPr>
        <w:spacing w:after="0" w:line="75" w:lineRule="exact"/>
        <w:rPr>
          <w:rFonts w:ascii="Arial" w:cs="Arial" w:eastAsia="Arial" w:hAnsi="Arial"/>
          <w:sz w:val="18"/>
          <w:szCs w:val="18"/>
          <w:color w:val="auto"/>
        </w:rPr>
      </w:pPr>
    </w:p>
    <w:p>
      <w:pPr>
        <w:ind w:left="1500" w:right="6220" w:hanging="587"/>
        <w:spacing w:after="0" w:line="277"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Item 7 of the Cover Page.</w:t>
      </w:r>
    </w:p>
    <w:p>
      <w:pPr>
        <w:spacing w:after="0" w:line="75" w:lineRule="exact"/>
        <w:rPr>
          <w:rFonts w:ascii="Arial" w:cs="Arial" w:eastAsia="Arial" w:hAnsi="Arial"/>
          <w:sz w:val="18"/>
          <w:szCs w:val="18"/>
          <w:color w:val="auto"/>
        </w:rPr>
      </w:pPr>
    </w:p>
    <w:p>
      <w:pPr>
        <w:ind w:left="1500" w:right="6040" w:hanging="587"/>
        <w:spacing w:after="0" w:line="277" w:lineRule="auto"/>
        <w:tabs>
          <w:tab w:leader="none" w:pos="1489"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Item 8 of the Cover Page.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270" w:right="239" w:bottom="1440" w:gutter="0" w:footer="0" w:header="0"/>
        </w:sectPr>
      </w:pPr>
    </w:p>
    <w:bookmarkStart w:id="4" w:name="page5"/>
    <w:bookmarkEnd w:id="4"/>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2018</w:t>
      </w:r>
    </w:p>
    <w:p>
      <w:pPr>
        <w:spacing w:after="0" w:line="25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RBC GLOBAL ASSET MANAGEMENT (U.S.) INC.</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 Carol Kuha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Carol Kuha /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0920"/>
      </w:cols>
      <w:pgMar w:left="2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2019-12-20T23:01:24Z</dcterms:created>
  <dcterms:modified xsi:type="dcterms:W3CDTF">2019-12-20T23:01:24Z</dcterms:modified>
</cp:coreProperties>
</file>