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8-K</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CURRENT REPORT</w:t>
      </w:r>
    </w:p>
    <w:p>
      <w:pPr>
        <w:spacing w:after="0" w:line="38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38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Date of Report (Date of earliest event reported): February 28, 2005</w:t>
      </w:r>
    </w:p>
    <w:p>
      <w:pPr>
        <w:spacing w:after="0" w:line="8" w:lineRule="exact"/>
        <w:rPr>
          <w:sz w:val="24"/>
          <w:szCs w:val="24"/>
          <w:color w:val="auto"/>
        </w:rPr>
      </w:pPr>
    </w:p>
    <w:p>
      <w:pPr>
        <w:ind w:left="562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NN,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388" w:lineRule="exact"/>
        <w:rPr>
          <w:sz w:val="24"/>
          <w:szCs w:val="24"/>
          <w:color w:val="auto"/>
        </w:rPr>
      </w:pPr>
    </w:p>
    <w:tbl>
      <w:tblPr>
        <w:tblLayout w:type="fixed"/>
        <w:tblInd w:w="600" w:type="dxa"/>
        <w:tblCellMar>
          <w:top w:w="0" w:type="dxa"/>
          <w:left w:w="0" w:type="dxa"/>
          <w:bottom w:w="0" w:type="dxa"/>
          <w:right w:w="0" w:type="dxa"/>
        </w:tblCellMar>
      </w:tblPr>
      <w:tr>
        <w:trPr>
          <w:trHeight w:val="185"/>
        </w:trPr>
        <w:tc>
          <w:tcPr>
            <w:tcW w:w="212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86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0-23486</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1" w:lineRule="exact"/>
        <w:rPr>
          <w:sz w:val="24"/>
          <w:szCs w:val="24"/>
          <w:color w:val="auto"/>
        </w:rPr>
      </w:pPr>
    </w:p>
    <w:p>
      <w:pPr>
        <w:ind w:left="300" w:right="2339" w:hanging="295"/>
        <w:spacing w:after="0" w:line="255" w:lineRule="auto"/>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(Commission (I.R.S. Employer Incorporation or Organization) File Number) Identification Number)</w:t>
      </w:r>
    </w:p>
    <w:p>
      <w:pPr>
        <w:spacing w:after="0" w:line="18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2000 Waters Edge Drive, Johnson City, Tennessee 37604</w:t>
      </w:r>
    </w:p>
    <w:p>
      <w:pPr>
        <w:spacing w:after="0" w:line="8"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19"/>
          </w:cols>
          <w:pgMar w:left="240" w:top="243" w:right="1440" w:bottom="897" w:gutter="0" w:footer="0" w:header="0"/>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left="800"/>
        <w:spacing w:after="0"/>
        <w:rPr>
          <w:sz w:val="20"/>
          <w:szCs w:val="20"/>
          <w:color w:val="auto"/>
        </w:rPr>
      </w:pPr>
      <w:r>
        <w:rPr>
          <w:rFonts w:ascii="Courier New" w:cs="Courier New" w:eastAsia="Courier New" w:hAnsi="Courier New"/>
          <w:sz w:val="16"/>
          <w:szCs w:val="16"/>
          <w:color w:val="auto"/>
        </w:rPr>
        <w:t>(423) 743-9151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5020" w:space="400"/>
            <w:col w:w="4799"/>
          </w:cols>
          <w:pgMar w:left="240" w:top="243" w:right="1440" w:bottom="897" w:gutter="0" w:footer="0" w:header="0"/>
          <w:type w:val="continuous"/>
        </w:sectPr>
      </w:pPr>
    </w:p>
    <w:p>
      <w:pPr>
        <w:ind w:left="3260"/>
        <w:spacing w:after="0"/>
        <w:rPr>
          <w:sz w:val="20"/>
          <w:szCs w:val="20"/>
          <w:color w:val="auto"/>
        </w:rPr>
      </w:pPr>
      <w:r>
        <w:rPr>
          <w:rFonts w:ascii="Courier New" w:cs="Courier New" w:eastAsia="Courier New" w:hAnsi="Courier New"/>
          <w:sz w:val="16"/>
          <w:szCs w:val="16"/>
          <w:color w:val="auto"/>
        </w:rPr>
        <w:t>Not Applicable</w:t>
      </w:r>
    </w:p>
    <w:p>
      <w:pPr>
        <w:spacing w:after="0" w:line="8" w:lineRule="exact"/>
        <w:rPr>
          <w:sz w:val="24"/>
          <w:szCs w:val="24"/>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377" w:lineRule="exact"/>
        <w:rPr>
          <w:sz w:val="24"/>
          <w:szCs w:val="24"/>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85" w:lineRule="exact"/>
        <w:rPr>
          <w:sz w:val="24"/>
          <w:szCs w:val="24"/>
          <w:color w:val="auto"/>
        </w:rPr>
      </w:pPr>
    </w:p>
    <w:p>
      <w:pPr>
        <w:ind w:left="500" w:right="2339" w:hanging="499"/>
        <w:spacing w:after="0" w:line="255" w:lineRule="auto"/>
        <w:tabs>
          <w:tab w:leader="none" w:pos="20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Written communications pursuant to Rule 425 under the Securities Act (17 CFR 230.425)</w:t>
      </w:r>
    </w:p>
    <w:p>
      <w:pPr>
        <w:spacing w:after="0" w:line="184" w:lineRule="exact"/>
        <w:rPr>
          <w:sz w:val="24"/>
          <w:szCs w:val="24"/>
          <w:color w:val="auto"/>
        </w:rPr>
      </w:pPr>
    </w:p>
    <w:p>
      <w:pPr>
        <w:ind w:left="500" w:right="2339" w:hanging="492"/>
        <w:spacing w:after="0" w:line="255" w:lineRule="auto"/>
        <w:tabs>
          <w:tab w:leader="none" w:pos="480" w:val="left"/>
        </w:tabs>
        <w:rPr>
          <w:sz w:val="20"/>
          <w:szCs w:val="20"/>
          <w:color w:val="auto"/>
        </w:rPr>
      </w:pPr>
      <w:r>
        <w:rPr>
          <w:rFonts w:ascii="Courier New" w:cs="Courier New" w:eastAsia="Courier New" w:hAnsi="Courier New"/>
          <w:sz w:val="16"/>
          <w:szCs w:val="16"/>
          <w:color w:val="auto"/>
        </w:rPr>
        <w:t>[ ]</w:t>
        <w:tab/>
        <w:t>Soliciting material pursuant to Rule 14a-12 under the Exchange Act (17 CFR 240.14a-12)</w:t>
      </w:r>
    </w:p>
    <w:p>
      <w:pPr>
        <w:spacing w:after="0" w:line="184" w:lineRule="exact"/>
        <w:rPr>
          <w:sz w:val="24"/>
          <w:szCs w:val="24"/>
          <w:color w:val="auto"/>
        </w:rPr>
      </w:pPr>
    </w:p>
    <w:p>
      <w:pPr>
        <w:ind w:left="500" w:right="2339" w:hanging="499"/>
        <w:spacing w:after="0" w:line="255" w:lineRule="auto"/>
        <w:tabs>
          <w:tab w:leader="none" w:pos="2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14d-2(b) under the Exchange Act (17 CFR 240.14d-2(b))</w:t>
      </w:r>
    </w:p>
    <w:p>
      <w:pPr>
        <w:spacing w:after="0" w:line="184" w:lineRule="exact"/>
        <w:rPr>
          <w:sz w:val="24"/>
          <w:szCs w:val="24"/>
          <w:color w:val="auto"/>
        </w:rPr>
      </w:pPr>
    </w:p>
    <w:p>
      <w:pPr>
        <w:ind w:left="500" w:right="2339" w:hanging="499"/>
        <w:spacing w:after="0" w:line="255" w:lineRule="auto"/>
        <w:tabs>
          <w:tab w:leader="none" w:pos="20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2.02. Results of Operations and Financial Condition</w:t>
      </w:r>
    </w:p>
    <w:p>
      <w:pPr>
        <w:spacing w:after="0" w:line="198" w:lineRule="exact"/>
        <w:rPr>
          <w:sz w:val="24"/>
          <w:szCs w:val="24"/>
          <w:color w:val="auto"/>
        </w:rPr>
      </w:pPr>
    </w:p>
    <w:p>
      <w:pPr>
        <w:jc w:val="both"/>
        <w:ind w:right="2339"/>
        <w:spacing w:after="0" w:line="253" w:lineRule="auto"/>
        <w:rPr>
          <w:sz w:val="20"/>
          <w:szCs w:val="20"/>
          <w:color w:val="auto"/>
        </w:rPr>
      </w:pPr>
      <w:r>
        <w:rPr>
          <w:rFonts w:ascii="Courier New" w:cs="Courier New" w:eastAsia="Courier New" w:hAnsi="Courier New"/>
          <w:sz w:val="16"/>
          <w:szCs w:val="16"/>
          <w:color w:val="auto"/>
        </w:rPr>
        <w:t>Furnished as Exhibit 99.1 is a copy of the earnings release of NN, Inc. reporting results for the year ended December 31, 2004, which was issued on February 28, 2005.</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9.01. Financial Statements and Exhibits</w:t>
      </w:r>
    </w:p>
    <w:p>
      <w:pPr>
        <w:spacing w:after="0" w:line="19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(c) Exhibits.</w:t>
      </w:r>
    </w:p>
    <w:p>
      <w:pPr>
        <w:spacing w:after="0" w:line="198" w:lineRule="exact"/>
        <w:rPr>
          <w:sz w:val="24"/>
          <w:szCs w:val="24"/>
          <w:color w:val="auto"/>
        </w:rPr>
      </w:pPr>
    </w:p>
    <w:p>
      <w:pPr>
        <w:jc w:val="both"/>
        <w:ind w:right="2339" w:firstLine="493"/>
        <w:spacing w:after="0" w:line="252" w:lineRule="auto"/>
        <w:rPr>
          <w:sz w:val="20"/>
          <w:szCs w:val="20"/>
          <w:color w:val="auto"/>
        </w:rPr>
      </w:pPr>
      <w:r>
        <w:rPr>
          <w:rFonts w:ascii="Courier New" w:cs="Courier New" w:eastAsia="Courier New" w:hAnsi="Courier New"/>
          <w:sz w:val="16"/>
          <w:szCs w:val="16"/>
          <w:color w:val="auto"/>
        </w:rPr>
        <w:t>The following exhibit is furnished purusant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243" w:right="1440" w:bottom="897" w:gutter="0" w:footer="0" w:header="0"/>
          <w:type w:val="continuous"/>
        </w:sectPr>
      </w:pPr>
    </w:p>
    <w:p>
      <w:pPr>
        <w:spacing w:after="0" w:line="19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Description of Exhibit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of NN, Inc. dated February 28, 2005</w:t>
      </w:r>
    </w:p>
    <w:p>
      <w:pPr>
        <w:sectPr>
          <w:pgSz w:w="11900" w:h="16838" w:orient="portrait"/>
          <w:cols w:equalWidth="0" w:num="2">
            <w:col w:w="1480" w:space="300"/>
            <w:col w:w="8439"/>
          </w:cols>
          <w:pgMar w:left="240" w:top="243" w:right="1440" w:bottom="897" w:gutter="0" w:footer="0" w:header="0"/>
          <w:type w:val="continuous"/>
        </w:sectPr>
      </w:pPr>
    </w:p>
    <w:bookmarkStart w:id="1" w:name="page2"/>
    <w:bookmarkEnd w:id="1"/>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jc w:val="both"/>
        <w:ind w:right="2339" w:firstLine="493"/>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875"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28, 2005</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By:</w:t>
        <w:tab/>
        <w:t>/s/ William C. Kelly,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C. Kelly,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Treasurer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Administrative Officer</w:t>
      </w:r>
    </w:p>
    <w:p>
      <w:pPr>
        <w:sectPr>
          <w:pgSz w:w="11900" w:h="16838" w:orient="portrait"/>
          <w:cols w:equalWidth="0" w:num="3">
            <w:col w:w="600" w:space="280"/>
            <w:col w:w="2140" w:space="720"/>
            <w:col w:w="6479"/>
          </w:cols>
          <w:pgMar w:left="240" w:top="875" w:right="1440" w:bottom="1440" w:gutter="0" w:footer="0" w:header="0"/>
          <w:type w:val="continuous"/>
        </w:sectPr>
      </w:pPr>
    </w:p>
    <w:bookmarkStart w:id="2" w:name="page3"/>
    <w:bookmarkEnd w:id="2"/>
    <w:p>
      <w:pPr>
        <w:jc w:val="right"/>
        <w:ind w:right="2339"/>
        <w:spacing w:after="0"/>
        <w:rPr>
          <w:sz w:val="20"/>
          <w:szCs w:val="20"/>
          <w:color w:val="auto"/>
        </w:rPr>
      </w:pPr>
      <w:r>
        <w:rPr>
          <w:rFonts w:ascii="Courier New" w:cs="Courier New" w:eastAsia="Courier New" w:hAnsi="Courier New"/>
          <w:sz w:val="16"/>
          <w:szCs w:val="16"/>
          <w:color w:val="auto"/>
        </w:rPr>
        <w:t>EXHIBIT 99.1</w:t>
      </w:r>
    </w:p>
    <w:p>
      <w:pPr>
        <w:spacing w:after="0" w:line="8"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 BOARD</w:t>
      </w:r>
    </w:p>
    <w:p>
      <w:pPr>
        <w:spacing w:after="0" w:line="19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RE: NN, Inc.</w:t>
      </w:r>
    </w:p>
    <w:p>
      <w:pPr>
        <w:spacing w:after="0" w:line="8"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2000 Waters Edge Drive</w:t>
      </w:r>
    </w:p>
    <w:p>
      <w:pPr>
        <w:spacing w:after="0" w:line="8" w:lineRule="exact"/>
        <w:rPr>
          <w:sz w:val="20"/>
          <w:szCs w:val="20"/>
          <w:color w:val="auto"/>
        </w:rPr>
      </w:pPr>
    </w:p>
    <w:p>
      <w:pPr>
        <w:ind w:left="5520"/>
        <w:spacing w:after="0"/>
        <w:tabs>
          <w:tab w:leader="none" w:pos="7280" w:val="left"/>
        </w:tabs>
        <w:rPr>
          <w:sz w:val="20"/>
          <w:szCs w:val="20"/>
          <w:color w:val="auto"/>
        </w:rPr>
      </w:pPr>
      <w:r>
        <w:rPr>
          <w:rFonts w:ascii="Courier New" w:cs="Courier New" w:eastAsia="Courier New" w:hAnsi="Courier New"/>
          <w:sz w:val="16"/>
          <w:szCs w:val="16"/>
          <w:color w:val="auto"/>
        </w:rPr>
        <w:t>Johnson City, TN</w:t>
        <w:tab/>
        <w:t>37604</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FURTHER INFORMATION:</w:t>
      </w:r>
    </w:p>
    <w:p>
      <w:pPr>
        <w:sectPr>
          <w:pgSz w:w="11900" w:h="16838" w:orient="portrait"/>
          <w:cols w:equalWidth="0" w:num="1">
            <w:col w:w="10219"/>
          </w:cols>
          <w:pgMar w:left="240" w:top="142" w:right="1440" w:bottom="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Kelly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FINANCIAL RELATIONS BOARD</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Marilynn Meek</w:t>
      </w:r>
      <w:r>
        <w:rPr>
          <w:sz w:val="20"/>
          <w:szCs w:val="20"/>
          <w:color w:val="auto"/>
        </w:rPr>
        <w:tab/>
      </w:r>
      <w:r>
        <w:rPr>
          <w:rFonts w:ascii="Courier New" w:cs="Courier New" w:eastAsia="Courier New" w:hAnsi="Courier New"/>
          <w:sz w:val="16"/>
          <w:szCs w:val="16"/>
          <w:color w:val="auto"/>
        </w:rPr>
        <w:t>Susan Garland</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line="8"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212-827-3773</w:t>
      </w:r>
      <w:r>
        <w:rPr>
          <w:sz w:val="20"/>
          <w:szCs w:val="20"/>
          <w:color w:val="auto"/>
        </w:rPr>
        <w:tab/>
      </w:r>
      <w:r>
        <w:rPr>
          <w:rFonts w:ascii="Courier New" w:cs="Courier New" w:eastAsia="Courier New" w:hAnsi="Courier New"/>
          <w:sz w:val="16"/>
          <w:szCs w:val="16"/>
          <w:color w:val="auto"/>
        </w:rPr>
        <w:t>212-827-3775</w:t>
      </w:r>
    </w:p>
    <w:p>
      <w:pPr>
        <w:spacing w:after="0" w:line="198" w:lineRule="exact"/>
        <w:rPr>
          <w:sz w:val="20"/>
          <w:szCs w:val="20"/>
          <w:color w:val="auto"/>
        </w:rPr>
      </w:pPr>
    </w:p>
    <w:p>
      <w:pPr>
        <w:sectPr>
          <w:pgSz w:w="11900" w:h="16838" w:orient="portrait"/>
          <w:cols w:equalWidth="0" w:num="2">
            <w:col w:w="4040" w:space="700"/>
            <w:col w:w="547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28, 2005</w:t>
      </w:r>
    </w:p>
    <w:p>
      <w:pPr>
        <w:spacing w:after="0" w:line="19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NN, INC. REPORTS 2004 FOURTH QUARTER AND FULL YEAR RESULTS</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PROVIDES GUIDANCE FOR 2005</w:t>
      </w:r>
    </w:p>
    <w:p>
      <w:pPr>
        <w:spacing w:after="0" w:line="19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Johnson City, Tenn, February 28, 2005 - NN, Inc. (Nasdaq: NNBR) today reported its financial results for the fourth quarter and year ended December 31, 2004. Results include the operations of NN Netherlands (Veenendaal) a component manufacturing operation in Veenendaal, The Netherlands since its acquisition from the SKF Group (SKF) on May 2, 2003. Additionally, net income includes the Company's 100% ownership interest in NN Euroball (Euroball) as a result of the purchase of SKF's 23% minority interest on May 2, 2003.</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Net sales for the fourth quarter of 2004 were $78.3 million, up 16.7% from $67.0 million for the same period of 2003. Net loss for the fourth quarter totaled $(253,000), or $(0.01) per diluted share, compared to net income of $2.7 million, or $0.16 per diluted share for the fourth quarter of 2003. The Company had earlier indicated in prior guidance that it expected to report earnings for the fourth quarter between $0.05 and $0.08 per diluted share. The net loss in the fourth quarter is a result of four charges, three of which relate to the long-term global rationalization of manufacturing operations. The charges totaling $2.5 million after-tax, or $0.15 per diluted share, include the following:</w:t>
      </w:r>
    </w:p>
    <w:p>
      <w:pPr>
        <w:spacing w:after="0" w:line="379" w:lineRule="exact"/>
        <w:rPr>
          <w:sz w:val="20"/>
          <w:szCs w:val="20"/>
          <w:color w:val="auto"/>
        </w:rPr>
      </w:pPr>
    </w:p>
    <w:p>
      <w:pPr>
        <w:jc w:val="both"/>
        <w:ind w:left="980" w:right="2339" w:hanging="486"/>
        <w:spacing w:after="0" w:line="253" w:lineRule="auto"/>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previously disclosed sale, at a loss, in December of 2004 of the idle manufacturing facility in Walterboro, South Carolina which was closed in 2001 ($0.03 per diluted share).</w:t>
      </w:r>
    </w:p>
    <w:p>
      <w:pPr>
        <w:spacing w:after="0" w:line="185" w:lineRule="exact"/>
        <w:rPr>
          <w:rFonts w:ascii="Courier New" w:cs="Courier New" w:eastAsia="Courier New" w:hAnsi="Courier New"/>
          <w:sz w:val="16"/>
          <w:szCs w:val="16"/>
          <w:color w:val="auto"/>
        </w:rPr>
      </w:pPr>
    </w:p>
    <w:p>
      <w:pPr>
        <w:jc w:val="both"/>
        <w:ind w:left="980" w:right="2339" w:hanging="486"/>
        <w:spacing w:after="0" w:line="253" w:lineRule="auto"/>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of administrative office space in Veenendaal, The Netherlands in the fourth quarter which resulted in the early exit of a lease ($0.02 per diluted share).</w:t>
      </w:r>
    </w:p>
    <w:p>
      <w:pPr>
        <w:spacing w:after="0" w:line="185"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charges associated with the previously announced rationalization of global capacity in 2005 ($0.08 per diluted share).</w:t>
      </w:r>
    </w:p>
    <w:p>
      <w:pPr>
        <w:spacing w:after="0" w:line="18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52" w:lineRule="exact"/>
        <w:rPr>
          <w:sz w:val="20"/>
          <w:szCs w:val="20"/>
          <w:color w:val="auto"/>
        </w:rPr>
      </w:pPr>
    </w:p>
    <w:p>
      <w:pPr>
        <w:jc w:val="both"/>
        <w:ind w:left="980" w:right="2339" w:hanging="486"/>
        <w:spacing w:after="0" w:line="253" w:lineRule="auto"/>
        <w:tabs>
          <w:tab w:leader="none" w:pos="9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Notification late in the fourth quarter of unanticipated audit fee overruns from the Company's accounting firm, PricewaterhouseCoopers, LLP. ($0.02 per diluted share).</w:t>
      </w:r>
    </w:p>
    <w:p>
      <w:pPr>
        <w:spacing w:after="0" w:line="185"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Net sales for the year 2004 were $304.1 million, up $50.6 million or 20.0% compared to $253.5 million for 2003. Of the 20% increase in year over year sales, sales growth and market share gains account for approximately 8.0%, inclusion of a full year of revenues from our Veenendaal, The Netherlands facility, acquired in May of 2003, accounts for 6.0% of the increase and currency exchange rates account for the remaining 6.0%. Net income for 2004 totaled $7.1 million, or $0.41 per diluted share, compared to $10.2 million, or $0.62 per diluted share for 2003. The $0.41 per diluted share for 2004 includes the negative impact of the aforementioned fourth quarter rationalization charges of $0.13 per diluted share. In addition, the following items negatively impacted full year earnings by $0.19 per diluted share:</w:t>
      </w:r>
    </w:p>
    <w:p>
      <w:pPr>
        <w:spacing w:after="0" w:line="190" w:lineRule="exact"/>
        <w:rPr>
          <w:sz w:val="20"/>
          <w:szCs w:val="20"/>
          <w:color w:val="auto"/>
        </w:rPr>
      </w:pPr>
    </w:p>
    <w:p>
      <w:pPr>
        <w:ind w:left="980" w:right="2339" w:hanging="486"/>
        <w:spacing w:after="0" w:line="255" w:lineRule="auto"/>
        <w:tabs>
          <w:tab w:leader="none" w:pos="9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associated with the private placement of debt ($0.03 per diluted share).</w:t>
      </w:r>
    </w:p>
    <w:p>
      <w:pPr>
        <w:spacing w:after="0" w:line="183"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negative earnings impact of inventory reductions ($0.05 per diluted share).</w:t>
      </w:r>
    </w:p>
    <w:p>
      <w:pPr>
        <w:spacing w:after="0" w:line="183"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Sarbanes-Oxley compliance efforts and related costs ($0.09 per diluted share).</w:t>
      </w:r>
    </w:p>
    <w:p>
      <w:pPr>
        <w:spacing w:after="0" w:line="183" w:lineRule="exact"/>
        <w:rPr>
          <w:rFonts w:ascii="Courier New" w:cs="Courier New" w:eastAsia="Courier New" w:hAnsi="Courier New"/>
          <w:sz w:val="16"/>
          <w:szCs w:val="16"/>
          <w:color w:val="auto"/>
        </w:rPr>
      </w:pPr>
    </w:p>
    <w:p>
      <w:pPr>
        <w:ind w:left="980" w:right="2339" w:hanging="486"/>
        <w:spacing w:after="0" w:line="255" w:lineRule="auto"/>
        <w:tabs>
          <w:tab w:leader="none" w:pos="9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associated with the start-up of the new facilities in Slovakia and China ($0.02 per diluted share).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Roderick R. Baty, Chairman and Chief Executive Officer commented, "Although 2004</w:t>
      </w:r>
    </w:p>
    <w:p>
      <w:pPr>
        <w:sectPr>
          <w:pgSz w:w="11900" w:h="16838" w:orient="portrait"/>
          <w:cols w:equalWidth="0" w:num="1">
            <w:col w:w="10219"/>
          </w:cols>
          <w:pgMar w:left="240" w:top="142" w:right="1440" w:bottom="0" w:gutter="0" w:footer="0" w:header="0"/>
          <w:type w:val="continuous"/>
        </w:sectPr>
      </w:pPr>
    </w:p>
    <w:bookmarkStart w:id="3" w:name="page4"/>
    <w:bookmarkEnd w:id="3"/>
    <w:p>
      <w:pPr>
        <w:jc w:val="both"/>
        <w:ind w:right="2339"/>
        <w:spacing w:after="0" w:line="251" w:lineRule="auto"/>
        <w:rPr>
          <w:sz w:val="20"/>
          <w:szCs w:val="20"/>
          <w:color w:val="auto"/>
        </w:rPr>
      </w:pPr>
      <w:r>
        <w:rPr>
          <w:rFonts w:ascii="Courier New" w:cs="Courier New" w:eastAsia="Courier New" w:hAnsi="Courier New"/>
          <w:sz w:val="16"/>
          <w:szCs w:val="16"/>
          <w:color w:val="auto"/>
        </w:rPr>
        <w:t>was a challenging year, operationally, our businesses continued to perform well. We began the year with expectations of net earnings from our global operations of approximately $0.77 per diluted share. The charges incurred in the fourth quarter of $0.13 per diluted share combined with the majority of the remaining one time expenses totaling $0.19 per diluted share (private debt placement, inventory reduction, Sarbanes-Oxley, Slovakia/China start up) will not carry forward into 2005. While resulting in a difficult year from an earnings perspective, the majority of the one time expenses incurred during 2004 were a direct result of actions taken to further strengthen our global operations for continued growth and profitability in the future."</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Mr. Baty continued, "As a percentage of net sales, cost of products sold was 81.8% in the fourth quarter of 2004 compared to 78.9% in the fourth quarter of 2003. For full year 2004 and 2003, cost of goods sold as a percentage of net sales was 79.1% and 77.2%, respectively. In both comparisons, the majority of the change was due to material price inflation, Level 3 implementation costs and the negative impact of inventory reductions.</w:t>
      </w:r>
    </w:p>
    <w:p>
      <w:pPr>
        <w:spacing w:after="0" w:line="190"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"Selling, general and administrative expenses for the fourth quarter of 2004 were 9.5% as a percentage of net sales compared to 9.0% for the same period in 2003. The increase was primarily due to Sarbanes-Oxley compliance costs. For the full year, selling, general and administrative expenses as a percent of net sales were 9.8% compared to 8.6% in 2003. This increase was due primarily to Sarbanes-Oxley costs, Level 3 implementation costs and start-up expenses in China and Slovakia.</w:t>
      </w:r>
    </w:p>
    <w:p>
      <w:pPr>
        <w:spacing w:after="0" w:line="37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4" w:name="page5"/>
    <w:bookmarkEnd w:id="4"/>
    <w:p>
      <w:pPr>
        <w:jc w:val="both"/>
        <w:ind w:right="2339"/>
        <w:spacing w:after="0" w:line="252" w:lineRule="auto"/>
        <w:rPr>
          <w:sz w:val="20"/>
          <w:szCs w:val="20"/>
          <w:color w:val="auto"/>
        </w:rPr>
      </w:pPr>
      <w:r>
        <w:rPr>
          <w:rFonts w:ascii="Courier New" w:cs="Courier New" w:eastAsia="Courier New" w:hAnsi="Courier New"/>
          <w:sz w:val="16"/>
          <w:szCs w:val="16"/>
          <w:color w:val="auto"/>
        </w:rPr>
        <w:t>"We continued to generate solid cash flow and made significant progress in reducing our debt in 2004. As of December 31, 2004, total debt minus cash was $63.9 million compared to $79.5 million at December 31, 2003, a reduction of $15.6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Anticipated 2005 Results</w:t>
      </w:r>
    </w:p>
    <w:p>
      <w:pPr>
        <w:spacing w:after="0" w:line="198"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Mr. Baty, concluded, "Looking forward into 2005, we face both exciting opportunities and challenges. The start-up of our facilities in Slovakia in 2004 and China in the second half of 2005 will provide us opportunities to both better service our worldwide customers and to realize greater operating efficiencies and additional cost reductions.</w:t>
      </w:r>
    </w:p>
    <w:p>
      <w:pPr>
        <w:spacing w:after="0" w:line="186"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"For 2005, we are forecasting relatively flat economics in the U.S. and Europe (automotive down and improving industrial) but overall good capacity utilization Company-wide at current levels of demand. We anticipate total year revenues for 2005 to approximately $337.0 million, up $33.0 million or 11.0% from 2004 levels. Of the total 11.0% forecasted increase in year over year revenue, currency accounts for 4.4%, market share improvements 3.6% and price increases associated with raw material pass through 3.0%.</w:t>
      </w:r>
    </w:p>
    <w:p>
      <w:pPr>
        <w:spacing w:after="0" w:line="190"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"Concerning full year earnings, as we have mentioned previously, we do not anticipate many of the one time expenses we incurred in 2004 to continue into 2005. Given the elimination of these expenses coupled with our increasing cost improvement outlook associated with our Level 3 program, our business plan anticipates full year earnings to be in the range of $0.90 to $0.94 per diluted share, up from $0.41 per diluted share in 2004. These earnings projections include provisions for continuing pass through of significant material inflation in our U.S. operations and scrap surcharge pricing levels trending downward in Europe for the balance of 2005. We continue to have ongoing concerns regarding the availability of steel, particularly in our U.S. operations, where steel supplies look to be sufficient for the balance of 2005, but remain both tight and volatile.</w:t>
      </w:r>
    </w:p>
    <w:p>
      <w:pPr>
        <w:spacing w:after="0" w:line="379"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"We plan on investing approximately $17.0 million in capital for 2005. This is an increase of $5.0 million from 2004 levels and is a result of our need to fund approximately $8.0 million of capital for the continuing expansion of our Slovakian facility and the start-up of the facility in China. The remaining $9.0 million is related to the ongoing capital requirements of our existing U.S. and European facilities. Excluding the impact of any potential acquisitions in the current year, we are targeting further debt reduction of $12.0 million to $13.0 million for 2005 while maintaining our dividend at $0.32 per diluted share annually."</w:t>
      </w:r>
    </w:p>
    <w:p>
      <w:pPr>
        <w:spacing w:after="0" w:line="190" w:lineRule="exact"/>
        <w:rPr>
          <w:sz w:val="20"/>
          <w:szCs w:val="20"/>
          <w:color w:val="auto"/>
        </w:rPr>
      </w:pPr>
    </w:p>
    <w:p>
      <w:pPr>
        <w:jc w:val="both"/>
        <w:ind w:right="2339"/>
        <w:spacing w:after="0" w:line="252"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5" w:right="1440" w:bottom="1440" w:gutter="0" w:footer="0" w:header="0"/>
        </w:sectPr>
      </w:pPr>
    </w:p>
    <w:bookmarkStart w:id="5" w:name="page6"/>
    <w:bookmarkEnd w:id="5"/>
    <w:p>
      <w:pPr>
        <w:jc w:val="both"/>
        <w:ind w:right="2339"/>
        <w:spacing w:after="0" w:line="251" w:lineRule="auto"/>
        <w:rPr>
          <w:sz w:val="20"/>
          <w:szCs w:val="20"/>
          <w:color w:val="auto"/>
        </w:rPr>
      </w:pPr>
      <w:r>
        <w:rPr>
          <w:rFonts w:ascii="Courier New" w:cs="Courier New" w:eastAsia="Courier New" w:hAnsi="Courier New"/>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2003.</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Financial Tables Follow</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1440" w:gutter="0" w:footer="0" w:header="0"/>
        </w:sectPr>
      </w:pPr>
    </w:p>
    <w:bookmarkStart w:id="6" w:name="page7"/>
    <w:bookmarkEnd w:id="6"/>
    <w:p>
      <w:pPr>
        <w:jc w:val="center"/>
        <w:ind w:right="3640"/>
        <w:spacing w:after="0"/>
        <w:rPr>
          <w:sz w:val="20"/>
          <w:szCs w:val="20"/>
          <w:color w:val="auto"/>
        </w:rPr>
      </w:pPr>
      <w:r>
        <w:rPr>
          <w:rFonts w:ascii="Courier New" w:cs="Courier New" w:eastAsia="Courier New" w:hAnsi="Courier New"/>
          <w:sz w:val="16"/>
          <w:szCs w:val="16"/>
          <w:color w:val="auto"/>
        </w:rPr>
        <w:t>NN, Inc.</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Condensed Statements of Income</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ind w:left="3460"/>
              <w:spacing w:after="0"/>
              <w:rPr>
                <w:sz w:val="20"/>
                <w:szCs w:val="20"/>
                <w:color w:val="auto"/>
              </w:rPr>
            </w:pPr>
            <w:r>
              <w:rPr>
                <w:rFonts w:ascii="Courier New" w:cs="Courier New" w:eastAsia="Courier New" w:hAnsi="Courier New"/>
                <w:sz w:val="16"/>
                <w:szCs w:val="16"/>
                <w:color w:val="auto"/>
              </w:rPr>
              <w:t>(Unaudited)</w:t>
            </w:r>
          </w:p>
        </w:tc>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569"/>
        </w:trPr>
        <w:tc>
          <w:tcPr>
            <w:tcW w:w="5020" w:type="dxa"/>
            <w:vAlign w:val="bottom"/>
          </w:tcPr>
          <w:p>
            <w:pPr>
              <w:spacing w:after="0"/>
              <w:rPr>
                <w:sz w:val="24"/>
                <w:szCs w:val="24"/>
                <w:color w:val="auto"/>
              </w:rPr>
            </w:pPr>
          </w:p>
        </w:tc>
        <w:tc>
          <w:tcPr>
            <w:tcW w:w="3460" w:type="dxa"/>
            <w:vAlign w:val="bottom"/>
            <w:gridSpan w:val="3"/>
          </w:tcPr>
          <w:p>
            <w:pPr>
              <w:jc w:val="right"/>
              <w:ind w:right="518"/>
              <w:spacing w:after="0"/>
              <w:rPr>
                <w:sz w:val="20"/>
                <w:szCs w:val="20"/>
                <w:color w:val="auto"/>
              </w:rPr>
            </w:pPr>
            <w:r>
              <w:rPr>
                <w:rFonts w:ascii="Courier New" w:cs="Courier New" w:eastAsia="Courier New" w:hAnsi="Courier New"/>
                <w:sz w:val="16"/>
                <w:szCs w:val="16"/>
                <w:color w:val="auto"/>
              </w:rPr>
              <w:t>Three Months Ended</w:t>
            </w:r>
          </w:p>
        </w:tc>
        <w:tc>
          <w:tcPr>
            <w:tcW w:w="740" w:type="dxa"/>
            <w:vAlign w:val="bottom"/>
          </w:tcPr>
          <w:p>
            <w:pPr>
              <w:spacing w:after="0"/>
              <w:rPr>
                <w:sz w:val="24"/>
                <w:szCs w:val="24"/>
                <w:color w:val="auto"/>
              </w:rPr>
            </w:pPr>
          </w:p>
        </w:tc>
        <w:tc>
          <w:tcPr>
            <w:tcW w:w="230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Twelve Months Ended</w:t>
            </w:r>
          </w:p>
        </w:tc>
      </w:tr>
      <w:tr>
        <w:trPr>
          <w:trHeight w:val="190"/>
        </w:trPr>
        <w:tc>
          <w:tcPr>
            <w:tcW w:w="5020" w:type="dxa"/>
            <w:vAlign w:val="bottom"/>
          </w:tcPr>
          <w:p>
            <w:pPr>
              <w:spacing w:after="0"/>
              <w:rPr>
                <w:sz w:val="16"/>
                <w:szCs w:val="16"/>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December 31,</w:t>
            </w:r>
          </w:p>
        </w:tc>
        <w:tc>
          <w:tcPr>
            <w:tcW w:w="680" w:type="dxa"/>
            <w:vAlign w:val="bottom"/>
          </w:tcPr>
          <w:p>
            <w:pPr>
              <w:spacing w:after="0"/>
              <w:rPr>
                <w:sz w:val="16"/>
                <w:szCs w:val="16"/>
                <w:color w:val="auto"/>
              </w:rPr>
            </w:pPr>
          </w:p>
        </w:tc>
      </w:tr>
      <w:tr>
        <w:trPr>
          <w:trHeight w:val="190"/>
        </w:trPr>
        <w:tc>
          <w:tcPr>
            <w:tcW w:w="5020" w:type="dxa"/>
            <w:vAlign w:val="bottom"/>
          </w:tcPr>
          <w:p>
            <w:pPr>
              <w:spacing w:after="0"/>
              <w:rPr>
                <w:sz w:val="16"/>
                <w:szCs w:val="16"/>
                <w:color w:val="auto"/>
              </w:rPr>
            </w:pPr>
          </w:p>
        </w:tc>
        <w:tc>
          <w:tcPr>
            <w:tcW w:w="17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2004</w:t>
            </w:r>
          </w:p>
        </w:tc>
        <w:tc>
          <w:tcPr>
            <w:tcW w:w="8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2003</w:t>
            </w:r>
          </w:p>
        </w:tc>
        <w:tc>
          <w:tcPr>
            <w:tcW w:w="74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2004</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$78,275</w:t>
            </w:r>
          </w:p>
        </w:tc>
        <w:tc>
          <w:tcPr>
            <w:tcW w:w="16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$67,046</w:t>
            </w:r>
          </w:p>
        </w:tc>
        <w:tc>
          <w:tcPr>
            <w:tcW w:w="178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$ 304,089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$ 253,462</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Cost of goods sold (exclusive of depreciation</w:t>
            </w:r>
          </w:p>
        </w:tc>
        <w:tc>
          <w:tcPr>
            <w:tcW w:w="1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0"/>
        </w:trPr>
        <w:tc>
          <w:tcPr>
            <w:tcW w:w="5020" w:type="dxa"/>
            <w:vAlign w:val="bottom"/>
          </w:tcPr>
          <w:p>
            <w:pPr>
              <w:ind w:left="200"/>
              <w:spacing w:after="0"/>
              <w:rPr>
                <w:sz w:val="20"/>
                <w:szCs w:val="20"/>
                <w:color w:val="auto"/>
              </w:rPr>
            </w:pPr>
            <w:r>
              <w:rPr>
                <w:rFonts w:ascii="Courier New" w:cs="Courier New" w:eastAsia="Courier New" w:hAnsi="Courier New"/>
                <w:sz w:val="16"/>
                <w:szCs w:val="16"/>
                <w:color w:val="auto"/>
              </w:rPr>
              <w:t>shown separately below)</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63,991</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52,890</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240,580</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195,658</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7,445</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6,050</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29,755</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21,700</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4,176</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3,588</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16,133</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13,691</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Loss (gain) on disposal of fixed asset</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935</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(147)</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964</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Restructuring and impairment costs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2,290</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2,290</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2,490</w:t>
            </w:r>
          </w:p>
        </w:tc>
      </w:tr>
      <w:tr>
        <w:trPr>
          <w:trHeight w:val="190"/>
        </w:trPr>
        <w:tc>
          <w:tcPr>
            <w:tcW w:w="5020" w:type="dxa"/>
            <w:vAlign w:val="bottom"/>
          </w:tcPr>
          <w:p>
            <w:pPr>
              <w:spacing w:after="0"/>
              <w:rPr>
                <w:sz w:val="16"/>
                <w:szCs w:val="16"/>
                <w:color w:val="auto"/>
              </w:rPr>
            </w:pP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(loss)from operations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(562)</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4,665</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14,367</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20,070</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1,144</w:t>
            </w:r>
          </w:p>
        </w:tc>
        <w:tc>
          <w:tcPr>
            <w:tcW w:w="80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1,067</w:t>
            </w:r>
          </w:p>
        </w:tc>
        <w:tc>
          <w:tcPr>
            <w:tcW w:w="7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4,029</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3,392</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(616)</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(853)</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90"/>
        </w:trPr>
        <w:tc>
          <w:tcPr>
            <w:tcW w:w="5020" w:type="dxa"/>
            <w:vAlign w:val="bottom"/>
          </w:tcPr>
          <w:p>
            <w:pPr>
              <w:spacing w:after="0"/>
              <w:rPr>
                <w:sz w:val="16"/>
                <w:szCs w:val="16"/>
                <w:color w:val="auto"/>
              </w:rPr>
            </w:pP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Income before provision (benefit)for income taxes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(1,090)</w:t>
            </w:r>
          </w:p>
        </w:tc>
        <w:tc>
          <w:tcPr>
            <w:tcW w:w="8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3,770</w:t>
            </w:r>
          </w:p>
        </w:tc>
        <w:tc>
          <w:tcPr>
            <w:tcW w:w="7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11,191</w:t>
            </w:r>
          </w:p>
        </w:tc>
        <w:tc>
          <w:tcPr>
            <w:tcW w:w="5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16,579</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Provision (benefit) for income taxes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(837)</w:t>
            </w:r>
          </w:p>
        </w:tc>
        <w:tc>
          <w:tcPr>
            <w:tcW w:w="80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1,096</w:t>
            </w:r>
          </w:p>
        </w:tc>
        <w:tc>
          <w:tcPr>
            <w:tcW w:w="7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4,089</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5,726</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675</w:t>
            </w:r>
          </w:p>
        </w:tc>
      </w:tr>
      <w:tr>
        <w:trPr>
          <w:trHeight w:val="190"/>
        </w:trPr>
        <w:tc>
          <w:tcPr>
            <w:tcW w:w="5020" w:type="dxa"/>
            <w:vAlign w:val="bottom"/>
          </w:tcPr>
          <w:p>
            <w:pPr>
              <w:spacing w:after="0"/>
              <w:rPr>
                <w:sz w:val="16"/>
                <w:szCs w:val="16"/>
                <w:color w:val="auto"/>
              </w:rPr>
            </w:pP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(253)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2,674</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7,102</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10,178</w:t>
            </w:r>
          </w:p>
        </w:tc>
      </w:tr>
      <w:tr>
        <w:trPr>
          <w:trHeight w:val="190"/>
        </w:trPr>
        <w:tc>
          <w:tcPr>
            <w:tcW w:w="5020" w:type="dxa"/>
            <w:vAlign w:val="bottom"/>
          </w:tcPr>
          <w:p>
            <w:pPr>
              <w:spacing w:after="0"/>
              <w:rPr>
                <w:sz w:val="16"/>
                <w:szCs w:val="16"/>
                <w:color w:val="auto"/>
              </w:rPr>
            </w:pP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5020" w:type="dxa"/>
            <w:vAlign w:val="bottom"/>
          </w:tcPr>
          <w:p>
            <w:pPr>
              <w:spacing w:after="0"/>
              <w:rPr>
                <w:sz w:val="20"/>
                <w:szCs w:val="20"/>
                <w:color w:val="auto"/>
              </w:rPr>
            </w:pPr>
            <w:r>
              <w:rPr>
                <w:rFonts w:ascii="Courier New" w:cs="Courier New" w:eastAsia="Courier New" w:hAnsi="Courier New"/>
                <w:sz w:val="16"/>
                <w:szCs w:val="16"/>
                <w:color w:val="auto"/>
              </w:rPr>
              <w:t>Diluted income (loss) per common share</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$(0.01)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0.16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0.41</w:t>
            </w:r>
          </w:p>
        </w:tc>
        <w:tc>
          <w:tcPr>
            <w:tcW w:w="5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0.62</w:t>
            </w:r>
          </w:p>
        </w:tc>
      </w:tr>
      <w:tr>
        <w:trPr>
          <w:trHeight w:val="190"/>
        </w:trPr>
        <w:tc>
          <w:tcPr>
            <w:tcW w:w="5020" w:type="dxa"/>
            <w:vAlign w:val="bottom"/>
          </w:tcPr>
          <w:p>
            <w:pPr>
              <w:spacing w:after="0"/>
              <w:rPr>
                <w:sz w:val="16"/>
                <w:szCs w:val="16"/>
                <w:color w:val="auto"/>
              </w:rPr>
            </w:pPr>
          </w:p>
        </w:tc>
        <w:tc>
          <w:tcPr>
            <w:tcW w:w="17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020" w:type="dxa"/>
            <w:vAlign w:val="bottom"/>
          </w:tcPr>
          <w:p>
            <w:pPr>
              <w:spacing w:after="0"/>
              <w:rPr>
                <w:sz w:val="20"/>
                <w:szCs w:val="20"/>
                <w:color w:val="auto"/>
              </w:rPr>
            </w:pPr>
            <w:r>
              <w:rPr>
                <w:rFonts w:ascii="Courier New" w:cs="Courier New" w:eastAsia="Courier New" w:hAnsi="Courier New"/>
                <w:sz w:val="16"/>
                <w:szCs w:val="16"/>
                <w:color w:val="auto"/>
              </w:rPr>
              <w:t>Weighted average diluted shares</w:t>
            </w:r>
          </w:p>
        </w:tc>
        <w:tc>
          <w:tcPr>
            <w:tcW w:w="17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17,226</w:t>
            </w:r>
          </w:p>
        </w:tc>
        <w:tc>
          <w:tcPr>
            <w:tcW w:w="800" w:type="dxa"/>
            <w:vAlign w:val="bottom"/>
          </w:tcPr>
          <w:p>
            <w:pPr>
              <w:spacing w:after="0"/>
              <w:rPr>
                <w:sz w:val="24"/>
                <w:szCs w:val="24"/>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17,181</w:t>
            </w:r>
          </w:p>
        </w:tc>
        <w:tc>
          <w:tcPr>
            <w:tcW w:w="74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17,151</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16,379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685" w:right="139" w:bottom="1440" w:gutter="0" w:footer="0" w:header="0"/>
        </w:sectPr>
      </w:pPr>
    </w:p>
    <w:bookmarkStart w:id="7" w:name="page8"/>
    <w:bookmarkEnd w:id="7"/>
    <w:p>
      <w:pPr>
        <w:jc w:val="center"/>
        <w:ind w:right="2339"/>
        <w:spacing w:after="0"/>
        <w:rPr>
          <w:sz w:val="20"/>
          <w:szCs w:val="20"/>
          <w:color w:val="auto"/>
        </w:rPr>
      </w:pPr>
      <w:r>
        <w:rPr>
          <w:rFonts w:ascii="Courier New" w:cs="Courier New" w:eastAsia="Courier New" w:hAnsi="Courier New"/>
          <w:sz w:val="16"/>
          <w:szCs w:val="16"/>
          <w:color w:val="auto"/>
        </w:rPr>
        <w:t>NN, Inc,</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Condensed Balance Sheets</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ind w:left="3460"/>
              <w:spacing w:after="0"/>
              <w:rPr>
                <w:sz w:val="20"/>
                <w:szCs w:val="20"/>
                <w:color w:val="auto"/>
              </w:rPr>
            </w:pPr>
            <w:r>
              <w:rPr>
                <w:rFonts w:ascii="Courier New" w:cs="Courier New" w:eastAsia="Courier New" w:hAnsi="Courier New"/>
                <w:sz w:val="16"/>
                <w:szCs w:val="16"/>
                <w:color w:val="auto"/>
              </w:rPr>
              <w:t>(Unaudited)</w:t>
            </w: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569"/>
        </w:trPr>
        <w:tc>
          <w:tcPr>
            <w:tcW w:w="5660" w:type="dxa"/>
            <w:vAlign w:val="bottom"/>
          </w:tcPr>
          <w:p>
            <w:pPr>
              <w:spacing w:after="0"/>
              <w:rPr>
                <w:sz w:val="24"/>
                <w:szCs w:val="24"/>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December 31,</w:t>
            </w:r>
          </w:p>
        </w:tc>
        <w:tc>
          <w:tcPr>
            <w:tcW w:w="6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379"/>
        </w:trPr>
        <w:tc>
          <w:tcPr>
            <w:tcW w:w="5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2004</w:t>
            </w:r>
          </w:p>
        </w:tc>
        <w:tc>
          <w:tcPr>
            <w:tcW w:w="600" w:type="dxa"/>
            <w:vAlign w:val="bottom"/>
          </w:tcPr>
          <w:p>
            <w:pPr>
              <w:spacing w:after="0"/>
              <w:rPr>
                <w:sz w:val="24"/>
                <w:szCs w:val="24"/>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2003</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10,772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4,978</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51,597</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40,864</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35,629</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36,278</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10,339</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7,781</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108,337</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89,901</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580" w:type="dxa"/>
            <w:vAlign w:val="bottom"/>
          </w:tcPr>
          <w:p>
            <w:pPr>
              <w:spacing w:after="0"/>
              <w:rPr>
                <w:sz w:val="24"/>
                <w:szCs w:val="24"/>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131,169</w:t>
            </w:r>
          </w:p>
        </w:tc>
        <w:tc>
          <w:tcPr>
            <w:tcW w:w="600" w:type="dxa"/>
            <w:vAlign w:val="bottom"/>
          </w:tcPr>
          <w:p>
            <w:pPr>
              <w:spacing w:after="0"/>
              <w:rPr>
                <w:sz w:val="24"/>
                <w:szCs w:val="24"/>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128,996</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Assets held for sale</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1,805</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44,457</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42,893</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5,906</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4,304</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$ 289,869</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$ 267,899</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45,217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32,867</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Accrued salaries and wages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16,331</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12,032</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Income taxes payable</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1,599</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1,332</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Short-term portion of long-term debt</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7,160</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14,725</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4,123</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3,220</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74,430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64,176</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580" w:type="dxa"/>
            <w:vAlign w:val="bottom"/>
          </w:tcPr>
          <w:p>
            <w:pPr>
              <w:spacing w:after="0"/>
              <w:rPr>
                <w:sz w:val="24"/>
                <w:szCs w:val="24"/>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17,857</w:t>
            </w:r>
          </w:p>
        </w:tc>
        <w:tc>
          <w:tcPr>
            <w:tcW w:w="600" w:type="dxa"/>
            <w:vAlign w:val="bottom"/>
          </w:tcPr>
          <w:p>
            <w:pPr>
              <w:spacing w:after="0"/>
              <w:rPr>
                <w:sz w:val="24"/>
                <w:szCs w:val="24"/>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13,423</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Long-term notes payable</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67,510</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69,752</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Accrued Pension and other</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14,932</w:t>
            </w:r>
          </w:p>
        </w:tc>
        <w:tc>
          <w:tcPr>
            <w:tcW w:w="60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14,080</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$ 174,729</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$ 161,431</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580" w:type="dxa"/>
            <w:vAlign w:val="bottom"/>
          </w:tcPr>
          <w:p>
            <w:pPr>
              <w:spacing w:after="0"/>
              <w:rPr>
                <w:sz w:val="24"/>
                <w:szCs w:val="24"/>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spacing w:after="0"/>
              <w:rPr>
                <w:sz w:val="24"/>
                <w:szCs w:val="24"/>
                <w:color w:val="auto"/>
              </w:rPr>
            </w:pPr>
          </w:p>
        </w:tc>
        <w:tc>
          <w:tcPr>
            <w:tcW w:w="11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$ 115,140</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$ 106,468</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r>
        <w:trPr>
          <w:trHeight w:val="379"/>
        </w:trPr>
        <w:tc>
          <w:tcPr>
            <w:tcW w:w="566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$ 289,869</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$ 267,899</w:t>
            </w:r>
          </w:p>
        </w:tc>
      </w:tr>
      <w:tr>
        <w:trPr>
          <w:trHeight w:val="190"/>
        </w:trPr>
        <w:tc>
          <w:tcPr>
            <w:tcW w:w="5660" w:type="dxa"/>
            <w:vAlign w:val="bottom"/>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2019-12-14T03:14:55Z</dcterms:created>
  <dcterms:modified xsi:type="dcterms:W3CDTF">2019-12-14T03:14:55Z</dcterms:modified>
</cp:coreProperties>
</file>