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14A</w:t>
      </w:r>
    </w:p>
    <w:p>
      <w:pPr>
        <w:ind w:left="2220"/>
        <w:spacing w:after="0" w:line="238" w:lineRule="auto"/>
        <w:rPr>
          <w:sz w:val="20"/>
          <w:szCs w:val="20"/>
          <w:color w:val="auto"/>
        </w:rPr>
      </w:pPr>
      <w:r>
        <w:rPr>
          <w:rFonts w:ascii="Courier New" w:cs="Courier New" w:eastAsia="Courier New" w:hAnsi="Courier New"/>
          <w:sz w:val="18"/>
          <w:szCs w:val="18"/>
          <w:color w:val="auto"/>
        </w:rPr>
        <w:t>INFORMATION REQUIRED IN PROXY STATEMENT</w:t>
      </w:r>
    </w:p>
    <w:p>
      <w:pPr>
        <w:ind w:left="2960"/>
        <w:spacing w:after="0"/>
        <w:rPr>
          <w:sz w:val="20"/>
          <w:szCs w:val="20"/>
          <w:color w:val="auto"/>
        </w:rPr>
      </w:pPr>
      <w:r>
        <w:rPr>
          <w:rFonts w:ascii="Courier New" w:cs="Courier New" w:eastAsia="Courier New" w:hAnsi="Courier New"/>
          <w:sz w:val="18"/>
          <w:szCs w:val="18"/>
          <w:color w:val="auto"/>
        </w:rPr>
        <w:t>SCHEDULE 14A INFORMATION</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Exchange Act of 1934 (Amendment No. )</w:t>
      </w:r>
    </w:p>
    <w:p>
      <w:pPr>
        <w:spacing w:after="0" w:line="202"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tabs>
          <w:tab w:leader="none" w:pos="4620" w:val="left"/>
          <w:tab w:leader="none" w:pos="4940" w:val="left"/>
        </w:tabs>
        <w:rPr>
          <w:sz w:val="20"/>
          <w:szCs w:val="20"/>
          <w:color w:val="auto"/>
        </w:rPr>
      </w:pPr>
      <w:r>
        <w:rPr>
          <w:rFonts w:ascii="Courier New" w:cs="Courier New" w:eastAsia="Courier New" w:hAnsi="Courier New"/>
          <w:sz w:val="18"/>
          <w:szCs w:val="18"/>
          <w:color w:val="auto"/>
        </w:rPr>
        <w:t>Filed by a Party other than the Registrant</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Preliminary Proxy Statement</w:t>
      </w:r>
    </w:p>
    <w:p>
      <w:pPr>
        <w:spacing w:after="0" w:line="4" w:lineRule="exact"/>
        <w:rPr>
          <w:sz w:val="24"/>
          <w:szCs w:val="24"/>
          <w:color w:val="auto"/>
        </w:rPr>
      </w:pPr>
    </w:p>
    <w:p>
      <w:pPr>
        <w:ind w:left="420" w:right="187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rPr>
          <w:sz w:val="20"/>
          <w:szCs w:val="20"/>
          <w:color w:val="auto"/>
        </w:rPr>
      </w:pPr>
      <w:r>
        <w:rPr>
          <w:rFonts w:ascii="Courier New" w:cs="Courier New" w:eastAsia="Courier New" w:hAnsi="Courier New"/>
          <w:sz w:val="18"/>
          <w:szCs w:val="18"/>
          <w:color w:val="auto"/>
        </w:rPr>
        <w:t>[X] Definitive Proxy Statement</w:t>
      </w:r>
    </w:p>
    <w:p>
      <w:pPr>
        <w:spacing w:after="0"/>
        <w:tabs>
          <w:tab w:leader="none" w:pos="1680" w:val="left"/>
        </w:tabs>
        <w:rPr>
          <w:sz w:val="20"/>
          <w:szCs w:val="20"/>
          <w:color w:val="auto"/>
        </w:rPr>
      </w:pPr>
      <w:r>
        <w:rPr>
          <w:rFonts w:ascii="Courier New" w:cs="Courier New" w:eastAsia="Courier New" w:hAnsi="Courier New"/>
          <w:sz w:val="18"/>
          <w:szCs w:val="18"/>
          <w:color w:val="auto"/>
        </w:rPr>
        <w:t>[ ] Definitive</w:t>
      </w:r>
      <w:r>
        <w:rPr>
          <w:sz w:val="20"/>
          <w:szCs w:val="20"/>
          <w:color w:val="auto"/>
        </w:rPr>
        <w:tab/>
      </w:r>
      <w:r>
        <w:rPr>
          <w:rFonts w:ascii="Courier New" w:cs="Courier New" w:eastAsia="Courier New" w:hAnsi="Courier New"/>
          <w:sz w:val="16"/>
          <w:szCs w:val="16"/>
          <w:color w:val="auto"/>
        </w:rPr>
        <w:t>Additional Materials</w:t>
      </w:r>
    </w:p>
    <w:p>
      <w:pPr>
        <w:spacing w:after="0"/>
        <w:rPr>
          <w:sz w:val="20"/>
          <w:szCs w:val="20"/>
          <w:color w:val="auto"/>
        </w:rPr>
      </w:pPr>
      <w:r>
        <w:rPr>
          <w:rFonts w:ascii="Courier New" w:cs="Courier New" w:eastAsia="Courier New" w:hAnsi="Courier New"/>
          <w:sz w:val="18"/>
          <w:szCs w:val="18"/>
          <w:color w:val="auto"/>
        </w:rPr>
        <w:t>[ ] Soliciting Material Pursuant to Rule 14a-11(c) or Rule 14a-12</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14a-6(i)(1) and 0-11.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060" w:right="1879" w:hanging="525"/>
        <w:spacing w:after="0" w:line="236"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Fee paid previously with preliminary materials.</w:t>
      </w:r>
    </w:p>
    <w:p>
      <w:pPr>
        <w:spacing w:after="0" w:line="207" w:lineRule="exact"/>
        <w:rPr>
          <w:sz w:val="24"/>
          <w:szCs w:val="24"/>
          <w:color w:val="auto"/>
        </w:rPr>
      </w:pPr>
    </w:p>
    <w:p>
      <w:pPr>
        <w:ind w:left="420" w:right="2199" w:hanging="412"/>
        <w:spacing w:after="0" w:line="237"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ind w:left="1380" w:hanging="424"/>
        <w:spacing w:after="0" w:line="238" w:lineRule="auto"/>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ind w:left="1380" w:hanging="424"/>
        <w:spacing w:after="0" w:line="238" w:lineRule="auto"/>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ind w:left="1380" w:hanging="424"/>
        <w:spacing w:after="0" w:line="238" w:lineRule="auto"/>
        <w:tabs>
          <w:tab w:leader="none" w:pos="13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38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ind w:left="2960"/>
        <w:spacing w:after="0" w:line="238" w:lineRule="auto"/>
        <w:rPr>
          <w:sz w:val="20"/>
          <w:szCs w:val="20"/>
          <w:color w:val="auto"/>
        </w:rPr>
      </w:pPr>
      <w:r>
        <w:rPr>
          <w:rFonts w:ascii="Courier New" w:cs="Courier New" w:eastAsia="Courier New" w:hAnsi="Courier New"/>
          <w:sz w:val="18"/>
          <w:szCs w:val="18"/>
          <w:color w:val="auto"/>
        </w:rPr>
        <w:t>2000 WATERS EDGE DRIVE</w:t>
      </w:r>
    </w:p>
    <w:p>
      <w:pPr>
        <w:ind w:left="2960"/>
        <w:spacing w:after="0"/>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12, 2001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Stockholder:</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You are cordially invited to attend the 2001 Annual Meeting of NN, Inc., which will be held on May 17, 2001 at 10:00 a.m., local time, at the Savannah Marriott Riverfront Hotel, 100 General McIntosh Blvd., Savannah, GA 31401.</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business to be conducted at the Annual Meeting is described in the attached Notice of Meeting and Proxy Statement. You are urged to read the Proxy Statement carefully before completing the enclosed proxy card. The Annual Meeting will include a report on the affairs of the Company presented by management and an opportunity for questions and comments by stockholders.</w:t>
      </w:r>
    </w:p>
    <w:p>
      <w:pPr>
        <w:spacing w:after="0" w:line="209"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To assure your representation at the meeting, please mark, date and sign the proxy card and return it in the enclosed envelope at your earliest convenience, whether or not you plan to attend the meeting. If you attend the Annual Meeting,</w:t>
      </w:r>
    </w:p>
    <w:p>
      <w:pPr>
        <w:sectPr>
          <w:pgSz w:w="11900" w:h="16857"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you may revoke your proxy and vote in person if you so desire.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D. Ennen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D. Ennen</w:t>
      </w:r>
    </w:p>
    <w:p>
      <w:pPr>
        <w:spacing w:after="0" w:line="238" w:lineRule="auto"/>
        <w:rPr>
          <w:sz w:val="20"/>
          <w:szCs w:val="20"/>
          <w:color w:val="auto"/>
        </w:rPr>
      </w:pPr>
      <w:r>
        <w:rPr>
          <w:rFonts w:ascii="Courier New" w:cs="Courier New" w:eastAsia="Courier New" w:hAnsi="Courier New"/>
          <w:sz w:val="18"/>
          <w:szCs w:val="18"/>
          <w:color w:val="auto"/>
        </w:rPr>
        <w:t>Chairman</w:t>
      </w:r>
    </w:p>
    <w:p>
      <w:pPr>
        <w:sectPr>
          <w:pgSz w:w="11900" w:h="16838" w:orient="portrait"/>
          <w:cols w:equalWidth="0" w:num="1">
            <w:col w:w="10219"/>
          </w:cols>
          <w:pgMar w:left="240" w:top="142"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2000 Waters Edge Drive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Johnson City, TN 37604</w:t>
      </w:r>
    </w:p>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ANNUAL MEETING OF STOCKHOLDERS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Notice is hereby given that the Annual Meeting of Stockholders of NN, Inc., a Delaware corporation, will be held on May 17, 2001, at 10:00 a.m., local time, at the Savannah Marriott Riverfront Hotel, 100 General McIntosh Blvd., Savannah, GA 31401, for the following purposes:</w:t>
      </w:r>
    </w:p>
    <w:p>
      <w:pPr>
        <w:spacing w:after="0" w:line="202"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two Class I directors, each to serve for a term of three years;</w:t>
      </w:r>
    </w:p>
    <w:p>
      <w:pPr>
        <w:spacing w:after="0" w:line="206" w:lineRule="exact"/>
        <w:rPr>
          <w:rFonts w:ascii="Courier New" w:cs="Courier New" w:eastAsia="Courier New" w:hAnsi="Courier New"/>
          <w:sz w:val="18"/>
          <w:szCs w:val="18"/>
          <w:color w:val="auto"/>
        </w:rPr>
      </w:pPr>
    </w:p>
    <w:p>
      <w:pPr>
        <w:ind w:left="540" w:right="25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consider and act upon a proposal that the stockholders approve an amendment to the Company's Stock Incentive Plan.</w:t>
      </w:r>
    </w:p>
    <w:p>
      <w:pPr>
        <w:spacing w:after="0" w:line="208"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selection of KPMG LLP as the Company's independent auditor for the fiscal year ending December 31, 2001; and</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conduct such other business as properly may come before the meeting.</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RECOMMENDS A VOTE FOR THESE PROPOSALS.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Details regarding these matters are contained in the accompanying Proxy Statement.</w:t>
      </w:r>
    </w:p>
    <w:p>
      <w:pPr>
        <w:spacing w:after="0" w:line="208"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Holders of record of the Common Stock at the close of business on March 23, 2001, are entitled to notice of and to vote at the Annual Meeting.</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Please mark, date and sign the enclosed proxy card and return it in the envelope provided. You may revoke your proxy at any time before the votes are cast at the Annual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C. Kelly,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C. Kelly, Jr.</w:t>
      </w:r>
    </w:p>
    <w:p>
      <w:pPr>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Johnson City, Tennessee</w:t>
      </w:r>
    </w:p>
    <w:p>
      <w:pPr>
        <w:spacing w:after="0" w:line="238" w:lineRule="auto"/>
        <w:rPr>
          <w:sz w:val="20"/>
          <w:szCs w:val="20"/>
          <w:color w:val="auto"/>
        </w:rPr>
      </w:pPr>
      <w:r>
        <w:rPr>
          <w:rFonts w:ascii="Courier New" w:cs="Courier New" w:eastAsia="Courier New" w:hAnsi="Courier New"/>
          <w:sz w:val="18"/>
          <w:szCs w:val="18"/>
          <w:color w:val="auto"/>
        </w:rPr>
        <w:t>April 12, 2001</w:t>
      </w:r>
    </w:p>
    <w:p>
      <w:pPr>
        <w:sectPr>
          <w:pgSz w:w="11900" w:h="16838" w:orient="portrait"/>
          <w:cols w:equalWidth="0" w:num="1">
            <w:col w:w="10219"/>
          </w:cols>
          <w:pgMar w:left="240" w:top="919" w:right="1440" w:bottom="1440" w:gutter="0" w:footer="0" w:header="0"/>
        </w:sectPr>
      </w:pPr>
    </w:p>
    <w:bookmarkStart w:id="3" w:name="page4"/>
    <w:bookmarkEnd w:id="3"/>
    <w:p>
      <w:pPr>
        <w:ind w:left="38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2001 ANNUAL MEETING OF STOCKHOLDERS</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Proxies are being solicited by the Board of Directors of NN, Inc. (the "Company"), in connection with the annual meeting of stockholders to be held on May 17, 2001 at the Savannah Marriott Riverfront Hotel, 100 General McIntosh Blvd., Savannah, Georgia, 31401 (the "Annual Meeting"), for the purpose of considering and acting upon the matters set forth in the foregoing Notice of Annual Meeting of Stockholders (the "Notice"). Stockholders of record of the Company's common stock, par value $.01 per share ("Common Stock"), as of the close of business on March 23, 2001, will be entitled to vote at the meeting. On March 23, 2001 (the "Record Date"), 15,246,909 shares of Common Stock were issued and outstanding.</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entire cost of the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211"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The mailing address of the Company's executive office is 2000 Waters Edge Drive, Johnson City, Tennessee 37604. This Proxy Statement and the form of proxy will be mailed to stockholders on or about April 12,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Quorum; Proxies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Each share of Common Stock outstanding on the Record Date is entitled to one vote on each matter submitted to a vote of stockholders at the Annual Meeting. A quorum for the conduct of business is established when the holders of at least a majority of the outstanding shares of Common Stock entitled to vote in the election of directors are present at the meeting or are represented by proxy. Representatives of the Company will serve as inspectors of election for the Annual Meeting.</w:t>
      </w:r>
    </w:p>
    <w:p>
      <w:pPr>
        <w:spacing w:after="0" w:line="21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Shares represented by a properly executed proxy will be voted at the Annual Meeting in the manner specified. In the absence of specific instructions, shares represented by a properly executed proxy will be voted for approval of an amendment to the Company's Certificate of Incorporation, for each of the nominees for election to the Board of Directors named herein and for the proposal to ratify the selection of KPMG LLP to serve as the Company's independent auditor for 2001.</w:t>
      </w:r>
    </w:p>
    <w:p>
      <w:pPr>
        <w:spacing w:after="0" w:line="211"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18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 proxy may be revoked at any time before it is exercised by delivery to the Secretary of the Company of a written revocation or a subsequently dated proxy and will be deemed revoked if the stockholder votes in person at the Annual Meeting.</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Voting Rights and Outstanding Shares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Approval of Proposals II and III requires the affirmative vote of a majority of the shares of Common Stock represented in person or by proxy at the meeting. Broker non-votes (i.e., shares present by proxy but for which no voting authority has been given by the beneficial holder) will affect the vote on the proposals in that they will be treated as a "no" vote and abstentions (shares not voted by a stockholder present at the Annual Meeting) will be treated as "no" votes. Because directors are elected by a plurality of the votes cast, abstentions and broker non-votes will not affect the outcome of the election of directors.</w:t>
      </w:r>
    </w:p>
    <w:p>
      <w:pPr>
        <w:spacing w:after="0" w:line="20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BENEFICIAL OWNERSHIP OF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following table shows, as of March 23, 2001, the beneficial ownership of Common Stock by each director, each executive officer named in the Summary Compensation Table, and all directors and executive officers as a group, in each case as reported to the Company by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Name and Address of</w:t>
            </w:r>
          </w:p>
        </w:tc>
        <w:tc>
          <w:tcPr>
            <w:tcW w:w="242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Number of Shares</w:t>
            </w:r>
          </w:p>
        </w:tc>
        <w:tc>
          <w:tcPr>
            <w:tcW w:w="2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51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Beneficial Owner (1)</w:t>
            </w:r>
          </w:p>
        </w:tc>
        <w:tc>
          <w:tcPr>
            <w:tcW w:w="2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 Owned (2)</w:t>
            </w:r>
          </w:p>
        </w:tc>
      </w:tr>
      <w:tr>
        <w:trPr>
          <w:trHeight w:val="203"/>
        </w:trPr>
        <w:tc>
          <w:tcPr>
            <w:tcW w:w="51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120" w:type="dxa"/>
            <w:vAlign w:val="bottom"/>
          </w:tcPr>
          <w:p>
            <w:pPr>
              <w:spacing w:after="0"/>
              <w:rPr>
                <w:sz w:val="20"/>
                <w:szCs w:val="20"/>
                <w:color w:val="auto"/>
              </w:rPr>
            </w:pPr>
            <w:r>
              <w:rPr>
                <w:rFonts w:ascii="Courier New" w:cs="Courier New" w:eastAsia="Courier New" w:hAnsi="Courier New"/>
                <w:sz w:val="18"/>
                <w:szCs w:val="18"/>
                <w:color w:val="auto"/>
              </w:rPr>
              <w:t>Richard D. Ennen</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2,843,420</w:t>
            </w:r>
          </w:p>
        </w:tc>
        <w:tc>
          <w:tcPr>
            <w:tcW w:w="640" w:type="dxa"/>
            <w:vAlign w:val="bottom"/>
          </w:tcPr>
          <w:p>
            <w:pPr>
              <w:spacing w:after="0"/>
              <w:rPr>
                <w:sz w:val="24"/>
                <w:szCs w:val="24"/>
                <w:color w:val="auto"/>
              </w:rPr>
            </w:pPr>
          </w:p>
        </w:tc>
        <w:tc>
          <w:tcPr>
            <w:tcW w:w="2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18.6%</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D. Huff</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645,217</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Roderick R. Baty</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70,728</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47,461</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L. Earsley</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221,428</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E. Werner</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11,287</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G. Ronald Morris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T. Warshaw</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Dyckman</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14,099</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R. Sams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9,316</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w:t>
            </w:r>
          </w:p>
        </w:tc>
        <w:tc>
          <w:tcPr>
            <w:tcW w:w="24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 officers as a group</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3,881,956</w:t>
            </w:r>
          </w:p>
        </w:tc>
        <w:tc>
          <w:tcPr>
            <w:tcW w:w="640" w:type="dxa"/>
            <w:vAlign w:val="bottom"/>
          </w:tcPr>
          <w:p>
            <w:pPr>
              <w:spacing w:after="0"/>
              <w:rPr>
                <w:sz w:val="17"/>
                <w:szCs w:val="17"/>
                <w:color w:val="auto"/>
              </w:rPr>
            </w:pPr>
          </w:p>
        </w:tc>
        <w:tc>
          <w:tcPr>
            <w:tcW w:w="2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24.8%</w:t>
            </w:r>
          </w:p>
        </w:tc>
      </w:tr>
      <w:tr>
        <w:trPr>
          <w:trHeight w:val="203"/>
        </w:trPr>
        <w:tc>
          <w:tcPr>
            <w:tcW w:w="512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w w:val="97"/>
              </w:rPr>
              <w:t>- -------------------------------</w:t>
            </w:r>
          </w:p>
        </w:tc>
        <w:tc>
          <w:tcPr>
            <w:tcW w:w="1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207" w:lineRule="exact"/>
        <w:rPr>
          <w:sz w:val="20"/>
          <w:szCs w:val="20"/>
          <w:color w:val="auto"/>
        </w:rPr>
      </w:pPr>
    </w:p>
    <w:p>
      <w:pPr>
        <w:ind w:left="540" w:right="241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the beneficial owner is c/o NN, Inc., 2000 Waters Edge Drive, Tennessee 37604.</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shown as beneficially owned by each person or group represents the total number of shares of Common Stock shown in the adjacent column divided by the sum of (i) the number of issued and outstanding shares of Common Stock as of March 23, 2001, and (ii) all shares of Common Stock, if any, issuable upon the exercise of stock options held by such person (but no other person) or group, as applicable, that were exercisable on March 23, 2001, or which will become exercisable within 60 days thereafter.</w:t>
      </w:r>
    </w:p>
    <w:p>
      <w:pPr>
        <w:spacing w:after="0" w:line="212" w:lineRule="exact"/>
        <w:rPr>
          <w:rFonts w:ascii="Courier New" w:cs="Courier New" w:eastAsia="Courier New" w:hAnsi="Courier New"/>
          <w:sz w:val="18"/>
          <w:szCs w:val="18"/>
          <w:color w:val="auto"/>
        </w:rPr>
      </w:pPr>
    </w:p>
    <w:p>
      <w:pPr>
        <w:jc w:val="both"/>
        <w:ind w:left="540" w:right="1999" w:hanging="532"/>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 shares of Common Stock that Mr. Huff holds as an option to purchase and 225,000 shares of Common Stock registered in the name of Mr. Huff's wife.</w:t>
      </w:r>
    </w:p>
    <w:p>
      <w:pPr>
        <w:spacing w:after="0" w:line="208"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68,333 shares of Common Stock that Mr. Baty holds as an option to purchase.</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15,900 shares of Common Stock that Mr. Gentry holds as an option to purchase.</w:t>
      </w:r>
    </w:p>
    <w:p>
      <w:pPr>
        <w:spacing w:after="0" w:line="208" w:lineRule="exact"/>
        <w:rPr>
          <w:rFonts w:ascii="Courier New" w:cs="Courier New" w:eastAsia="Courier New" w:hAnsi="Courier New"/>
          <w:sz w:val="18"/>
          <w:szCs w:val="18"/>
          <w:color w:val="auto"/>
        </w:rPr>
      </w:pPr>
    </w:p>
    <w:p>
      <w:pPr>
        <w:ind w:left="540" w:right="261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2,818 shares of Common Stock registered in the name of Mr. Earsley's son.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ind w:left="540" w:right="1779" w:hanging="532"/>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 shares of Common Stock that Mr. Werner holds as an option to purchase and 5,287 shares of Common Stock reregistered in the name of Mr. Werner's wife.</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 shares of Common Stock that Mr. Morris holds as an option to purchase.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6,000 shares that Mr. Warshaw holds as an option to purchase.</w:t>
      </w:r>
    </w:p>
    <w:p>
      <w:pPr>
        <w:spacing w:after="0" w:line="206"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13,999 shares of Common Stock that Mr. Dyckman holds as an option to purchase.</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9,266 shares of Common Stock that Mr. Sams holds as an option to purchase.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following table sets forth, as of December 31, 2000, the number of shares of the Company's Common Stock beneficially owned by the only parties known to the Company's management to own more than 5% of the Company's Common Stock (other than Richard D. Ennen, for whom information is shown on the preceding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ind w:left="1380"/>
              <w:spacing w:after="0"/>
              <w:rPr>
                <w:sz w:val="20"/>
                <w:szCs w:val="20"/>
                <w:color w:val="auto"/>
              </w:rPr>
            </w:pPr>
            <w:r>
              <w:rPr>
                <w:rFonts w:ascii="Courier New" w:cs="Courier New" w:eastAsia="Courier New" w:hAnsi="Courier New"/>
                <w:sz w:val="18"/>
                <w:szCs w:val="18"/>
                <w:color w:val="auto"/>
              </w:rPr>
              <w:t>Name and Address of</w:t>
            </w:r>
          </w:p>
        </w:tc>
        <w:tc>
          <w:tcPr>
            <w:tcW w:w="31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Number of Shares</w:t>
            </w:r>
          </w:p>
        </w:tc>
        <w:tc>
          <w:tcPr>
            <w:tcW w:w="2200" w:type="dxa"/>
            <w:vAlign w:val="bottom"/>
          </w:tcPr>
          <w:p>
            <w:pPr>
              <w:ind w:left="740"/>
              <w:spacing w:after="0"/>
              <w:rPr>
                <w:sz w:val="20"/>
                <w:szCs w:val="20"/>
                <w:color w:val="auto"/>
              </w:rPr>
            </w:pPr>
            <w:r>
              <w:rPr>
                <w:rFonts w:ascii="Courier New" w:cs="Courier New" w:eastAsia="Courier New" w:hAnsi="Courier New"/>
                <w:sz w:val="18"/>
                <w:szCs w:val="18"/>
                <w:color w:val="auto"/>
              </w:rPr>
              <w:t>Percentage</w:t>
            </w:r>
          </w:p>
        </w:tc>
      </w:tr>
      <w:tr>
        <w:trPr>
          <w:trHeight w:val="203"/>
        </w:trPr>
        <w:tc>
          <w:tcPr>
            <w:tcW w:w="44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Beneficial Owner</w:t>
            </w:r>
          </w:p>
        </w:tc>
        <w:tc>
          <w:tcPr>
            <w:tcW w:w="3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Beneficially Owned</w:t>
            </w:r>
          </w:p>
        </w:tc>
      </w:tr>
      <w:tr>
        <w:trPr>
          <w:trHeight w:val="203"/>
        </w:trPr>
        <w:tc>
          <w:tcPr>
            <w:tcW w:w="44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4440" w:type="dxa"/>
            <w:vAlign w:val="bottom"/>
          </w:tcPr>
          <w:p>
            <w:pPr>
              <w:spacing w:after="0"/>
              <w:rPr>
                <w:sz w:val="20"/>
                <w:szCs w:val="20"/>
                <w:color w:val="auto"/>
              </w:rPr>
            </w:pPr>
            <w:r>
              <w:rPr>
                <w:rFonts w:ascii="Courier New" w:cs="Courier New" w:eastAsia="Courier New" w:hAnsi="Courier New"/>
                <w:sz w:val="18"/>
                <w:szCs w:val="18"/>
                <w:color w:val="auto"/>
              </w:rPr>
              <w:t>Deprince, Race &amp; Zollo, Inc</w:t>
            </w:r>
          </w:p>
        </w:tc>
        <w:tc>
          <w:tcPr>
            <w:tcW w:w="2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3,012,350</w:t>
            </w:r>
          </w:p>
        </w:tc>
        <w:tc>
          <w:tcPr>
            <w:tcW w:w="860" w:type="dxa"/>
            <w:vAlign w:val="bottom"/>
          </w:tcPr>
          <w:p>
            <w:pPr>
              <w:spacing w:after="0"/>
              <w:rPr>
                <w:sz w:val="24"/>
                <w:szCs w:val="24"/>
                <w:color w:val="auto"/>
              </w:rPr>
            </w:pPr>
          </w:p>
        </w:tc>
        <w:tc>
          <w:tcPr>
            <w:tcW w:w="2200" w:type="dxa"/>
            <w:vAlign w:val="bottom"/>
          </w:tcPr>
          <w:p>
            <w:pPr>
              <w:ind w:left="1040"/>
              <w:spacing w:after="0"/>
              <w:rPr>
                <w:sz w:val="20"/>
                <w:szCs w:val="20"/>
                <w:color w:val="auto"/>
              </w:rPr>
            </w:pPr>
            <w:r>
              <w:rPr>
                <w:rFonts w:ascii="Courier New" w:cs="Courier New" w:eastAsia="Courier New" w:hAnsi="Courier New"/>
                <w:sz w:val="18"/>
                <w:szCs w:val="18"/>
                <w:color w:val="auto"/>
              </w:rPr>
              <w:t>19.7%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201 S. Orange Avenue</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850</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Orlando, FL 32801</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Wellington Management Company, LLP</w:t>
            </w:r>
          </w:p>
        </w:tc>
        <w:tc>
          <w:tcPr>
            <w:tcW w:w="2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1,211,150</w:t>
            </w:r>
          </w:p>
        </w:tc>
        <w:tc>
          <w:tcPr>
            <w:tcW w:w="8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w:t>
            </w:r>
          </w:p>
        </w:tc>
        <w:tc>
          <w:tcPr>
            <w:tcW w:w="2200" w:type="dxa"/>
            <w:vAlign w:val="bottom"/>
          </w:tcPr>
          <w:p>
            <w:pPr>
              <w:ind w:left="1040"/>
              <w:spacing w:after="0"/>
              <w:rPr>
                <w:sz w:val="20"/>
                <w:szCs w:val="20"/>
                <w:color w:val="auto"/>
              </w:rPr>
            </w:pPr>
            <w:r>
              <w:rPr>
                <w:rFonts w:ascii="Courier New" w:cs="Courier New" w:eastAsia="Courier New" w:hAnsi="Courier New"/>
                <w:sz w:val="18"/>
                <w:szCs w:val="18"/>
                <w:color w:val="auto"/>
              </w:rPr>
              <w:t>8.6%</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75 State Street</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Boston, MA 02109</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Capital Guardian Trust Company</w:t>
            </w:r>
          </w:p>
        </w:tc>
        <w:tc>
          <w:tcPr>
            <w:tcW w:w="2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895,200</w:t>
            </w:r>
          </w:p>
        </w:tc>
        <w:tc>
          <w:tcPr>
            <w:tcW w:w="860" w:type="dxa"/>
            <w:vAlign w:val="bottom"/>
          </w:tcPr>
          <w:p>
            <w:pPr>
              <w:spacing w:after="0"/>
              <w:rPr>
                <w:sz w:val="24"/>
                <w:szCs w:val="24"/>
                <w:color w:val="auto"/>
              </w:rPr>
            </w:pPr>
          </w:p>
        </w:tc>
        <w:tc>
          <w:tcPr>
            <w:tcW w:w="2200" w:type="dxa"/>
            <w:vAlign w:val="bottom"/>
          </w:tcPr>
          <w:p>
            <w:pPr>
              <w:ind w:left="1040"/>
              <w:spacing w:after="0"/>
              <w:rPr>
                <w:sz w:val="20"/>
                <w:szCs w:val="20"/>
                <w:color w:val="auto"/>
              </w:rPr>
            </w:pPr>
            <w:r>
              <w:rPr>
                <w:rFonts w:ascii="Courier New" w:cs="Courier New" w:eastAsia="Courier New" w:hAnsi="Courier New"/>
                <w:sz w:val="18"/>
                <w:szCs w:val="18"/>
                <w:color w:val="auto"/>
              </w:rPr>
              <w:t>5.9%</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1110 Santa Monica Boulevard</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 Angeles, CA 90025</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Royce &amp; Associates, Inc.</w:t>
            </w:r>
          </w:p>
        </w:tc>
        <w:tc>
          <w:tcPr>
            <w:tcW w:w="2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914,000</w:t>
            </w:r>
          </w:p>
        </w:tc>
        <w:tc>
          <w:tcPr>
            <w:tcW w:w="860" w:type="dxa"/>
            <w:vAlign w:val="bottom"/>
          </w:tcPr>
          <w:p>
            <w:pPr>
              <w:spacing w:after="0"/>
              <w:rPr>
                <w:sz w:val="24"/>
                <w:szCs w:val="24"/>
                <w:color w:val="auto"/>
              </w:rPr>
            </w:pPr>
          </w:p>
        </w:tc>
        <w:tc>
          <w:tcPr>
            <w:tcW w:w="2200" w:type="dxa"/>
            <w:vAlign w:val="bottom"/>
          </w:tcPr>
          <w:p>
            <w:pPr>
              <w:ind w:left="1040"/>
              <w:spacing w:after="0"/>
              <w:rPr>
                <w:sz w:val="20"/>
                <w:szCs w:val="20"/>
                <w:color w:val="auto"/>
              </w:rPr>
            </w:pPr>
            <w:r>
              <w:rPr>
                <w:rFonts w:ascii="Courier New" w:cs="Courier New" w:eastAsia="Courier New" w:hAnsi="Courier New"/>
                <w:sz w:val="18"/>
                <w:szCs w:val="18"/>
                <w:color w:val="auto"/>
              </w:rPr>
              <w:t>6.0%</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1414 Avenue of the Americas</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New York, NY  10019</w:t>
            </w:r>
          </w:p>
        </w:tc>
        <w:tc>
          <w:tcPr>
            <w:tcW w:w="2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540" w:right="1779" w:hanging="532"/>
        <w:spacing w:after="0" w:line="272"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839,150 shares for which Wellington Management Company, LLP, an investment adviser, reports shared voting power with the beneficial owners of such shares and 1,211,150 shares for which Wellington Management Company, LLP reports shared dispositive power with the beneficial owners of such shares. Wellington Management Company, LLP, holds all such shares on behalf of its clients and disclaims any economic interest in the shares.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Under Section 16(a) of the Securities Exchange Act of 1934, as amended, each of the Company's directors and executive officers, and any beneficial owner of more than 10% of the Common Stock, is required to file with the Securities and Exchange Commission (the "SEC") initial reports of beneficial ownership of the Common Stock and reports of changes in beneficial ownership of the Common Stock. Such persons also are required by SEC regulations to furnish the Company with copies of all such reports.</w:t>
      </w:r>
    </w:p>
    <w:p>
      <w:pPr>
        <w:spacing w:after="0" w:line="211"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Based solely on its review of the copies of such reports furnished to the Company for the year ended December 31, 2000, and on the written representations made by such persons that no other reports were required, the Company is not aware of any instance of noncompliance with Section 16(a) by its directors, executive officers or owners of more than 10% of the Common Stock.</w:t>
      </w:r>
    </w:p>
    <w:p>
      <w:pPr>
        <w:spacing w:after="0" w:line="200" w:lineRule="exact"/>
        <w:rPr>
          <w:sz w:val="20"/>
          <w:szCs w:val="20"/>
          <w:color w:val="auto"/>
        </w:rPr>
      </w:pPr>
    </w:p>
    <w:p>
      <w:pPr>
        <w:spacing w:after="0" w:line="3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PROPOSAL I</w:t>
      </w:r>
    </w:p>
    <w:p>
      <w:pPr>
        <w:ind w:left="3160"/>
        <w:spacing w:after="0" w:line="238" w:lineRule="auto"/>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Two Class I directors will be elected to the Board of Directors at the Annual Meeting. The Company has nominated for election Michael D. Huff and Michael E. Werner, each of whom currently is a director. Each of the nominees has indicated a willingness to continue to serve as a director if elected, but if either of them shall decline or be unable to serve, the persons named as proxies intend to vote all shares in favor of the election of such other person who may be nominated as a replacement by the Board of Directors. If no such other person is nominated as a replacement, the Board of Directors will reduce the number of directors to be elected at the Annual Meeting.</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RECOMMENDS A VOTE FOR EACH OF THE NOMINEES.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PROPOSAL 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 THE COMPANY'S STOCK INCENTIVE PLAN.</w:t>
      </w:r>
    </w:p>
    <w:p>
      <w:pPr>
        <w:spacing w:after="0" w:line="200" w:lineRule="exact"/>
        <w:rPr>
          <w:sz w:val="20"/>
          <w:szCs w:val="20"/>
          <w:color w:val="auto"/>
        </w:rPr>
      </w:pPr>
    </w:p>
    <w:p>
      <w:pPr>
        <w:spacing w:after="0" w:line="210"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Company is submitting to a vote of the stockholders an amendment to the Company's Stock Incentive Plan (the "Plan") to increase the number of shares from 1,625,000 to 2,450,000.</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Plan was adopted in connection with the Company's initial public offering in 1994. The Plan has a ten-year term. Under the Plan, the Company may grant various awards (including incentive stock options, nonqualified stock options, stock appreciation rights, limited stock appreciation rights, restricted shares, and other stock-based awards) to officers and key employees of the Company. Currently, there are approximately 50 employees eligible to participate in the Plan. The Plan is administered by a committee appointed by the Board (the "Committee"). The Committee has authority, among other things, to determine who will receive a grant and the amount of an award under the Plan.</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 w:name="page8"/>
    <w:bookmarkEnd w:id="7"/>
    <w:p>
      <w:pPr>
        <w:ind w:left="860" w:hanging="8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w:t>
      </w:r>
    </w:p>
    <w:p>
      <w:pPr>
        <w:spacing w:after="0" w:line="207"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No option granted under the Plan may have a term of greater than ten years from the date of grant and the option price per share may not be less than the fair market value of a share of the Company's Common Stock on the date of grant. If the grantee's service for the Company is terminated for any reason other than retirement, disability or death, options vested on the date of termination may only be exercised within three months of termination. A grantee whose service terminates because of retirement or disability has only 12 months from the date of termination to exercise his or her vested options. If the grantee's service for the Company is terminated because of death, or if the grantee dies after termination but while an option is exercisable, options held on the date of death are exercisable only within 24 months of the death. An option granted under the Plan may be either (i) an incentive stock option that complies with Section 422(b) of the Internal Revenue Code (an "Incentive Stock Option") or</w:t>
      </w:r>
    </w:p>
    <w:p>
      <w:pPr>
        <w:spacing w:after="0" w:line="2" w:lineRule="exact"/>
        <w:rPr>
          <w:sz w:val="20"/>
          <w:szCs w:val="20"/>
          <w:color w:val="auto"/>
        </w:rPr>
      </w:pPr>
    </w:p>
    <w:p>
      <w:pPr>
        <w:jc w:val="both"/>
        <w:ind w:right="1999" w:firstLine="8"/>
        <w:spacing w:after="0" w:line="290" w:lineRule="auto"/>
        <w:tabs>
          <w:tab w:leader="none" w:pos="5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nonqualified stock option, which term encompasses any stock option that does not qualify as an Incentive Stock Option (a "Nonqualified Stock Option").</w:t>
      </w:r>
    </w:p>
    <w:p>
      <w:pPr>
        <w:spacing w:after="0" w:line="164"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may also award stock appreciation rights ("SARs") under the Plan. An SAR may be issued in tandem with a stock option, or it may be issued independent of a stock option. An SAR entitles the holder to receive upon exercise cash in an amount equal to the difference between the market price of a share of Common Stock and the exercise price of the SAR. The Committee may impose a prohibition on the exercise of SARs for such periods as it may determine is in the best interest of the Company. The right of a grantee to exercise a tandem SAR shall be canceled if the shares subject to the SAR are purchased upon the exercise of the related option. A grantee's rights upon termination of service with regard to SARs are the same as a grantee's rights with regard to stock options under the Plan.</w:t>
      </w:r>
    </w:p>
    <w:p>
      <w:pPr>
        <w:spacing w:after="0" w:line="21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Restricted Shares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may award restricted shares under the Plan. The Committee may determine the terms and conditions of each grant of restricted shares. To the extent required by law, the purchase price of a restricted share shall not be less than the par value per share of the Company's Common Stock on the date of grant. A grantee of a restricted share will have beneficial ownership of the shares, including the right to receive dividends and the right to vote. Restricted shares may not be transferred until the restrictions imposed by the Committee lapse or are removed. A grantee's rights to restricted shares terminates on his termination of employment with the Company, except as determined by the Committee.</w:t>
      </w:r>
    </w:p>
    <w:p>
      <w:pPr>
        <w:spacing w:after="0" w:line="209"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Awards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may grant other awards that are based on or related to the Company's Common Stock. Such awards may include phantom shares, performance units, or performance bonus awards.</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VI.</w:t>
      </w:r>
      <w:r>
        <w:rPr>
          <w:sz w:val="20"/>
          <w:szCs w:val="20"/>
          <w:color w:val="auto"/>
        </w:rPr>
        <w:tab/>
      </w:r>
      <w:r>
        <w:rPr>
          <w:rFonts w:ascii="Courier New" w:cs="Courier New" w:eastAsia="Courier New" w:hAnsi="Courier New"/>
          <w:sz w:val="18"/>
          <w:szCs w:val="18"/>
          <w:color w:val="auto"/>
        </w:rPr>
        <w:t>Tax Consequences of Options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general, a grantee of a Nonqualified Stock Option or an Incentive Stock Option will not recognize income on the grant of that option. When a grantee exercises a Nonqualified Stock Option and pays the purchase price of the shares, the grantee generally will recognize ordinary income (or loss) equal to the excess (or shortfall) of the fair market value of the stock on the exercise date over the purchase price of the stock. A grantee generally will not recognize income for purposes of regular federal income tax liability when he or she exercises an Incentive Stock Option, unless the employee makes a "disqualifying disposition" of the Incentive Stock Option shares.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generally will be entitled to a tax deduction in an amount equal to the ordinary income that a grantee recognizes under an option, provided that the amount qualifies as an ordinary and necessary business expense. The Company also will be entitled to a deduction in the amount of ordinary income that the grantee recognizes when he or she makes a so-called "disqualifying disposition" of Incentive Stock Option shares.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8" w:name="page9"/>
    <w:bookmarkEnd w:id="8"/>
    <w:p>
      <w:pPr>
        <w:ind w:right="1779"/>
        <w:spacing w:after="0" w:line="235" w:lineRule="auto"/>
        <w:rPr>
          <w:sz w:val="20"/>
          <w:szCs w:val="20"/>
          <w:color w:val="auto"/>
        </w:rPr>
      </w:pPr>
      <w:r>
        <w:rPr>
          <w:rFonts w:ascii="Courier New" w:cs="Courier New" w:eastAsia="Courier New" w:hAnsi="Courier New"/>
          <w:sz w:val="18"/>
          <w:szCs w:val="18"/>
          <w:color w:val="auto"/>
        </w:rPr>
        <w:t>Company ordinarily will not be entitled to a deduction when it grants an option, or when the grantee exercises an Incentive Stock Option.</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VII.</w:t>
      </w:r>
      <w:r>
        <w:rPr>
          <w:sz w:val="20"/>
          <w:szCs w:val="20"/>
          <w:color w:val="auto"/>
        </w:rPr>
        <w:tab/>
      </w:r>
      <w:r>
        <w:rPr>
          <w:rFonts w:ascii="Courier New" w:cs="Courier New" w:eastAsia="Courier New" w:hAnsi="Courier New"/>
          <w:sz w:val="18"/>
          <w:szCs w:val="18"/>
          <w:color w:val="auto"/>
        </w:rPr>
        <w:t>Reasons for the Amendment</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When the Plan was adopted, it provided for the issuance of up to 500,000 shares of the Company's Common Stock. As a result of two 3-for-2 stock splits, this number was increased to 1,125,000 shares. Subsequently, in May 1999, shareholders approved an amendment to increase the number of shares to 1,625,000. The only awards that have been made under the Plan have consisted of Nonqualified Stock Options. Through the date of this proxy statement, approximately 1,608,000 shares have been issued or reserved for issuance upon the exercise of stock options granted under the Plan. Accordingly, only approximately 17,000 shares remain available for future awards. On February 22, 2001, the Board of Directors of the Company approved, subject to stockholder approval, an amendment to increase the number of shares of Common Stock authorized for issuance under the Stock Incentive Plan from 1,625,000 to 2,450,000. The fair market value of a share of the Company's Common Stock on March 23, 2001 was $7.1875.</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amendment has been proposed to assure that the Company has sufficient shares available under the Stock Incentive Plan to provide proper inducements to encourage grantees to either serve or remain employed with the Company, perform in a superior manner, and to share in the future success of the Company's business. Additionally, over the last two years, the number of employees eligible for stock option awards has increased due to the Company's acquisition and joint venture activity. No awards have been made with respect to the shares of Common Stock that are subject to the proposed amendment. Because all awards under the Plan are subject to the discretion of the Committee, any future awards are not determinable at this time.</w:t>
      </w:r>
    </w:p>
    <w:p>
      <w:pPr>
        <w:spacing w:after="0" w:line="21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Approval of the amendment requires the affirmative vote of the holders of a majority of the outstanding shares of Common Stock that are present in person or represented by proxy and entitled to vote at a meeting.</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BOARD OF DIRECTORS RECOMMENDS A VOTE FOR THIS PROPOSAL</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PROPOSAL III</w:t>
      </w:r>
    </w:p>
    <w:p>
      <w:pPr>
        <w:jc w:val="center"/>
        <w:ind w:right="1659"/>
        <w:spacing w:after="0" w:line="238" w:lineRule="auto"/>
        <w:rPr>
          <w:sz w:val="20"/>
          <w:szCs w:val="20"/>
          <w:color w:val="auto"/>
        </w:rPr>
      </w:pPr>
      <w:r>
        <w:rPr>
          <w:rFonts w:ascii="Courier New" w:cs="Courier New" w:eastAsia="Courier New" w:hAnsi="Courier New"/>
          <w:sz w:val="18"/>
          <w:szCs w:val="18"/>
          <w:color w:val="auto"/>
        </w:rPr>
        <w:t>RATIFICATION OF SELECTION OF AUDITORS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firm of KPMG LLP has been selected by the Board of Directors as the Company's outside auditors for 2001. On November 27, 2000, the Company retained the services of KPMG LLP as its principle accountant to audit the Company's consolidated financial statements, replacing PricewaterhouseCoopers LLP. The decision to retain KPMG was based upon a reevaluation by the Company of its current professional relationships and was approved by the Company's Board of Directors at the recommendation of the Company's Audit Committee. Although it is not required to do so, the Board has determined that it is desirable to seek stockholders' ratification of the selection of KPMG LLP.</w:t>
      </w:r>
    </w:p>
    <w:p>
      <w:pPr>
        <w:spacing w:after="0" w:line="214"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During the Company's two most recent fiscal years and through November 27, 2000, there have been no disagreements with PricewaterhouseCoopers LLP on any matter of accounting principles or practices, financial statement disclosure, or auditing scope or procedure. PricewaterhouseCoopers LLP reports on the financial statements of the Company for the past two years contained no adverse opinion or disclaimer of opinion and were not qualified or modified as to uncertainty, audit scope or accounting principles.</w:t>
      </w:r>
    </w:p>
    <w:p>
      <w:pPr>
        <w:spacing w:after="0" w:line="18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At the Company's request, PricewaterhouseCoopers LLP furnished it with a letter addressed to the SEC stating that PricewaterhouseCoopers LLP agrees with the above statements. A copy of this letter was filed as Exhibit 16 to Form 8-K filed with the SEC on December 4, 2000.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 w:name="page10"/>
    <w:bookmarkEnd w:id="9"/>
    <w:p>
      <w:pPr>
        <w:ind w:right="2199" w:firstLine="843"/>
        <w:spacing w:after="0" w:line="236" w:lineRule="auto"/>
        <w:rPr>
          <w:sz w:val="20"/>
          <w:szCs w:val="20"/>
          <w:color w:val="auto"/>
        </w:rPr>
      </w:pPr>
      <w:r>
        <w:rPr>
          <w:rFonts w:ascii="Courier New" w:cs="Courier New" w:eastAsia="Courier New" w:hAnsi="Courier New"/>
          <w:sz w:val="18"/>
          <w:szCs w:val="18"/>
          <w:color w:val="auto"/>
        </w:rPr>
        <w:t>A representative of KPMG LLP is expected to be present at the Annual Meeting and will have an opportunity to make a statement, if he or she so desires, and will be available to respond to appropriate questions.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SUBMISSION OF STOCKHOLDER PROPOSALS</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Any stockholder proposal intended to be presented at next year's Annual Meeting must be received by the Company at its executive offices not later than December 14, 2001 in order to be considered for inclusion in the Company's proxy statement and form of proxy for such meeting. All notices should be sent to NN, Inc., Attention: Secretary, 2000 Waters Edge Drive, Johnson City, Tennessee 37604. If the proposal is received by the Company 45 days or fewer prior to the anniversary of the mailing date of this proxy statement, the persons named as proxy in the Company's 2001 proxy materials will have the discretionary authority to vote on the proposal in accordance with their best judgment without disclosure in this proxy statement of how they intend to vote on the proposal.</w:t>
      </w:r>
    </w:p>
    <w:p>
      <w:pPr>
        <w:spacing w:after="0" w:line="184"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INFORMATION ABOUT THE DIRECTORS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Director</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Term</w:t>
            </w:r>
          </w:p>
        </w:tc>
        <w:tc>
          <w:tcPr>
            <w:tcW w:w="306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Age</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Since</w:t>
            </w:r>
          </w:p>
        </w:tc>
        <w:tc>
          <w:tcPr>
            <w:tcW w:w="12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Expires</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Positions with the Company</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Richard D. Ennen</w:t>
            </w:r>
          </w:p>
        </w:tc>
        <w:tc>
          <w:tcPr>
            <w:tcW w:w="1700" w:type="dxa"/>
            <w:vAlign w:val="bottom"/>
          </w:tcPr>
          <w:p>
            <w:pPr>
              <w:ind w:left="960"/>
              <w:spacing w:after="0"/>
              <w:rPr>
                <w:sz w:val="20"/>
                <w:szCs w:val="20"/>
                <w:color w:val="auto"/>
              </w:rPr>
            </w:pPr>
            <w:r>
              <w:rPr>
                <w:rFonts w:ascii="Courier New" w:cs="Courier New" w:eastAsia="Courier New" w:hAnsi="Courier New"/>
                <w:sz w:val="18"/>
                <w:szCs w:val="18"/>
                <w:color w:val="auto"/>
              </w:rPr>
              <w:t>73</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1980</w:t>
            </w: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2003</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Chairman of the Board and</w:t>
            </w:r>
          </w:p>
        </w:tc>
      </w:tr>
      <w:tr>
        <w:trPr>
          <w:trHeight w:val="203"/>
        </w:trPr>
        <w:tc>
          <w:tcPr>
            <w:tcW w:w="2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Roderick R. Baty</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47</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2003</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27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 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D. Huff</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53</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1980</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2001</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E. Werner</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56</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2001</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G. Ronald Morris</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64</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T. Warshaw</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52</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L. Earsley</w:t>
            </w:r>
          </w:p>
        </w:tc>
        <w:tc>
          <w:tcPr>
            <w:tcW w:w="1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55</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1999</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2002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Richard D. Ennen is the principal founder of the Company and has been the Chairman of the Board and a director of the Company since its formation in 1980. He served as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Precision Products, Inc. (formerly Hoover Universal, Inc.), a division of Tsubakimoto Precision Products Co. Ltd, including Corporate Vice President and General Manager of the ball and roller division. Mr. Ennen has over 40 years of experience in the anti-friction bearing industry.</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Roderick R. Baty became President and Chief Executive Officer in July 1997. He joined the Company in July 1995 as Vice President and Chief Financial Officer and was elected to the Board of Directors to fill a vacant seat in August 1995.</w:t>
      </w:r>
    </w:p>
    <w:p>
      <w:pPr>
        <w:spacing w:after="0" w:line="1"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Prior to joining the Company, Mr. Baty served as President and Chief Operating Officer of Hoover Precision Products from 1990 to January 1995, and as Vice President and General Manager of Hoover Precision Products from 1985 to 1990.</w:t>
      </w:r>
    </w:p>
    <w:p>
      <w:pPr>
        <w:spacing w:after="0" w:line="17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Michael D. Huff has served as a director of the Company since its formation in 1980. From 1980 until his retirement in January 1995, Mr. Huff served as the Chief Financial Officer, Treasurer and Secretary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ind w:right="1779"/>
        <w:spacing w:after="0" w:line="237" w:lineRule="auto"/>
        <w:rPr>
          <w:sz w:val="20"/>
          <w:szCs w:val="20"/>
          <w:color w:val="auto"/>
        </w:rPr>
      </w:pPr>
      <w:r>
        <w:rPr>
          <w:rFonts w:ascii="Courier New" w:cs="Courier New" w:eastAsia="Courier New" w:hAnsi="Courier New"/>
          <w:sz w:val="18"/>
          <w:szCs w:val="18"/>
          <w:color w:val="auto"/>
        </w:rPr>
        <w:t>Company. Before joining the Company, Mr. Huff served as a division controller of Hoover Precision Products, Inc. from 1975 until 1980. Mr. Huff is a member of the American Institute of Certified Public Accountants and the Tennessee Society of Certified Public Accountants.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Michael E. Werner is a management consultant with Werner Gershon Associates, a management consulting firm specializing in manufacturing companies that Mr. Werner co-founded in 1982.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216"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Steven T. Warshaw has served as President of Hexcel Schwebel , a global producer of advanced structural materials, since April 2000. Prior to his current position, he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Prior to his current position, Mr. Warshaw served in a variety of positions at Olin since 1974, including President of OCG Microelectronic Materials and Vice President of Olin's Chemicals Division.</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James L. Earsley was elected to the Board effective August 1, 1999. Mr. Earsley has spent his entire career with Industrial Molding Corporation (IMC) and was Chairman of the Board at the time of the Company's acquisition of IMC on July 4, 1999. Mr. Earsley remains involved with the business in a non-employee consulting role.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Michael E. Werner, a director of the Company, is a principal of Werner Gershon Associate. Werner Gershon Associates was retained by the Company to help develop a long-range business strategy for IMC. During the latter part of 1999, Werner Gershon Associates worked with the Company to study their markets and competitors, and defining new business opportunities. The result of this work was a long-range business plan for IMC. The Company paid Werner Gershon Associates approximately $114,115 for its services in 2000.</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James L. Earsley, past Chairman of Industrial Molding Corporation, was elected to the Board of Directors effective August of 1999. Although no longer involved in the day-to-day business of IMC, Mr. Earsley was retained by the Company in a non-employee consulting role to Industrial Molding Corporation and is involved with strategic development. Mr. Earsley was paid approximately $54,950 for his services in 2000.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Agreement</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and the persons who were stockholders of the Company prior to its initial public offering are parties to an agreement which provides that, so long as the Ennen family continues to hold at least 10 percent of the Common Stock, in the event that Mr. Ennen for any reason ceases to serve as a director of the Company, such individuals will vote their shares of Common Stock in favor of a director nominee who is designated by the Ennen family. To the Company's knowledge, as of March 23, 2001, members of the Ennen family held, in the aggregate, approximately 20.0 percent of the outstanding shares of Common Stock, and the other parties to the Agreement held, in the aggregate, approximately 7.0 percent of the outstanding shares of Common Stock.</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97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2320" w:firstLine="527"/>
        <w:spacing w:after="0" w:line="238" w:lineRule="auto"/>
        <w:rPr>
          <w:sz w:val="20"/>
          <w:szCs w:val="20"/>
          <w:color w:val="auto"/>
        </w:rPr>
      </w:pPr>
      <w:r>
        <w:rPr>
          <w:rFonts w:ascii="Courier New" w:cs="Courier New" w:eastAsia="Courier New" w:hAnsi="Courier New"/>
          <w:sz w:val="18"/>
          <w:szCs w:val="18"/>
          <w:color w:val="auto"/>
        </w:rPr>
        <w:t>Directors who are not employees of the Company are paid an annual retainer of $17,000 and a fee of $1,000 for each Board meeting attended, $750 for each committee meeting attended and $500 for each teleconference meeting attended. Directors who are employees of the Company do not receive any compensation for their service as directors. Directors may elect to defer some or all of the compensation they are provided by the Company. In addition, each Director who is not an employee of the Company received 3,000 stock options on October 10, 2000. The exercise price of the options was $7.63 per share, which was the closing price of the stock on Nasdaq on the date the option was granted. The term of the options is ten years from the date of grant. These options become fully vested on October 10, 2001. In the event of termination of service due to death or disability, the options become fully vested. The Company also reimburses all directors for out-of-pocket expenses incurred in attending Board and Committee meetings.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w:t>
      </w:r>
    </w:p>
    <w:p>
      <w:pPr>
        <w:spacing w:after="0" w:line="207" w:lineRule="exact"/>
        <w:rPr>
          <w:sz w:val="20"/>
          <w:szCs w:val="20"/>
          <w:color w:val="auto"/>
        </w:rPr>
      </w:pPr>
    </w:p>
    <w:p>
      <w:pPr>
        <w:ind w:right="2320" w:firstLine="527"/>
        <w:spacing w:after="0" w:line="271" w:lineRule="auto"/>
        <w:rPr>
          <w:sz w:val="20"/>
          <w:szCs w:val="20"/>
          <w:color w:val="auto"/>
        </w:rPr>
      </w:pPr>
      <w:r>
        <w:rPr>
          <w:rFonts w:ascii="Courier New" w:cs="Courier New" w:eastAsia="Courier New" w:hAnsi="Courier New"/>
          <w:sz w:val="16"/>
          <w:szCs w:val="16"/>
          <w:color w:val="auto"/>
        </w:rPr>
        <w:t>Audit Committee. The Audit Committee of the Board of Directors consists of Michael D. Huff, Michael E. Werner, and Steven T. Warshaw. The Audit Committee is responsible for recommending the independent certified public accountants to be selected by the Board of Directors to conduct the annual audit of the books and accounts of the Company and for reviewing the adequacy and effectiveness of the internal auditing, accounting and financial controls of the Company with the independent certified public accountants and the Company's internal financial and accounting staff. The Audit Committee met one time in 2000.</w:t>
      </w:r>
    </w:p>
    <w:p>
      <w:pPr>
        <w:spacing w:after="0" w:line="186"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Compensation Committee. The Compensation Committee of the Board of Directors consists of G. Ronald Morris, Michael E. Werner, James L. Earsley and Steven T. Warshaw. The Compensation Committee is responsible for reviewing and approving the Company's executive compensation policies and practices and supervising the administration of the Company's employee benefit plans, including the NN, Inc. Stock Incentive Plan. The functions of the Compensation Committee are discussed in further detail in the section entitled "Report of the Compensation Committee" herein. The Compensation Committee met two times in 2000.</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Attendance at Board and Committee Meetings</w:t>
      </w:r>
    </w:p>
    <w:p>
      <w:pPr>
        <w:spacing w:after="0" w:line="207" w:lineRule="exact"/>
        <w:rPr>
          <w:sz w:val="20"/>
          <w:szCs w:val="20"/>
          <w:color w:val="auto"/>
        </w:rPr>
      </w:pPr>
    </w:p>
    <w:p>
      <w:pPr>
        <w:ind w:right="2540" w:firstLine="527"/>
        <w:spacing w:after="0" w:line="236" w:lineRule="auto"/>
        <w:rPr>
          <w:sz w:val="20"/>
          <w:szCs w:val="20"/>
          <w:color w:val="auto"/>
        </w:rPr>
      </w:pPr>
      <w:r>
        <w:rPr>
          <w:rFonts w:ascii="Courier New" w:cs="Courier New" w:eastAsia="Courier New" w:hAnsi="Courier New"/>
          <w:sz w:val="18"/>
          <w:szCs w:val="18"/>
          <w:color w:val="auto"/>
        </w:rPr>
        <w:t>The Board of Directors held seven meetings in 2000. Each director of the Company was present for all of the meetings of the Board of Directors and each Committee on which such director served.</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The following table sets forth for the years ended December 31, 1998, 1999 and 2000, certain information concerning the compensation paid for services rendered in all capacities by the Company, to each individual who served as the Chief Executive Officer and to each of the other four most highly compensated executive officers of the Company whose annual salary and bonus in 2000 exceeded $100,000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gridSpan w:val="3"/>
          </w:tcPr>
          <w:p>
            <w:pPr>
              <w:ind w:left="2860"/>
              <w:spacing w:after="0"/>
              <w:rPr>
                <w:sz w:val="20"/>
                <w:szCs w:val="20"/>
                <w:color w:val="auto"/>
              </w:rPr>
            </w:pPr>
            <w:r>
              <w:rPr>
                <w:rFonts w:ascii="Courier New" w:cs="Courier New" w:eastAsia="Courier New" w:hAnsi="Courier New"/>
                <w:sz w:val="18"/>
                <w:szCs w:val="18"/>
                <w:color w:val="auto"/>
              </w:rPr>
              <w:t>SUMMARY COMPENSATION TABLE</w:t>
            </w: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4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Long-Term</w:t>
            </w:r>
          </w:p>
        </w:tc>
        <w:tc>
          <w:tcPr>
            <w:tcW w:w="1480" w:type="dxa"/>
            <w:vAlign w:val="bottom"/>
          </w:tcPr>
          <w:p>
            <w:pPr>
              <w:spacing w:after="0"/>
              <w:rPr>
                <w:sz w:val="24"/>
                <w:szCs w:val="24"/>
                <w:color w:val="auto"/>
              </w:rPr>
            </w:pPr>
          </w:p>
        </w:tc>
      </w:tr>
      <w:tr>
        <w:trPr>
          <w:trHeight w:val="203"/>
        </w:trPr>
        <w:tc>
          <w:tcPr>
            <w:tcW w:w="4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Compensation</w:t>
            </w:r>
          </w:p>
        </w:tc>
        <w:tc>
          <w:tcPr>
            <w:tcW w:w="1480" w:type="dxa"/>
            <w:vAlign w:val="bottom"/>
          </w:tcPr>
          <w:p>
            <w:pPr>
              <w:spacing w:after="0"/>
              <w:rPr>
                <w:sz w:val="17"/>
                <w:szCs w:val="17"/>
                <w:color w:val="auto"/>
              </w:rPr>
            </w:pP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Awards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Options/</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Year</w:t>
            </w:r>
          </w:p>
        </w:tc>
        <w:tc>
          <w:tcPr>
            <w:tcW w:w="2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Salary ($) Bonus($)</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SARs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60" w:type="dxa"/>
            <w:vAlign w:val="bottom"/>
          </w:tcPr>
          <w:p>
            <w:pPr>
              <w:spacing w:after="0"/>
              <w:rPr>
                <w:sz w:val="20"/>
                <w:szCs w:val="20"/>
                <w:color w:val="auto"/>
              </w:rPr>
            </w:pPr>
            <w:r>
              <w:rPr>
                <w:rFonts w:ascii="Courier New" w:cs="Courier New" w:eastAsia="Courier New" w:hAnsi="Courier New"/>
                <w:sz w:val="18"/>
                <w:szCs w:val="18"/>
                <w:color w:val="auto"/>
              </w:rPr>
              <w:t>Roderick R. Baty</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2000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248,312</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80,000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141,300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1,023(2)</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Chief Executive Officer/President</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210,137</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1,057</w:t>
            </w:r>
          </w:p>
        </w:tc>
      </w:tr>
      <w:tr>
        <w:trPr>
          <w:trHeight w:val="203"/>
        </w:trPr>
        <w:tc>
          <w:tcPr>
            <w:tcW w:w="4060" w:type="dxa"/>
            <w:vAlign w:val="bottom"/>
          </w:tcPr>
          <w:p>
            <w:pPr>
              <w:spacing w:after="0"/>
              <w:rPr>
                <w:sz w:val="17"/>
                <w:szCs w:val="17"/>
                <w:color w:val="auto"/>
              </w:rPr>
            </w:pP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1,196</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Richard D. Ennen</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2000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200,604</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40,000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2,220(2)(3)</w:t>
            </w:r>
          </w:p>
        </w:tc>
      </w:tr>
      <w:tr>
        <w:trPr>
          <w:trHeight w:val="203"/>
        </w:trPr>
        <w:tc>
          <w:tcPr>
            <w:tcW w:w="4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40,000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46,352</w:t>
            </w:r>
          </w:p>
        </w:tc>
      </w:tr>
      <w:tr>
        <w:trPr>
          <w:trHeight w:val="203"/>
        </w:trPr>
        <w:tc>
          <w:tcPr>
            <w:tcW w:w="4060" w:type="dxa"/>
            <w:vAlign w:val="bottom"/>
          </w:tcPr>
          <w:p>
            <w:pPr>
              <w:spacing w:after="0"/>
              <w:rPr>
                <w:sz w:val="17"/>
                <w:szCs w:val="17"/>
                <w:color w:val="auto"/>
              </w:rPr>
            </w:pP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47,408</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rPr>
              <w:t>Frank T. Gentry III</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2000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152,252</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38,000</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57,450</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770(2)</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 Manufacturing</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1999</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124,667</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21,000</w:t>
            </w:r>
          </w:p>
        </w:tc>
        <w:tc>
          <w:tcPr>
            <w:tcW w:w="142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650</w:t>
            </w:r>
          </w:p>
        </w:tc>
      </w:tr>
      <w:tr>
        <w:trPr>
          <w:trHeight w:val="203"/>
        </w:trPr>
        <w:tc>
          <w:tcPr>
            <w:tcW w:w="4060" w:type="dxa"/>
            <w:vAlign w:val="bottom"/>
          </w:tcPr>
          <w:p>
            <w:pPr>
              <w:spacing w:after="0"/>
              <w:rPr>
                <w:sz w:val="17"/>
                <w:szCs w:val="17"/>
                <w:color w:val="auto"/>
              </w:rPr>
            </w:pP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114,000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733</w:t>
            </w:r>
          </w:p>
        </w:tc>
      </w:tr>
      <w:tr>
        <w:trPr>
          <w:trHeight w:val="203"/>
        </w:trPr>
        <w:tc>
          <w:tcPr>
            <w:tcW w:w="4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spacing w:after="0"/>
              <w:rPr>
                <w:sz w:val="17"/>
                <w:szCs w:val="17"/>
                <w:color w:val="auto"/>
              </w:rPr>
            </w:pPr>
          </w:p>
        </w:tc>
      </w:tr>
    </w:tbl>
    <w:p>
      <w:pPr>
        <w:sectPr>
          <w:pgSz w:w="11900" w:h="16838" w:orient="portrait"/>
          <w:cols w:equalWidth="0" w:num="1">
            <w:col w:w="10760"/>
          </w:cols>
          <w:pgMar w:left="240" w:top="717" w:right="89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David L. Dyckman</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161,202</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38,000</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32,950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633(2)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Chief Financial Officer/Vice President</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132,478</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23,000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18,000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609</w:t>
            </w:r>
          </w:p>
        </w:tc>
      </w:tr>
      <w:tr>
        <w:trPr>
          <w:trHeight w:val="203"/>
        </w:trPr>
        <w:tc>
          <w:tcPr>
            <w:tcW w:w="42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78,269</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40,000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4280" w:type="dxa"/>
            <w:vAlign w:val="bottom"/>
          </w:tcPr>
          <w:p>
            <w:pPr>
              <w:spacing w:after="0"/>
              <w:rPr>
                <w:sz w:val="20"/>
                <w:szCs w:val="20"/>
                <w:color w:val="auto"/>
              </w:rPr>
            </w:pPr>
            <w:r>
              <w:rPr>
                <w:rFonts w:ascii="Courier New" w:cs="Courier New" w:eastAsia="Courier New" w:hAnsi="Courier New"/>
                <w:sz w:val="18"/>
                <w:szCs w:val="18"/>
                <w:color w:val="auto"/>
              </w:rPr>
              <w:t>Robert R. Sams</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2000</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136,200</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29,000</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32,400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40(2)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 Market Services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1999</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103,285</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19,000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16,600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810</w:t>
            </w:r>
          </w:p>
        </w:tc>
      </w:tr>
      <w:tr>
        <w:trPr>
          <w:trHeight w:val="203"/>
        </w:trPr>
        <w:tc>
          <w:tcPr>
            <w:tcW w:w="428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118,894</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611</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220" w:hanging="532"/>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all named executives other than Mr. Ennen, amounts for 2000 include $500 in Company matching contributions under a "401(k)" savings plan that is open to substantially all of the Company's employees and officers who have met certain service and age requirements.</w:t>
      </w:r>
    </w:p>
    <w:p>
      <w:pPr>
        <w:spacing w:after="0" w:line="207" w:lineRule="exact"/>
        <w:rPr>
          <w:rFonts w:ascii="Courier New" w:cs="Courier New" w:eastAsia="Courier New" w:hAnsi="Courier New"/>
          <w:sz w:val="18"/>
          <w:szCs w:val="18"/>
          <w:color w:val="auto"/>
        </w:rPr>
      </w:pPr>
    </w:p>
    <w:p>
      <w:pPr>
        <w:ind w:left="540" w:right="2540" w:hanging="532"/>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Amounts reported for 2000 include $523, $5,237, $270, $133 and $140 in premiums paid by the Company for supplemental life insurance for the benefit of Messrs. Baty, Ennen, Gentry, Dyckman and Sams.</w:t>
      </w:r>
    </w:p>
    <w:p>
      <w:pPr>
        <w:spacing w:after="0" w:line="208" w:lineRule="exact"/>
        <w:rPr>
          <w:rFonts w:ascii="Courier New" w:cs="Courier New" w:eastAsia="Courier New" w:hAnsi="Courier New"/>
          <w:sz w:val="18"/>
          <w:szCs w:val="18"/>
          <w:color w:val="auto"/>
        </w:rPr>
      </w:pPr>
    </w:p>
    <w:p>
      <w:pPr>
        <w:jc w:val="both"/>
        <w:ind w:left="540" w:right="2000" w:hanging="532"/>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amount for 2000 includes of $36,983 in premiums paid by the Company on a $1,200,000 life insurance policy for Mr. Ennen, the proceeds of which are payable to his named beneficiaries.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440"/>
          </w:cols>
          <w:pgMar w:left="240" w:top="136" w:right="1219" w:bottom="1440" w:gutter="0" w:footer="0" w:header="0"/>
        </w:sectPr>
      </w:pPr>
    </w:p>
    <w:bookmarkStart w:id="13" w:name="page14"/>
    <w:bookmarkEnd w:id="13"/>
    <w:p>
      <w:pPr>
        <w:jc w:val="center"/>
        <w:ind w:right="2840"/>
        <w:spacing w:after="0"/>
        <w:rPr>
          <w:sz w:val="20"/>
          <w:szCs w:val="20"/>
          <w:color w:val="auto"/>
        </w:rPr>
      </w:pPr>
      <w:r>
        <w:rPr>
          <w:rFonts w:ascii="Courier New" w:cs="Courier New" w:eastAsia="Courier New" w:hAnsi="Courier New"/>
          <w:sz w:val="18"/>
          <w:szCs w:val="18"/>
          <w:color w:val="auto"/>
        </w:rPr>
        <w:t>OPTION GRANTS IN FISCAL YEAR 2000</w:t>
      </w:r>
    </w:p>
    <w:p>
      <w:pPr>
        <w:spacing w:after="0" w:line="207" w:lineRule="exact"/>
        <w:rPr>
          <w:sz w:val="20"/>
          <w:szCs w:val="20"/>
          <w:color w:val="auto"/>
        </w:rPr>
      </w:pPr>
    </w:p>
    <w:p>
      <w:pPr>
        <w:ind w:right="3580" w:firstLine="843"/>
        <w:spacing w:after="0" w:line="236" w:lineRule="auto"/>
        <w:rPr>
          <w:sz w:val="20"/>
          <w:szCs w:val="20"/>
          <w:color w:val="auto"/>
        </w:rPr>
      </w:pPr>
      <w:r>
        <w:rPr>
          <w:rFonts w:ascii="Courier New" w:cs="Courier New" w:eastAsia="Courier New" w:hAnsi="Courier New"/>
          <w:sz w:val="18"/>
          <w:szCs w:val="18"/>
          <w:color w:val="auto"/>
        </w:rPr>
        <w:t>The following table sets forth information with respect to options granted during fiscal 2000 to Executive Officers named in the Summary Compensation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center"/>
              <w:ind w:left="72"/>
              <w:spacing w:after="0"/>
              <w:rPr>
                <w:sz w:val="20"/>
                <w:szCs w:val="20"/>
                <w:color w:val="auto"/>
              </w:rPr>
            </w:pPr>
            <w:r>
              <w:rPr>
                <w:rFonts w:ascii="Courier New" w:cs="Courier New" w:eastAsia="Courier New" w:hAnsi="Courier New"/>
                <w:sz w:val="18"/>
                <w:szCs w:val="18"/>
                <w:color w:val="auto"/>
                <w:w w:val="98"/>
              </w:rPr>
              <w:t>Potential Realizable</w:t>
            </w:r>
          </w:p>
        </w:tc>
      </w:tr>
      <w:tr>
        <w:trPr>
          <w:trHeight w:val="203"/>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Value At Assumed</w:t>
            </w:r>
          </w:p>
        </w:tc>
      </w:tr>
      <w:tr>
        <w:trPr>
          <w:trHeight w:val="203"/>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Individual Grants</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Annual Rates Of Stock</w:t>
            </w:r>
          </w:p>
        </w:tc>
      </w:tr>
      <w:tr>
        <w:trPr>
          <w:trHeight w:val="203"/>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center"/>
              <w:ind w:left="72"/>
              <w:spacing w:after="0" w:line="203" w:lineRule="exact"/>
              <w:rPr>
                <w:sz w:val="20"/>
                <w:szCs w:val="20"/>
                <w:color w:val="auto"/>
              </w:rPr>
            </w:pPr>
            <w:r>
              <w:rPr>
                <w:rFonts w:ascii="Courier New" w:cs="Courier New" w:eastAsia="Courier New" w:hAnsi="Courier New"/>
                <w:sz w:val="18"/>
                <w:szCs w:val="18"/>
                <w:color w:val="auto"/>
                <w:w w:val="96"/>
              </w:rPr>
              <w:t>Price Appreciation</w:t>
            </w:r>
          </w:p>
        </w:tc>
      </w:tr>
      <w:tr>
        <w:trPr>
          <w:trHeight w:val="203"/>
        </w:trPr>
        <w:tc>
          <w:tcPr>
            <w:tcW w:w="2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For Option Term (2)</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Shares</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Of Total</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Underlying</w:t>
            </w:r>
          </w:p>
        </w:tc>
        <w:tc>
          <w:tcPr>
            <w:tcW w:w="2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Options Granted</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Exercise</w:t>
            </w: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Options</w:t>
            </w:r>
          </w:p>
        </w:tc>
        <w:tc>
          <w:tcPr>
            <w:tcW w:w="2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 Employees in</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Price Per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Expiration</w:t>
            </w: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Name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Granted (#)</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Fiscal 2000</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 (1)</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10%</w:t>
            </w:r>
          </w:p>
        </w:tc>
      </w:tr>
      <w:tr>
        <w:trPr>
          <w:trHeight w:val="203"/>
        </w:trPr>
        <w:tc>
          <w:tcPr>
            <w:tcW w:w="21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Roderick R. Baty</w:t>
            </w:r>
          </w:p>
        </w:tc>
        <w:tc>
          <w:tcPr>
            <w:tcW w:w="14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141,300</w:t>
            </w: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25.4%</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$ 7.63</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10/10/10</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$ 678,240</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$2,736,327</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 T. Gentry III</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57,450</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$ 7.63</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10/10/10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$ 275,760</w:t>
            </w:r>
          </w:p>
        </w:tc>
        <w:tc>
          <w:tcPr>
            <w:tcW w:w="12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$ 698,592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Dyckman</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32,950</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$ 7.63</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10/10/10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$ 158,160</w:t>
            </w:r>
          </w:p>
        </w:tc>
        <w:tc>
          <w:tcPr>
            <w:tcW w:w="12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$ 400,672</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R. Sams</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32,400</w:t>
            </w:r>
          </w:p>
        </w:tc>
        <w:tc>
          <w:tcPr>
            <w:tcW w:w="2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$ 7.63</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10/10/10</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$ 155,520</w:t>
            </w:r>
          </w:p>
        </w:tc>
        <w:tc>
          <w:tcPr>
            <w:tcW w:w="12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6"/>
              </w:rPr>
              <w:t>$ 393,984</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940" w:hanging="532"/>
        <w:spacing w:after="0" w:line="237"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is based on the Fair Market Value at the date of the grant of the option. The options have various vesting periods, ranging from one to three years, and the options terminate ten years from the date of grant, subject to earlier termination in certain conditions. The exercisability of the options is accelerated in the event of a change of control (as defined in the option agreements).</w:t>
      </w:r>
    </w:p>
    <w:p>
      <w:pPr>
        <w:spacing w:after="0" w:line="209" w:lineRule="exact"/>
        <w:rPr>
          <w:rFonts w:ascii="Courier New" w:cs="Courier New" w:eastAsia="Courier New" w:hAnsi="Courier New"/>
          <w:sz w:val="18"/>
          <w:szCs w:val="18"/>
          <w:color w:val="auto"/>
        </w:rPr>
      </w:pPr>
    </w:p>
    <w:p>
      <w:pPr>
        <w:ind w:left="540" w:right="3160" w:hanging="532"/>
        <w:spacing w:after="0" w:line="237"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amounts shown as potential realizable values are based on assumed annualized rates of appreciation in the price of Common Stock of five percent and ten percent over the term of the options, as set forth in the rules of the Securities and Exchange Commission. Actual gains, if any, on stock option exercises are dependent upon the future performance of the Common Stock. There can be no assurance that the potential realizable values reflected in this table will be achieved.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4120" w:type="dxa"/>
            <w:vAlign w:val="bottom"/>
            <w:gridSpan w:val="3"/>
          </w:tcPr>
          <w:p>
            <w:pPr>
              <w:jc w:val="right"/>
              <w:ind w:right="492"/>
              <w:spacing w:after="0"/>
              <w:rPr>
                <w:sz w:val="20"/>
                <w:szCs w:val="20"/>
                <w:color w:val="auto"/>
              </w:rPr>
            </w:pPr>
            <w:r>
              <w:rPr>
                <w:rFonts w:ascii="Courier New" w:cs="Courier New" w:eastAsia="Courier New" w:hAnsi="Courier New"/>
                <w:sz w:val="18"/>
                <w:szCs w:val="18"/>
                <w:color w:val="auto"/>
              </w:rPr>
              <w:t>TEN YEAR OPTION REPRICING</w:t>
            </w:r>
          </w:p>
        </w:tc>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810"/>
        </w:trPr>
        <w:tc>
          <w:tcPr>
            <w:tcW w:w="2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Number of</w:t>
            </w:r>
          </w:p>
        </w:tc>
        <w:tc>
          <w:tcPr>
            <w:tcW w:w="2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3"/>
        </w:trPr>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Securities</w:t>
            </w:r>
          </w:p>
        </w:tc>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Length Of</w:t>
            </w:r>
          </w:p>
        </w:tc>
      </w:tr>
      <w:tr>
        <w:trPr>
          <w:trHeight w:val="203"/>
        </w:trPr>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Number Of</w:t>
            </w: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Underlying</w:t>
            </w:r>
          </w:p>
        </w:tc>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Original</w:t>
            </w:r>
          </w:p>
        </w:tc>
      </w:tr>
      <w:tr>
        <w:trPr>
          <w:trHeight w:val="203"/>
        </w:trPr>
        <w:tc>
          <w:tcPr>
            <w:tcW w:w="2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Securities</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Options/SARS</w:t>
            </w:r>
          </w:p>
        </w:tc>
        <w:tc>
          <w:tcPr>
            <w:tcW w:w="2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Option Term</w:t>
            </w:r>
          </w:p>
        </w:tc>
      </w:tr>
      <w:tr>
        <w:trPr>
          <w:trHeight w:val="203"/>
        </w:trPr>
        <w:tc>
          <w:tcPr>
            <w:tcW w:w="2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Name</w:t>
            </w:r>
          </w:p>
        </w:tc>
        <w:tc>
          <w:tcPr>
            <w:tcW w:w="1220" w:type="dxa"/>
            <w:vAlign w:val="bottom"/>
          </w:tcPr>
          <w:p>
            <w:pPr>
              <w:spacing w:after="0"/>
              <w:rPr>
                <w:sz w:val="17"/>
                <w:szCs w:val="17"/>
                <w:color w:val="auto"/>
              </w:rPr>
            </w:pP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Underlying</w:t>
            </w: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Repriced</w:t>
            </w:r>
          </w:p>
        </w:tc>
        <w:tc>
          <w:tcPr>
            <w:tcW w:w="226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Exercise Price At</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New</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Remaining At</w:t>
            </w:r>
          </w:p>
        </w:tc>
      </w:tr>
      <w:tr>
        <w:trPr>
          <w:trHeight w:val="203"/>
        </w:trPr>
        <w:tc>
          <w:tcPr>
            <w:tcW w:w="2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Date Of</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Surrendered</w:t>
            </w: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Or Amended</w:t>
            </w:r>
          </w:p>
        </w:tc>
        <w:tc>
          <w:tcPr>
            <w:tcW w:w="226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Time Of Repricing</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Exercise</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 Of</w:t>
            </w:r>
          </w:p>
        </w:tc>
      </w:tr>
      <w:tr>
        <w:trPr>
          <w:trHeight w:val="203"/>
        </w:trPr>
        <w:tc>
          <w:tcPr>
            <w:tcW w:w="206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Repricing</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Options (#)</w:t>
            </w: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(#)(1)</w:t>
            </w:r>
          </w:p>
        </w:tc>
        <w:tc>
          <w:tcPr>
            <w:tcW w:w="226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Or Amendment ($)(2)</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Price ($)</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Repricing(3)</w:t>
            </w:r>
          </w:p>
        </w:tc>
      </w:tr>
      <w:tr>
        <w:trPr>
          <w:trHeight w:val="203"/>
        </w:trPr>
        <w:tc>
          <w:tcPr>
            <w:tcW w:w="20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w:t>
            </w:r>
          </w:p>
        </w:tc>
        <w:tc>
          <w:tcPr>
            <w:tcW w:w="2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60" w:type="dxa"/>
            <w:vAlign w:val="bottom"/>
          </w:tcPr>
          <w:p>
            <w:pPr>
              <w:spacing w:after="0"/>
              <w:rPr>
                <w:sz w:val="20"/>
                <w:szCs w:val="20"/>
                <w:color w:val="auto"/>
              </w:rPr>
            </w:pPr>
            <w:r>
              <w:rPr>
                <w:rFonts w:ascii="Courier New" w:cs="Courier New" w:eastAsia="Courier New" w:hAnsi="Courier New"/>
                <w:sz w:val="18"/>
                <w:szCs w:val="18"/>
                <w:color w:val="auto"/>
              </w:rPr>
              <w:t>Roderick R. Baty</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150,000</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60,000</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$11.92</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$5.94</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72 months</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Frank T Gentry III</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39,750</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15,900</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$9.39 - $15.50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$5.94</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79 - 84 months</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David L. Dyckman</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20,000</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8,000</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$11.25</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$5.94</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105 months</w:t>
            </w: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Robert R. Sams</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1/5/00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14,000</w:t>
            </w:r>
          </w:p>
        </w:tc>
        <w:tc>
          <w:tcPr>
            <w:tcW w:w="14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5,600</w:t>
            </w:r>
          </w:p>
        </w:tc>
        <w:tc>
          <w:tcPr>
            <w:tcW w:w="2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$12.50 - $15.50</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$5.94</w:t>
            </w:r>
          </w:p>
        </w:tc>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rPr>
              <w:t>84 - 96 months</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3260" w:hanging="632"/>
        <w:spacing w:after="0" w:line="237"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number of shares subject to replacement stock options. In exchange for options representing 89,500 shares issued on July 4, 1999, the Named Executive Officers collectively surrendered stock options representing a total of 223,750 shares on January 5, 2001.</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exercise price of surrendered stock options.</w:t>
      </w:r>
    </w:p>
    <w:p>
      <w:pPr>
        <w:spacing w:after="0" w:line="206" w:lineRule="exact"/>
        <w:rPr>
          <w:rFonts w:ascii="Courier New" w:cs="Courier New" w:eastAsia="Courier New" w:hAnsi="Courier New"/>
          <w:sz w:val="18"/>
          <w:szCs w:val="18"/>
          <w:color w:val="auto"/>
        </w:rPr>
      </w:pPr>
    </w:p>
    <w:p>
      <w:pPr>
        <w:ind w:left="640" w:right="3040" w:hanging="632"/>
        <w:spacing w:after="0" w:line="236"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remaining term of surrendered stock options. The replacement stock options vest and are exercisable in one year and have a term of ten years from the grant date of the replacement stock option.</w:t>
      </w:r>
    </w:p>
    <w:p>
      <w:pPr>
        <w:sectPr>
          <w:pgSz w:w="11900" w:h="16838" w:orient="portrait"/>
          <w:cols w:equalWidth="0" w:num="1">
            <w:col w:w="11380"/>
          </w:cols>
          <w:pgMar w:left="240" w:top="717" w:right="279" w:bottom="0" w:gutter="0" w:footer="0" w:header="0"/>
        </w:sectPr>
      </w:pPr>
    </w:p>
    <w:bookmarkStart w:id="14" w:name="page15"/>
    <w:bookmarkEnd w:id="14"/>
    <w:p>
      <w:pPr>
        <w:ind w:left="29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344" w:right="1440" w:bottom="1440" w:gutter="0" w:footer="0" w:header="0"/>
        </w:sectPr>
      </w:pPr>
    </w:p>
    <w:bookmarkStart w:id="15" w:name="page16"/>
    <w:bookmarkEnd w:id="15"/>
    <w:p>
      <w:pPr>
        <w:ind w:left="2440"/>
        <w:spacing w:after="0"/>
        <w:rPr>
          <w:sz w:val="20"/>
          <w:szCs w:val="20"/>
          <w:color w:val="auto"/>
        </w:rPr>
      </w:pPr>
      <w:r>
        <w:rPr>
          <w:rFonts w:ascii="Courier New" w:cs="Courier New" w:eastAsia="Courier New" w:hAnsi="Courier New"/>
          <w:sz w:val="18"/>
          <w:szCs w:val="18"/>
          <w:color w:val="auto"/>
        </w:rPr>
        <w:t>AGGREGATED OPTION EXERCISES IN 2000</w:t>
      </w:r>
    </w:p>
    <w:p>
      <w:pPr>
        <w:ind w:left="2860"/>
        <w:spacing w:after="0" w:line="238" w:lineRule="auto"/>
        <w:rPr>
          <w:sz w:val="20"/>
          <w:szCs w:val="20"/>
          <w:color w:val="auto"/>
        </w:rPr>
      </w:pPr>
      <w:r>
        <w:rPr>
          <w:rFonts w:ascii="Courier New" w:cs="Courier New" w:eastAsia="Courier New" w:hAnsi="Courier New"/>
          <w:sz w:val="18"/>
          <w:szCs w:val="18"/>
          <w:color w:val="auto"/>
        </w:rPr>
        <w:t>AND YEAR-END OPTION VALUES</w:t>
      </w:r>
    </w:p>
    <w:p>
      <w:pPr>
        <w:spacing w:after="0" w:line="207" w:lineRule="exact"/>
        <w:rPr>
          <w:sz w:val="20"/>
          <w:szCs w:val="20"/>
          <w:color w:val="auto"/>
        </w:rPr>
      </w:pPr>
    </w:p>
    <w:p>
      <w:pPr>
        <w:ind w:right="2640" w:firstLine="843"/>
        <w:spacing w:after="0" w:line="237" w:lineRule="auto"/>
        <w:rPr>
          <w:sz w:val="20"/>
          <w:szCs w:val="20"/>
          <w:color w:val="auto"/>
        </w:rPr>
      </w:pPr>
      <w:r>
        <w:rPr>
          <w:rFonts w:ascii="Courier New" w:cs="Courier New" w:eastAsia="Courier New" w:hAnsi="Courier New"/>
          <w:sz w:val="18"/>
          <w:szCs w:val="18"/>
          <w:color w:val="auto"/>
        </w:rPr>
        <w:t>The following table sets forth certain information concerning stock option exercises during 2000 and option values at year-end, with respect to stock options granted to the executive officers named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Number of Unexercised</w:t>
            </w:r>
          </w:p>
        </w:tc>
        <w:tc>
          <w:tcPr>
            <w:tcW w:w="2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Options</w:t>
            </w:r>
          </w:p>
        </w:tc>
      </w:tr>
      <w:tr>
        <w:trPr>
          <w:trHeight w:val="203"/>
        </w:trPr>
        <w:tc>
          <w:tcPr>
            <w:tcW w:w="2580" w:type="dxa"/>
            <w:vAlign w:val="bottom"/>
          </w:tcPr>
          <w:p>
            <w:pPr>
              <w:spacing w:after="0"/>
              <w:rPr>
                <w:sz w:val="17"/>
                <w:szCs w:val="17"/>
                <w:color w:val="auto"/>
              </w:rPr>
            </w:pPr>
          </w:p>
        </w:tc>
        <w:tc>
          <w:tcPr>
            <w:tcW w:w="206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60" w:type="dxa"/>
            <w:vAlign w:val="bottom"/>
          </w:tcPr>
          <w:p>
            <w:pPr>
              <w:spacing w:after="0"/>
              <w:rPr>
                <w:sz w:val="17"/>
                <w:szCs w:val="17"/>
                <w:color w:val="auto"/>
              </w:rPr>
            </w:pPr>
          </w:p>
        </w:tc>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Options at Year-End (#)</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 Year-End ($)(1)</w:t>
            </w:r>
          </w:p>
        </w:tc>
      </w:tr>
      <w:tr>
        <w:trPr>
          <w:trHeight w:val="203"/>
        </w:trPr>
        <w:tc>
          <w:tcPr>
            <w:tcW w:w="2580" w:type="dxa"/>
            <w:vAlign w:val="bottom"/>
          </w:tcPr>
          <w:p>
            <w:pPr>
              <w:spacing w:after="0"/>
              <w:rPr>
                <w:sz w:val="17"/>
                <w:szCs w:val="17"/>
                <w:color w:val="auto"/>
              </w:rPr>
            </w:pP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7"/>
              </w:rPr>
              <w:t>Acquired on</w:t>
            </w:r>
          </w:p>
        </w:tc>
        <w:tc>
          <w:tcPr>
            <w:tcW w:w="126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Value</w:t>
            </w:r>
          </w:p>
        </w:tc>
        <w:tc>
          <w:tcPr>
            <w:tcW w:w="26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Exercisable/</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06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Exercise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Realized ($)</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Unexercisable</w:t>
            </w:r>
          </w:p>
        </w:tc>
        <w:tc>
          <w:tcPr>
            <w:tcW w:w="2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Unexercisable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Roderick R. Baty</w:t>
            </w:r>
          </w:p>
        </w:tc>
        <w:tc>
          <w:tcPr>
            <w:tcW w:w="206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2"/>
              </w:rPr>
              <w:t>0</w:t>
            </w:r>
          </w:p>
        </w:tc>
        <w:tc>
          <w:tcPr>
            <w:tcW w:w="126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2"/>
              </w:rPr>
              <w:t>-</w:t>
            </w:r>
          </w:p>
        </w:tc>
        <w:tc>
          <w:tcPr>
            <w:tcW w:w="26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68,333/157,967</w:t>
            </w:r>
          </w:p>
        </w:tc>
        <w:tc>
          <w:tcPr>
            <w:tcW w:w="200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226,183/$284,074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D. Ennen</w:t>
            </w:r>
          </w:p>
        </w:tc>
        <w:tc>
          <w:tcPr>
            <w:tcW w:w="20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0</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26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 T. Gentry III</w:t>
            </w:r>
          </w:p>
        </w:tc>
        <w:tc>
          <w:tcPr>
            <w:tcW w:w="20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0</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2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15,900/57,450</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52,692/$93,069</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Dyckman</w:t>
            </w:r>
          </w:p>
        </w:tc>
        <w:tc>
          <w:tcPr>
            <w:tcW w:w="20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0</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2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13,999/59,951</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42,817/$127,542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 T. Sams</w:t>
            </w:r>
          </w:p>
        </w:tc>
        <w:tc>
          <w:tcPr>
            <w:tcW w:w="206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0</w:t>
            </w:r>
          </w:p>
        </w:tc>
        <w:tc>
          <w:tcPr>
            <w:tcW w:w="12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2"/>
              </w:rPr>
              <w:t>-</w:t>
            </w:r>
          </w:p>
        </w:tc>
        <w:tc>
          <w:tcPr>
            <w:tcW w:w="26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9,266/39,734</w:t>
            </w:r>
          </w:p>
        </w:tc>
        <w:tc>
          <w:tcPr>
            <w:tcW w:w="2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30,670/$76,764</w:t>
            </w:r>
          </w:p>
        </w:tc>
      </w:tr>
    </w:tbl>
    <w:p>
      <w:pPr>
        <w:spacing w:after="0" w:line="200" w:lineRule="exact"/>
        <w:rPr>
          <w:sz w:val="20"/>
          <w:szCs w:val="20"/>
          <w:color w:val="auto"/>
        </w:rPr>
      </w:pPr>
    </w:p>
    <w:p>
      <w:pPr>
        <w:spacing w:after="0" w:line="209" w:lineRule="exact"/>
        <w:rPr>
          <w:sz w:val="20"/>
          <w:szCs w:val="20"/>
          <w:color w:val="auto"/>
        </w:rPr>
      </w:pPr>
    </w:p>
    <w:p>
      <w:pPr>
        <w:ind w:left="540" w:right="2420" w:hanging="532"/>
        <w:spacing w:after="0" w:line="235"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December 31, 2000, the market price of the Common Stock was $9.25 per share.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 With Mr. Baty</w:t>
      </w:r>
    </w:p>
    <w:p>
      <w:pPr>
        <w:spacing w:after="0" w:line="207"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Mr. Baty has a written agreement to serve as President and Chief Executive Officer until July 31, 2001 which extends automatically for successive one-year terms unless either party gives notice of termination. The Company may terminate the employment of Mr. Baty with or without cause, but if terminated without cause, Mr. Baty would continue to receive his annual salary, paid on a monthly basis, for one year from the date of termination. Mr. Baty has also agreed to a non-competition agreement that ends two years after the conclusion of his employment with the Company.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 With Mr. Gentry</w:t>
      </w:r>
    </w:p>
    <w:p>
      <w:pPr>
        <w:spacing w:after="0" w:line="207" w:lineRule="exact"/>
        <w:rPr>
          <w:sz w:val="20"/>
          <w:szCs w:val="20"/>
          <w:color w:val="auto"/>
        </w:rPr>
      </w:pPr>
    </w:p>
    <w:p>
      <w:pPr>
        <w:ind w:right="2200" w:firstLine="527"/>
        <w:spacing w:after="0" w:line="237" w:lineRule="auto"/>
        <w:rPr>
          <w:sz w:val="20"/>
          <w:szCs w:val="20"/>
          <w:color w:val="auto"/>
        </w:rPr>
      </w:pPr>
      <w:r>
        <w:rPr>
          <w:rFonts w:ascii="Courier New" w:cs="Courier New" w:eastAsia="Courier New" w:hAnsi="Courier New"/>
          <w:sz w:val="18"/>
          <w:szCs w:val="18"/>
          <w:color w:val="auto"/>
        </w:rPr>
        <w:t>Mr. Gentry has a written employment agreement to serve as Vice President - Manufacturing until March 31, 2001 that extends automatically for successive one-year terms unless either party gives notice of termination. The Company may terminate Mr. Gentry's employment with or without cause, but if Mr. Gentry is terminated without cause, he would continue to receive his annual salary, paid on a monthly basis, for one year from the date of termination. Mr. Gentry has also agreed to a non-competition agreement that ends two years after the conclusion of his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BOARD OF DIRECTOR'S AUDIT COMMITTEE</w:t>
      </w:r>
    </w:p>
    <w:p>
      <w:pPr>
        <w:ind w:left="3060"/>
        <w:spacing w:after="0" w:line="238" w:lineRule="auto"/>
        <w:rPr>
          <w:sz w:val="20"/>
          <w:szCs w:val="20"/>
          <w:color w:val="auto"/>
        </w:rPr>
      </w:pPr>
      <w:r>
        <w:rPr>
          <w:rFonts w:ascii="Courier New" w:cs="Courier New" w:eastAsia="Courier New" w:hAnsi="Courier New"/>
          <w:sz w:val="18"/>
          <w:szCs w:val="18"/>
          <w:color w:val="auto"/>
        </w:rPr>
        <w:t>REPORT TO SHAREHOLDERS</w:t>
      </w:r>
    </w:p>
    <w:p>
      <w:pPr>
        <w:spacing w:after="0" w:line="207" w:lineRule="exact"/>
        <w:rPr>
          <w:sz w:val="20"/>
          <w:szCs w:val="20"/>
          <w:color w:val="auto"/>
        </w:rPr>
      </w:pPr>
    </w:p>
    <w:p>
      <w:pPr>
        <w:ind w:right="2100" w:firstLine="527"/>
        <w:spacing w:after="0" w:line="237" w:lineRule="auto"/>
        <w:rPr>
          <w:sz w:val="20"/>
          <w:szCs w:val="20"/>
          <w:color w:val="auto"/>
        </w:rPr>
      </w:pPr>
      <w:r>
        <w:rPr>
          <w:rFonts w:ascii="Courier New" w:cs="Courier New" w:eastAsia="Courier New" w:hAnsi="Courier New"/>
          <w:sz w:val="18"/>
          <w:szCs w:val="18"/>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independent auditors have responsibility for the examination of those statements. Each of the members of the Audit Committee meets the independence requirements of the NASDAQ Stock Market.</w:t>
      </w:r>
    </w:p>
    <w:p>
      <w:pPr>
        <w:spacing w:after="0" w:line="212" w:lineRule="exact"/>
        <w:rPr>
          <w:sz w:val="20"/>
          <w:szCs w:val="20"/>
          <w:color w:val="auto"/>
        </w:rPr>
      </w:pPr>
    </w:p>
    <w:p>
      <w:pPr>
        <w:ind w:right="3060" w:firstLine="527"/>
        <w:spacing w:after="0" w:line="279" w:lineRule="auto"/>
        <w:rPr>
          <w:sz w:val="20"/>
          <w:szCs w:val="20"/>
          <w:color w:val="auto"/>
        </w:rPr>
      </w:pPr>
      <w:r>
        <w:rPr>
          <w:rFonts w:ascii="Courier New" w:cs="Courier New" w:eastAsia="Courier New" w:hAnsi="Courier New"/>
          <w:sz w:val="16"/>
          <w:szCs w:val="16"/>
          <w:color w:val="auto"/>
        </w:rPr>
        <w:t>The Audit Committee has reviewed and discussed with the Company's management and KPMG LLP, the Company's independent auditor, the audited financial statements of the Company for 2000; has discussed with</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540"/>
          </w:cols>
          <w:pgMar w:left="240" w:top="919" w:right="1119" w:bottom="1440" w:gutter="0" w:footer="0" w:header="0"/>
        </w:sectPr>
      </w:pPr>
    </w:p>
    <w:bookmarkStart w:id="16" w:name="page17"/>
    <w:bookmarkEnd w:id="16"/>
    <w:p>
      <w:pPr>
        <w:ind w:right="1779"/>
        <w:spacing w:after="0" w:line="237" w:lineRule="auto"/>
        <w:rPr>
          <w:sz w:val="20"/>
          <w:szCs w:val="20"/>
          <w:color w:val="auto"/>
        </w:rPr>
      </w:pPr>
      <w:r>
        <w:rPr>
          <w:rFonts w:ascii="Courier New" w:cs="Courier New" w:eastAsia="Courier New" w:hAnsi="Courier New"/>
          <w:sz w:val="18"/>
          <w:szCs w:val="18"/>
          <w:color w:val="auto"/>
        </w:rPr>
        <w:t>KPMG LLP matters required to be discussed by Statement on Auditing Standards No. 61; has received from the independent auditors the written disclosures and letter required by Independence Standards No. 1; and has discussed with the independent auditor the auditor's independence, including whether KPMG LLP's provision of non-audit services to the Company was compatible with maintaining KPMG LLP's independence. Based on the review and discussions described above, the Audit Committee recommended to the Company's Board of Directors that the financial statements be included in the Company's Annual Report on Form 10-K for the fiscal year ended December 31, 2000 for filing with the Securities and Exchange Commission.</w:t>
      </w:r>
    </w:p>
    <w:p>
      <w:pPr>
        <w:spacing w:after="0" w:line="215"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On June 5, 2000, the Audit Committee presented to the Board, and the Board adopted, a written charter for the Audit Committee. A copy of the Company's current Audit Committee charter is attached to this Proxy Statement as Exhibit A.</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Michael D. Huff</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Michael E. Werner</w:t>
      </w:r>
    </w:p>
    <w:p>
      <w:pPr>
        <w:jc w:val="center"/>
        <w:ind w:right="1659"/>
        <w:spacing w:after="0"/>
        <w:rPr>
          <w:sz w:val="20"/>
          <w:szCs w:val="20"/>
          <w:color w:val="auto"/>
        </w:rPr>
      </w:pPr>
      <w:r>
        <w:rPr>
          <w:rFonts w:ascii="Courier New" w:cs="Courier New" w:eastAsia="Courier New" w:hAnsi="Courier New"/>
          <w:sz w:val="18"/>
          <w:szCs w:val="18"/>
          <w:color w:val="auto"/>
        </w:rPr>
        <w:t>Steven T. Warshaw</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FEES PAID TO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billed to the Company by KPMG LLP may be summarized as follows:</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Audit Fees. Audit fees billed or expected to be billed to the Company by KPMG LLP for review of the Company's annual financial statements and those financial statements included in the Company's quarterly reports on Form 10-Q should total approximately $177,800.</w:t>
      </w:r>
    </w:p>
    <w:p>
      <w:pPr>
        <w:spacing w:after="0" w:line="207" w:lineRule="exact"/>
        <w:rPr>
          <w:sz w:val="20"/>
          <w:szCs w:val="20"/>
          <w:color w:val="auto"/>
        </w:rPr>
      </w:pPr>
    </w:p>
    <w:p>
      <w:pPr>
        <w:ind w:right="2419" w:firstLine="632"/>
        <w:spacing w:after="0" w:line="290" w:lineRule="auto"/>
        <w:rPr>
          <w:sz w:val="20"/>
          <w:szCs w:val="20"/>
          <w:color w:val="auto"/>
        </w:rPr>
      </w:pPr>
      <w:r>
        <w:rPr>
          <w:rFonts w:ascii="Courier New" w:cs="Courier New" w:eastAsia="Courier New" w:hAnsi="Courier New"/>
          <w:sz w:val="16"/>
          <w:szCs w:val="16"/>
          <w:color w:val="auto"/>
        </w:rPr>
        <w:t>Financial Design and Implementation. The Company did not engage KPMG during 2000 to provide service regarding financial information systems.</w:t>
      </w:r>
    </w:p>
    <w:p>
      <w:pPr>
        <w:spacing w:after="0" w:line="170"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All Other Fees. Non-audit fees billed to the Company by KPMG LLP for other non-audit related work performed in 2000 approximated $24,500 which included billings for tax consulting.</w:t>
      </w: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REPORT OF THE COMPENSATION COMMITTEE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Compensation Committee of the Board of Directors is responsible for the oversight of the Company's compensation policies. The membership of the Compensation Committee during 2000 consisted of G. Ronald Morris, Michael E. Werner, Steven T. Warshaw and James L. Earsley. The report of the Committee on executive officer compensation for 2000 is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Principles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goal of the Company is to structure its compensation arrangements for executive officers in a manner that will promote the Company's profitability and enhance stockholder value. In designing its compensation arrangements to achieve this goal, the Company is guided by the following objectives:</w:t>
      </w:r>
    </w:p>
    <w:p>
      <w:pPr>
        <w:spacing w:after="0" w:line="207" w:lineRule="exact"/>
        <w:rPr>
          <w:sz w:val="20"/>
          <w:szCs w:val="20"/>
          <w:color w:val="auto"/>
        </w:rPr>
      </w:pPr>
    </w:p>
    <w:p>
      <w:pPr>
        <w:ind w:left="1060" w:right="2099" w:hanging="525"/>
        <w:spacing w:after="0" w:line="235"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attracting and retaining qualified and dedicated executives who are essential to the long-term success of the Company;</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providing compensation packages that are competitive with the compensation arrangements offered by comparable companies, including the Company's competitors;</w:t>
      </w:r>
    </w:p>
    <w:p>
      <w:pPr>
        <w:spacing w:after="0" w:line="208" w:lineRule="exact"/>
        <w:rPr>
          <w:rFonts w:ascii="Courier New" w:cs="Courier New" w:eastAsia="Courier New" w:hAnsi="Courier New"/>
          <w:sz w:val="18"/>
          <w:szCs w:val="18"/>
          <w:color w:val="auto"/>
        </w:rPr>
      </w:pPr>
    </w:p>
    <w:p>
      <w:pPr>
        <w:ind w:left="1060" w:right="1879" w:hanging="525"/>
        <w:spacing w:after="0" w:line="235" w:lineRule="auto"/>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tying a significant portion of an executive officer's compensation to the Company's and the individual's performance; and</w:t>
      </w:r>
    </w:p>
    <w:p>
      <w:pPr>
        <w:spacing w:after="0" w:line="208" w:lineRule="exact"/>
        <w:rPr>
          <w:rFonts w:ascii="Courier New" w:cs="Courier New" w:eastAsia="Courier New" w:hAnsi="Courier New"/>
          <w:sz w:val="18"/>
          <w:szCs w:val="18"/>
          <w:color w:val="auto"/>
        </w:rPr>
      </w:pPr>
    </w:p>
    <w:p>
      <w:pPr>
        <w:ind w:left="1060" w:right="2099" w:hanging="525"/>
        <w:spacing w:after="0" w:line="290" w:lineRule="auto"/>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aligning the interests of management with the interests of the stockholders through stock-based compensation arrangements.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7" w:name="page18"/>
    <w:bookmarkEnd w:id="17"/>
    <w:p>
      <w:pPr>
        <w:ind w:right="1879"/>
        <w:spacing w:after="0" w:line="236" w:lineRule="auto"/>
        <w:rPr>
          <w:sz w:val="20"/>
          <w:szCs w:val="20"/>
          <w:color w:val="auto"/>
        </w:rPr>
      </w:pPr>
      <w:r>
        <w:rPr>
          <w:rFonts w:ascii="Courier New" w:cs="Courier New" w:eastAsia="Courier New" w:hAnsi="Courier New"/>
          <w:sz w:val="18"/>
          <w:szCs w:val="18"/>
          <w:color w:val="auto"/>
        </w:rPr>
        <w:t>In 2000, the components of the Company's executive compensation arrangements consisted of salary, cash bonuses and stock option awards pursuant to the Stock Incentive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a general matter, the Company believes that the interests of the Company and its stockholders are best served by maintaining a flexible approach to executive compensation. In this regard, the Company tends to rely on subjective criteria rather than a preestablished formula. The Committee currently is considering, however, the implementation of a more formal compensation structure whereby, for example, specific salary ranges would be prescribed for particular positions within the Company and bonus awards would be tied to preestablished criteria.</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2000, the Compensation Committee requested that Mr. Ennen, the Chairman of the Company, and Mr. Baty, the Chief Executive Officer of the Company, make recommendations as to the appropriate salary and number of stock options, if any, to be granted to each of the Company's executive officers. The Compensation Committee, following due consideration, adopted substantially all such recommendations. The Committee delegated authority to Mr. Baty to set the annual bonus amounts for each of the executive officers of the Company, other than Mr. Ennen and himself, without further formal approval by the Committee.</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Salary. The salary level for the Company's executive officers generally is determined biannually. A base salary level is established for each executive officer by reference to salaries historically paid by the Company to its executive officers and to salaries paid to executive officers holding comparable positions with comparable companies in the Company's geographic region. From time to time the Company also consults published reports that compile salary and bonus information for small-to-medium sized companies (some but not all of which may be companies that comprise the Value Line Machinery Industry Stock Index the performance of which are presented in the "Stock Performance Graph"). The Company typically targets its base salary levels approximately at the midpoint of the competitive salary range. The target levels are then adjusted based on a number of subjective factors, including the executive's scope of responsibility and individual performance, and to maintain equity within the Company's overall salary structure.</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Annual Bonus. Decisions regarding bonuses to executives are made annually. As with the Company's other compensation practices, the receipt of a bonus is dependent, for the most part, upon a subjective evaluation of corporate performance and of the contribution of the particular individual to the attainment of such performance.</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bonuses paid to the named executive officers for 2000 are set forth in the Summary Compensation Table. The most significant considerations underlying the award of bonuses for 2000 were continued improvement in the quality of the Company's products and services and the Company's continued profitability.</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Stock Incentive Plan. Prior to its initial public offering in 1994, the Company adopted the Stock Incentive Plan under which 1,125,000 shares of the Company's Common Stock have been reserved for issuance to executive officers and other key employees, as determined by the Compensation Committee. The Stock Incentive Plan was amended at the 1999 Annual Meeting by an affirmative vote of the holders of a majority of the outstanding shares of the Common Stock to increase the number of shares available for issuance pursuant to awards made under the plan from 1,125,000 to 1,625,000. The Company awarded options to purchase, in the aggregate, 555,750 shares of Common Stock to six of its executive officers and other key employees during 2000. With respect to the options awarded, the Committee determined, on a subjective basis, and based upon the recommendations of Messrs. Ennen and Baty, that such awards were appropriate to reward such officers and other key employees for superior performance and to provide financial incentives for such officers and employees to continue to perform in a superior manner.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Compensation of the Chief Executive Officer</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decisions regarding compensation of its Chief Executive Officer are guided by the same policies and considerations that govern compensation of the Company's other executive officers. Mr. Baty's salary was set at a level that the Committee determined was appropriate in light of the Company's performance.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Compliance with Internal Revenue Code Section 162(m)</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The Company does not anticipate that any compensation paid to its executive officers in 2000 will exceed the limit imposed by Section 162(m).</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 On Option Repricing</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On July 4, 1999, the Compensation Committee of the Board of Directors of the Company authorized the grant of new stock options to officers and employees holding stock options with exercise prices significantly in excess of the then current market price of the Common Stock of the Company. The grant of each replacement stock option was contingent upon the voluntary cancellation by the officer or employee of a previously granted stock option. The replacement stock options have an exercise price equal to the closing price of the stock on the date of the grant but are for a lesser number of shares than the surrendered options. On January 5, 2000, officers and employees of the Company voluntarily cancelled the previously granted stock options. The Named Executive Officers collectively surrendered stock options representing a total of 223,750 shares and collectively received replacement stock options representing a total of 89,500 shares. It was subsequently determined that the cancellation of these shares and the previous grant of shares on July 4, 1999 constituted a repricing of stock options. The Compensation Committee of the Board of Directors authorized the grant of such options, subject to the cancellation of the previously granted stock options, because it considered such action appropriate in order for the options to serve their intended use as incentives.</w:t>
      </w:r>
    </w:p>
    <w:p>
      <w:pPr>
        <w:spacing w:after="0" w:line="200" w:lineRule="exact"/>
        <w:rPr>
          <w:sz w:val="20"/>
          <w:szCs w:val="20"/>
          <w:color w:val="auto"/>
        </w:rPr>
      </w:pPr>
    </w:p>
    <w:p>
      <w:pPr>
        <w:spacing w:after="0" w:line="39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 Ronald Morris</w:t>
      </w:r>
    </w:p>
    <w:p>
      <w:pPr>
        <w:ind w:left="4640"/>
        <w:spacing w:after="0" w:line="238" w:lineRule="auto"/>
        <w:rPr>
          <w:sz w:val="20"/>
          <w:szCs w:val="20"/>
          <w:color w:val="auto"/>
        </w:rPr>
      </w:pPr>
      <w:r>
        <w:rPr>
          <w:rFonts w:ascii="Courier New" w:cs="Courier New" w:eastAsia="Courier New" w:hAnsi="Courier New"/>
          <w:sz w:val="18"/>
          <w:szCs w:val="18"/>
          <w:color w:val="auto"/>
        </w:rPr>
        <w:t>Michael E. Werner</w:t>
      </w:r>
    </w:p>
    <w:p>
      <w:pPr>
        <w:ind w:left="4640"/>
        <w:spacing w:after="0"/>
        <w:rPr>
          <w:sz w:val="20"/>
          <w:szCs w:val="20"/>
          <w:color w:val="auto"/>
        </w:rPr>
      </w:pPr>
      <w:r>
        <w:rPr>
          <w:rFonts w:ascii="Courier New" w:cs="Courier New" w:eastAsia="Courier New" w:hAnsi="Courier New"/>
          <w:sz w:val="18"/>
          <w:szCs w:val="18"/>
          <w:color w:val="auto"/>
        </w:rPr>
        <w:t>Steven T. Warshaw</w:t>
      </w:r>
    </w:p>
    <w:p>
      <w:pPr>
        <w:ind w:left="4640"/>
        <w:spacing w:after="0" w:line="237" w:lineRule="auto"/>
        <w:rPr>
          <w:sz w:val="20"/>
          <w:szCs w:val="20"/>
          <w:color w:val="auto"/>
        </w:rPr>
      </w:pPr>
      <w:r>
        <w:rPr>
          <w:rFonts w:ascii="Courier New" w:cs="Courier New" w:eastAsia="Courier New" w:hAnsi="Courier New"/>
          <w:sz w:val="18"/>
          <w:szCs w:val="18"/>
          <w:color w:val="auto"/>
        </w:rPr>
        <w:t>James L Earsley</w:t>
      </w:r>
    </w:p>
    <w:p>
      <w:pPr>
        <w:sectPr>
          <w:pgSz w:w="11900" w:h="16838" w:orient="portrait"/>
          <w:cols w:equalWidth="0" w:num="1">
            <w:col w:w="10219"/>
          </w:cols>
          <w:pgMar w:left="240" w:top="717" w:right="1440" w:bottom="1440" w:gutter="0" w:footer="0" w:header="0"/>
        </w:sectPr>
      </w:pPr>
    </w:p>
    <w:bookmarkStart w:id="19" w:name="page20"/>
    <w:bookmarkEnd w:id="19"/>
    <w:p>
      <w:pPr>
        <w:ind w:left="3380"/>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2100"/>
        <w:spacing w:after="0" w:line="238" w:lineRule="auto"/>
        <w:rPr>
          <w:sz w:val="20"/>
          <w:szCs w:val="20"/>
          <w:color w:val="auto"/>
        </w:rPr>
      </w:pPr>
      <w:r>
        <w:rPr>
          <w:rFonts w:ascii="Courier New" w:cs="Courier New" w:eastAsia="Courier New" w:hAnsi="Courier New"/>
          <w:sz w:val="18"/>
          <w:szCs w:val="18"/>
          <w:color w:val="auto"/>
        </w:rPr>
        <w:t>The following graph compares the cumulative total stockholder return on the Company's Common Stock (consisting of stock price performance and reinvested dividends) from December 31, 1995 with the cumulative total return (assuming reinvestment of all dividends) of (i) the Value Line Machinery Industry Stock Index and (ii) the Standard &amp; Poor's 500 Stock Index, for the period December 31, 1995 through December 31, 2000. The Value Line Machinery Industry Index is an industry index comprised of 49 companies engaged in manufacturing of machinery and machine parts, a list of which is available from the Company. The comparison assumes $100 was invested in the Company's Common Stock and in each of the foregoing indices on December 31, 1995. There can be no assurances that the performance of the Common Stock will continue in the future with the same or similar trend depicted on the graph.</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GRAPH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0" w:type="dxa"/>
            <w:vAlign w:val="bottom"/>
            <w:gridSpan w:val="4"/>
          </w:tcPr>
          <w:p>
            <w:pPr>
              <w:jc w:val="right"/>
              <w:ind w:right="392"/>
              <w:spacing w:after="0"/>
              <w:rPr>
                <w:sz w:val="20"/>
                <w:szCs w:val="20"/>
                <w:color w:val="auto"/>
              </w:rPr>
            </w:pPr>
            <w:r>
              <w:rPr>
                <w:rFonts w:ascii="Courier New" w:cs="Courier New" w:eastAsia="Courier New" w:hAnsi="Courier New"/>
                <w:sz w:val="18"/>
                <w:szCs w:val="18"/>
                <w:color w:val="auto"/>
              </w:rPr>
              <w:t>Cumulative Total Stockholder Return</w:t>
            </w:r>
          </w:p>
        </w:tc>
        <w:tc>
          <w:tcPr>
            <w:tcW w:w="100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5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Dec. 31,</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Dec. 31,</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 31,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 31,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Dec. 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 31,</w:t>
            </w:r>
          </w:p>
        </w:tc>
      </w:tr>
      <w:tr>
        <w:trPr>
          <w:trHeight w:val="203"/>
        </w:trPr>
        <w:tc>
          <w:tcPr>
            <w:tcW w:w="3220" w:type="dxa"/>
            <w:vAlign w:val="bottom"/>
          </w:tcPr>
          <w:p>
            <w:pPr>
              <w:spacing w:after="0"/>
              <w:rPr>
                <w:sz w:val="17"/>
                <w:szCs w:val="17"/>
                <w:color w:val="auto"/>
              </w:rPr>
            </w:pPr>
          </w:p>
        </w:tc>
        <w:tc>
          <w:tcPr>
            <w:tcW w:w="1520" w:type="dxa"/>
            <w:vAlign w:val="bottom"/>
          </w:tcPr>
          <w:p>
            <w:pPr>
              <w:jc w:val="center"/>
              <w:ind w:left="412"/>
              <w:spacing w:after="0" w:line="203" w:lineRule="exact"/>
              <w:rPr>
                <w:sz w:val="20"/>
                <w:szCs w:val="20"/>
                <w:color w:val="auto"/>
              </w:rPr>
            </w:pPr>
            <w:r>
              <w:rPr>
                <w:rFonts w:ascii="Courier New" w:cs="Courier New" w:eastAsia="Courier New" w:hAnsi="Courier New"/>
                <w:sz w:val="18"/>
                <w:szCs w:val="18"/>
                <w:color w:val="auto"/>
                <w:w w:val="97"/>
              </w:rPr>
              <w:t>1995</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1997</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1998</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1999</w:t>
            </w:r>
          </w:p>
        </w:tc>
        <w:tc>
          <w:tcPr>
            <w:tcW w:w="10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2000</w:t>
            </w:r>
          </w:p>
        </w:tc>
      </w:tr>
      <w:tr>
        <w:trPr>
          <w:trHeight w:val="203"/>
        </w:trPr>
        <w:tc>
          <w:tcPr>
            <w:tcW w:w="3220" w:type="dxa"/>
            <w:vAlign w:val="bottom"/>
          </w:tcPr>
          <w:p>
            <w:pPr>
              <w:spacing w:after="0"/>
              <w:rPr>
                <w:sz w:val="17"/>
                <w:szCs w:val="17"/>
                <w:color w:val="auto"/>
              </w:rPr>
            </w:pPr>
          </w:p>
        </w:tc>
        <w:tc>
          <w:tcPr>
            <w:tcW w:w="1520" w:type="dxa"/>
            <w:vAlign w:val="bottom"/>
          </w:tcPr>
          <w:p>
            <w:pPr>
              <w:jc w:val="center"/>
              <w:ind w:left="412"/>
              <w:spacing w:after="0" w:line="203" w:lineRule="exact"/>
              <w:rPr>
                <w:sz w:val="20"/>
                <w:szCs w:val="20"/>
                <w:color w:val="auto"/>
              </w:rPr>
            </w:pPr>
            <w:r>
              <w:rPr>
                <w:rFonts w:ascii="Courier New" w:cs="Courier New" w:eastAsia="Courier New" w:hAnsi="Courier New"/>
                <w:sz w:val="18"/>
                <w:szCs w:val="18"/>
                <w:color w:val="auto"/>
                <w:w w:val="97"/>
              </w:rPr>
              <w:t>----</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0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NN, Inc</w:t>
            </w:r>
          </w:p>
        </w:tc>
        <w:tc>
          <w:tcPr>
            <w:tcW w:w="1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8"/>
              </w:rPr>
              <w:t>100.00</w:t>
            </w:r>
          </w:p>
        </w:tc>
        <w:tc>
          <w:tcPr>
            <w:tcW w:w="12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88.69</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53.17</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36.43</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47.97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66.07</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Line Machinery Index</w:t>
            </w: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100.00</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123.25</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164.21</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5"/>
              </w:rPr>
              <w:t>210.85</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5"/>
              </w:rPr>
              <w:t>253.61</w:t>
            </w:r>
          </w:p>
        </w:tc>
        <w:tc>
          <w:tcPr>
            <w:tcW w:w="10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5"/>
              </w:rPr>
              <w:t>227.89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Standard &amp; Poor's 500</w:t>
            </w: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100.00</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127.20</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194.78</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5"/>
              </w:rPr>
              <w:t>166.39</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5"/>
              </w:rPr>
              <w:t>226.62</w:t>
            </w:r>
          </w:p>
        </w:tc>
        <w:tc>
          <w:tcPr>
            <w:tcW w:w="100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5"/>
              </w:rPr>
              <w:t>233.21</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2100" w:firstLine="843"/>
        <w:spacing w:after="0" w:line="236" w:lineRule="auto"/>
        <w:rPr>
          <w:sz w:val="20"/>
          <w:szCs w:val="20"/>
          <w:color w:val="auto"/>
        </w:rPr>
      </w:pPr>
      <w:r>
        <w:rPr>
          <w:rFonts w:ascii="Courier New" w:cs="Courier New" w:eastAsia="Courier New" w:hAnsi="Courier New"/>
          <w:sz w:val="18"/>
          <w:szCs w:val="18"/>
          <w:color w:val="auto"/>
        </w:rPr>
        <w:t>The Company's 2000 Annual Report to Stockholders, which includes its Annual Report on Form 10-K for the year ended December 31, 2000, is being mailed together with this Proxy Statement.</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William C. Kelly, Jr.</w:t>
      </w:r>
    </w:p>
    <w:p>
      <w:pPr>
        <w:ind w:left="4640"/>
        <w:spacing w:after="0"/>
        <w:tabs>
          <w:tab w:leader="none" w:pos="5880" w:val="left"/>
        </w:tabs>
        <w:rPr>
          <w:sz w:val="20"/>
          <w:szCs w:val="20"/>
          <w:color w:val="auto"/>
        </w:rPr>
      </w:pPr>
      <w:r>
        <w:rPr>
          <w:rFonts w:ascii="Courier New" w:cs="Courier New" w:eastAsia="Courier New" w:hAnsi="Courier New"/>
          <w:sz w:val="18"/>
          <w:szCs w:val="18"/>
          <w:color w:val="auto"/>
        </w:rPr>
        <w:t>William C.</w:t>
      </w:r>
      <w:r>
        <w:rPr>
          <w:sz w:val="20"/>
          <w:szCs w:val="20"/>
          <w:color w:val="auto"/>
        </w:rPr>
        <w:tab/>
      </w:r>
      <w:r>
        <w:rPr>
          <w:rFonts w:ascii="Courier New" w:cs="Courier New" w:eastAsia="Courier New" w:hAnsi="Courier New"/>
          <w:sz w:val="16"/>
          <w:szCs w:val="16"/>
          <w:color w:val="auto"/>
        </w:rPr>
        <w:t>Kelly, Jr.</w:t>
      </w:r>
    </w:p>
    <w:p>
      <w:pPr>
        <w:ind w:left="4640"/>
        <w:spacing w:after="0"/>
        <w:rPr>
          <w:sz w:val="20"/>
          <w:szCs w:val="20"/>
          <w:color w:val="auto"/>
        </w:rPr>
      </w:pPr>
      <w:r>
        <w:rPr>
          <w:rFonts w:ascii="Courier New" w:cs="Courier New" w:eastAsia="Courier New" w:hAnsi="Courier New"/>
          <w:sz w:val="18"/>
          <w:szCs w:val="18"/>
          <w:color w:val="auto"/>
        </w:rPr>
        <w:t>Secretary</w:t>
      </w:r>
    </w:p>
    <w:p>
      <w:pPr>
        <w:spacing w:after="0" w:line="206" w:lineRule="exact"/>
        <w:rPr>
          <w:sz w:val="20"/>
          <w:szCs w:val="20"/>
          <w:color w:val="auto"/>
        </w:rPr>
      </w:pPr>
    </w:p>
    <w:p>
      <w:pPr>
        <w:ind w:right="2520" w:firstLine="843"/>
        <w:spacing w:after="0" w:line="236" w:lineRule="auto"/>
        <w:rPr>
          <w:sz w:val="20"/>
          <w:szCs w:val="20"/>
          <w:color w:val="auto"/>
        </w:rPr>
      </w:pPr>
      <w:r>
        <w:rPr>
          <w:rFonts w:ascii="Courier New" w:cs="Courier New" w:eastAsia="Courier New" w:hAnsi="Courier New"/>
          <w:sz w:val="18"/>
          <w:szCs w:val="18"/>
          <w:color w:val="auto"/>
        </w:rPr>
        <w:t>STOCKHOLDERS ARE REQUESTED TO MARK, DATE AND SIGN THE ENCLOSED PROXY CARD AND RETURN IT IN THE ENCLOSED ENVELOPE. YOUR PROMPT RESPONSE WILL BE HELPFUL, AND YOUR COOPERATION WILL BE APPRECIATED.</w:t>
      </w:r>
    </w:p>
    <w:p>
      <w:pPr>
        <w:sectPr>
          <w:pgSz w:w="11900" w:h="16838" w:orient="portrait"/>
          <w:cols w:equalWidth="0" w:num="1">
            <w:col w:w="10540"/>
          </w:cols>
          <w:pgMar w:left="240" w:top="919" w:right="1119" w:bottom="1440" w:gutter="0" w:footer="0" w:header="0"/>
        </w:sectPr>
      </w:pPr>
    </w:p>
    <w:bookmarkStart w:id="20" w:name="page21"/>
    <w:bookmarkEnd w:id="20"/>
    <w:p>
      <w:pPr>
        <w:ind w:right="1999"/>
        <w:spacing w:after="0" w:line="237" w:lineRule="auto"/>
        <w:rPr>
          <w:sz w:val="20"/>
          <w:szCs w:val="20"/>
          <w:color w:val="auto"/>
        </w:rPr>
      </w:pPr>
      <w:r>
        <w:rPr>
          <w:rFonts w:ascii="Courier New" w:cs="Courier New" w:eastAsia="Courier New" w:hAnsi="Courier New"/>
          <w:sz w:val="18"/>
          <w:szCs w:val="18"/>
          <w:color w:val="auto"/>
        </w:rPr>
        <w:t>THIS PROXY, WHEN PROPERLY EXECUTED, WILL BE VOTED IN THE MANNER DIRECTED HERIN BY THE UNDERSIGNED STOCKHOLDER. IF NO DIRECTION IS MADE, THIS PROXY WILL BE VOTED FOR EACH OF THE DIRECTOR NOMINEES, FOR THE AMENDMENT TO THE STOCK INCENTIVE PLAN AND FOR THE RATIFICATION OF THE SELECTION OF KPMG LLP AS INDEPENDENT AUDITORS.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 their discretion, the proxies are authorized to vote upon such other matters as may properly come before the meeting.</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Please sign exactly as name appears heron.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SIGNATURE (S)_________________________</w:t>
      </w: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DATE:_________________________________</w:t>
      </w: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SIGNATURE (S)_________________________</w:t>
      </w:r>
    </w:p>
    <w:p>
      <w:pPr>
        <w:spacing w:after="0" w:line="200" w:lineRule="exact"/>
        <w:rPr>
          <w:sz w:val="20"/>
          <w:szCs w:val="20"/>
          <w:color w:val="auto"/>
        </w:rPr>
      </w:pPr>
    </w:p>
    <w:p>
      <w:pPr>
        <w:spacing w:after="0" w:line="226"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DATE:_________________________________</w:t>
      </w:r>
    </w:p>
    <w:p>
      <w:pPr>
        <w:sectPr>
          <w:pgSz w:w="11900" w:h="16838" w:orient="portrait"/>
          <w:cols w:equalWidth="0" w:num="1">
            <w:col w:w="10219"/>
          </w:cols>
          <w:pgMar w:left="240" w:top="520" w:right="1440" w:bottom="1440" w:gutter="0" w:footer="0" w:header="0"/>
        </w:sectPr>
      </w:pPr>
    </w:p>
    <w:bookmarkStart w:id="21" w:name="page22"/>
    <w:bookmarkEnd w:id="21"/>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2000 Waters Edge Drive, Bldg. C., Ste. 12</w:t>
      </w:r>
    </w:p>
    <w:p>
      <w:pPr>
        <w:jc w:val="center"/>
        <w:ind w:right="1779"/>
        <w:spacing w:after="0"/>
        <w:rPr>
          <w:sz w:val="20"/>
          <w:szCs w:val="20"/>
          <w:color w:val="auto"/>
        </w:rPr>
      </w:pPr>
      <w:r>
        <w:rPr>
          <w:rFonts w:ascii="Courier New" w:cs="Courier New" w:eastAsia="Courier New" w:hAnsi="Courier New"/>
          <w:sz w:val="18"/>
          <w:szCs w:val="18"/>
          <w:color w:val="auto"/>
        </w:rPr>
        <w:t>Johnson City, TN 37604</w:t>
      </w:r>
    </w:p>
    <w:p>
      <w:pPr>
        <w:spacing w:after="0" w:line="206"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SOLICITED BY THE BOARD OF DIRECTORS FOR THE ANNUAL MEETING OF STOCKHOLDERS TO BE HELD ON MAY 17, 2001, AT THE SAVANNAH MARRIOTT RIVERFRONT, 100 GENERAL MCINTOSH BOULEVARD, SAVANNAH, GEORGIA 31401.</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stockholder hereby appoints Richard D. Ennen and Roderick R. Baty and each of them, with full power of substitution and revocation, the proxies of the undersigned to vote all shares registered in the name of the undersigned on all matters set forth in the proxy statement and on any other matters that may property come before the Annual Meeting and all adjournments thereof.</w:t>
      </w:r>
    </w:p>
    <w:p>
      <w:pPr>
        <w:spacing w:after="0" w:line="210"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THE SHARES REPRESENTED BY THIS PROXY WILL BE VOTED AS DIRECTED BY THE STOCKHOLDER. IF NO DIRECTION IS GIVEN, SHARES WILL BE VOTED FOR EACH OF THE DIRECTOR NOMINEES, FOR THE AMENDMENT TO THE COMPANY'S STOCK INCENTIVE PLANAND FOR THE RATIFICATION OF THE SELECTION OF KPMG LLP AS INDEPENDENT AUDITORS.</w:t>
      </w:r>
    </w:p>
    <w:p>
      <w:pPr>
        <w:spacing w:after="0" w:line="18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BOARD OF DIRECTORS RECOMMENDS A VOTE FOR EACH OF THE DIRECTOR NOMINEES, FOR THE AMENDMENT TO THE COMPANY'S CERTIFICATE OF INCORPORATION AND FOR THE RATIFICATION OF THE SELECTION OF KPMG LLP AS INDEPENDENT AUDITORS.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mark your votes as indicated in the example |X|</w:t>
      </w:r>
    </w:p>
    <w:p>
      <w:pPr>
        <w:spacing w:after="0" w:line="201"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left="640" w:right="2099"/>
        <w:spacing w:after="0" w:line="235" w:lineRule="auto"/>
        <w:rPr>
          <w:sz w:val="20"/>
          <w:szCs w:val="20"/>
          <w:color w:val="auto"/>
        </w:rPr>
      </w:pPr>
      <w:r>
        <w:rPr>
          <w:rFonts w:ascii="Courier New" w:cs="Courier New" w:eastAsia="Courier New" w:hAnsi="Courier New"/>
          <w:sz w:val="18"/>
          <w:szCs w:val="18"/>
          <w:color w:val="auto"/>
        </w:rPr>
        <w:t>Nominees: Michael D. Huff, Michael E. Werner. For, except vote withheld from the following nominee(s).</w:t>
      </w:r>
    </w:p>
    <w:p>
      <w:pPr>
        <w:spacing w:after="0" w:line="203" w:lineRule="exact"/>
        <w:rPr>
          <w:sz w:val="20"/>
          <w:szCs w:val="20"/>
          <w:color w:val="auto"/>
        </w:rPr>
      </w:pPr>
    </w:p>
    <w:p>
      <w:pPr>
        <w:ind w:left="1580"/>
        <w:spacing w:after="0"/>
        <w:tabs>
          <w:tab w:leader="none" w:pos="6100" w:val="left"/>
        </w:tabs>
        <w:rPr>
          <w:sz w:val="20"/>
          <w:szCs w:val="20"/>
          <w:color w:val="auto"/>
        </w:rPr>
      </w:pPr>
      <w:r>
        <w:rPr>
          <w:rFonts w:ascii="Courier New" w:cs="Courier New" w:eastAsia="Courier New" w:hAnsi="Courier New"/>
          <w:sz w:val="18"/>
          <w:szCs w:val="18"/>
          <w:color w:val="auto"/>
        </w:rPr>
        <w:t>[ ] For</w:t>
      </w:r>
      <w:r>
        <w:rPr>
          <w:sz w:val="20"/>
          <w:szCs w:val="20"/>
          <w:color w:val="auto"/>
        </w:rPr>
        <w:tab/>
      </w:r>
      <w:r>
        <w:rPr>
          <w:rFonts w:ascii="Courier New" w:cs="Courier New" w:eastAsia="Courier New" w:hAnsi="Courier New"/>
          <w:sz w:val="16"/>
          <w:szCs w:val="16"/>
          <w:color w:val="auto"/>
        </w:rPr>
        <w:t>[ ] Withheld</w:t>
      </w:r>
    </w:p>
    <w:p>
      <w:pPr>
        <w:spacing w:after="0" w:line="207" w:lineRule="exact"/>
        <w:rPr>
          <w:sz w:val="20"/>
          <w:szCs w:val="20"/>
          <w:color w:val="auto"/>
        </w:rPr>
      </w:pPr>
    </w:p>
    <w:p>
      <w:pPr>
        <w:ind w:left="640" w:right="1779" w:hanging="632"/>
        <w:spacing w:after="0" w:line="235"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the amendment to the Company's Stock Incentive Plan to increase the number of shares from 1,625,000 to 2,450,000.</w:t>
      </w:r>
    </w:p>
    <w:p>
      <w:pPr>
        <w:spacing w:after="0" w:line="203" w:lineRule="exact"/>
        <w:rPr>
          <w:sz w:val="20"/>
          <w:szCs w:val="20"/>
          <w:color w:val="auto"/>
        </w:rPr>
      </w:pPr>
    </w:p>
    <w:p>
      <w:pPr>
        <w:ind w:left="1580"/>
        <w:spacing w:after="0"/>
        <w:tabs>
          <w:tab w:leader="none" w:pos="3780" w:val="left"/>
          <w:tab w:leader="none" w:pos="6100" w:val="left"/>
        </w:tabs>
        <w:rPr>
          <w:sz w:val="20"/>
          <w:szCs w:val="20"/>
          <w:color w:val="auto"/>
        </w:rPr>
      </w:pPr>
      <w:r>
        <w:rPr>
          <w:rFonts w:ascii="Courier New" w:cs="Courier New" w:eastAsia="Courier New" w:hAnsi="Courier New"/>
          <w:sz w:val="18"/>
          <w:szCs w:val="18"/>
          <w:color w:val="auto"/>
        </w:rPr>
        <w:t>[ ] For</w:t>
      </w:r>
      <w:r>
        <w:rPr>
          <w:sz w:val="20"/>
          <w:szCs w:val="20"/>
          <w:color w:val="auto"/>
        </w:rPr>
        <w:tab/>
      </w:r>
      <w:r>
        <w:rPr>
          <w:rFonts w:ascii="Courier New" w:cs="Courier New" w:eastAsia="Courier New" w:hAnsi="Courier New"/>
          <w:sz w:val="18"/>
          <w:szCs w:val="18"/>
          <w:color w:val="auto"/>
        </w:rPr>
        <w:t>[ ] Against</w:t>
      </w:r>
      <w:r>
        <w:rPr>
          <w:sz w:val="20"/>
          <w:szCs w:val="20"/>
          <w:color w:val="auto"/>
        </w:rPr>
        <w:tab/>
      </w:r>
      <w:r>
        <w:rPr>
          <w:rFonts w:ascii="Courier New" w:cs="Courier New" w:eastAsia="Courier New" w:hAnsi="Courier New"/>
          <w:sz w:val="16"/>
          <w:szCs w:val="16"/>
          <w:color w:val="auto"/>
        </w:rPr>
        <w:t>[ ] Abstain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ratification of the selection of KPMG LLP as independent auditors.</w:t>
      </w:r>
    </w:p>
    <w:p>
      <w:pPr>
        <w:spacing w:after="0" w:line="201" w:lineRule="exact"/>
        <w:rPr>
          <w:sz w:val="20"/>
          <w:szCs w:val="20"/>
          <w:color w:val="auto"/>
        </w:rPr>
      </w:pPr>
    </w:p>
    <w:p>
      <w:pPr>
        <w:ind w:left="1580"/>
        <w:spacing w:after="0"/>
        <w:tabs>
          <w:tab w:leader="none" w:pos="3780" w:val="left"/>
          <w:tab w:leader="none" w:pos="6100" w:val="left"/>
        </w:tabs>
        <w:rPr>
          <w:sz w:val="20"/>
          <w:szCs w:val="20"/>
          <w:color w:val="auto"/>
        </w:rPr>
      </w:pPr>
      <w:r>
        <w:rPr>
          <w:rFonts w:ascii="Courier New" w:cs="Courier New" w:eastAsia="Courier New" w:hAnsi="Courier New"/>
          <w:sz w:val="18"/>
          <w:szCs w:val="18"/>
          <w:color w:val="auto"/>
        </w:rPr>
        <w:t>[ ] For</w:t>
      </w:r>
      <w:r>
        <w:rPr>
          <w:sz w:val="20"/>
          <w:szCs w:val="20"/>
          <w:color w:val="auto"/>
        </w:rPr>
        <w:tab/>
      </w:r>
      <w:r>
        <w:rPr>
          <w:rFonts w:ascii="Courier New" w:cs="Courier New" w:eastAsia="Courier New" w:hAnsi="Courier New"/>
          <w:sz w:val="18"/>
          <w:szCs w:val="18"/>
          <w:color w:val="auto"/>
        </w:rPr>
        <w:t>[ ] Against</w:t>
      </w:r>
      <w:r>
        <w:rPr>
          <w:sz w:val="20"/>
          <w:szCs w:val="20"/>
          <w:color w:val="auto"/>
        </w:rPr>
        <w:tab/>
      </w:r>
      <w:r>
        <w:rPr>
          <w:rFonts w:ascii="Courier New" w:cs="Courier New" w:eastAsia="Courier New" w:hAnsi="Courier New"/>
          <w:sz w:val="16"/>
          <w:szCs w:val="16"/>
          <w:color w:val="auto"/>
        </w:rPr>
        <w:t>[ ] Abstain</w:t>
      </w:r>
    </w:p>
    <w:p>
      <w:pPr>
        <w:sectPr>
          <w:pgSz w:w="11900" w:h="16838" w:orient="portrait"/>
          <w:cols w:equalWidth="0" w:num="1">
            <w:col w:w="10219"/>
          </w:cols>
          <w:pgMar w:left="240" w:top="1122" w:right="1440" w:bottom="1440" w:gutter="0" w:footer="0" w:header="0"/>
        </w:sectPr>
      </w:pPr>
    </w:p>
    <w:bookmarkStart w:id="22" w:name="page23"/>
    <w:bookmarkEnd w:id="22"/>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AUDIT COMMITTEE OF</w:t>
      </w:r>
    </w:p>
    <w:p>
      <w:pPr>
        <w:jc w:val="center"/>
        <w:ind w:right="1779"/>
        <w:spacing w:after="0"/>
        <w:rPr>
          <w:sz w:val="20"/>
          <w:szCs w:val="20"/>
          <w:color w:val="auto"/>
        </w:rPr>
      </w:pPr>
      <w:r>
        <w:rPr>
          <w:rFonts w:ascii="Courier New" w:cs="Courier New" w:eastAsia="Courier New" w:hAnsi="Courier New"/>
          <w:sz w:val="18"/>
          <w:szCs w:val="18"/>
          <w:color w:val="auto"/>
        </w:rPr>
        <w:t>THE BOARD OF DIRECTORS</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CHARTER</w:t>
      </w:r>
    </w:p>
    <w:p>
      <w:pPr>
        <w:spacing w:after="0" w:line="201" w:lineRule="exact"/>
        <w:rPr>
          <w:sz w:val="20"/>
          <w:szCs w:val="20"/>
          <w:color w:val="auto"/>
        </w:rPr>
      </w:pPr>
    </w:p>
    <w:p>
      <w:pPr>
        <w:ind w:left="860" w:hanging="8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Audit Committee shall provide assistance to the corporate directors in fulfilling their responsibility to the shareholders, potential shareholders, and investment community relating to corporate accounting, reporting practices of the Corporation, and the quality and integrity of the financial reports of the Corporation. The Audit Committee's primary duties and responsibilities are to:</w:t>
      </w:r>
    </w:p>
    <w:p>
      <w:pPr>
        <w:spacing w:after="0" w:line="210" w:lineRule="exact"/>
        <w:rPr>
          <w:sz w:val="20"/>
          <w:szCs w:val="20"/>
          <w:color w:val="auto"/>
        </w:rPr>
      </w:pPr>
    </w:p>
    <w:p>
      <w:pPr>
        <w:ind w:left="1060" w:right="1999" w:hanging="525"/>
        <w:spacing w:after="0" w:line="236"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that management has maintained the reliability and integrity of the accounting policies and financial reporting and disclosure practices of the Corporation.</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that management has established and maintained processes to assure that an adequate system of internal control is functioning within the Corporation.</w:t>
      </w:r>
    </w:p>
    <w:p>
      <w:pPr>
        <w:spacing w:after="0" w:line="208" w:lineRule="exact"/>
        <w:rPr>
          <w:rFonts w:ascii="Courier New" w:cs="Courier New" w:eastAsia="Courier New" w:hAnsi="Courier New"/>
          <w:sz w:val="18"/>
          <w:szCs w:val="18"/>
          <w:color w:val="auto"/>
        </w:rPr>
      </w:pPr>
    </w:p>
    <w:p>
      <w:pPr>
        <w:ind w:left="1060" w:right="2099" w:hanging="525"/>
        <w:spacing w:after="0" w:line="236"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that management has established and maintained processes to assure compliance by the Corporation with all applicable laws, regulations and corporate policy.</w:t>
      </w:r>
    </w:p>
    <w:p>
      <w:pPr>
        <w:spacing w:after="0" w:line="209"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The Audit Committee will fulfill these responsibilities primarily by carrying out the activities enumerated in Section IV of this Charter.</w:t>
      </w:r>
    </w:p>
    <w:p>
      <w:pPr>
        <w:spacing w:after="0" w:line="203" w:lineRule="exact"/>
        <w:rPr>
          <w:sz w:val="20"/>
          <w:szCs w:val="20"/>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COMPOSITION</w:t>
      </w:r>
    </w:p>
    <w:p>
      <w:pPr>
        <w:spacing w:after="0" w:line="207" w:lineRule="exact"/>
        <w:rPr>
          <w:sz w:val="20"/>
          <w:szCs w:val="20"/>
          <w:color w:val="auto"/>
        </w:rPr>
      </w:pPr>
    </w:p>
    <w:p>
      <w:pPr>
        <w:ind w:right="1999" w:firstLine="843"/>
        <w:spacing w:after="0" w:line="273" w:lineRule="auto"/>
        <w:rPr>
          <w:sz w:val="20"/>
          <w:szCs w:val="20"/>
          <w:color w:val="auto"/>
        </w:rPr>
      </w:pPr>
      <w:r>
        <w:rPr>
          <w:rFonts w:ascii="Courier New" w:cs="Courier New" w:eastAsia="Courier New" w:hAnsi="Courier New"/>
          <w:sz w:val="16"/>
          <w:szCs w:val="16"/>
          <w:color w:val="auto"/>
        </w:rPr>
        <w:t>The Audit Committee shall be comprised of three or more directors as determined by the Board, each of whom shall be independent directors, and free from any relationship that, in the opinion of the Board, would interfere with the exercise of his or her independent judgment as a member of the Audit Committee, however, the following persons shall not be considered independent:</w:t>
      </w:r>
    </w:p>
    <w:p>
      <w:pPr>
        <w:spacing w:after="0" w:line="185" w:lineRule="exact"/>
        <w:rPr>
          <w:sz w:val="20"/>
          <w:szCs w:val="20"/>
          <w:color w:val="auto"/>
        </w:rPr>
      </w:pPr>
    </w:p>
    <w:p>
      <w:pPr>
        <w:ind w:left="1060" w:right="1779" w:hanging="525"/>
        <w:spacing w:after="0" w:line="235"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who is employed by the Company or any of its affiliates for the current year or any of the past three years;</w:t>
      </w:r>
    </w:p>
    <w:p>
      <w:pPr>
        <w:spacing w:after="0" w:line="208" w:lineRule="exact"/>
        <w:rPr>
          <w:rFonts w:ascii="Courier New" w:cs="Courier New" w:eastAsia="Courier New" w:hAnsi="Courier New"/>
          <w:sz w:val="18"/>
          <w:szCs w:val="18"/>
          <w:color w:val="auto"/>
        </w:rPr>
      </w:pPr>
    </w:p>
    <w:p>
      <w:pPr>
        <w:ind w:left="1060" w:right="2199" w:hanging="525"/>
        <w:spacing w:after="0" w:line="275" w:lineRule="auto"/>
        <w:tabs>
          <w:tab w:leader="none" w:pos="10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director who accepts compensation from the Company or any of its affiliates, in excess of $60,000 during the previous fiscal year, other than compensation for Board service, benefits under a tax-qualified retirement plan, or non-discretionary compensation;</w:t>
      </w:r>
    </w:p>
    <w:p>
      <w:pPr>
        <w:sectPr>
          <w:pgSz w:w="11900" w:h="16838" w:orient="portrait"/>
          <w:cols w:equalWidth="0" w:num="1">
            <w:col w:w="10219"/>
          </w:cols>
          <w:pgMar w:left="240" w:top="717" w:right="1440" w:bottom="1440" w:gutter="0" w:footer="0" w:header="0"/>
        </w:sectPr>
      </w:pPr>
    </w:p>
    <w:bookmarkStart w:id="23" w:name="page24"/>
    <w:bookmarkEnd w:id="23"/>
    <w:p>
      <w:pPr>
        <w:jc w:val="both"/>
        <w:ind w:left="1060" w:right="2099" w:hanging="525"/>
        <w:spacing w:after="0" w:line="279" w:lineRule="auto"/>
        <w:tabs>
          <w:tab w:leader="none" w:pos="10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director who is a member of the immediate family of an individual who is, or has been in any of the past three years, employed by the Company or any of its affiliates as an executive officer;</w:t>
      </w:r>
    </w:p>
    <w:p>
      <w:pPr>
        <w:spacing w:after="0" w:line="178"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who is a partner in, or a controlling stockholder or an executive officer of, any for-profit business organization to which the Company made, or from which the Company received, payments (other than those arising solely from investments in the Company's securities) that exceed 5% of the Company or business organization's consolidated gross revenues for that year, or $200,000, whichever is more, in any of the past three years; or</w:t>
      </w:r>
    </w:p>
    <w:p>
      <w:pPr>
        <w:spacing w:after="0" w:line="211"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 who is employed as an executive of another entity where any of the Company's executives serve on that entity's compensation committee.</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All members of the Audit Committee shall have, or within a reasonable time after their appointment, a working familiarity with basic finance and accounting practices (including the Company's balance sheet, income statement and cash flow statement). At least one member of the Audit Committee shall have accounting or related financial management expertise. Audit Committee members may enhance their familiarity with finance and accounting by participating in educational programs conducted by the Corporation or an outside consultant.</w:t>
      </w:r>
    </w:p>
    <w:p>
      <w:pPr>
        <w:spacing w:after="0" w:line="18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members of the Audit Committee shall be elected by the Board at the annual organizational meeting of the Board or until their successors shall be duly elected and qualified. Unless a Chairperson is elected by the full Board, the members of the Audit Committee may designate a Chairperson by majority vote of the full Audit Committee membership.</w:t>
      </w:r>
    </w:p>
    <w:p>
      <w:pPr>
        <w:spacing w:after="0" w:line="203" w:lineRule="exact"/>
        <w:rPr>
          <w:sz w:val="20"/>
          <w:szCs w:val="20"/>
          <w:color w:val="auto"/>
        </w:rPr>
      </w:pPr>
    </w:p>
    <w:p>
      <w:pPr>
        <w:ind w:left="860" w:hanging="8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MEETINGS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Audit Committee shall meet at least twice times annually, or more frequently as circumstances dictate. As part of its job to foster open communication, the Audit Committee should meet at least annually with management and the independent accountants separately to discuss any matters that the Audit Committee or each of these groups believes should be discussed privately. In addition, the Audit Committee or at least its Chairperson should meet with the independent accountants and management quarterly to review the Corporation's financials consistent with Section IV.4 below.</w:t>
      </w: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RESPONSIBILITIES AND DUTIES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To fulfill its responsibilities and duties the Audit Committee shall: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Documents/Reports Review</w:t>
      </w:r>
    </w:p>
    <w:p>
      <w:pPr>
        <w:spacing w:after="0" w:line="207" w:lineRule="exact"/>
        <w:rPr>
          <w:sz w:val="20"/>
          <w:szCs w:val="20"/>
          <w:color w:val="auto"/>
        </w:rPr>
      </w:pPr>
    </w:p>
    <w:p>
      <w:pPr>
        <w:ind w:left="540" w:right="1879" w:hanging="532"/>
        <w:spacing w:after="0" w:line="236"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and reassess, at least annually, the adequacy of this Charter. Make recommendations to the Board, as conditions dictate, to update this Charter.</w:t>
      </w:r>
    </w:p>
    <w:p>
      <w:pPr>
        <w:spacing w:after="0" w:line="208" w:lineRule="exact"/>
        <w:rPr>
          <w:rFonts w:ascii="Courier New" w:cs="Courier New" w:eastAsia="Courier New" w:hAnsi="Courier New"/>
          <w:sz w:val="18"/>
          <w:szCs w:val="18"/>
          <w:color w:val="auto"/>
        </w:rPr>
      </w:pPr>
    </w:p>
    <w:p>
      <w:pPr>
        <w:jc w:val="both"/>
        <w:ind w:left="540" w:right="2099" w:hanging="532"/>
        <w:spacing w:after="0" w:line="236"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management and the independent accountants the Corporation's annual financial statements, including a discussion with the independent accountants of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4" w:name="page25"/>
    <w:bookmarkEnd w:id="24"/>
    <w:p>
      <w:pPr>
        <w:ind w:left="540" w:right="1879"/>
        <w:spacing w:after="0" w:line="235" w:lineRule="auto"/>
        <w:rPr>
          <w:sz w:val="20"/>
          <w:szCs w:val="20"/>
          <w:color w:val="auto"/>
        </w:rPr>
      </w:pPr>
      <w:r>
        <w:rPr>
          <w:rFonts w:ascii="Courier New" w:cs="Courier New" w:eastAsia="Courier New" w:hAnsi="Courier New"/>
          <w:sz w:val="18"/>
          <w:szCs w:val="18"/>
          <w:color w:val="auto"/>
        </w:rPr>
        <w:t>matters required to be discussed by Statement of Auditing Standards No. 61 ("SAS No. 61") as amended.</w:t>
      </w:r>
    </w:p>
    <w:p>
      <w:pPr>
        <w:spacing w:after="0" w:line="208" w:lineRule="exact"/>
        <w:rPr>
          <w:sz w:val="20"/>
          <w:szCs w:val="20"/>
          <w:color w:val="auto"/>
        </w:rPr>
      </w:pPr>
    </w:p>
    <w:p>
      <w:pPr>
        <w:ind w:left="540" w:right="1779" w:hanging="532"/>
        <w:spacing w:after="0" w:line="237"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management and the independent accountants the 10-Q prior to its filing or prior to the release of earnings, including a discussion with the independent accountants of the matters to be discussed by SAS No. 61, as amended and Statement of Auditing Standards No. 71.("SAS No. 71"). The Chairperson of the Audit Committee may represent the entire Audit Committee for purposes of this review.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Accountants</w:t>
      </w:r>
    </w:p>
    <w:p>
      <w:pPr>
        <w:spacing w:after="0" w:line="207" w:lineRule="exact"/>
        <w:rPr>
          <w:sz w:val="20"/>
          <w:szCs w:val="20"/>
          <w:color w:val="auto"/>
        </w:rPr>
      </w:pPr>
    </w:p>
    <w:p>
      <w:pPr>
        <w:ind w:left="540" w:right="1779" w:hanging="532"/>
        <w:spacing w:after="0" w:line="237"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the performance of the independent accountants and make recommendations to the Board regarding the appointment or termination of the independent accountants. The Audit Committee and the Board have the ultimate authority and responsibility to select, evaluate and, where appropriate, replace the outside auditor. The independent accountants are ultimately accountable to the Audit Committee and the entire Board for such accountants' audit of the financial statements of the Corporation. On an annual basis, the Audit Committee should review and discuss with the accountants all significant relationships the accountants have with the Corporation to determine the accountants' independence.</w:t>
      </w:r>
    </w:p>
    <w:p>
      <w:pPr>
        <w:spacing w:after="0" w:line="20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 independence of the accountants by:</w:t>
      </w:r>
    </w:p>
    <w:p>
      <w:pPr>
        <w:spacing w:after="0" w:line="207" w:lineRule="exact"/>
        <w:rPr>
          <w:sz w:val="20"/>
          <w:szCs w:val="20"/>
          <w:color w:val="auto"/>
        </w:rPr>
      </w:pPr>
    </w:p>
    <w:p>
      <w:pPr>
        <w:ind w:left="1060" w:right="1879" w:hanging="525"/>
        <w:spacing w:after="0" w:line="237" w:lineRule="auto"/>
        <w:tabs>
          <w:tab w:leader="none" w:pos="10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receiving from the accountants, on a periodic basis, a formal written statement delineating all relationships between the accountants and the Corporation consistent with Independence Standards Board Standard 1 ("ISB No. 1");</w:t>
      </w:r>
    </w:p>
    <w:p>
      <w:pPr>
        <w:spacing w:after="0" w:line="207" w:lineRule="exact"/>
        <w:rPr>
          <w:rFonts w:ascii="Courier New" w:cs="Courier New" w:eastAsia="Courier New" w:hAnsi="Courier New"/>
          <w:sz w:val="18"/>
          <w:szCs w:val="18"/>
          <w:color w:val="auto"/>
        </w:rPr>
      </w:pPr>
    </w:p>
    <w:p>
      <w:pPr>
        <w:ind w:left="1060" w:right="1999" w:hanging="525"/>
        <w:spacing w:after="0" w:line="273" w:lineRule="auto"/>
        <w:tabs>
          <w:tab w:leader="none" w:pos="106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 and actively discussing with the Board, if necessary, and the accountants, on a periodic basis, any disclosed relationships or services between the accountants and the Corporation or any other disclosed relationships or services that may impact the objectivity and independence of the accountants; and</w:t>
      </w:r>
    </w:p>
    <w:p>
      <w:pPr>
        <w:spacing w:after="0" w:line="184" w:lineRule="exact"/>
        <w:rPr>
          <w:rFonts w:ascii="Courier New" w:cs="Courier New" w:eastAsia="Courier New" w:hAnsi="Courier New"/>
          <w:sz w:val="16"/>
          <w:szCs w:val="16"/>
          <w:color w:val="auto"/>
        </w:rPr>
      </w:pPr>
    </w:p>
    <w:p>
      <w:pPr>
        <w:ind w:left="1060" w:right="2319" w:hanging="525"/>
        <w:spacing w:after="0" w:line="235" w:lineRule="auto"/>
        <w:tabs>
          <w:tab w:leader="none" w:pos="10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recommending, if necessary, that the Board take certain action to satisfy itself of the auditor's independence.</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review and discussions referred to in section IV.2 and IV.5, the Audit Committee shall determine whether to recommend to the Board that the Corporation's audited financial statements be included in the Corporation's Annual Report on Form 10-K for the last fiscal year for filing with the Securities and Exchange Commission.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Reporting Process</w:t>
      </w:r>
    </w:p>
    <w:p>
      <w:pPr>
        <w:spacing w:after="0" w:line="207" w:lineRule="exact"/>
        <w:rPr>
          <w:sz w:val="20"/>
          <w:szCs w:val="20"/>
          <w:color w:val="auto"/>
        </w:rPr>
      </w:pPr>
    </w:p>
    <w:p>
      <w:pPr>
        <w:ind w:left="540" w:right="1879" w:hanging="532"/>
        <w:spacing w:after="0" w:line="236"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conjunction with the independent accountants and the internal auditors, review the integrity of the Corporation's financial reporting processes, both internal and external.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5" w:name="page26"/>
    <w:bookmarkEnd w:id="25"/>
    <w:p>
      <w:pPr>
        <w:ind w:left="540" w:right="1999" w:hanging="532"/>
        <w:spacing w:after="0" w:line="237"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Consider and approve, if appropriate, major changes to the Corporation's accounting principles and practices proposed by management. Discuss with the Independent Accountants any significant changes in auditing standards or their audit scope.</w:t>
      </w:r>
    </w:p>
    <w:p>
      <w:pPr>
        <w:spacing w:after="0" w:line="207"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regular systems of reporting to the Audit Committee by each of management and the independent accountants regarding any significant judgments made in management's preparation of the financial statements and any significant difficulties encountered during the course of the review or audit, including any restrictions on the scope of the work or access to required information.</w:t>
      </w:r>
    </w:p>
    <w:p>
      <w:pPr>
        <w:spacing w:after="0" w:line="209" w:lineRule="exact"/>
        <w:rPr>
          <w:rFonts w:ascii="Courier New" w:cs="Courier New" w:eastAsia="Courier New" w:hAnsi="Courier New"/>
          <w:sz w:val="18"/>
          <w:szCs w:val="18"/>
          <w:color w:val="auto"/>
        </w:rPr>
      </w:pPr>
    </w:p>
    <w:p>
      <w:pPr>
        <w:ind w:left="540" w:right="1779" w:hanging="532"/>
        <w:spacing w:after="0" w:line="290" w:lineRule="auto"/>
        <w:tabs>
          <w:tab w:leader="none" w:pos="5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any significant disagreement among management and the independent accountants in connection with the preparation of the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Compliance/General</w:t>
      </w:r>
    </w:p>
    <w:p>
      <w:pPr>
        <w:spacing w:after="0" w:line="207" w:lineRule="exact"/>
        <w:rPr>
          <w:sz w:val="20"/>
          <w:szCs w:val="20"/>
          <w:color w:val="auto"/>
        </w:rPr>
      </w:pPr>
    </w:p>
    <w:p>
      <w:pPr>
        <w:ind w:left="540" w:right="199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with the Corporation's counsel, any legal matter that could have a significant impact on the Corporation's financial statements.</w:t>
      </w:r>
    </w:p>
    <w:p>
      <w:pPr>
        <w:spacing w:after="0" w:line="208" w:lineRule="exact"/>
        <w:rPr>
          <w:rFonts w:ascii="Courier New" w:cs="Courier New" w:eastAsia="Courier New" w:hAnsi="Courier New"/>
          <w:sz w:val="18"/>
          <w:szCs w:val="18"/>
          <w:color w:val="auto"/>
        </w:rPr>
      </w:pPr>
    </w:p>
    <w:p>
      <w:pPr>
        <w:ind w:left="540" w:right="177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through its Chairperson to the Board following meetings of the Audit Committee.</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Maintain minutes or other records of meetings and activities of the Audit Committee.</w:t>
      </w: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This is the responsibility of management and the independent auditors. Nor is it the duty of the Audit Committee to conduct investigations, resolve disagreements, if any, between management and the independent auditors or to assure compliance with laws and regulations.</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upperLetter"/>
      <w:start w:val="24"/>
    </w:lvl>
  </w:abstractNum>
  <w:abstractNum w:abstractNumId="2">
    <w:nsid w:val="7C83E458"/>
    <w:multiLevelType w:val="hybridMultilevel"/>
    <w:lvl w:ilvl="0">
      <w:lvlJc w:val="left"/>
      <w:lvlText w:val="["/>
      <w:numFmt w:val="bullet"/>
      <w:start w:val="1"/>
    </w:lvl>
    <w:lvl w:ilvl="1">
      <w:lvlJc w:val="left"/>
      <w:lvlText w:val="(%2)"/>
      <w:numFmt w:val="decimal"/>
      <w:start w:val="1"/>
    </w:lvl>
  </w:abstractNum>
  <w:abstractNum w:abstractNumId="3">
    <w:nsid w:val="257130A3"/>
    <w:multiLevelType w:val="hybridMultilevel"/>
    <w:lvl w:ilvl="0">
      <w:lvlJc w:val="left"/>
      <w:lvlText w:val="["/>
      <w:numFmt w:val="bullet"/>
      <w:start w:val="1"/>
    </w:lvl>
    <w:lvl w:ilvl="1">
      <w:lvlJc w:val="left"/>
      <w:lvlText w:val="(%2)"/>
      <w:numFmt w:val="decimal"/>
      <w:start w:val="1"/>
    </w:lvl>
  </w:abstractNum>
  <w:abstractNum w:abstractNumId="4">
    <w:nsid w:val="62BBD95A"/>
    <w:multiLevelType w:val="hybridMultilevel"/>
    <w:lvl w:ilvl="0">
      <w:lvlJc w:val="left"/>
      <w:lvlText w:val="%1."/>
      <w:numFmt w:val="upperLetter"/>
      <w:start w:val="9"/>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upperLetter"/>
      <w:start w:val="35"/>
    </w:lvl>
  </w:abstractNum>
  <w:abstractNum w:abstractNumId="11">
    <w:nsid w:val="6763845E"/>
    <w:multiLevelType w:val="hybridMultilevel"/>
    <w:lvl w:ilvl="0">
      <w:lvlJc w:val="left"/>
      <w:lvlText w:val="(%1)"/>
      <w:numFmt w:val="lowerRoman"/>
      <w:start w:val="2"/>
    </w:lvl>
  </w:abstractNum>
  <w:abstractNum w:abstractNumId="12">
    <w:nsid w:val="75A2A8D4"/>
    <w:multiLevelType w:val="hybridMultilevel"/>
    <w:lvl w:ilvl="0">
      <w:lvlJc w:val="left"/>
      <w:lvlText w:val="%1."/>
      <w:numFmt w:val="upperLetter"/>
      <w:start w:val="61"/>
    </w:lvl>
  </w:abstractNum>
  <w:abstractNum w:abstractNumId="13">
    <w:nsid w:val="8EDBDAB"/>
    <w:multiLevelType w:val="hybridMultilevel"/>
    <w:lvl w:ilvl="0">
      <w:lvlJc w:val="left"/>
      <w:lvlText w:val="%1."/>
      <w:numFmt w:val="upperLetter"/>
      <w:start w:val="22"/>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o"/>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2"/>
    </w:lvl>
  </w:abstractNum>
  <w:abstractNum w:abstractNumId="21">
    <w:nsid w:val="836C40E"/>
    <w:multiLevelType w:val="hybridMultilevel"/>
    <w:lvl w:ilvl="0">
      <w:lvlJc w:val="left"/>
      <w:lvlText w:val="%1."/>
      <w:numFmt w:val="decimal"/>
      <w:start w:val="3"/>
    </w:lvl>
  </w:abstractNum>
  <w:abstractNum w:abstractNumId="22">
    <w:nsid w:val="2901D82"/>
    <w:multiLevelType w:val="hybridMultilevel"/>
    <w:lvl w:ilvl="0">
      <w:lvlJc w:val="left"/>
      <w:lvlText w:val="%1."/>
      <w:numFmt w:val="upperLetter"/>
      <w:start w:val="9"/>
    </w:lvl>
  </w:abstractNum>
  <w:abstractNum w:abstractNumId="23">
    <w:nsid w:val="3A95F874"/>
    <w:multiLevelType w:val="hybridMultilevel"/>
    <w:lvl w:ilvl="0">
      <w:lvlJc w:val="left"/>
      <w:lvlText w:val="o"/>
      <w:numFmt w:val="bullet"/>
      <w:start w:val="1"/>
    </w:lvl>
  </w:abstractNum>
  <w:abstractNum w:abstractNumId="24">
    <w:nsid w:val="8138641"/>
    <w:multiLevelType w:val="hybridMultilevel"/>
    <w:lvl w:ilvl="0">
      <w:lvlJc w:val="left"/>
      <w:lvlText w:val="%1."/>
      <w:numFmt w:val="upperLetter"/>
      <w:start w:val="35"/>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3"/>
    </w:lvl>
  </w:abstractNum>
  <w:abstractNum w:abstractNumId="27">
    <w:nsid w:val="737B8DDC"/>
    <w:multiLevelType w:val="hybridMultilevel"/>
    <w:lvl w:ilvl="0">
      <w:lvlJc w:val="left"/>
      <w:lvlText w:val="%1."/>
      <w:numFmt w:val="upperLetter"/>
      <w:start w:val="6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3"/>
    </w:lvl>
  </w:abstractNum>
  <w:abstractNum w:abstractNumId="30">
    <w:nsid w:val="4516DDE9"/>
    <w:multiLevelType w:val="hybridMultilevel"/>
    <w:lvl w:ilvl="0">
      <w:lvlJc w:val="left"/>
      <w:lvlText w:val="%1."/>
      <w:numFmt w:val="decimal"/>
      <w:start w:val="4"/>
    </w:lvl>
  </w:abstractNum>
  <w:abstractNum w:abstractNumId="31">
    <w:nsid w:val="3006C83E"/>
    <w:multiLevelType w:val="hybridMultilevel"/>
    <w:lvl w:ilvl="0">
      <w:lvlJc w:val="left"/>
      <w:lvlText w:val="%1."/>
      <w:numFmt w:val="decimal"/>
      <w:start w:val="5"/>
    </w:lvl>
    <w:lvl w:ilvl="1">
      <w:lvlJc w:val="left"/>
      <w:lvlText w:val="o"/>
      <w:numFmt w:val="bullet"/>
      <w:start w:val="1"/>
    </w:lvl>
  </w:abstractNum>
  <w:abstractNum w:abstractNumId="32">
    <w:nsid w:val="614FD4A1"/>
    <w:multiLevelType w:val="hybridMultilevel"/>
    <w:lvl w:ilvl="0">
      <w:lvlJc w:val="left"/>
      <w:lvlText w:val="%1."/>
      <w:numFmt w:val="decimal"/>
      <w:start w:val="7"/>
    </w:lvl>
  </w:abstractNum>
  <w:abstractNum w:abstractNumId="33">
    <w:nsid w:val="419AC241"/>
    <w:multiLevelType w:val="hybridMultilevel"/>
    <w:lvl w:ilvl="0">
      <w:lvlJc w:val="left"/>
      <w:lvlText w:val="%1."/>
      <w:numFmt w:val="decimal"/>
      <w:start w:val="8"/>
    </w:lvl>
  </w:abstractNum>
  <w:abstractNum w:abstractNumId="34">
    <w:nsid w:val="5577F8E1"/>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2019-12-14T03:16:50Z</dcterms:created>
  <dcterms:modified xsi:type="dcterms:W3CDTF">2019-12-14T03:16:50Z</dcterms:modified>
</cp:coreProperties>
</file>