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154940</wp:posOffset>
            </wp:positionH>
            <wp:positionV relativeFrom="page">
              <wp:posOffset>163195</wp:posOffset>
            </wp:positionV>
            <wp:extent cx="72523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2335" cy="8255"/>
                    </a:xfrm>
                    <a:prstGeom prst="rect">
                      <a:avLst/>
                    </a:prstGeom>
                    <a:noFill/>
                  </pic:spPr>
                </pic:pic>
              </a:graphicData>
            </a:graphic>
          </wp:anchor>
        </w:drawing>
        <w:drawing>
          <wp:anchor simplePos="0" relativeHeight="251657728" behindDoc="1" locked="0" layoutInCell="0" allowOverlap="1">
            <wp:simplePos x="0" y="0"/>
            <wp:positionH relativeFrom="page">
              <wp:posOffset>154940</wp:posOffset>
            </wp:positionH>
            <wp:positionV relativeFrom="page">
              <wp:posOffset>203835</wp:posOffset>
            </wp:positionV>
            <wp:extent cx="72523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335" cy="8255"/>
                    </a:xfrm>
                    <a:prstGeom prst="rect">
                      <a:avLst/>
                    </a:prstGeom>
                    <a:noFill/>
                  </pic:spPr>
                </pic:pic>
              </a:graphicData>
            </a:graphic>
          </wp:anchor>
        </w:drawing>
        <w:t>UNITED STATES</w:t>
      </w:r>
    </w:p>
    <w:p>
      <w:pPr>
        <w:spacing w:after="0" w:line="24" w:lineRule="exact"/>
        <w:rPr>
          <w:sz w:val="24"/>
          <w:szCs w:val="24"/>
          <w:color w:val="auto"/>
        </w:rPr>
      </w:pPr>
    </w:p>
    <w:p>
      <w:pPr>
        <w:jc w:val="center"/>
        <w:ind w:right="-29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29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2863850</wp:posOffset>
            </wp:positionH>
            <wp:positionV relativeFrom="paragraph">
              <wp:posOffset>219075</wp:posOffset>
            </wp:positionV>
            <wp:extent cx="1529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9080" cy="825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299"/>
        <w:spacing w:after="0"/>
        <w:rPr>
          <w:sz w:val="20"/>
          <w:szCs w:val="20"/>
          <w:color w:val="auto"/>
        </w:rPr>
      </w:pPr>
      <w:r>
        <w:rPr>
          <w:rFonts w:ascii="Arial" w:cs="Arial" w:eastAsia="Arial" w:hAnsi="Arial"/>
          <w:sz w:val="31"/>
          <w:szCs w:val="31"/>
          <w:b w:val="1"/>
          <w:bCs w:val="1"/>
          <w:color w:val="auto"/>
        </w:rPr>
        <w:t>FORM 8-K/A</w:t>
      </w:r>
    </w:p>
    <w:p>
      <w:pPr>
        <w:spacing w:after="0" w:line="31" w:lineRule="exact"/>
        <w:rPr>
          <w:sz w:val="24"/>
          <w:szCs w:val="24"/>
          <w:color w:val="auto"/>
        </w:rPr>
      </w:pPr>
    </w:p>
    <w:p>
      <w:pPr>
        <w:jc w:val="center"/>
        <w:ind w:right="-299"/>
        <w:spacing w:after="0"/>
        <w:rPr>
          <w:sz w:val="20"/>
          <w:szCs w:val="20"/>
          <w:color w:val="auto"/>
        </w:rPr>
      </w:pPr>
      <w:r>
        <w:rPr>
          <w:rFonts w:ascii="Arial" w:cs="Arial" w:eastAsia="Arial" w:hAnsi="Arial"/>
          <w:sz w:val="21"/>
          <w:szCs w:val="21"/>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2863850</wp:posOffset>
            </wp:positionH>
            <wp:positionV relativeFrom="paragraph">
              <wp:posOffset>210820</wp:posOffset>
            </wp:positionV>
            <wp:extent cx="1529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9080" cy="825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299"/>
        <w:spacing w:after="0"/>
        <w:rPr>
          <w:sz w:val="20"/>
          <w:szCs w:val="20"/>
          <w:color w:val="auto"/>
        </w:rPr>
      </w:pPr>
      <w:r>
        <w:rPr>
          <w:rFonts w:ascii="Arial" w:cs="Arial" w:eastAsia="Arial" w:hAnsi="Arial"/>
          <w:sz w:val="21"/>
          <w:szCs w:val="21"/>
          <w:b w:val="1"/>
          <w:bCs w:val="1"/>
          <w:color w:val="auto"/>
        </w:rPr>
        <w:t>CURRENT REPORT</w:t>
      </w:r>
    </w:p>
    <w:p>
      <w:pPr>
        <w:spacing w:after="0" w:line="7" w:lineRule="exact"/>
        <w:rPr>
          <w:sz w:val="24"/>
          <w:szCs w:val="24"/>
          <w:color w:val="auto"/>
        </w:rPr>
      </w:pPr>
    </w:p>
    <w:p>
      <w:pPr>
        <w:jc w:val="center"/>
        <w:ind w:right="-299"/>
        <w:spacing w:after="0"/>
        <w:rPr>
          <w:sz w:val="20"/>
          <w:szCs w:val="20"/>
          <w:color w:val="auto"/>
        </w:rPr>
      </w:pPr>
      <w:r>
        <w:rPr>
          <w:rFonts w:ascii="Arial" w:cs="Arial" w:eastAsia="Arial" w:hAnsi="Arial"/>
          <w:sz w:val="21"/>
          <w:szCs w:val="21"/>
          <w:b w:val="1"/>
          <w:bCs w:val="1"/>
          <w:color w:val="auto"/>
        </w:rPr>
        <w:t>PURSUANT TO SECTION 13 OR 15(d)</w:t>
      </w:r>
    </w:p>
    <w:p>
      <w:pPr>
        <w:jc w:val="center"/>
        <w:ind w:right="-299"/>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75" w:lineRule="exact"/>
        <w:rPr>
          <w:sz w:val="24"/>
          <w:szCs w:val="24"/>
          <w:color w:val="auto"/>
        </w:rPr>
      </w:pPr>
    </w:p>
    <w:p>
      <w:pPr>
        <w:jc w:val="center"/>
        <w:ind w:right="-299"/>
        <w:spacing w:after="0"/>
        <w:rPr>
          <w:sz w:val="20"/>
          <w:szCs w:val="20"/>
          <w:color w:val="auto"/>
        </w:rPr>
      </w:pPr>
      <w:r>
        <w:rPr>
          <w:rFonts w:ascii="Arial" w:cs="Arial" w:eastAsia="Arial" w:hAnsi="Arial"/>
          <w:sz w:val="21"/>
          <w:szCs w:val="21"/>
          <w:b w:val="1"/>
          <w:bCs w:val="1"/>
          <w:color w:val="auto"/>
        </w:rPr>
        <w:t>Date of Report (Date of earliest event reported): July 21,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2863850</wp:posOffset>
            </wp:positionH>
            <wp:positionV relativeFrom="paragraph">
              <wp:posOffset>226060</wp:posOffset>
            </wp:positionV>
            <wp:extent cx="1529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9080" cy="8255"/>
                    </a:xfrm>
                    <a:prstGeom prst="rect">
                      <a:avLst/>
                    </a:prstGeom>
                    <a:noFill/>
                  </pic:spPr>
                </pic:pic>
              </a:graphicData>
            </a:graphic>
          </wp:anchor>
        </w:drawing>
        <w:drawing>
          <wp:anchor simplePos="0" relativeHeight="251657728" behindDoc="1" locked="0" layoutInCell="0" allowOverlap="1">
            <wp:simplePos x="0" y="0"/>
            <wp:positionH relativeFrom="column">
              <wp:posOffset>3307715</wp:posOffset>
            </wp:positionH>
            <wp:positionV relativeFrom="paragraph">
              <wp:posOffset>406400</wp:posOffset>
            </wp:positionV>
            <wp:extent cx="641350" cy="6248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1350" cy="6248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299"/>
        <w:spacing w:after="0"/>
        <w:rPr>
          <w:sz w:val="20"/>
          <w:szCs w:val="20"/>
          <w:color w:val="auto"/>
        </w:rPr>
      </w:pPr>
      <w:r>
        <w:rPr>
          <w:rFonts w:ascii="Arial" w:cs="Arial" w:eastAsia="Arial" w:hAnsi="Arial"/>
          <w:sz w:val="41"/>
          <w:szCs w:val="41"/>
          <w:b w:val="1"/>
          <w:bCs w:val="1"/>
          <w:color w:val="auto"/>
        </w:rPr>
        <w:t>NN, INC.</w:t>
      </w:r>
    </w:p>
    <w:p>
      <w:pPr>
        <w:spacing w:after="0" w:line="51" w:lineRule="exact"/>
        <w:rPr>
          <w:sz w:val="24"/>
          <w:szCs w:val="24"/>
          <w:color w:val="auto"/>
        </w:rPr>
      </w:pPr>
    </w:p>
    <w:p>
      <w:pPr>
        <w:jc w:val="center"/>
        <w:ind w:right="-29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2863850</wp:posOffset>
            </wp:positionH>
            <wp:positionV relativeFrom="paragraph">
              <wp:posOffset>220345</wp:posOffset>
            </wp:positionV>
            <wp:extent cx="1529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9080" cy="8255"/>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tbl>
      <w:tblPr>
        <w:tblLayout w:type="fixed"/>
        <w:tblInd w:w="1120" w:type="dxa"/>
        <w:tblCellMar>
          <w:top w:w="0" w:type="dxa"/>
          <w:left w:w="0" w:type="dxa"/>
          <w:bottom w:w="0" w:type="dxa"/>
          <w:right w:w="0" w:type="dxa"/>
        </w:tblCellMar>
      </w:tblPr>
      <w:tr>
        <w:trPr>
          <w:trHeight w:val="203"/>
        </w:trPr>
        <w:tc>
          <w:tcPr>
            <w:tcW w:w="4100" w:type="dxa"/>
            <w:vAlign w:val="bottom"/>
          </w:tcPr>
          <w:p>
            <w:pPr>
              <w:jc w:val="center"/>
              <w:ind w:right="2384"/>
              <w:spacing w:after="0"/>
              <w:rPr>
                <w:sz w:val="20"/>
                <w:szCs w:val="20"/>
                <w:color w:val="auto"/>
              </w:rPr>
            </w:pPr>
            <w:r>
              <w:rPr>
                <w:rFonts w:ascii="Arial" w:cs="Arial" w:eastAsia="Arial" w:hAnsi="Arial"/>
                <w:sz w:val="17"/>
                <w:szCs w:val="17"/>
                <w:b w:val="1"/>
                <w:bCs w:val="1"/>
                <w:color w:val="auto"/>
                <w:w w:val="91"/>
              </w:rPr>
              <w:t>Delaware</w:t>
            </w:r>
          </w:p>
        </w:tc>
        <w:tc>
          <w:tcPr>
            <w:tcW w:w="2420" w:type="dxa"/>
            <w:vAlign w:val="bottom"/>
          </w:tcPr>
          <w:p>
            <w:pPr>
              <w:jc w:val="center"/>
              <w:ind w:right="1085"/>
              <w:spacing w:after="0"/>
              <w:rPr>
                <w:sz w:val="20"/>
                <w:szCs w:val="20"/>
                <w:color w:val="auto"/>
              </w:rPr>
            </w:pPr>
            <w:r>
              <w:rPr>
                <w:rFonts w:ascii="Arial" w:cs="Arial" w:eastAsia="Arial" w:hAnsi="Arial"/>
                <w:sz w:val="17"/>
                <w:szCs w:val="17"/>
                <w:b w:val="1"/>
                <w:bCs w:val="1"/>
                <w:color w:val="auto"/>
                <w:w w:val="92"/>
              </w:rPr>
              <w:t>0-23486</w:t>
            </w:r>
          </w:p>
        </w:tc>
        <w:tc>
          <w:tcPr>
            <w:tcW w:w="2500" w:type="dxa"/>
            <w:vAlign w:val="bottom"/>
          </w:tcPr>
          <w:p>
            <w:pPr>
              <w:jc w:val="right"/>
              <w:ind w:right="44"/>
              <w:spacing w:after="0"/>
              <w:rPr>
                <w:sz w:val="20"/>
                <w:szCs w:val="20"/>
                <w:color w:val="auto"/>
              </w:rPr>
            </w:pPr>
            <w:r>
              <w:rPr>
                <w:rFonts w:ascii="Arial" w:cs="Arial" w:eastAsia="Arial" w:hAnsi="Arial"/>
                <w:sz w:val="17"/>
                <w:szCs w:val="17"/>
                <w:b w:val="1"/>
                <w:bCs w:val="1"/>
                <w:color w:val="auto"/>
              </w:rPr>
              <w:t>62-1096725</w:t>
            </w:r>
          </w:p>
        </w:tc>
      </w:tr>
      <w:tr>
        <w:trPr>
          <w:trHeight w:val="142"/>
        </w:trPr>
        <w:tc>
          <w:tcPr>
            <w:tcW w:w="4100" w:type="dxa"/>
            <w:vAlign w:val="bottom"/>
          </w:tcPr>
          <w:p>
            <w:pPr>
              <w:jc w:val="center"/>
              <w:ind w:right="2384"/>
              <w:spacing w:after="0" w:line="143" w:lineRule="exact"/>
              <w:rPr>
                <w:sz w:val="20"/>
                <w:szCs w:val="20"/>
                <w:color w:val="auto"/>
              </w:rPr>
            </w:pPr>
            <w:r>
              <w:rPr>
                <w:rFonts w:ascii="Arial" w:cs="Arial" w:eastAsia="Arial" w:hAnsi="Arial"/>
                <w:sz w:val="14"/>
                <w:szCs w:val="14"/>
                <w:b w:val="1"/>
                <w:bCs w:val="1"/>
                <w:color w:val="auto"/>
                <w:w w:val="90"/>
              </w:rPr>
              <w:t>(State or Other Jurisdiction</w:t>
            </w:r>
          </w:p>
        </w:tc>
        <w:tc>
          <w:tcPr>
            <w:tcW w:w="2420" w:type="dxa"/>
            <w:vAlign w:val="bottom"/>
          </w:tcPr>
          <w:p>
            <w:pPr>
              <w:jc w:val="center"/>
              <w:ind w:right="1085"/>
              <w:spacing w:after="0" w:line="143" w:lineRule="exact"/>
              <w:rPr>
                <w:sz w:val="20"/>
                <w:szCs w:val="20"/>
                <w:color w:val="auto"/>
              </w:rPr>
            </w:pPr>
            <w:r>
              <w:rPr>
                <w:rFonts w:ascii="Arial" w:cs="Arial" w:eastAsia="Arial" w:hAnsi="Arial"/>
                <w:sz w:val="14"/>
                <w:szCs w:val="14"/>
                <w:b w:val="1"/>
                <w:bCs w:val="1"/>
                <w:color w:val="auto"/>
                <w:w w:val="87"/>
              </w:rPr>
              <w:t>(Commission</w:t>
            </w:r>
          </w:p>
        </w:tc>
        <w:tc>
          <w:tcPr>
            <w:tcW w:w="2500" w:type="dxa"/>
            <w:vAlign w:val="bottom"/>
          </w:tcPr>
          <w:p>
            <w:pPr>
              <w:jc w:val="center"/>
              <w:ind w:left="1344"/>
              <w:spacing w:after="0" w:line="143" w:lineRule="exact"/>
              <w:rPr>
                <w:sz w:val="20"/>
                <w:szCs w:val="20"/>
                <w:color w:val="auto"/>
              </w:rPr>
            </w:pPr>
            <w:r>
              <w:rPr>
                <w:rFonts w:ascii="Arial" w:cs="Arial" w:eastAsia="Arial" w:hAnsi="Arial"/>
                <w:sz w:val="14"/>
                <w:szCs w:val="14"/>
                <w:b w:val="1"/>
                <w:bCs w:val="1"/>
                <w:color w:val="auto"/>
                <w:w w:val="93"/>
              </w:rPr>
              <w:t>(I.R.S. Employer</w:t>
            </w:r>
          </w:p>
        </w:tc>
      </w:tr>
      <w:tr>
        <w:trPr>
          <w:trHeight w:val="179"/>
        </w:trPr>
        <w:tc>
          <w:tcPr>
            <w:tcW w:w="4100" w:type="dxa"/>
            <w:vAlign w:val="bottom"/>
          </w:tcPr>
          <w:p>
            <w:pPr>
              <w:jc w:val="center"/>
              <w:ind w:right="2384"/>
              <w:spacing w:after="0"/>
              <w:rPr>
                <w:sz w:val="20"/>
                <w:szCs w:val="20"/>
                <w:color w:val="auto"/>
              </w:rPr>
            </w:pPr>
            <w:r>
              <w:rPr>
                <w:rFonts w:ascii="Arial" w:cs="Arial" w:eastAsia="Arial" w:hAnsi="Arial"/>
                <w:sz w:val="14"/>
                <w:szCs w:val="14"/>
                <w:b w:val="1"/>
                <w:bCs w:val="1"/>
                <w:color w:val="auto"/>
                <w:w w:val="92"/>
              </w:rPr>
              <w:t>of Incorporation)</w:t>
            </w:r>
          </w:p>
        </w:tc>
        <w:tc>
          <w:tcPr>
            <w:tcW w:w="2420" w:type="dxa"/>
            <w:vAlign w:val="bottom"/>
          </w:tcPr>
          <w:p>
            <w:pPr>
              <w:jc w:val="center"/>
              <w:ind w:right="1105"/>
              <w:spacing w:after="0"/>
              <w:rPr>
                <w:sz w:val="20"/>
                <w:szCs w:val="20"/>
                <w:color w:val="auto"/>
              </w:rPr>
            </w:pPr>
            <w:r>
              <w:rPr>
                <w:rFonts w:ascii="Arial" w:cs="Arial" w:eastAsia="Arial" w:hAnsi="Arial"/>
                <w:sz w:val="14"/>
                <w:szCs w:val="14"/>
                <w:b w:val="1"/>
                <w:bCs w:val="1"/>
                <w:color w:val="auto"/>
                <w:w w:val="93"/>
              </w:rPr>
              <w:t>File Number)</w:t>
            </w:r>
          </w:p>
        </w:tc>
        <w:tc>
          <w:tcPr>
            <w:tcW w:w="2500" w:type="dxa"/>
            <w:vAlign w:val="bottom"/>
          </w:tcPr>
          <w:p>
            <w:pPr>
              <w:jc w:val="center"/>
              <w:ind w:left="1344"/>
              <w:spacing w:after="0"/>
              <w:rPr>
                <w:sz w:val="20"/>
                <w:szCs w:val="20"/>
                <w:color w:val="auto"/>
              </w:rPr>
            </w:pPr>
            <w:r>
              <w:rPr>
                <w:rFonts w:ascii="Arial" w:cs="Arial" w:eastAsia="Arial" w:hAnsi="Arial"/>
                <w:sz w:val="14"/>
                <w:szCs w:val="14"/>
                <w:b w:val="1"/>
                <w:bCs w:val="1"/>
                <w:color w:val="auto"/>
                <w:w w:val="91"/>
              </w:rPr>
              <w:t>Identification No.)</w:t>
            </w:r>
          </w:p>
        </w:tc>
      </w:tr>
      <w:tr>
        <w:trPr>
          <w:trHeight w:val="417"/>
        </w:trPr>
        <w:tc>
          <w:tcPr>
            <w:tcW w:w="6520" w:type="dxa"/>
            <w:vAlign w:val="bottom"/>
            <w:gridSpan w:val="2"/>
          </w:tcPr>
          <w:p>
            <w:pPr>
              <w:jc w:val="center"/>
              <w:ind w:right="1025"/>
              <w:spacing w:after="0"/>
              <w:rPr>
                <w:sz w:val="20"/>
                <w:szCs w:val="20"/>
                <w:color w:val="auto"/>
              </w:rPr>
            </w:pPr>
            <w:r>
              <w:rPr>
                <w:rFonts w:ascii="Arial" w:cs="Arial" w:eastAsia="Arial" w:hAnsi="Arial"/>
                <w:sz w:val="17"/>
                <w:szCs w:val="17"/>
                <w:b w:val="1"/>
                <w:bCs w:val="1"/>
                <w:color w:val="auto"/>
                <w:w w:val="89"/>
              </w:rPr>
              <w:t>2000 Waters Edge Drive, Johnson City, Tennessee</w:t>
            </w:r>
          </w:p>
        </w:tc>
        <w:tc>
          <w:tcPr>
            <w:tcW w:w="2500" w:type="dxa"/>
            <w:vAlign w:val="bottom"/>
          </w:tcPr>
          <w:p>
            <w:pPr>
              <w:jc w:val="right"/>
              <w:ind w:right="244"/>
              <w:spacing w:after="0"/>
              <w:rPr>
                <w:sz w:val="20"/>
                <w:szCs w:val="20"/>
                <w:color w:val="auto"/>
              </w:rPr>
            </w:pPr>
            <w:r>
              <w:rPr>
                <w:rFonts w:ascii="Arial" w:cs="Arial" w:eastAsia="Arial" w:hAnsi="Arial"/>
                <w:sz w:val="17"/>
                <w:szCs w:val="17"/>
                <w:b w:val="1"/>
                <w:bCs w:val="1"/>
                <w:color w:val="auto"/>
              </w:rPr>
              <w:t>37604</w:t>
            </w:r>
          </w:p>
        </w:tc>
      </w:tr>
      <w:tr>
        <w:trPr>
          <w:trHeight w:val="179"/>
        </w:trPr>
        <w:tc>
          <w:tcPr>
            <w:tcW w:w="4100" w:type="dxa"/>
            <w:vAlign w:val="bottom"/>
          </w:tcPr>
          <w:p>
            <w:pPr>
              <w:jc w:val="center"/>
              <w:ind w:left="1264"/>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420" w:type="dxa"/>
            <w:vAlign w:val="bottom"/>
          </w:tcPr>
          <w:p>
            <w:pPr>
              <w:spacing w:after="0"/>
              <w:rPr>
                <w:sz w:val="15"/>
                <w:szCs w:val="15"/>
                <w:color w:val="auto"/>
              </w:rPr>
            </w:pPr>
          </w:p>
        </w:tc>
        <w:tc>
          <w:tcPr>
            <w:tcW w:w="2500" w:type="dxa"/>
            <w:vAlign w:val="bottom"/>
          </w:tcPr>
          <w:p>
            <w:pPr>
              <w:jc w:val="center"/>
              <w:ind w:left="1344"/>
              <w:spacing w:after="0"/>
              <w:rPr>
                <w:sz w:val="20"/>
                <w:szCs w:val="20"/>
                <w:color w:val="auto"/>
              </w:rPr>
            </w:pPr>
            <w:r>
              <w:rPr>
                <w:rFonts w:ascii="Arial" w:cs="Arial" w:eastAsia="Arial" w:hAnsi="Arial"/>
                <w:sz w:val="14"/>
                <w:szCs w:val="14"/>
                <w:b w:val="1"/>
                <w:bCs w:val="1"/>
                <w:color w:val="auto"/>
                <w:w w:val="92"/>
              </w:rPr>
              <w:t>(Zip Code)</w:t>
            </w:r>
          </w:p>
        </w:tc>
      </w:tr>
    </w:tbl>
    <w:p>
      <w:pPr>
        <w:spacing w:after="0" w:line="175" w:lineRule="exact"/>
        <w:rPr>
          <w:sz w:val="24"/>
          <w:szCs w:val="24"/>
          <w:color w:val="auto"/>
        </w:rPr>
      </w:pPr>
    </w:p>
    <w:p>
      <w:pPr>
        <w:jc w:val="center"/>
        <w:ind w:right="-299"/>
        <w:spacing w:after="0"/>
        <w:rPr>
          <w:sz w:val="20"/>
          <w:szCs w:val="20"/>
          <w:color w:val="auto"/>
        </w:rPr>
      </w:pPr>
      <w:r>
        <w:rPr>
          <w:rFonts w:ascii="Arial" w:cs="Arial" w:eastAsia="Arial" w:hAnsi="Arial"/>
          <w:sz w:val="17"/>
          <w:szCs w:val="17"/>
          <w:b w:val="1"/>
          <w:bCs w:val="1"/>
          <w:color w:val="auto"/>
        </w:rPr>
        <w:t>(423) 743-9151</w:t>
      </w:r>
    </w:p>
    <w:p>
      <w:pPr>
        <w:spacing w:after="0" w:line="24"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06"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2863850</wp:posOffset>
            </wp:positionH>
            <wp:positionV relativeFrom="paragraph">
              <wp:posOffset>216535</wp:posOffset>
            </wp:positionV>
            <wp:extent cx="1529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9080"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spacing w:after="0" w:line="284" w:lineRule="auto"/>
        <w:rPr>
          <w:sz w:val="20"/>
          <w:szCs w:val="20"/>
          <w:color w:val="auto"/>
        </w:rPr>
      </w:pPr>
      <w:r>
        <w:rPr>
          <w:rFonts w:ascii="Arial" w:cs="Arial" w:eastAsia="Arial" w:hAnsi="Arial"/>
          <w:sz w:val="17"/>
          <w:szCs w:val="17"/>
          <w:color w:val="auto"/>
        </w:rPr>
        <w:t>Check the appropriate box if the Form 8-K filing is intended to simultaneously satisfy the filing obligation of the registrant under any of the following provisions (see General Instruction A.2. below):</w:t>
      </w:r>
    </w:p>
    <w:p>
      <w:pPr>
        <w:spacing w:after="0" w:line="68" w:lineRule="exact"/>
        <w:rPr>
          <w:sz w:val="24"/>
          <w:szCs w:val="24"/>
          <w:color w:val="auto"/>
        </w:rPr>
      </w:pPr>
    </w:p>
    <w:p>
      <w:pPr>
        <w:ind w:left="460" w:hanging="456"/>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28" w:lineRule="exact"/>
        <w:rPr>
          <w:rFonts w:ascii="MS PGothic" w:cs="MS PGothic" w:eastAsia="MS PGothic" w:hAnsi="MS PGothic"/>
          <w:sz w:val="17"/>
          <w:szCs w:val="17"/>
          <w:color w:val="auto"/>
        </w:rPr>
      </w:pPr>
    </w:p>
    <w:p>
      <w:pPr>
        <w:ind w:left="460" w:hanging="456"/>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28" w:lineRule="exact"/>
        <w:rPr>
          <w:rFonts w:ascii="MS PGothic" w:cs="MS PGothic" w:eastAsia="MS PGothic" w:hAnsi="MS PGothic"/>
          <w:sz w:val="17"/>
          <w:szCs w:val="17"/>
          <w:color w:val="auto"/>
        </w:rPr>
      </w:pPr>
    </w:p>
    <w:p>
      <w:pPr>
        <w:ind w:left="460" w:hanging="456"/>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240.14d- 2(b))</w:t>
      </w:r>
    </w:p>
    <w:p>
      <w:pPr>
        <w:spacing w:after="0" w:line="128" w:lineRule="exact"/>
        <w:rPr>
          <w:rFonts w:ascii="MS PGothic" w:cs="MS PGothic" w:eastAsia="MS PGothic" w:hAnsi="MS PGothic"/>
          <w:sz w:val="17"/>
          <w:szCs w:val="17"/>
          <w:color w:val="auto"/>
        </w:rPr>
      </w:pPr>
    </w:p>
    <w:p>
      <w:pPr>
        <w:ind w:left="460" w:hanging="456"/>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154940</wp:posOffset>
            </wp:positionV>
            <wp:extent cx="72523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233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196215</wp:posOffset>
            </wp:positionV>
            <wp:extent cx="72523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ectPr>
          <w:pgSz w:w="11900" w:h="16838" w:orient="portrait"/>
          <w:cols w:equalWidth="0" w:num="1">
            <w:col w:w="11120"/>
          </w:cols>
          <w:pgMar w:left="240" w:top="358" w:right="539" w:bottom="1440" w:gutter="0" w:footer="0" w:header="0"/>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4245" cy="37465"/>
                    </a:xfrm>
                    <a:prstGeom prst="rect">
                      <a:avLst/>
                    </a:prstGeom>
                    <a:noFill/>
                  </pic:spPr>
                </pic:pic>
              </a:graphicData>
            </a:graphic>
          </wp:anchor>
        </w:drawing>
        <w:t>EXPLANATORY NOTE</w:t>
      </w:r>
    </w:p>
    <w:p>
      <w:pPr>
        <w:spacing w:after="0" w:line="225"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This Amendment No. 2 on Form 8-K/A amends the Current Report on Form 8-K of NN, Inc. (the “Company”) filed with the Securities and Exchange Commission on July 22, 2014 (the “Original 8-K”), as amended by the Company’s Current Report on Form 8-K/A filed with the SEC on August 8, 2014. The Company has further revised the investor presentation filed as Exhibit 99.3 to the Original 8-K. No other changes were made to the Original 8-K or the other exhibits filed therewith.</w:t>
      </w:r>
    </w:p>
    <w:p>
      <w:pPr>
        <w:spacing w:after="0" w:line="312"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b w:val="1"/>
          <w:bCs w:val="1"/>
          <w:color w:val="auto"/>
        </w:rPr>
        <w:t>Item 8.01</w:t>
      </w:r>
      <w:r>
        <w:rPr>
          <w:sz w:val="20"/>
          <w:szCs w:val="20"/>
          <w:color w:val="auto"/>
        </w:rPr>
        <w:tab/>
      </w:r>
      <w:r>
        <w:rPr>
          <w:rFonts w:ascii="Arial" w:cs="Arial" w:eastAsia="Arial" w:hAnsi="Arial"/>
          <w:sz w:val="17"/>
          <w:szCs w:val="17"/>
          <w:b w:val="1"/>
          <w:bCs w:val="1"/>
          <w:color w:val="auto"/>
        </w:rPr>
        <w:t>OTHER EVENTS</w:t>
      </w:r>
    </w:p>
    <w:p>
      <w:pPr>
        <w:spacing w:after="0" w:line="121"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On August 12, 2014, the Company posted a revised investor presentation to its website regarding the merger contemplated by that certain Agreement and Plan of Merger, dated July 18, 2014, by and among the Company, PMC Global Acquisition Corporation, a Michigan corporation, Autocam Corporation, a Michigan corporation, Newport Global Advisors, L.P., a Delaware limited partnership, solely in its capacity as a shareholder representative, and John C. Kennedy, solely in his capacity as a shareholder representative and with respect to certain sections of the merger agreement. A copy of the revised investor presentation is attached hereto as Exhibit 99.1.</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40" w:type="dxa"/>
            <w:vAlign w:val="bottom"/>
            <w:gridSpan w:val="2"/>
          </w:tcPr>
          <w:p>
            <w:pPr>
              <w:spacing w:after="0"/>
              <w:rPr>
                <w:sz w:val="20"/>
                <w:szCs w:val="20"/>
                <w:color w:val="auto"/>
              </w:rPr>
            </w:pPr>
            <w:r>
              <w:rPr>
                <w:rFonts w:ascii="Arial" w:cs="Arial" w:eastAsia="Arial" w:hAnsi="Arial"/>
                <w:sz w:val="17"/>
                <w:szCs w:val="17"/>
                <w:b w:val="1"/>
                <w:bCs w:val="1"/>
                <w:color w:val="auto"/>
              </w:rPr>
              <w:t>Item 9.01</w:t>
            </w:r>
          </w:p>
        </w:tc>
        <w:tc>
          <w:tcPr>
            <w:tcW w:w="160" w:type="dxa"/>
            <w:vAlign w:val="bottom"/>
          </w:tcPr>
          <w:p>
            <w:pPr>
              <w:spacing w:after="0"/>
              <w:rPr>
                <w:sz w:val="19"/>
                <w:szCs w:val="19"/>
                <w:color w:val="auto"/>
              </w:rPr>
            </w:pPr>
          </w:p>
        </w:tc>
        <w:tc>
          <w:tcPr>
            <w:tcW w:w="3840" w:type="dxa"/>
            <w:vAlign w:val="bottom"/>
            <w:gridSpan w:val="2"/>
          </w:tcPr>
          <w:p>
            <w:pPr>
              <w:ind w:left="360"/>
              <w:spacing w:after="0"/>
              <w:rPr>
                <w:sz w:val="20"/>
                <w:szCs w:val="20"/>
                <w:color w:val="auto"/>
              </w:rPr>
            </w:pPr>
            <w:r>
              <w:rPr>
                <w:rFonts w:ascii="Arial" w:cs="Arial" w:eastAsia="Arial" w:hAnsi="Arial"/>
                <w:sz w:val="17"/>
                <w:szCs w:val="17"/>
                <w:b w:val="1"/>
                <w:bCs w:val="1"/>
                <w:color w:val="auto"/>
              </w:rPr>
              <w:t>FINANCIAL STATEMENTS AND EXHIBITS</w:t>
            </w:r>
          </w:p>
        </w:tc>
        <w:tc>
          <w:tcPr>
            <w:tcW w:w="0" w:type="dxa"/>
            <w:vAlign w:val="bottom"/>
          </w:tcPr>
          <w:p>
            <w:pPr>
              <w:spacing w:after="0"/>
              <w:rPr>
                <w:sz w:val="1"/>
                <w:szCs w:val="1"/>
                <w:color w:val="auto"/>
              </w:rPr>
            </w:pPr>
          </w:p>
        </w:tc>
      </w:tr>
      <w:tr>
        <w:trPr>
          <w:trHeight w:val="353"/>
        </w:trPr>
        <w:tc>
          <w:tcPr>
            <w:tcW w:w="8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Exhibit</w:t>
            </w:r>
          </w:p>
        </w:tc>
        <w:tc>
          <w:tcPr>
            <w:tcW w:w="160" w:type="dxa"/>
            <w:vAlign w:val="bottom"/>
            <w:vMerge w:val="restart"/>
          </w:tcPr>
          <w:p>
            <w:pPr>
              <w:spacing w:after="0"/>
              <w:rPr>
                <w:sz w:val="24"/>
                <w:szCs w:val="24"/>
                <w:color w:val="auto"/>
              </w:rPr>
            </w:pPr>
          </w:p>
        </w:tc>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5"/>
        </w:trPr>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4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3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jc w:val="center"/>
              <w:spacing w:after="0"/>
              <w:rPr>
                <w:sz w:val="20"/>
                <w:szCs w:val="20"/>
                <w:color w:val="auto"/>
              </w:rPr>
            </w:pPr>
            <w:r>
              <w:rPr>
                <w:rFonts w:ascii="Arial" w:cs="Arial" w:eastAsia="Arial" w:hAnsi="Arial"/>
                <w:sz w:val="17"/>
                <w:szCs w:val="17"/>
                <w:color w:val="auto"/>
                <w:w w:val="90"/>
              </w:rPr>
              <w:t>99.1</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7"/>
                <w:szCs w:val="17"/>
                <w:color w:val="auto"/>
                <w:w w:val="96"/>
              </w:rPr>
              <w:t>Investor Presentation Slides, dated August 12, 2014.</w:t>
            </w:r>
          </w:p>
        </w:tc>
        <w:tc>
          <w:tcPr>
            <w:tcW w:w="0" w:type="dxa"/>
            <w:vAlign w:val="bottom"/>
          </w:tcPr>
          <w:p>
            <w:pPr>
              <w:spacing w:after="0"/>
              <w:rPr>
                <w:sz w:val="1"/>
                <w:szCs w:val="1"/>
                <w:color w:val="auto"/>
              </w:rPr>
            </w:pPr>
          </w:p>
        </w:tc>
      </w:tr>
    </w:tbl>
    <w:p>
      <w:pPr>
        <w:sectPr>
          <w:pgSz w:w="11900" w:h="16838" w:orient="portrait"/>
          <w:cols w:equalWidth="0" w:num="1">
            <w:col w:w="11420"/>
          </w:cols>
          <w:pgMar w:left="240" w:top="26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4245" cy="37465"/>
                    </a:xfrm>
                    <a:prstGeom prst="rect">
                      <a:avLst/>
                    </a:prstGeom>
                    <a:noFill/>
                  </pic:spPr>
                </pic:pic>
              </a:graphicData>
            </a:graphic>
          </wp:anchor>
        </w:drawing>
        <w:t>SIGNATURES</w:t>
      </w:r>
    </w:p>
    <w:p>
      <w:pPr>
        <w:spacing w:after="0" w:line="225"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79"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Date: August 12, 2014</w:t>
      </w:r>
      <w:r>
        <w:rPr>
          <w:sz w:val="20"/>
          <w:szCs w:val="20"/>
          <w:color w:val="auto"/>
        </w:rPr>
        <w:tab/>
      </w:r>
      <w:r>
        <w:rPr>
          <w:rFonts w:ascii="Arial" w:cs="Arial" w:eastAsia="Arial" w:hAnsi="Arial"/>
          <w:sz w:val="16"/>
          <w:szCs w:val="16"/>
          <w:b w:val="1"/>
          <w:bCs w:val="1"/>
          <w:color w:val="auto"/>
        </w:rPr>
        <w:t>NN, INC.</w:t>
      </w:r>
    </w:p>
    <w:p>
      <w:pPr>
        <w:spacing w:after="0" w:line="225" w:lineRule="exact"/>
        <w:rPr>
          <w:sz w:val="20"/>
          <w:szCs w:val="20"/>
          <w:color w:val="auto"/>
        </w:rPr>
      </w:pPr>
    </w:p>
    <w:tbl>
      <w:tblPr>
        <w:tblLayout w:type="fixed"/>
        <w:tblInd w:w="5840" w:type="dxa"/>
        <w:tblCellMar>
          <w:top w:w="0" w:type="dxa"/>
          <w:left w:w="0" w:type="dxa"/>
          <w:bottom w:w="0" w:type="dxa"/>
          <w:right w:w="0" w:type="dxa"/>
        </w:tblCellMar>
      </w:tblPr>
      <w:tr>
        <w:trPr>
          <w:trHeight w:val="220"/>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William C. Kelly, Jr.</w:t>
            </w:r>
          </w:p>
        </w:tc>
      </w:tr>
      <w:tr>
        <w:trPr>
          <w:trHeight w:val="201"/>
        </w:trPr>
        <w:tc>
          <w:tcPr>
            <w:tcW w:w="560" w:type="dxa"/>
            <w:vAlign w:val="bottom"/>
          </w:tcPr>
          <w:p>
            <w:pPr>
              <w:spacing w:after="0"/>
              <w:rPr>
                <w:sz w:val="20"/>
                <w:szCs w:val="20"/>
                <w:color w:val="auto"/>
              </w:rPr>
            </w:pPr>
            <w:r>
              <w:rPr>
                <w:rFonts w:ascii="Arial" w:cs="Arial" w:eastAsia="Arial" w:hAnsi="Arial"/>
                <w:sz w:val="17"/>
                <w:szCs w:val="17"/>
                <w:color w:val="auto"/>
              </w:rPr>
              <w:t>Name:</w:t>
            </w:r>
          </w:p>
        </w:tc>
        <w:tc>
          <w:tcPr>
            <w:tcW w:w="5020" w:type="dxa"/>
            <w:vAlign w:val="bottom"/>
          </w:tcPr>
          <w:p>
            <w:pPr>
              <w:spacing w:after="0"/>
              <w:rPr>
                <w:sz w:val="20"/>
                <w:szCs w:val="20"/>
                <w:color w:val="auto"/>
              </w:rPr>
            </w:pPr>
            <w:r>
              <w:rPr>
                <w:rFonts w:ascii="Arial" w:cs="Arial" w:eastAsia="Arial" w:hAnsi="Arial"/>
                <w:sz w:val="17"/>
                <w:szCs w:val="17"/>
                <w:color w:val="auto"/>
              </w:rPr>
              <w:t>William C. Kelly, Jr.</w:t>
            </w:r>
          </w:p>
        </w:tc>
      </w:tr>
      <w:tr>
        <w:trPr>
          <w:trHeight w:val="207"/>
        </w:trPr>
        <w:tc>
          <w:tcPr>
            <w:tcW w:w="560" w:type="dxa"/>
            <w:vAlign w:val="bottom"/>
          </w:tcPr>
          <w:p>
            <w:pPr>
              <w:spacing w:after="0"/>
              <w:rPr>
                <w:sz w:val="20"/>
                <w:szCs w:val="20"/>
                <w:color w:val="auto"/>
              </w:rPr>
            </w:pPr>
            <w:r>
              <w:rPr>
                <w:rFonts w:ascii="Arial" w:cs="Arial" w:eastAsia="Arial" w:hAnsi="Arial"/>
                <w:sz w:val="17"/>
                <w:szCs w:val="17"/>
                <w:color w:val="auto"/>
              </w:rPr>
              <w:t>Title:</w:t>
            </w:r>
          </w:p>
        </w:tc>
        <w:tc>
          <w:tcPr>
            <w:tcW w:w="5020" w:type="dxa"/>
            <w:vAlign w:val="bottom"/>
          </w:tcPr>
          <w:p>
            <w:pPr>
              <w:spacing w:after="0"/>
              <w:rPr>
                <w:sz w:val="20"/>
                <w:szCs w:val="20"/>
                <w:color w:val="auto"/>
              </w:rPr>
            </w:pPr>
            <w:r>
              <w:rPr>
                <w:rFonts w:ascii="Arial" w:cs="Arial" w:eastAsia="Arial" w:hAnsi="Arial"/>
                <w:sz w:val="17"/>
                <w:szCs w:val="17"/>
                <w:color w:val="auto"/>
              </w:rPr>
              <w:t>Vice President and Chief</w:t>
            </w:r>
          </w:p>
        </w:tc>
      </w:tr>
      <w:tr>
        <w:trPr>
          <w:trHeight w:val="220"/>
        </w:trPr>
        <w:tc>
          <w:tcPr>
            <w:tcW w:w="56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7"/>
                <w:szCs w:val="17"/>
                <w:color w:val="auto"/>
              </w:rPr>
              <w:t>Administrative Officer</w:t>
            </w:r>
          </w:p>
        </w:tc>
      </w:tr>
    </w:tbl>
    <w:p>
      <w:pPr>
        <w:sectPr>
          <w:pgSz w:w="11900" w:h="16838" w:orient="portrait"/>
          <w:cols w:equalWidth="0" w:num="1">
            <w:col w:w="11420"/>
          </w:cols>
          <w:pgMar w:left="240" w:top="264" w:right="239" w:bottom="1440" w:gutter="0" w:footer="0" w:header="0"/>
        </w:sectPr>
      </w:pPr>
    </w:p>
    <w:bookmarkStart w:id="3" w:name="page4"/>
    <w:bookmarkEnd w:id="3"/>
    <w:p>
      <w:pPr>
        <w:jc w:val="right"/>
        <w:ind w:right="38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4245" cy="37465"/>
                    </a:xfrm>
                    <a:prstGeom prst="rect">
                      <a:avLst/>
                    </a:prstGeom>
                    <a:noFill/>
                  </pic:spPr>
                </pic:pic>
              </a:graphicData>
            </a:graphic>
          </wp:anchor>
        </w:drawing>
        <w:t>EXHIBIT INDEX</w:t>
      </w: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ind w:left="120"/>
        <w:spacing w:after="0"/>
        <w:tabs>
          <w:tab w:leader="none" w:pos="64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wp:posOffset>
            </wp:positionV>
            <wp:extent cx="2794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9400" cy="8255"/>
                    </a:xfrm>
                    <a:prstGeom prst="rect">
                      <a:avLst/>
                    </a:prstGeom>
                    <a:noFill/>
                  </pic:spPr>
                </pic:pic>
              </a:graphicData>
            </a:graphic>
          </wp:anchor>
        </w:drawing>
      </w:r>
    </w:p>
    <w:p>
      <w:pPr>
        <w:spacing w:after="0" w:line="72" w:lineRule="exact"/>
        <w:rPr>
          <w:sz w:val="20"/>
          <w:szCs w:val="20"/>
          <w:color w:val="auto"/>
        </w:rPr>
      </w:pPr>
    </w:p>
    <w:p>
      <w:pPr>
        <w:ind w:left="80"/>
        <w:spacing w:after="0"/>
        <w:tabs>
          <w:tab w:leader="none" w:pos="64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Investor Presentation Slides, dated August 12, 2014.</w:t>
      </w:r>
    </w:p>
    <w:p>
      <w:pPr>
        <w:sectPr>
          <w:pgSz w:w="11900" w:h="16838" w:orient="portrait"/>
          <w:cols w:equalWidth="0" w:num="1">
            <w:col w:w="10219"/>
          </w:cols>
          <w:pgMar w:left="240" w:top="26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163195</wp:posOffset>
            </wp:positionV>
            <wp:extent cx="7312660" cy="4119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2660" cy="4119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color w:val="FFFFFF"/>
        </w:rPr>
        <w:t>NN, Inc. Acquisition of Autocam Corporation</w:t>
      </w:r>
    </w:p>
    <w:p>
      <w:pPr>
        <w:sectPr>
          <w:pgSz w:w="11900" w:h="16838" w:orient="portrait"/>
          <w:cols w:equalWidth="0" w:num="1">
            <w:col w:w="11420"/>
          </w:cols>
          <w:pgMar w:left="240" w:top="127"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325360" cy="4210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5360" cy="421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20" w:type="dxa"/>
            <w:vAlign w:val="bottom"/>
          </w:tcPr>
          <w:p>
            <w:pPr>
              <w:spacing w:after="0"/>
              <w:rPr>
                <w:sz w:val="20"/>
                <w:szCs w:val="20"/>
                <w:color w:val="auto"/>
              </w:rPr>
            </w:pPr>
            <w:r>
              <w:rPr>
                <w:rFonts w:ascii="Arial" w:cs="Arial" w:eastAsia="Arial" w:hAnsi="Arial"/>
                <w:sz w:val="13"/>
                <w:szCs w:val="13"/>
                <w:color w:val="FFFFFF"/>
              </w:rPr>
              <w:t>Cautionary Note Regarding Forward-Looking Sta ements</w:t>
            </w:r>
          </w:p>
        </w:tc>
        <w:tc>
          <w:tcPr>
            <w:tcW w:w="5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11240" w:type="dxa"/>
            <w:vAlign w:val="bottom"/>
            <w:gridSpan w:val="2"/>
          </w:tcPr>
          <w:p>
            <w:pPr>
              <w:spacing w:after="0" w:line="39" w:lineRule="exact"/>
              <w:rPr>
                <w:sz w:val="20"/>
                <w:szCs w:val="20"/>
                <w:color w:val="auto"/>
              </w:rPr>
            </w:pPr>
            <w:r>
              <w:rPr>
                <w:rFonts w:ascii="Arial" w:cs="Arial" w:eastAsia="Arial" w:hAnsi="Arial"/>
                <w:sz w:val="4"/>
                <w:szCs w:val="4"/>
                <w:color w:val="FFFFFF"/>
              </w:rPr>
              <w:t>All statemen s in these slides, other than statements of historical fact, are “forward-looking statements” that are made pursuant to the safe harbor provisions of the Private</w:t>
            </w: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240" w:type="dxa"/>
            <w:vAlign w:val="bottom"/>
            <w:gridSpan w:val="2"/>
          </w:tcPr>
          <w:p>
            <w:pPr>
              <w:spacing w:after="0" w:line="39" w:lineRule="exact"/>
              <w:rPr>
                <w:sz w:val="20"/>
                <w:szCs w:val="20"/>
                <w:color w:val="auto"/>
              </w:rPr>
            </w:pPr>
            <w:r>
              <w:rPr>
                <w:rFonts w:ascii="Arial" w:cs="Arial" w:eastAsia="Arial" w:hAnsi="Arial"/>
                <w:sz w:val="4"/>
                <w:szCs w:val="4"/>
                <w:color w:val="FFFFFF"/>
              </w:rPr>
              <w:t>Securities Litigation Reform Act of 1995. These forward-looking statements, which are based on current expectations, estimates and projections about the industry and markets   which NN and Autocam operate and</w:t>
            </w: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240" w:type="dxa"/>
            <w:vAlign w:val="bottom"/>
            <w:gridSpan w:val="2"/>
          </w:tcPr>
          <w:p>
            <w:pPr>
              <w:spacing w:after="0" w:line="39" w:lineRule="exact"/>
              <w:rPr>
                <w:sz w:val="20"/>
                <w:szCs w:val="20"/>
                <w:color w:val="auto"/>
              </w:rPr>
            </w:pPr>
            <w:r>
              <w:rPr>
                <w:rFonts w:ascii="Arial" w:cs="Arial" w:eastAsia="Arial" w:hAnsi="Arial"/>
                <w:sz w:val="4"/>
                <w:szCs w:val="4"/>
                <w:color w:val="FFFFFF"/>
              </w:rPr>
              <w:t>beliefs of and assumptions made by NN management, nvolve uncertainties that could significantly affect the financial results of NN or the combined company. Such forward-looking statements include, but are not</w:t>
            </w: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5620" w:type="dxa"/>
            <w:vAlign w:val="bottom"/>
          </w:tcPr>
          <w:p>
            <w:pPr>
              <w:spacing w:after="0" w:line="39" w:lineRule="exact"/>
              <w:rPr>
                <w:sz w:val="20"/>
                <w:szCs w:val="20"/>
                <w:color w:val="auto"/>
              </w:rPr>
            </w:pPr>
            <w:r>
              <w:rPr>
                <w:rFonts w:ascii="Arial" w:cs="Arial" w:eastAsia="Arial" w:hAnsi="Arial"/>
                <w:sz w:val="4"/>
                <w:szCs w:val="4"/>
                <w:color w:val="FFFFFF"/>
              </w:rPr>
              <w:t>limited to, statements about the benefits of the transaction involving NN and Autocam, including future</w:t>
            </w:r>
          </w:p>
        </w:tc>
        <w:tc>
          <w:tcPr>
            <w:tcW w:w="5620" w:type="dxa"/>
            <w:vAlign w:val="bottom"/>
          </w:tcPr>
          <w:p>
            <w:pPr>
              <w:ind w:left="260"/>
              <w:spacing w:after="0" w:line="39" w:lineRule="exact"/>
              <w:rPr>
                <w:sz w:val="20"/>
                <w:szCs w:val="20"/>
                <w:color w:val="auto"/>
              </w:rPr>
            </w:pPr>
            <w:r>
              <w:rPr>
                <w:rFonts w:ascii="Arial" w:cs="Arial" w:eastAsia="Arial" w:hAnsi="Arial"/>
                <w:sz w:val="4"/>
                <w:szCs w:val="4"/>
                <w:color w:val="FFFFFF"/>
              </w:rPr>
              <w:t>and operating results and the combined company’s plans, objectives, expectations and intentions. All</w:t>
            </w: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300" w:type="dxa"/>
            <w:vAlign w:val="bottom"/>
            <w:gridSpan w:val="3"/>
          </w:tcPr>
          <w:p>
            <w:pPr>
              <w:spacing w:after="0" w:line="39" w:lineRule="exact"/>
              <w:rPr>
                <w:sz w:val="20"/>
                <w:szCs w:val="20"/>
                <w:color w:val="auto"/>
              </w:rPr>
            </w:pPr>
            <w:r>
              <w:rPr>
                <w:rFonts w:ascii="Arial" w:cs="Arial" w:eastAsia="Arial" w:hAnsi="Arial"/>
                <w:sz w:val="4"/>
                <w:szCs w:val="4"/>
                <w:color w:val="FFFFFF"/>
              </w:rPr>
              <w:t>statements that address operating performance, events or developments that we expect or anticipate will financialoccur the future—including statements relating to creating value for stockholders, benefits of the transaction to</w:t>
            </w:r>
          </w:p>
        </w:tc>
        <w:tc>
          <w:tcPr>
            <w:tcW w:w="0" w:type="dxa"/>
            <w:vAlign w:val="bottom"/>
          </w:tcPr>
          <w:p>
            <w:pPr>
              <w:spacing w:after="0" w:line="20" w:lineRule="exact"/>
              <w:rPr>
                <w:sz w:val="1"/>
                <w:szCs w:val="1"/>
                <w:color w:val="auto"/>
              </w:rPr>
            </w:pPr>
          </w:p>
        </w:tc>
      </w:tr>
      <w:tr>
        <w:trPr>
          <w:trHeight w:val="39"/>
        </w:trPr>
        <w:tc>
          <w:tcPr>
            <w:tcW w:w="11240" w:type="dxa"/>
            <w:vAlign w:val="bottom"/>
            <w:gridSpan w:val="2"/>
          </w:tcPr>
          <w:p>
            <w:pPr>
              <w:spacing w:after="0" w:line="39" w:lineRule="exact"/>
              <w:rPr>
                <w:sz w:val="20"/>
                <w:szCs w:val="20"/>
                <w:color w:val="auto"/>
              </w:rPr>
            </w:pPr>
            <w:r>
              <w:rPr>
                <w:rFonts w:ascii="Arial" w:cs="Arial" w:eastAsia="Arial" w:hAnsi="Arial"/>
                <w:sz w:val="4"/>
                <w:szCs w:val="4"/>
                <w:color w:val="FFFFFF"/>
              </w:rPr>
              <w:t>customers and employees of the combined company, integrating our companies, cost savings, synergies, earnings per share, and the expected timetable for completing the proposed transaction—are forward-looking</w:t>
            </w:r>
          </w:p>
        </w:tc>
        <w:tc>
          <w:tcPr>
            <w:tcW w:w="60" w:type="dxa"/>
            <w:vAlign w:val="bottom"/>
            <w:vMerge w:val="restart"/>
          </w:tcPr>
          <w:p>
            <w:pPr>
              <w:jc w:val="right"/>
              <w:spacing w:after="0" w:line="78" w:lineRule="exact"/>
              <w:rPr>
                <w:sz w:val="20"/>
                <w:szCs w:val="20"/>
                <w:color w:val="auto"/>
              </w:rPr>
            </w:pPr>
            <w:r>
              <w:rPr>
                <w:rFonts w:ascii="Arial" w:cs="Arial" w:eastAsia="Arial" w:hAnsi="Arial"/>
                <w:sz w:val="8"/>
                <w:szCs w:val="8"/>
                <w:color w:val="FFFFFF"/>
                <w:w w:val="73"/>
              </w:rPr>
              <w:t>-</w:t>
            </w:r>
          </w:p>
        </w:tc>
        <w:tc>
          <w:tcPr>
            <w:tcW w:w="0" w:type="dxa"/>
            <w:vAlign w:val="bottom"/>
          </w:tcPr>
          <w:p>
            <w:pPr>
              <w:spacing w:after="0" w:line="20" w:lineRule="exact"/>
              <w:rPr>
                <w:sz w:val="1"/>
                <w:szCs w:val="1"/>
                <w:color w:val="auto"/>
              </w:rPr>
            </w:pPr>
          </w:p>
        </w:tc>
      </w:tr>
      <w:tr>
        <w:trPr>
          <w:trHeight w:val="39"/>
        </w:trPr>
        <w:tc>
          <w:tcPr>
            <w:tcW w:w="11240" w:type="dxa"/>
            <w:vAlign w:val="bottom"/>
            <w:gridSpan w:val="2"/>
          </w:tcPr>
          <w:p>
            <w:pPr>
              <w:spacing w:after="0" w:line="39" w:lineRule="exact"/>
              <w:rPr>
                <w:sz w:val="20"/>
                <w:szCs w:val="20"/>
                <w:color w:val="auto"/>
              </w:rPr>
            </w:pPr>
            <w:r>
              <w:rPr>
                <w:rFonts w:ascii="Arial" w:cs="Arial" w:eastAsia="Arial" w:hAnsi="Arial"/>
                <w:sz w:val="4"/>
                <w:szCs w:val="4"/>
                <w:color w:val="FFFFFF"/>
              </w:rPr>
              <w:t>statements. These statements are not guarantees of future performance and involve certain risks, uncertainties and assumptions that are difficult to predict. Although we believe the expectations reflected in any</w:t>
            </w:r>
          </w:p>
        </w:tc>
        <w:tc>
          <w:tcPr>
            <w:tcW w:w="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240" w:type="dxa"/>
            <w:vAlign w:val="bottom"/>
            <w:gridSpan w:val="2"/>
          </w:tcPr>
          <w:p>
            <w:pPr>
              <w:spacing w:after="0" w:line="39" w:lineRule="exact"/>
              <w:rPr>
                <w:sz w:val="20"/>
                <w:szCs w:val="20"/>
                <w:color w:val="auto"/>
              </w:rPr>
            </w:pPr>
            <w:r>
              <w:rPr>
                <w:rFonts w:ascii="Arial" w:cs="Arial" w:eastAsia="Arial" w:hAnsi="Arial"/>
                <w:sz w:val="4"/>
                <w:szCs w:val="4"/>
                <w:color w:val="FFFFFF"/>
              </w:rPr>
              <w:t>looking statements are based on reasonable assumptions, we can give no assurance that our expectations will be attained and therefore, actual outcomes and results may differ materially from what is expressed forward</w:t>
            </w: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0"/>
        </w:trPr>
        <w:tc>
          <w:tcPr>
            <w:tcW w:w="11240" w:type="dxa"/>
            <w:vAlign w:val="bottom"/>
            <w:gridSpan w:val="2"/>
          </w:tcPr>
          <w:p>
            <w:pPr>
              <w:spacing w:after="0" w:line="38" w:lineRule="exact"/>
              <w:rPr>
                <w:sz w:val="20"/>
                <w:szCs w:val="20"/>
                <w:color w:val="auto"/>
              </w:rPr>
            </w:pPr>
            <w:r>
              <w:rPr>
                <w:rFonts w:ascii="Arial" w:cs="Arial" w:eastAsia="Arial" w:hAnsi="Arial"/>
                <w:sz w:val="4"/>
                <w:szCs w:val="4"/>
                <w:color w:val="FFFFFF"/>
              </w:rPr>
              <w:t>forecasted in such forward-looking statements. For example, these forward-looking statements could be affected by factors including, without limitation:</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 w:lineRule="auto"/>
        <w:rPr>
          <w:sz w:val="20"/>
          <w:szCs w:val="20"/>
          <w:color w:val="auto"/>
        </w:rPr>
      </w:pPr>
      <w:r>
        <w:rPr>
          <w:rFonts w:ascii="Arial" w:cs="Arial" w:eastAsia="Arial" w:hAnsi="Arial"/>
          <w:sz w:val="1"/>
          <w:szCs w:val="1"/>
          <w:color w:val="FFFFFF"/>
        </w:rPr>
        <w:t>risks associated with the ability to consummate the merger and the timing of</w:t>
      </w:r>
      <w:r>
        <w:rPr>
          <w:rFonts w:ascii="Arial" w:cs="Arial" w:eastAsia="Arial" w:hAnsi="Arial"/>
          <w:sz w:val="1"/>
          <w:szCs w:val="1"/>
          <w:color w:val="FFFFFF"/>
          <w:vertAlign w:val="subscript"/>
        </w:rPr>
        <w:t>connection</w:t>
      </w:r>
      <w:r>
        <w:rPr>
          <w:rFonts w:ascii="Arial" w:cs="Arial" w:eastAsia="Arial" w:hAnsi="Arial"/>
          <w:sz w:val="1"/>
          <w:szCs w:val="1"/>
          <w:color w:val="FFFFFF"/>
        </w:rPr>
        <w:t>theclosig of the merger; the failure to obtain the necessary debt financing arrangements set forth in the commitment letter received in</w:t>
      </w:r>
    </w:p>
    <w:p>
      <w:pPr>
        <w:spacing w:after="0" w:line="231" w:lineRule="auto"/>
        <w:rPr>
          <w:sz w:val="20"/>
          <w:szCs w:val="20"/>
          <w:color w:val="auto"/>
        </w:rPr>
      </w:pPr>
      <w:r>
        <w:rPr>
          <w:rFonts w:ascii="Arial" w:cs="Arial" w:eastAsia="Arial" w:hAnsi="Arial"/>
          <w:sz w:val="6"/>
          <w:szCs w:val="6"/>
          <w:color w:val="FFFFFF"/>
        </w:rPr>
        <w:t>connection with the merger; the interest rate on any borrowings incurred in with the transaction; the impact of the indebtedness incurred to finance the transaction; the ability to successfully integrate our operations and employees; the ability</w:t>
      </w:r>
      <w:r>
        <w:rPr>
          <w:rFonts w:ascii="Arial" w:cs="Arial" w:eastAsia="Arial" w:hAnsi="Arial"/>
          <w:sz w:val="7"/>
          <w:szCs w:val="7"/>
          <w:color w:val="FFFFFF"/>
          <w:vertAlign w:val="subscript"/>
        </w:rPr>
        <w:t>competitors;</w:t>
      </w:r>
      <w:r>
        <w:rPr>
          <w:rFonts w:ascii="Arial" w:cs="Arial" w:eastAsia="Arial" w:hAnsi="Arial"/>
          <w:sz w:val="6"/>
          <w:szCs w:val="6"/>
          <w:color w:val="FFFFFF"/>
        </w:rPr>
        <w:t>realize anticipated benefits and synergies of the transaction; the potential impact of announcement of the transaction or consummation of the transaction on relationships, including</w:t>
      </w:r>
    </w:p>
    <w:p>
      <w:pPr>
        <w:jc w:val="both"/>
        <w:ind w:right="360"/>
        <w:spacing w:after="0" w:line="202" w:lineRule="auto"/>
        <w:rPr>
          <w:sz w:val="20"/>
          <w:szCs w:val="20"/>
          <w:color w:val="auto"/>
        </w:rPr>
      </w:pPr>
      <w:r>
        <w:rPr>
          <w:rFonts w:ascii="Arial" w:cs="Arial" w:eastAsia="Arial" w:hAnsi="Arial"/>
          <w:sz w:val="6"/>
          <w:szCs w:val="6"/>
          <w:color w:val="FFFFFF"/>
        </w:rPr>
        <w:t>with employees, customers and the outcome of any legal proceedings that have been or may be instituted against NN following announcement of the transaction; the ability to retain key personnel; the amount of the costs, fees, expenses and charges related to the merger and the actual terms of the financings that will be obtained for the merger; and changes in financial markets, interest rates and foreign currency exchange rates.</w:t>
      </w:r>
    </w:p>
    <w:p>
      <w:pPr>
        <w:ind w:right="200"/>
        <w:spacing w:after="0"/>
        <w:rPr>
          <w:sz w:val="20"/>
          <w:szCs w:val="20"/>
          <w:color w:val="auto"/>
        </w:rPr>
      </w:pPr>
      <w:r>
        <w:rPr>
          <w:rFonts w:ascii="Arial" w:cs="Arial" w:eastAsia="Arial" w:hAnsi="Arial"/>
          <w:sz w:val="6"/>
          <w:szCs w:val="6"/>
          <w:color w:val="FFFFFF"/>
        </w:rPr>
        <w:t>Additional factors that could cause actual results to differ materially from the forward-looking statements included in this presentation include those additional risks and factors discussed in NN’s periodic reports filed with the SEC. NN does not intend, and undertakes no obligation, to update any forward-looking statement.</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FFFFFF"/>
        </w:rPr>
        <w:t>2</w:t>
      </w:r>
    </w:p>
    <w:p>
      <w:pPr>
        <w:sectPr>
          <w:pgSz w:w="11900" w:h="16838" w:orient="portrait"/>
          <w:cols w:equalWidth="0" w:num="1">
            <w:col w:w="11400"/>
          </w:cols>
          <w:pgMar w:left="240" w:top="1440" w:right="2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325360" cy="4210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5360" cy="421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color w:val="FFFFFF"/>
        </w:rPr>
        <w:t>Overview of Autocam</w:t>
      </w:r>
    </w:p>
    <w:p>
      <w:pPr>
        <w:spacing w:after="0" w:line="180" w:lineRule="auto"/>
        <w:rPr>
          <w:sz w:val="20"/>
          <w:szCs w:val="20"/>
          <w:color w:val="auto"/>
        </w:rPr>
      </w:pPr>
      <w:r>
        <w:rPr>
          <w:rFonts w:ascii="Arial" w:cs="Arial" w:eastAsia="Arial" w:hAnsi="Arial"/>
          <w:sz w:val="9"/>
          <w:szCs w:val="9"/>
          <w:color w:val="FFFFFF"/>
        </w:rPr>
        <w:t>TheAutocamcompanyis globalhasfourleaderproductinengineering,segments: manufacturing and assembly of extremely close tolerance, highly complex, system critical components for the global automotive markets</w:t>
      </w:r>
    </w:p>
    <w:p>
      <w:pPr>
        <w:ind w:left="10880"/>
        <w:spacing w:after="0"/>
        <w:rPr>
          <w:sz w:val="20"/>
          <w:szCs w:val="20"/>
          <w:color w:val="auto"/>
        </w:rPr>
      </w:pPr>
      <w:r>
        <w:rPr>
          <w:rFonts w:ascii="Arial" w:cs="Arial" w:eastAsia="Arial" w:hAnsi="Arial"/>
          <w:sz w:val="1"/>
          <w:szCs w:val="1"/>
          <w:color w:val="FFFFFF"/>
        </w:rPr>
        <w:t>EstablishedFuelSystems (“FS”)1988, AutocamPowertrainemploys(“PT”) overPower2,100Steeringemployees,(“PS”) operatesElectric Motors15manufacturing(“EM”) facilities in the U.S., Europe, South America and Asia, and expects to generate revenues of ~$250 million in 2014; this amount</w:t>
      </w:r>
    </w:p>
    <w:p>
      <w:pPr>
        <w:spacing w:after="0" w:line="180" w:lineRule="auto"/>
        <w:rPr>
          <w:sz w:val="20"/>
          <w:szCs w:val="20"/>
          <w:color w:val="auto"/>
        </w:rPr>
      </w:pPr>
      <w:r>
        <w:rPr>
          <w:rFonts w:ascii="Arial" w:cs="Arial" w:eastAsia="Arial" w:hAnsi="Arial"/>
          <w:sz w:val="9"/>
          <w:szCs w:val="9"/>
          <w:color w:val="FFFFFF"/>
        </w:rPr>
        <w:t>does not include approximately $42 million of expected sales from 49% owned Chinese joint venture that is accounted for under the equity method</w:t>
      </w:r>
    </w:p>
    <w:p>
      <w:pPr>
        <w:ind w:right="2580"/>
        <w:spacing w:after="0" w:line="180" w:lineRule="auto"/>
        <w:rPr>
          <w:sz w:val="20"/>
          <w:szCs w:val="20"/>
          <w:color w:val="auto"/>
        </w:rPr>
      </w:pPr>
      <w:r>
        <w:rPr>
          <w:rFonts w:ascii="Arial" w:cs="Arial" w:eastAsia="Arial" w:hAnsi="Arial"/>
          <w:sz w:val="9"/>
          <w:szCs w:val="9"/>
          <w:color w:val="FFFFFF"/>
        </w:rPr>
        <w:t>Autocam has developed significant competitive advantages; technical capabilities, processes and systems, skilled program management and product launch capabilities FY 2013 End Markets</w:t>
      </w:r>
    </w:p>
    <w:p>
      <w:pPr>
        <w:spacing w:after="0" w:line="187" w:lineRule="auto"/>
        <w:rPr>
          <w:sz w:val="20"/>
          <w:szCs w:val="20"/>
          <w:color w:val="auto"/>
        </w:rPr>
      </w:pPr>
      <w:r>
        <w:rPr>
          <w:rFonts w:ascii="Arial" w:cs="Arial" w:eastAsia="Arial" w:hAnsi="Arial"/>
          <w:sz w:val="9"/>
          <w:szCs w:val="9"/>
          <w:color w:val="FFFFFF"/>
        </w:rPr>
        <w:t>100%Pr</w:t>
      </w:r>
      <w:r>
        <w:rPr>
          <w:rFonts w:ascii="Arial" w:cs="Arial" w:eastAsia="Arial" w:hAnsi="Arial"/>
          <w:sz w:val="13"/>
          <w:szCs w:val="13"/>
          <w:color w:val="FFFFFF"/>
          <w:vertAlign w:val="subscript"/>
        </w:rPr>
        <w:t>Metal</w:t>
      </w:r>
      <w:r>
        <w:rPr>
          <w:rFonts w:ascii="Arial" w:cs="Arial" w:eastAsia="Arial" w:hAnsi="Arial"/>
          <w:sz w:val="9"/>
          <w:szCs w:val="9"/>
          <w:color w:val="FFFFFF"/>
        </w:rPr>
        <w:t>cision</w:t>
      </w:r>
    </w:p>
    <w:p>
      <w:pPr>
        <w:spacing w:after="0" w:line="180" w:lineRule="auto"/>
        <w:rPr>
          <w:sz w:val="20"/>
          <w:szCs w:val="20"/>
          <w:color w:val="auto"/>
        </w:rPr>
      </w:pPr>
      <w:r>
        <w:rPr>
          <w:rFonts w:ascii="Arial" w:cs="Arial" w:eastAsia="Arial" w:hAnsi="Arial"/>
          <w:sz w:val="9"/>
          <w:szCs w:val="9"/>
          <w:color w:val="FFFFFF"/>
        </w:rPr>
        <w:t>Components</w:t>
      </w:r>
    </w:p>
    <w:p>
      <w:pPr>
        <w:spacing w:after="0" w:line="203" w:lineRule="auto"/>
        <w:rPr>
          <w:sz w:val="20"/>
          <w:szCs w:val="20"/>
          <w:color w:val="auto"/>
        </w:rPr>
      </w:pPr>
      <w:r>
        <w:rPr>
          <w:rFonts w:ascii="Arial" w:cs="Arial" w:eastAsia="Arial" w:hAnsi="Arial"/>
          <w:sz w:val="4"/>
          <w:szCs w:val="4"/>
          <w:color w:val="FFFFFF"/>
        </w:rPr>
        <w:t>EuropeFY2013 Geography</w:t>
      </w:r>
    </w:p>
    <w:p>
      <w:pPr>
        <w:spacing w:after="0" w:line="180" w:lineRule="auto"/>
        <w:rPr>
          <w:sz w:val="20"/>
          <w:szCs w:val="20"/>
          <w:color w:val="auto"/>
        </w:rPr>
      </w:pPr>
      <w:r>
        <w:rPr>
          <w:rFonts w:ascii="Arial" w:cs="Arial" w:eastAsia="Arial" w:hAnsi="Arial"/>
          <w:sz w:val="7"/>
          <w:szCs w:val="7"/>
          <w:color w:val="FFFFFF"/>
        </w:rPr>
        <w:t>North</w:t>
      </w:r>
      <w:r>
        <w:rPr>
          <w:rFonts w:ascii="Arial" w:cs="Arial" w:eastAsia="Arial" w:hAnsi="Arial"/>
          <w:sz w:val="9"/>
          <w:szCs w:val="9"/>
          <w:color w:val="FFFFFF"/>
          <w:vertAlign w:val="superscript"/>
        </w:rPr>
        <w:t>Sou</w:t>
      </w:r>
      <w:r>
        <w:rPr>
          <w:rFonts w:ascii="Arial" w:cs="Arial" w:eastAsia="Arial" w:hAnsi="Arial"/>
          <w:sz w:val="7"/>
          <w:szCs w:val="7"/>
          <w:color w:val="FFFFFF"/>
        </w:rPr>
        <w:t xml:space="preserve"> America</w:t>
      </w:r>
    </w:p>
    <w:p>
      <w:pPr>
        <w:spacing w:after="0" w:line="203" w:lineRule="auto"/>
        <w:rPr>
          <w:sz w:val="20"/>
          <w:szCs w:val="20"/>
          <w:color w:val="auto"/>
        </w:rPr>
      </w:pPr>
      <w:r>
        <w:rPr>
          <w:rFonts w:ascii="Arial" w:cs="Arial" w:eastAsia="Arial" w:hAnsi="Arial"/>
          <w:sz w:val="4"/>
          <w:szCs w:val="4"/>
          <w:color w:val="FFFFFF"/>
        </w:rPr>
        <w:t>Asia</w:t>
      </w:r>
    </w:p>
    <w:p>
      <w:pPr>
        <w:spacing w:after="0" w:line="203" w:lineRule="auto"/>
        <w:rPr>
          <w:sz w:val="20"/>
          <w:szCs w:val="20"/>
          <w:color w:val="auto"/>
        </w:rPr>
      </w:pPr>
      <w:r>
        <w:rPr>
          <w:rFonts w:ascii="Arial" w:cs="Arial" w:eastAsia="Arial" w:hAnsi="Arial"/>
          <w:sz w:val="2"/>
          <w:szCs w:val="2"/>
          <w:color w:val="FFFFFF"/>
        </w:rPr>
        <w:t>58%</w:t>
      </w:r>
      <w:r>
        <w:rPr>
          <w:rFonts w:ascii="Arial" w:cs="Arial" w:eastAsia="Arial" w:hAnsi="Arial"/>
          <w:sz w:val="4"/>
          <w:szCs w:val="4"/>
          <w:color w:val="FFFFFF"/>
          <w:vertAlign w:val="superscript"/>
        </w:rPr>
        <w:t>16%</w:t>
      </w:r>
    </w:p>
    <w:p>
      <w:pPr>
        <w:spacing w:after="0" w:line="180" w:lineRule="auto"/>
        <w:rPr>
          <w:sz w:val="20"/>
          <w:szCs w:val="20"/>
          <w:color w:val="auto"/>
        </w:rPr>
      </w:pPr>
      <w:r>
        <w:rPr>
          <w:rFonts w:ascii="Arial" w:cs="Arial" w:eastAsia="Arial" w:hAnsi="Arial"/>
          <w:sz w:val="9"/>
          <w:szCs w:val="9"/>
          <w:color w:val="FFFFFF"/>
        </w:rPr>
        <w:t>19%</w:t>
      </w:r>
    </w:p>
    <w:p>
      <w:pPr>
        <w:spacing w:after="0" w:line="180" w:lineRule="auto"/>
        <w:rPr>
          <w:sz w:val="20"/>
          <w:szCs w:val="20"/>
          <w:color w:val="auto"/>
        </w:rPr>
      </w:pPr>
      <w:r>
        <w:rPr>
          <w:rFonts w:ascii="Arial" w:cs="Arial" w:eastAsia="Arial" w:hAnsi="Arial"/>
          <w:sz w:val="9"/>
          <w:szCs w:val="9"/>
          <w:color w:val="FFFFFF"/>
        </w:rPr>
        <w:t>7%</w:t>
      </w:r>
    </w:p>
    <w:p>
      <w:pPr>
        <w:spacing w:after="0"/>
        <w:rPr>
          <w:sz w:val="20"/>
          <w:szCs w:val="20"/>
          <w:color w:val="auto"/>
        </w:rPr>
      </w:pPr>
      <w:r>
        <w:rPr>
          <w:rFonts w:ascii="Arial" w:cs="Arial" w:eastAsia="Arial" w:hAnsi="Arial"/>
          <w:sz w:val="13"/>
          <w:szCs w:val="13"/>
          <w:color w:val="FFFFFF"/>
        </w:rPr>
        <w:t>3As a global leader, Autocam is well-positioned to benefit from many positive fundamentals in the industry</w:t>
      </w:r>
    </w:p>
    <w:p>
      <w:pPr>
        <w:sectPr>
          <w:pgSz w:w="11900" w:h="16838" w:orient="portrait"/>
          <w:cols w:equalWidth="0" w:num="1">
            <w:col w:w="11260"/>
          </w:cols>
          <w:pgMar w:left="240" w:top="1440" w:right="39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325360" cy="4210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5360" cy="421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color w:val="FFFFFF"/>
        </w:rPr>
        <w:t>Strategic Rationale</w:t>
      </w:r>
    </w:p>
    <w:p>
      <w:pPr>
        <w:spacing w:after="0" w:line="180" w:lineRule="auto"/>
        <w:rPr>
          <w:sz w:val="20"/>
          <w:szCs w:val="20"/>
          <w:color w:val="auto"/>
        </w:rPr>
      </w:pPr>
      <w:r>
        <w:rPr>
          <w:rFonts w:ascii="Arial" w:cs="Arial" w:eastAsia="Arial" w:hAnsi="Arial"/>
          <w:sz w:val="9"/>
          <w:szCs w:val="9"/>
          <w:color w:val="FFFFFF"/>
        </w:rPr>
        <w:t>EstablishesBuildsoutNN’sglobalPrecisionpresenceMetalinPMCComponentswithwell (PMC)established,platformprofitabletooneoperationsofthetop in3companiesEurope,Brazilintheandworld</w:t>
      </w:r>
    </w:p>
    <w:p>
      <w:pPr>
        <w:ind w:left="600" w:hanging="600"/>
        <w:spacing w:after="0" w:line="202" w:lineRule="auto"/>
        <w:rPr>
          <w:sz w:val="20"/>
          <w:szCs w:val="20"/>
          <w:color w:val="auto"/>
        </w:rPr>
      </w:pPr>
      <w:r>
        <w:rPr>
          <w:rFonts w:ascii="Arial" w:cs="Arial" w:eastAsia="Arial" w:hAnsi="Arial"/>
          <w:sz w:val="4"/>
          <w:szCs w:val="4"/>
          <w:color w:val="FFFFFF"/>
        </w:rPr>
        <w:t>AddsChina;highAvoids-growthhighproductstart-upplatformsgreenfield(gasolinecostsanddirectstart-injection,uplosses variable valve timing, electric power steering, multi-speed transmissions) Strong book of business in China Proven, profitable company – no turnaround synergy Accretive first full year</w:t>
      </w:r>
    </w:p>
    <w:p>
      <w:pPr>
        <w:ind w:right="5520"/>
        <w:spacing w:after="0" w:line="185" w:lineRule="auto"/>
        <w:rPr>
          <w:sz w:val="20"/>
          <w:szCs w:val="20"/>
          <w:color w:val="auto"/>
        </w:rPr>
      </w:pPr>
      <w:r>
        <w:rPr>
          <w:rFonts w:ascii="Arial" w:cs="Arial" w:eastAsia="Arial" w:hAnsi="Arial"/>
          <w:sz w:val="13"/>
          <w:szCs w:val="13"/>
          <w:color w:val="FFFFFF"/>
        </w:rPr>
        <w:t>Significantly increasesopportunitiesNN’size and market presence Deepens NN’s management talent pool and workforce 4</w:t>
      </w:r>
    </w:p>
    <w:p>
      <w:pPr>
        <w:sectPr>
          <w:pgSz w:w="11900" w:h="16838" w:orient="portrait"/>
          <w:cols w:equalWidth="0" w:num="1">
            <w:col w:w="11180"/>
          </w:cols>
          <w:pgMar w:left="240" w:top="1440" w:right="47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325360" cy="4210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5360" cy="421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3"/>
          <w:szCs w:val="13"/>
          <w:color w:val="FFFFFF"/>
        </w:rPr>
        <w:t>Combined Global Footprint</w:t>
      </w:r>
    </w:p>
    <w:p>
      <w:pPr>
        <w:spacing w:after="0" w:line="202" w:lineRule="auto"/>
        <w:rPr>
          <w:sz w:val="20"/>
          <w:szCs w:val="20"/>
          <w:color w:val="auto"/>
        </w:rPr>
      </w:pPr>
      <w:r>
        <w:rPr>
          <w:rFonts w:ascii="Arial" w:cs="Arial" w:eastAsia="Arial" w:hAnsi="Arial"/>
          <w:sz w:val="4"/>
          <w:szCs w:val="4"/>
          <w:color w:val="FFFFFF"/>
        </w:rPr>
        <w:t>Marshall ll Plant 2 Autocam Poland Kentwood Plant 1 Marshall Plant 1 NN Netherlands</w:t>
      </w:r>
    </w:p>
    <w:p>
      <w:pPr>
        <w:spacing w:after="0" w:line="180" w:lineRule="auto"/>
        <w:rPr>
          <w:sz w:val="20"/>
          <w:szCs w:val="20"/>
          <w:color w:val="auto"/>
        </w:rPr>
      </w:pPr>
      <w:r>
        <w:rPr>
          <w:rFonts w:ascii="Arial" w:cs="Arial" w:eastAsia="Arial" w:hAnsi="Arial"/>
          <w:sz w:val="9"/>
          <w:szCs w:val="9"/>
          <w:color w:val="FFFFFF"/>
        </w:rPr>
        <w:t>Autocam France NN Slovakia Kentwood Plant 2 Dowagiac Plant V-S Products Division NN Bosnia Whirlaway Products Division NN Advanced Rubber Products Division NN Italy Autocam (China) Automotive Components Co., Ltd.</w:t>
      </w:r>
    </w:p>
    <w:p>
      <w:pPr>
        <w:spacing w:after="0" w:line="203" w:lineRule="auto"/>
        <w:rPr>
          <w:sz w:val="20"/>
          <w:szCs w:val="20"/>
          <w:color w:val="auto"/>
        </w:rPr>
      </w:pPr>
      <w:r>
        <w:rPr>
          <w:rFonts w:ascii="Arial" w:cs="Arial" w:eastAsia="Arial" w:hAnsi="Arial"/>
          <w:sz w:val="4"/>
          <w:szCs w:val="4"/>
          <w:color w:val="FFFFFF"/>
        </w:rPr>
        <w:t>NN Precision Plastic Products Division NN,, Inc.</w:t>
      </w:r>
    </w:p>
    <w:p>
      <w:pPr>
        <w:spacing w:after="0" w:line="180" w:lineRule="auto"/>
        <w:rPr>
          <w:sz w:val="20"/>
          <w:szCs w:val="20"/>
          <w:color w:val="auto"/>
        </w:rPr>
      </w:pPr>
      <w:r>
        <w:rPr>
          <w:rFonts w:ascii="Arial" w:cs="Arial" w:eastAsia="Arial" w:hAnsi="Arial"/>
          <w:sz w:val="9"/>
          <w:szCs w:val="9"/>
          <w:color w:val="FFFFFF"/>
        </w:rPr>
        <w:t>US Ball &amp; Roller Division NN Asia V-S Products Division</w:t>
      </w:r>
    </w:p>
    <w:p>
      <w:pPr>
        <w:spacing w:after="0" w:line="180" w:lineRule="auto"/>
        <w:rPr>
          <w:sz w:val="20"/>
          <w:szCs w:val="20"/>
          <w:color w:val="auto"/>
        </w:rPr>
      </w:pPr>
      <w:r>
        <w:rPr>
          <w:rFonts w:ascii="Arial" w:cs="Arial" w:eastAsia="Arial" w:hAnsi="Arial"/>
          <w:sz w:val="9"/>
          <w:szCs w:val="9"/>
          <w:color w:val="FFFFFF"/>
        </w:rPr>
        <w:t>SaoWuxiiJoaoWeifuBoaAutocamVistaPlantsPrecision1and 2US Ball &amp; Roller Division</w:t>
      </w:r>
    </w:p>
    <w:p>
      <w:pPr>
        <w:spacing w:after="0" w:line="203" w:lineRule="auto"/>
        <w:rPr>
          <w:sz w:val="20"/>
          <w:szCs w:val="20"/>
          <w:color w:val="auto"/>
        </w:rPr>
      </w:pPr>
      <w:r>
        <w:rPr>
          <w:rFonts w:ascii="Arial" w:cs="Arial" w:eastAsia="Arial" w:hAnsi="Arial"/>
          <w:sz w:val="4"/>
          <w:szCs w:val="4"/>
          <w:color w:val="FFFFFF"/>
        </w:rPr>
        <w:t>BoituvaCampinasPlantLocall Corporate Office</w:t>
      </w:r>
    </w:p>
    <w:p>
      <w:pPr>
        <w:ind w:right="240"/>
        <w:spacing w:after="0"/>
        <w:rPr>
          <w:sz w:val="20"/>
          <w:szCs w:val="20"/>
          <w:color w:val="auto"/>
        </w:rPr>
      </w:pPr>
      <w:r>
        <w:rPr>
          <w:rFonts w:ascii="Arial" w:cs="Arial" w:eastAsia="Arial" w:hAnsi="Arial"/>
          <w:sz w:val="11"/>
          <w:szCs w:val="11"/>
          <w:color w:val="FFFFFF"/>
        </w:rPr>
        <w:t>Acquisition establishes global presence in Precision Metal Components with well established, profitable operations in North America, Europe, Brazil and China that complement NN’s global bearing business 5</w:t>
      </w:r>
    </w:p>
    <w:p>
      <w:pPr>
        <w:sectPr>
          <w:pgSz w:w="11900" w:h="16838" w:orient="portrait"/>
          <w:cols w:equalWidth="0" w:num="1">
            <w:col w:w="11000"/>
          </w:cols>
          <w:pgMar w:left="240" w:top="1440" w:right="65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325360" cy="4210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5360" cy="421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color w:val="FFFFFF"/>
        </w:rPr>
        <w:t>EndNN andProductAutocam Combination Overview</w:t>
      </w:r>
    </w:p>
    <w:p>
      <w:pPr>
        <w:spacing w:after="0" w:line="202" w:lineRule="auto"/>
        <w:rPr>
          <w:sz w:val="20"/>
          <w:szCs w:val="20"/>
          <w:color w:val="auto"/>
        </w:rPr>
      </w:pPr>
      <w:r>
        <w:rPr>
          <w:rFonts w:ascii="Arial" w:cs="Arial" w:eastAsia="Arial" w:hAnsi="Arial"/>
          <w:sz w:val="4"/>
          <w:szCs w:val="4"/>
          <w:color w:val="FFFFFF"/>
        </w:rPr>
        <w:t>Use</w:t>
      </w:r>
    </w:p>
    <w:p>
      <w:pPr>
        <w:spacing w:after="0" w:line="180" w:lineRule="auto"/>
        <w:rPr>
          <w:sz w:val="20"/>
          <w:szCs w:val="20"/>
          <w:color w:val="auto"/>
        </w:rPr>
      </w:pPr>
      <w:r>
        <w:rPr>
          <w:rFonts w:ascii="Arial" w:cs="Arial" w:eastAsia="Arial" w:hAnsi="Arial"/>
          <w:sz w:val="7"/>
          <w:szCs w:val="7"/>
          <w:color w:val="FFFFFF"/>
        </w:rPr>
        <w:t>Engine Components Fuel</w:t>
      </w:r>
      <w:r>
        <w:rPr>
          <w:rFonts w:ascii="Arial" w:cs="Arial" w:eastAsia="Arial" w:hAnsi="Arial"/>
          <w:sz w:val="9"/>
          <w:szCs w:val="9"/>
          <w:color w:val="FFFFFF"/>
          <w:vertAlign w:val="subscript"/>
        </w:rPr>
        <w:t>Driveline</w:t>
      </w:r>
      <w:r>
        <w:rPr>
          <w:rFonts w:ascii="Arial" w:cs="Arial" w:eastAsia="Arial" w:hAnsi="Arial"/>
          <w:sz w:val="7"/>
          <w:szCs w:val="7"/>
          <w:color w:val="FFFFFF"/>
        </w:rPr>
        <w:t>Systms</w:t>
      </w:r>
    </w:p>
    <w:p>
      <w:pPr>
        <w:spacing w:after="0" w:line="203" w:lineRule="auto"/>
        <w:rPr>
          <w:sz w:val="20"/>
          <w:szCs w:val="20"/>
          <w:color w:val="auto"/>
        </w:rPr>
      </w:pPr>
      <w:r>
        <w:rPr>
          <w:rFonts w:ascii="Arial" w:cs="Arial" w:eastAsia="Arial" w:hAnsi="Arial"/>
          <w:sz w:val="4"/>
          <w:szCs w:val="4"/>
          <w:color w:val="FFFFFF"/>
        </w:rPr>
        <w:t>TransmissionCoolingSystem Fans</w:t>
      </w:r>
    </w:p>
    <w:p>
      <w:pPr>
        <w:spacing w:after="0" w:line="203" w:lineRule="auto"/>
        <w:rPr>
          <w:sz w:val="20"/>
          <w:szCs w:val="20"/>
          <w:color w:val="auto"/>
        </w:rPr>
      </w:pPr>
      <w:r>
        <w:rPr>
          <w:rFonts w:ascii="Arial" w:cs="Arial" w:eastAsia="Arial" w:hAnsi="Arial"/>
          <w:sz w:val="4"/>
          <w:szCs w:val="4"/>
          <w:color w:val="FFFFFF"/>
        </w:rPr>
        <w:t>Fuel Systems Power Steering</w:t>
      </w:r>
    </w:p>
    <w:p>
      <w:pPr>
        <w:spacing w:after="0" w:line="203" w:lineRule="auto"/>
        <w:rPr>
          <w:sz w:val="20"/>
          <w:szCs w:val="20"/>
          <w:color w:val="auto"/>
        </w:rPr>
      </w:pPr>
      <w:r>
        <w:rPr>
          <w:rFonts w:ascii="Arial" w:cs="Arial" w:eastAsia="Arial" w:hAnsi="Arial"/>
          <w:sz w:val="4"/>
          <w:szCs w:val="4"/>
          <w:color w:val="FFFFFF"/>
        </w:rPr>
        <w:t>Electric Motors Powertrain Engine Components Steering</w:t>
      </w:r>
    </w:p>
    <w:p>
      <w:pPr>
        <w:ind w:right="5039"/>
        <w:spacing w:after="0" w:line="202" w:lineRule="auto"/>
        <w:rPr>
          <w:sz w:val="20"/>
          <w:szCs w:val="20"/>
          <w:color w:val="auto"/>
        </w:rPr>
      </w:pPr>
      <w:r>
        <w:rPr>
          <w:rFonts w:ascii="Arial" w:cs="Arial" w:eastAsia="Arial" w:hAnsi="Arial"/>
          <w:sz w:val="6"/>
          <w:szCs w:val="6"/>
          <w:color w:val="FFFFFF"/>
        </w:rPr>
        <w:t>Fuel Systems Transmission Product Mix Geography Plastic &amp; Rubber Components Precision Metal Components Metal Bearing Components 21% 9% 70% South America 3% Asia 10% 40% 47% North America</w:t>
      </w:r>
    </w:p>
    <w:p>
      <w:pPr>
        <w:spacing w:after="0" w:line="187" w:lineRule="auto"/>
        <w:rPr>
          <w:sz w:val="20"/>
          <w:szCs w:val="20"/>
          <w:color w:val="auto"/>
        </w:rPr>
      </w:pPr>
      <w:r>
        <w:rPr>
          <w:rFonts w:ascii="Arial" w:cs="Arial" w:eastAsia="Arial" w:hAnsi="Arial"/>
          <w:sz w:val="13"/>
          <w:szCs w:val="13"/>
          <w:color w:val="FFFFFF"/>
        </w:rPr>
        <w:t>EuropePrecision Metal</w:t>
      </w:r>
    </w:p>
    <w:p>
      <w:pPr>
        <w:spacing w:after="0" w:line="205" w:lineRule="auto"/>
        <w:rPr>
          <w:sz w:val="20"/>
          <w:szCs w:val="20"/>
          <w:color w:val="auto"/>
        </w:rPr>
      </w:pPr>
      <w:r>
        <w:rPr>
          <w:rFonts w:ascii="Arial" w:cs="Arial" w:eastAsia="Arial" w:hAnsi="Arial"/>
          <w:sz w:val="4"/>
          <w:szCs w:val="4"/>
          <w:color w:val="FFFFFF"/>
        </w:rPr>
        <w:t>100%Components</w:t>
      </w:r>
    </w:p>
    <w:p>
      <w:pPr>
        <w:spacing w:after="0" w:line="187" w:lineRule="auto"/>
        <w:rPr>
          <w:sz w:val="20"/>
          <w:szCs w:val="20"/>
          <w:color w:val="auto"/>
        </w:rPr>
      </w:pPr>
      <w:r>
        <w:rPr>
          <w:rFonts w:ascii="Arial" w:cs="Arial" w:eastAsia="Arial" w:hAnsi="Arial"/>
          <w:sz w:val="13"/>
          <w:szCs w:val="13"/>
          <w:color w:val="FFFFFF"/>
        </w:rPr>
        <w:t>AsiaEurope</w:t>
      </w:r>
    </w:p>
    <w:p>
      <w:pPr>
        <w:spacing w:after="0" w:line="203" w:lineRule="auto"/>
        <w:rPr>
          <w:sz w:val="20"/>
          <w:szCs w:val="20"/>
          <w:color w:val="auto"/>
        </w:rPr>
      </w:pPr>
      <w:r>
        <w:rPr>
          <w:rFonts w:ascii="Arial" w:cs="Arial" w:eastAsia="Arial" w:hAnsi="Arial"/>
          <w:sz w:val="4"/>
          <w:szCs w:val="4"/>
          <w:color w:val="FFFFFF"/>
        </w:rPr>
        <w:t>South America</w:t>
      </w:r>
    </w:p>
    <w:p>
      <w:pPr>
        <w:spacing w:after="0" w:line="180" w:lineRule="auto"/>
        <w:rPr>
          <w:sz w:val="20"/>
          <w:szCs w:val="20"/>
          <w:color w:val="auto"/>
        </w:rPr>
      </w:pPr>
      <w:r>
        <w:rPr>
          <w:rFonts w:ascii="Arial" w:cs="Arial" w:eastAsia="Arial" w:hAnsi="Arial"/>
          <w:sz w:val="7"/>
          <w:szCs w:val="7"/>
          <w:color w:val="FFFFFF"/>
        </w:rPr>
        <w:t>58%19%</w:t>
      </w:r>
      <w:r>
        <w:rPr>
          <w:rFonts w:ascii="Arial" w:cs="Arial" w:eastAsia="Arial" w:hAnsi="Arial"/>
          <w:sz w:val="9"/>
          <w:szCs w:val="9"/>
          <w:color w:val="FFFFFF"/>
          <w:vertAlign w:val="superscript"/>
        </w:rPr>
        <w:t>6%</w:t>
      </w:r>
    </w:p>
    <w:p>
      <w:pPr>
        <w:spacing w:after="0" w:line="203" w:lineRule="auto"/>
        <w:rPr>
          <w:sz w:val="20"/>
          <w:szCs w:val="20"/>
          <w:color w:val="auto"/>
        </w:rPr>
      </w:pPr>
      <w:r>
        <w:rPr>
          <w:rFonts w:ascii="Arial" w:cs="Arial" w:eastAsia="Arial" w:hAnsi="Arial"/>
          <w:sz w:val="4"/>
          <w:szCs w:val="4"/>
          <w:color w:val="FFFFFF"/>
        </w:rPr>
        <w:t>7%</w:t>
      </w:r>
    </w:p>
    <w:p>
      <w:pPr>
        <w:spacing w:after="0" w:line="180" w:lineRule="auto"/>
        <w:rPr>
          <w:sz w:val="20"/>
          <w:szCs w:val="20"/>
          <w:color w:val="auto"/>
        </w:rPr>
      </w:pPr>
      <w:r>
        <w:rPr>
          <w:rFonts w:ascii="Arial" w:cs="Arial" w:eastAsia="Arial" w:hAnsi="Arial"/>
          <w:sz w:val="9"/>
          <w:szCs w:val="9"/>
          <w:color w:val="FFFFFF"/>
        </w:rPr>
        <w:t>North America</w:t>
      </w:r>
    </w:p>
    <w:p>
      <w:pPr>
        <w:spacing w:after="0" w:line="203" w:lineRule="auto"/>
        <w:rPr>
          <w:sz w:val="20"/>
          <w:szCs w:val="20"/>
          <w:color w:val="auto"/>
        </w:rPr>
      </w:pPr>
      <w:r>
        <w:rPr>
          <w:rFonts w:ascii="Arial" w:cs="Arial" w:eastAsia="Arial" w:hAnsi="Arial"/>
          <w:sz w:val="4"/>
          <w:szCs w:val="4"/>
          <w:color w:val="FFFFFF"/>
          <w:vertAlign w:val="subscript"/>
        </w:rPr>
        <w:t>Precision</w:t>
      </w:r>
      <w:r>
        <w:rPr>
          <w:rFonts w:ascii="Arial" w:cs="Arial" w:eastAsia="Arial" w:hAnsi="Arial"/>
          <w:sz w:val="2"/>
          <w:szCs w:val="2"/>
          <w:color w:val="FFFFFF"/>
        </w:rPr>
        <w:t>MPlastictalBearing&amp;RubberComponentsComponents</w:t>
      </w:r>
    </w:p>
    <w:p>
      <w:pPr>
        <w:ind w:left="520"/>
        <w:spacing w:after="0" w:line="202" w:lineRule="auto"/>
        <w:rPr>
          <w:sz w:val="20"/>
          <w:szCs w:val="20"/>
          <w:color w:val="auto"/>
        </w:rPr>
      </w:pPr>
      <w:r>
        <w:rPr>
          <w:rFonts w:ascii="Arial" w:cs="Arial" w:eastAsia="Arial" w:hAnsi="Arial"/>
          <w:sz w:val="4"/>
          <w:szCs w:val="4"/>
          <w:color w:val="FFFFFF"/>
        </w:rPr>
        <w:t>Metal</w:t>
      </w:r>
    </w:p>
    <w:p>
      <w:pPr>
        <w:spacing w:after="0" w:line="203" w:lineRule="auto"/>
        <w:rPr>
          <w:sz w:val="20"/>
          <w:szCs w:val="20"/>
          <w:color w:val="auto"/>
        </w:rPr>
      </w:pPr>
      <w:r>
        <w:rPr>
          <w:rFonts w:ascii="Arial" w:cs="Arial" w:eastAsia="Arial" w:hAnsi="Arial"/>
          <w:sz w:val="4"/>
          <w:szCs w:val="4"/>
          <w:color w:val="FFFFFF"/>
        </w:rPr>
        <w:t>Components</w:t>
      </w:r>
    </w:p>
    <w:p>
      <w:pPr>
        <w:spacing w:after="0" w:line="180" w:lineRule="auto"/>
        <w:rPr>
          <w:sz w:val="20"/>
          <w:szCs w:val="20"/>
          <w:color w:val="auto"/>
        </w:rPr>
      </w:pPr>
      <w:r>
        <w:rPr>
          <w:rFonts w:ascii="Arial" w:cs="Arial" w:eastAsia="Arial" w:hAnsi="Arial"/>
          <w:sz w:val="7"/>
          <w:szCs w:val="7"/>
          <w:color w:val="FFFFFF"/>
        </w:rPr>
        <w:t>43%</w:t>
      </w:r>
      <w:r>
        <w:rPr>
          <w:rFonts w:ascii="Arial" w:cs="Arial" w:eastAsia="Arial" w:hAnsi="Arial"/>
          <w:sz w:val="9"/>
          <w:szCs w:val="9"/>
          <w:color w:val="FFFFFF"/>
          <w:vertAlign w:val="subscript"/>
        </w:rPr>
        <w:t>52%</w:t>
      </w:r>
    </w:p>
    <w:p>
      <w:pPr>
        <w:spacing w:after="0" w:line="203" w:lineRule="auto"/>
        <w:rPr>
          <w:sz w:val="20"/>
          <w:szCs w:val="20"/>
          <w:color w:val="auto"/>
        </w:rPr>
      </w:pPr>
      <w:r>
        <w:rPr>
          <w:rFonts w:ascii="Arial" w:cs="Arial" w:eastAsia="Arial" w:hAnsi="Arial"/>
          <w:sz w:val="4"/>
          <w:szCs w:val="4"/>
          <w:color w:val="FFFFFF"/>
        </w:rPr>
        <w:t>6%</w:t>
      </w:r>
    </w:p>
    <w:p>
      <w:pPr>
        <w:spacing w:after="0" w:line="180" w:lineRule="auto"/>
        <w:rPr>
          <w:sz w:val="20"/>
          <w:szCs w:val="20"/>
          <w:color w:val="auto"/>
        </w:rPr>
      </w:pPr>
      <w:r>
        <w:rPr>
          <w:rFonts w:ascii="Arial" w:cs="Arial" w:eastAsia="Arial" w:hAnsi="Arial"/>
          <w:sz w:val="9"/>
          <w:szCs w:val="9"/>
          <w:color w:val="FFFFFF"/>
        </w:rPr>
        <w:t>South America</w:t>
      </w:r>
    </w:p>
    <w:p>
      <w:pPr>
        <w:spacing w:after="0" w:line="180" w:lineRule="auto"/>
        <w:rPr>
          <w:sz w:val="20"/>
          <w:szCs w:val="20"/>
          <w:color w:val="auto"/>
        </w:rPr>
      </w:pPr>
      <w:r>
        <w:rPr>
          <w:rFonts w:ascii="Arial" w:cs="Arial" w:eastAsia="Arial" w:hAnsi="Arial"/>
          <w:sz w:val="9"/>
          <w:szCs w:val="9"/>
          <w:color w:val="FFFFFF"/>
        </w:rPr>
        <w:t>10%Asia 7%</w:t>
      </w:r>
    </w:p>
    <w:p>
      <w:pPr>
        <w:spacing w:after="0" w:line="204" w:lineRule="auto"/>
        <w:rPr>
          <w:sz w:val="20"/>
          <w:szCs w:val="20"/>
          <w:color w:val="auto"/>
        </w:rPr>
      </w:pPr>
      <w:r>
        <w:rPr>
          <w:rFonts w:ascii="Arial" w:cs="Arial" w:eastAsia="Arial" w:hAnsi="Arial"/>
          <w:sz w:val="4"/>
          <w:szCs w:val="4"/>
          <w:color w:val="FFFFFF"/>
        </w:rPr>
        <w:t>31%North 50% America</w:t>
      </w:r>
    </w:p>
    <w:p>
      <w:pPr>
        <w:spacing w:after="0" w:line="180" w:lineRule="auto"/>
        <w:rPr>
          <w:sz w:val="20"/>
          <w:szCs w:val="20"/>
          <w:color w:val="auto"/>
        </w:rPr>
      </w:pPr>
      <w:r>
        <w:rPr>
          <w:rFonts w:ascii="Arial" w:cs="Arial" w:eastAsia="Arial" w:hAnsi="Arial"/>
          <w:sz w:val="9"/>
          <w:szCs w:val="9"/>
          <w:color w:val="FFFFFF"/>
        </w:rPr>
        <w:t>Europe</w:t>
      </w:r>
    </w:p>
    <w:p>
      <w:pPr>
        <w:spacing w:after="0"/>
        <w:rPr>
          <w:sz w:val="20"/>
          <w:szCs w:val="20"/>
          <w:color w:val="auto"/>
        </w:rPr>
      </w:pPr>
      <w:r>
        <w:rPr>
          <w:rFonts w:ascii="Arial" w:cs="Arial" w:eastAsia="Arial" w:hAnsi="Arial"/>
          <w:sz w:val="13"/>
          <w:szCs w:val="13"/>
          <w:color w:val="FFFFFF"/>
        </w:rPr>
        <w:t>6Improved balance among geographic focus and product mix</w:t>
      </w:r>
    </w:p>
    <w:p>
      <w:pPr>
        <w:sectPr>
          <w:pgSz w:w="11900" w:h="16838" w:orient="portrait"/>
          <w:cols w:equalWidth="0" w:num="1">
            <w:col w:w="10219"/>
          </w:cols>
          <w:pgMar w:left="240" w:top="1440" w:right="1440"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325360" cy="4210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5360" cy="421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5"/>
          <w:szCs w:val="25"/>
          <w:color w:val="FFFFFF"/>
          <w:vertAlign w:val="superscript"/>
        </w:rPr>
        <w:t>Nexteer</w:t>
      </w:r>
      <w:r>
        <w:rPr>
          <w:rFonts w:ascii="Arial" w:cs="Arial" w:eastAsia="Arial" w:hAnsi="Arial"/>
          <w:sz w:val="13"/>
          <w:szCs w:val="13"/>
          <w:color w:val="FFFFFF"/>
        </w:rPr>
        <w:t>and Autocam Combination Overview</w:t>
      </w:r>
    </w:p>
    <w:p>
      <w:pPr>
        <w:spacing w:after="0" w:line="202" w:lineRule="auto"/>
        <w:rPr>
          <w:sz w:val="20"/>
          <w:szCs w:val="20"/>
          <w:color w:val="auto"/>
        </w:rPr>
      </w:pPr>
      <w:r>
        <w:rPr>
          <w:rFonts w:ascii="Arial" w:cs="Arial" w:eastAsia="Arial" w:hAnsi="Arial"/>
          <w:sz w:val="4"/>
          <w:szCs w:val="4"/>
          <w:color w:val="FFFFFF"/>
        </w:rPr>
        <w:t>Timken Brose</w:t>
      </w:r>
    </w:p>
    <w:p>
      <w:pPr>
        <w:spacing w:after="0" w:line="180" w:lineRule="auto"/>
        <w:rPr>
          <w:sz w:val="20"/>
          <w:szCs w:val="20"/>
          <w:color w:val="auto"/>
        </w:rPr>
      </w:pPr>
      <w:r>
        <w:rPr>
          <w:rFonts w:ascii="Arial" w:cs="Arial" w:eastAsia="Arial" w:hAnsi="Arial"/>
          <w:sz w:val="9"/>
          <w:szCs w:val="9"/>
          <w:color w:val="FFFFFF"/>
        </w:rPr>
        <w:t>Hitachi TRW</w:t>
      </w:r>
    </w:p>
    <w:p>
      <w:pPr>
        <w:spacing w:after="0" w:line="180" w:lineRule="auto"/>
        <w:rPr>
          <w:sz w:val="20"/>
          <w:szCs w:val="20"/>
          <w:color w:val="auto"/>
        </w:rPr>
      </w:pPr>
      <w:r>
        <w:rPr>
          <w:rFonts w:ascii="Arial" w:cs="Arial" w:eastAsia="Arial" w:hAnsi="Arial"/>
          <w:sz w:val="9"/>
          <w:szCs w:val="9"/>
          <w:color w:val="FFFFFF"/>
        </w:rPr>
        <w:t>2%Iljin1%Cummins</w:t>
      </w:r>
    </w:p>
    <w:p>
      <w:pPr>
        <w:spacing w:after="0" w:line="180" w:lineRule="auto"/>
        <w:rPr>
          <w:sz w:val="20"/>
          <w:szCs w:val="20"/>
          <w:color w:val="auto"/>
        </w:rPr>
      </w:pPr>
      <w:r>
        <w:rPr>
          <w:rFonts w:ascii="Arial" w:cs="Arial" w:eastAsia="Arial" w:hAnsi="Arial"/>
          <w:sz w:val="9"/>
          <w:szCs w:val="9"/>
          <w:color w:val="FFFFFF"/>
          <w:vertAlign w:val="superscript"/>
        </w:rPr>
        <w:t>3%</w:t>
      </w:r>
      <w:r>
        <w:rPr>
          <w:rFonts w:ascii="Arial" w:cs="Arial" w:eastAsia="Arial" w:hAnsi="Arial"/>
          <w:sz w:val="7"/>
          <w:szCs w:val="7"/>
          <w:color w:val="FFFFFF"/>
        </w:rPr>
        <w:t>GKNHILITE3%Continental3% 3%</w:t>
      </w:r>
    </w:p>
    <w:p>
      <w:pPr>
        <w:spacing w:after="0" w:line="204" w:lineRule="auto"/>
        <w:rPr>
          <w:sz w:val="20"/>
          <w:szCs w:val="20"/>
          <w:color w:val="auto"/>
        </w:rPr>
      </w:pPr>
      <w:r>
        <w:rPr>
          <w:rFonts w:ascii="Arial" w:cs="Arial" w:eastAsia="Arial" w:hAnsi="Arial"/>
          <w:sz w:val="2"/>
          <w:szCs w:val="2"/>
          <w:color w:val="FFFFFF"/>
        </w:rPr>
        <w:t>4% Bosch</w:t>
      </w:r>
      <w:r>
        <w:rPr>
          <w:rFonts w:ascii="Arial" w:cs="Arial" w:eastAsia="Arial" w:hAnsi="Arial"/>
          <w:sz w:val="4"/>
          <w:szCs w:val="4"/>
          <w:color w:val="FFFFFF"/>
          <w:vertAlign w:val="superscript"/>
        </w:rPr>
        <w:t>3%</w:t>
      </w:r>
    </w:p>
    <w:p>
      <w:pPr>
        <w:spacing w:after="0" w:line="203" w:lineRule="auto"/>
        <w:rPr>
          <w:sz w:val="20"/>
          <w:szCs w:val="20"/>
          <w:color w:val="auto"/>
        </w:rPr>
      </w:pPr>
      <w:r>
        <w:rPr>
          <w:rFonts w:ascii="Arial" w:cs="Arial" w:eastAsia="Arial" w:hAnsi="Arial"/>
          <w:sz w:val="4"/>
          <w:szCs w:val="4"/>
          <w:color w:val="FFFFFF"/>
        </w:rPr>
        <w:t>HILITE 3%</w:t>
      </w:r>
    </w:p>
    <w:p>
      <w:pPr>
        <w:spacing w:after="0" w:line="202" w:lineRule="auto"/>
        <w:rPr>
          <w:sz w:val="20"/>
          <w:szCs w:val="20"/>
          <w:color w:val="auto"/>
        </w:rPr>
      </w:pPr>
      <w:r>
        <w:rPr>
          <w:rFonts w:ascii="Arial" w:cs="Arial" w:eastAsia="Arial" w:hAnsi="Arial"/>
          <w:sz w:val="4"/>
          <w:szCs w:val="4"/>
          <w:color w:val="FFFFFF"/>
          <w:vertAlign w:val="superscript"/>
        </w:rPr>
        <w:t>3%</w:t>
      </w:r>
      <w:r>
        <w:rPr>
          <w:rFonts w:ascii="Arial" w:cs="Arial" w:eastAsia="Arial" w:hAnsi="Arial"/>
          <w:sz w:val="2"/>
          <w:szCs w:val="2"/>
          <w:color w:val="FFFFFF"/>
        </w:rPr>
        <w:t>6% Denso Emerson</w:t>
      </w:r>
    </w:p>
    <w:p>
      <w:pPr>
        <w:ind w:left="200"/>
        <w:spacing w:after="0" w:line="203" w:lineRule="auto"/>
        <w:rPr>
          <w:sz w:val="20"/>
          <w:szCs w:val="20"/>
          <w:color w:val="auto"/>
        </w:rPr>
      </w:pPr>
      <w:r>
        <w:rPr>
          <w:rFonts w:ascii="Arial" w:cs="Arial" w:eastAsia="Arial" w:hAnsi="Arial"/>
          <w:sz w:val="4"/>
          <w:szCs w:val="4"/>
          <w:color w:val="FFFFFF"/>
        </w:rPr>
        <w:t>19% SKF</w:t>
      </w:r>
    </w:p>
    <w:p>
      <w:pPr>
        <w:spacing w:after="0" w:line="180" w:lineRule="auto"/>
        <w:rPr>
          <w:sz w:val="20"/>
          <w:szCs w:val="20"/>
          <w:color w:val="auto"/>
        </w:rPr>
      </w:pPr>
      <w:r>
        <w:rPr>
          <w:rFonts w:ascii="Arial" w:cs="Arial" w:eastAsia="Arial" w:hAnsi="Arial"/>
          <w:sz w:val="9"/>
          <w:szCs w:val="9"/>
          <w:color w:val="FFFFFF"/>
        </w:rPr>
        <w:t>SKF (Copeland)</w:t>
      </w:r>
    </w:p>
    <w:p>
      <w:pPr>
        <w:spacing w:after="0" w:line="203" w:lineRule="auto"/>
        <w:rPr>
          <w:sz w:val="20"/>
          <w:szCs w:val="20"/>
          <w:color w:val="auto"/>
        </w:rPr>
      </w:pPr>
      <w:r>
        <w:rPr>
          <w:rFonts w:ascii="Arial" w:cs="Arial" w:eastAsia="Arial" w:hAnsi="Arial"/>
          <w:sz w:val="4"/>
          <w:szCs w:val="4"/>
          <w:color w:val="FFFFFF"/>
        </w:rPr>
        <w:t>Emerson4%22% 6% 36%</w:t>
      </w:r>
    </w:p>
    <w:p>
      <w:pPr>
        <w:spacing w:after="0" w:line="180" w:lineRule="auto"/>
        <w:rPr>
          <w:sz w:val="20"/>
          <w:szCs w:val="20"/>
          <w:color w:val="auto"/>
        </w:rPr>
      </w:pPr>
      <w:r>
        <w:rPr>
          <w:rFonts w:ascii="Arial" w:cs="Arial" w:eastAsia="Arial" w:hAnsi="Arial"/>
          <w:sz w:val="9"/>
          <w:szCs w:val="9"/>
          <w:color w:val="FFFFFF"/>
        </w:rPr>
        <w:t>(Copeland) Delphi 7% Schaeffler/</w:t>
      </w:r>
    </w:p>
    <w:p>
      <w:pPr>
        <w:spacing w:after="0" w:line="203" w:lineRule="auto"/>
        <w:rPr>
          <w:sz w:val="20"/>
          <w:szCs w:val="20"/>
          <w:color w:val="auto"/>
        </w:rPr>
      </w:pPr>
      <w:r>
        <w:rPr>
          <w:rFonts w:ascii="Arial" w:cs="Arial" w:eastAsia="Arial" w:hAnsi="Arial"/>
          <w:sz w:val="4"/>
          <w:szCs w:val="4"/>
          <w:color w:val="FFFFFF"/>
        </w:rPr>
        <w:t>7%4% 6% INA/FAG</w:t>
      </w:r>
    </w:p>
    <w:p>
      <w:pPr>
        <w:spacing w:after="0" w:line="180" w:lineRule="auto"/>
        <w:rPr>
          <w:sz w:val="20"/>
          <w:szCs w:val="20"/>
          <w:color w:val="auto"/>
        </w:rPr>
      </w:pPr>
      <w:r>
        <w:rPr>
          <w:rFonts w:ascii="Arial" w:cs="Arial" w:eastAsia="Arial" w:hAnsi="Arial"/>
          <w:sz w:val="9"/>
          <w:szCs w:val="9"/>
          <w:color w:val="FFFFFF"/>
        </w:rPr>
        <w:t>Schaeffler/ 11% 4%</w:t>
      </w:r>
    </w:p>
    <w:p>
      <w:pPr>
        <w:spacing w:after="0" w:line="187" w:lineRule="auto"/>
        <w:rPr>
          <w:sz w:val="20"/>
          <w:szCs w:val="20"/>
          <w:color w:val="auto"/>
        </w:rPr>
      </w:pPr>
      <w:r>
        <w:rPr>
          <w:rFonts w:ascii="Arial" w:cs="Arial" w:eastAsia="Arial" w:hAnsi="Arial"/>
          <w:sz w:val="13"/>
          <w:szCs w:val="13"/>
          <w:color w:val="FFFFFF"/>
        </w:rPr>
        <w:t>ZFINA/FAG TRW</w:t>
      </w:r>
    </w:p>
    <w:p>
      <w:pPr>
        <w:spacing w:after="0" w:line="180" w:lineRule="auto"/>
        <w:rPr>
          <w:sz w:val="20"/>
          <w:szCs w:val="20"/>
          <w:color w:val="auto"/>
        </w:rPr>
      </w:pPr>
      <w:r>
        <w:rPr>
          <w:rFonts w:ascii="Arial" w:cs="Arial" w:eastAsia="Arial" w:hAnsi="Arial"/>
          <w:sz w:val="9"/>
          <w:szCs w:val="9"/>
          <w:color w:val="FFFFFF"/>
        </w:rPr>
        <w:t>ZF7% GM7%8% Fiat5% 4% 8%</w:t>
      </w:r>
    </w:p>
    <w:p>
      <w:pPr>
        <w:spacing w:after="0" w:line="181" w:lineRule="auto"/>
        <w:rPr>
          <w:sz w:val="20"/>
          <w:szCs w:val="20"/>
          <w:color w:val="auto"/>
        </w:rPr>
      </w:pPr>
      <w:r>
        <w:rPr>
          <w:rFonts w:ascii="Arial" w:cs="Arial" w:eastAsia="Arial" w:hAnsi="Arial"/>
          <w:sz w:val="9"/>
          <w:szCs w:val="9"/>
          <w:color w:val="FFFFFF"/>
        </w:rPr>
        <w:t>FiatNTN/SNR Cummins NTN/SNR Bosch</w:t>
      </w:r>
    </w:p>
    <w:p>
      <w:pPr>
        <w:spacing w:after="0" w:line="180" w:lineRule="auto"/>
        <w:rPr>
          <w:sz w:val="20"/>
          <w:szCs w:val="20"/>
          <w:color w:val="auto"/>
        </w:rPr>
      </w:pPr>
      <w:r>
        <w:rPr>
          <w:rFonts w:ascii="Arial" w:cs="Arial" w:eastAsia="Arial" w:hAnsi="Arial"/>
          <w:sz w:val="7"/>
          <w:szCs w:val="7"/>
          <w:color w:val="FFFFFF"/>
        </w:rPr>
        <w:t>H</w:t>
      </w:r>
      <w:r>
        <w:rPr>
          <w:rFonts w:ascii="Arial" w:cs="Arial" w:eastAsia="Arial" w:hAnsi="Arial"/>
          <w:sz w:val="9"/>
          <w:szCs w:val="9"/>
          <w:color w:val="FFFFFF"/>
          <w:vertAlign w:val="subscript"/>
        </w:rPr>
        <w:t>Aerospace</w:t>
      </w:r>
      <w:r>
        <w:rPr>
          <w:rFonts w:ascii="Arial" w:cs="Arial" w:eastAsia="Arial" w:hAnsi="Arial"/>
          <w:sz w:val="7"/>
          <w:szCs w:val="7"/>
          <w:color w:val="FFFFFF"/>
        </w:rPr>
        <w:t>ConsumeravyTruckOther</w:t>
      </w:r>
    </w:p>
    <w:p>
      <w:pPr>
        <w:spacing w:after="0" w:line="180" w:lineRule="auto"/>
        <w:rPr>
          <w:sz w:val="20"/>
          <w:szCs w:val="20"/>
          <w:color w:val="auto"/>
        </w:rPr>
      </w:pPr>
      <w:r>
        <w:rPr>
          <w:rFonts w:ascii="Arial" w:cs="Arial" w:eastAsia="Arial" w:hAnsi="Arial"/>
          <w:sz w:val="9"/>
          <w:szCs w:val="9"/>
          <w:color w:val="FFFFFF"/>
        </w:rPr>
        <w:t>&lt;1% &lt;1% ConsumerMedicalCommercial-Other7% Other 3% 2%</w:t>
      </w:r>
    </w:p>
    <w:p>
      <w:pPr>
        <w:spacing w:after="0" w:line="180" w:lineRule="auto"/>
        <w:rPr>
          <w:sz w:val="20"/>
          <w:szCs w:val="20"/>
          <w:color w:val="auto"/>
        </w:rPr>
      </w:pPr>
      <w:r>
        <w:rPr>
          <w:rFonts w:ascii="Arial" w:cs="Arial" w:eastAsia="Arial" w:hAnsi="Arial"/>
          <w:sz w:val="9"/>
          <w:szCs w:val="9"/>
          <w:color w:val="FFFFFF"/>
        </w:rPr>
        <w:t>4%Vehicles</w:t>
      </w:r>
    </w:p>
    <w:p>
      <w:pPr>
        <w:spacing w:after="0" w:line="180" w:lineRule="auto"/>
        <w:rPr>
          <w:sz w:val="20"/>
          <w:szCs w:val="20"/>
          <w:color w:val="auto"/>
        </w:rPr>
      </w:pPr>
      <w:r>
        <w:rPr>
          <w:rFonts w:ascii="Arial" w:cs="Arial" w:eastAsia="Arial" w:hAnsi="Arial"/>
          <w:sz w:val="9"/>
          <w:szCs w:val="9"/>
          <w:color w:val="FFFFFF"/>
          <w:vertAlign w:val="subscript"/>
        </w:rPr>
        <w:t>H</w:t>
      </w:r>
      <w:r>
        <w:rPr>
          <w:rFonts w:ascii="Arial" w:cs="Arial" w:eastAsia="Arial" w:hAnsi="Arial"/>
          <w:sz w:val="7"/>
          <w:szCs w:val="7"/>
          <w:color w:val="FFFFFF"/>
        </w:rPr>
        <w:t>VAC</w:t>
      </w:r>
      <w:r>
        <w:rPr>
          <w:rFonts w:ascii="Arial" w:cs="Arial" w:eastAsia="Arial" w:hAnsi="Arial"/>
          <w:sz w:val="9"/>
          <w:szCs w:val="9"/>
          <w:color w:val="FFFFFF"/>
          <w:vertAlign w:val="subscript"/>
        </w:rPr>
        <w:t>avy</w:t>
      </w:r>
      <w:r>
        <w:rPr>
          <w:rFonts w:ascii="Arial" w:cs="Arial" w:eastAsia="Arial" w:hAnsi="Arial"/>
          <w:sz w:val="7"/>
          <w:szCs w:val="7"/>
          <w:color w:val="FFFFFF"/>
        </w:rPr>
        <w:t xml:space="preserve"> Truck5%4%5%9%</w:t>
      </w:r>
    </w:p>
    <w:p>
      <w:pPr>
        <w:spacing w:after="0" w:line="204" w:lineRule="auto"/>
        <w:rPr>
          <w:sz w:val="20"/>
          <w:szCs w:val="20"/>
          <w:color w:val="auto"/>
        </w:rPr>
      </w:pPr>
      <w:r>
        <w:rPr>
          <w:rFonts w:ascii="Arial" w:cs="Arial" w:eastAsia="Arial" w:hAnsi="Arial"/>
          <w:sz w:val="4"/>
          <w:szCs w:val="4"/>
          <w:color w:val="FFFFFF"/>
          <w:vertAlign w:val="subscript"/>
        </w:rPr>
        <w:t>General</w:t>
      </w:r>
      <w:r>
        <w:rPr>
          <w:rFonts w:ascii="Arial" w:cs="Arial" w:eastAsia="Arial" w:hAnsi="Arial"/>
          <w:sz w:val="2"/>
          <w:szCs w:val="2"/>
          <w:color w:val="FFFFFF"/>
        </w:rPr>
        <w:t xml:space="preserve"> 25%Industrial 15%</w:t>
      </w:r>
    </w:p>
    <w:p>
      <w:pPr>
        <w:spacing w:after="0" w:line="180" w:lineRule="auto"/>
        <w:rPr>
          <w:sz w:val="20"/>
          <w:szCs w:val="20"/>
          <w:color w:val="auto"/>
        </w:rPr>
      </w:pPr>
      <w:r>
        <w:rPr>
          <w:rFonts w:ascii="Arial" w:cs="Arial" w:eastAsia="Arial" w:hAnsi="Arial"/>
          <w:sz w:val="9"/>
          <w:szCs w:val="9"/>
          <w:color w:val="FFFFFF"/>
        </w:rPr>
        <w:t>Industrial 60%</w:t>
      </w:r>
    </w:p>
    <w:p>
      <w:pPr>
        <w:spacing w:after="0" w:line="203" w:lineRule="auto"/>
        <w:rPr>
          <w:sz w:val="20"/>
          <w:szCs w:val="20"/>
          <w:color w:val="auto"/>
        </w:rPr>
      </w:pPr>
      <w:r>
        <w:rPr>
          <w:rFonts w:ascii="Arial" w:cs="Arial" w:eastAsia="Arial" w:hAnsi="Arial"/>
          <w:sz w:val="4"/>
          <w:szCs w:val="4"/>
          <w:color w:val="FFFFFF"/>
        </w:rPr>
        <w:t>VehiclesLightAuto 70%</w:t>
      </w:r>
    </w:p>
    <w:p>
      <w:pPr>
        <w:spacing w:after="0" w:line="180" w:lineRule="auto"/>
        <w:rPr>
          <w:sz w:val="20"/>
          <w:szCs w:val="20"/>
          <w:color w:val="auto"/>
        </w:rPr>
      </w:pPr>
      <w:r>
        <w:rPr>
          <w:rFonts w:ascii="Arial" w:cs="Arial" w:eastAsia="Arial" w:hAnsi="Arial"/>
          <w:sz w:val="9"/>
          <w:szCs w:val="9"/>
          <w:color w:val="FFFFFF"/>
        </w:rPr>
        <w:t>87%</w:t>
      </w:r>
    </w:p>
    <w:p>
      <w:pPr>
        <w:spacing w:after="0" w:line="180" w:lineRule="auto"/>
        <w:rPr>
          <w:sz w:val="20"/>
          <w:szCs w:val="20"/>
          <w:color w:val="auto"/>
        </w:rPr>
      </w:pPr>
      <w:r>
        <w:rPr>
          <w:rFonts w:ascii="Arial" w:cs="Arial" w:eastAsia="Arial" w:hAnsi="Arial"/>
          <w:sz w:val="9"/>
          <w:szCs w:val="9"/>
          <w:color w:val="FFFFFF"/>
        </w:rPr>
        <w:t>VehiclesPassenger</w:t>
      </w:r>
    </w:p>
    <w:p>
      <w:pPr>
        <w:spacing w:after="0" w:line="180" w:lineRule="auto"/>
        <w:rPr>
          <w:sz w:val="20"/>
          <w:szCs w:val="20"/>
          <w:color w:val="auto"/>
        </w:rPr>
      </w:pPr>
      <w:r>
        <w:rPr>
          <w:rFonts w:ascii="Arial" w:cs="Arial" w:eastAsia="Arial" w:hAnsi="Arial"/>
          <w:sz w:val="9"/>
          <w:szCs w:val="9"/>
          <w:color w:val="FFFFFF"/>
        </w:rPr>
        <w:t>EndTop TenMarketsCustomers</w:t>
      </w:r>
    </w:p>
    <w:p>
      <w:pPr>
        <w:spacing w:after="0"/>
        <w:rPr>
          <w:sz w:val="20"/>
          <w:szCs w:val="20"/>
          <w:color w:val="auto"/>
        </w:rPr>
      </w:pPr>
      <w:r>
        <w:rPr>
          <w:rFonts w:ascii="Arial" w:cs="Arial" w:eastAsia="Arial" w:hAnsi="Arial"/>
          <w:sz w:val="11"/>
          <w:szCs w:val="11"/>
          <w:color w:val="FFFFFF"/>
        </w:rPr>
        <w:t>7Diversified customer base with enhanced end market focus</w:t>
      </w:r>
    </w:p>
    <w:p>
      <w:pPr>
        <w:sectPr>
          <w:pgSz w:w="11900" w:h="16838" w:orient="portrait"/>
          <w:cols w:equalWidth="0" w:num="1">
            <w:col w:w="10219"/>
          </w:cols>
          <w:pgMar w:left="240" w:top="1440" w:right="1440"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325360" cy="4210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5360" cy="421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3"/>
          <w:szCs w:val="13"/>
          <w:color w:val="FFFFFF"/>
        </w:rPr>
        <w:t>Synergies and Post-Transaction</w:t>
      </w:r>
    </w:p>
    <w:p>
      <w:pPr>
        <w:spacing w:after="0" w:line="202" w:lineRule="auto"/>
        <w:rPr>
          <w:sz w:val="20"/>
          <w:szCs w:val="20"/>
          <w:color w:val="auto"/>
        </w:rPr>
      </w:pPr>
      <w:r>
        <w:rPr>
          <w:rFonts w:ascii="Arial" w:cs="Arial" w:eastAsia="Arial" w:hAnsi="Arial"/>
          <w:sz w:val="2"/>
          <w:szCs w:val="2"/>
          <w:color w:val="FFFFFF"/>
        </w:rPr>
        <w:t>Creates</w:t>
      </w:r>
      <w:r>
        <w:rPr>
          <w:rFonts w:ascii="Arial" w:cs="Arial" w:eastAsia="Arial" w:hAnsi="Arial"/>
          <w:sz w:val="4"/>
          <w:szCs w:val="4"/>
          <w:color w:val="FFFFFF"/>
          <w:vertAlign w:val="subscript"/>
        </w:rPr>
        <w:t>ransaction,</w:t>
      </w:r>
      <w:r>
        <w:rPr>
          <w:rFonts w:ascii="Arial" w:cs="Arial" w:eastAsia="Arial" w:hAnsi="Arial"/>
          <w:sz w:val="2"/>
          <w:szCs w:val="2"/>
          <w:color w:val="FFFFFF"/>
        </w:rPr>
        <w:t xml:space="preserve">powerful global </w:t>
      </w:r>
      <w:r>
        <w:rPr>
          <w:rFonts w:ascii="Arial" w:cs="Arial" w:eastAsia="Arial" w:hAnsi="Arial"/>
          <w:sz w:val="4"/>
          <w:szCs w:val="4"/>
          <w:color w:val="FFFFFF"/>
          <w:vertAlign w:val="subscript"/>
        </w:rPr>
        <w:t>leader</w:t>
      </w:r>
      <w:r>
        <w:rPr>
          <w:rFonts w:ascii="Arial" w:cs="Arial" w:eastAsia="Arial" w:hAnsi="Arial"/>
          <w:sz w:val="2"/>
          <w:szCs w:val="2"/>
          <w:color w:val="FFFFFF"/>
        </w:rPr>
        <w:t xml:space="preserve"> in Precision Metal Components and improves NN’</w:t>
      </w:r>
      <w:r>
        <w:rPr>
          <w:rFonts w:ascii="Arial" w:cs="Arial" w:eastAsia="Arial" w:hAnsi="Arial"/>
          <w:sz w:val="4"/>
          <w:szCs w:val="4"/>
          <w:color w:val="FFFFFF"/>
          <w:vertAlign w:val="subscript"/>
        </w:rPr>
        <w:t>Precision</w:t>
      </w:r>
      <w:r>
        <w:rPr>
          <w:rFonts w:ascii="Arial" w:cs="Arial" w:eastAsia="Arial" w:hAnsi="Arial"/>
          <w:sz w:val="2"/>
          <w:szCs w:val="2"/>
          <w:color w:val="FFFFFF"/>
        </w:rPr>
        <w:t>business mix</w:t>
      </w:r>
    </w:p>
    <w:p>
      <w:pPr>
        <w:ind w:right="4559"/>
        <w:spacing w:after="0" w:line="180" w:lineRule="auto"/>
        <w:rPr>
          <w:sz w:val="20"/>
          <w:szCs w:val="20"/>
          <w:color w:val="auto"/>
        </w:rPr>
      </w:pPr>
      <w:r>
        <w:rPr>
          <w:rFonts w:ascii="Arial" w:cs="Arial" w:eastAsia="Arial" w:hAnsi="Arial"/>
          <w:sz w:val="9"/>
          <w:szCs w:val="9"/>
          <w:color w:val="FFFFFF"/>
        </w:rPr>
        <w:t>Post-T NN will be top 3 global manufacturer of Metal Bearing and Metal Components $15-$20M of identified synergies</w:t>
      </w:r>
    </w:p>
    <w:p>
      <w:pPr>
        <w:ind w:left="540" w:right="3419" w:hanging="528"/>
        <w:spacing w:after="0" w:line="180" w:lineRule="auto"/>
        <w:rPr>
          <w:sz w:val="20"/>
          <w:szCs w:val="20"/>
          <w:color w:val="auto"/>
        </w:rPr>
      </w:pPr>
      <w:r>
        <w:rPr>
          <w:rFonts w:ascii="Arial" w:cs="Arial" w:eastAsia="Arial" w:hAnsi="Arial"/>
          <w:sz w:val="9"/>
          <w:szCs w:val="9"/>
          <w:color w:val="FFFFFF"/>
          <w:vertAlign w:val="subscript"/>
        </w:rPr>
        <w:t>Enhances</w:t>
      </w:r>
      <w:r>
        <w:rPr>
          <w:rFonts w:ascii="Arial" w:cs="Arial" w:eastAsia="Arial" w:hAnsi="Arial"/>
          <w:sz w:val="7"/>
          <w:szCs w:val="7"/>
          <w:color w:val="FFFFFF"/>
        </w:rPr>
        <w:t>stablishes a global presence in Precision Metal Components with healthy, well established operations in Brazil, China and Europe high-growth product platforms</w:t>
      </w:r>
    </w:p>
    <w:p>
      <w:pPr>
        <w:ind w:right="3879"/>
        <w:spacing w:after="0" w:line="202" w:lineRule="auto"/>
        <w:rPr>
          <w:sz w:val="20"/>
          <w:szCs w:val="20"/>
          <w:color w:val="auto"/>
        </w:rPr>
      </w:pPr>
      <w:r>
        <w:rPr>
          <w:rFonts w:ascii="Arial" w:cs="Arial" w:eastAsia="Arial" w:hAnsi="Arial"/>
          <w:sz w:val="8"/>
          <w:szCs w:val="8"/>
          <w:color w:val="FFFFFF"/>
        </w:rPr>
        <w:t>Common goal to provide exceptional products, solutions and service to customers more efficiently across multiple regions Leverage procurement spend of combined company</w:t>
      </w:r>
    </w:p>
    <w:p>
      <w:pPr>
        <w:spacing w:after="0"/>
        <w:rPr>
          <w:sz w:val="20"/>
          <w:szCs w:val="20"/>
          <w:color w:val="auto"/>
        </w:rPr>
      </w:pPr>
      <w:r>
        <w:rPr>
          <w:rFonts w:ascii="Arial" w:cs="Arial" w:eastAsia="Arial" w:hAnsi="Arial"/>
          <w:sz w:val="13"/>
          <w:szCs w:val="13"/>
          <w:color w:val="FFFFFF"/>
        </w:rPr>
        <w:t>8</w:t>
      </w:r>
    </w:p>
    <w:p>
      <w:pPr>
        <w:sectPr>
          <w:pgSz w:w="11900" w:h="16838" w:orient="portrait"/>
          <w:cols w:equalWidth="0" w:num="1">
            <w:col w:w="10219"/>
          </w:cols>
          <w:pgMar w:left="240" w:top="1440" w:right="1440"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325360" cy="4210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5360" cy="421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3"/>
          <w:szCs w:val="13"/>
          <w:color w:val="FFFFFF"/>
        </w:rPr>
        <w:t>Transaction Overview</w:t>
      </w:r>
    </w:p>
    <w:p>
      <w:pPr>
        <w:spacing w:after="0" w:line="180" w:lineRule="auto"/>
        <w:rPr>
          <w:sz w:val="20"/>
          <w:szCs w:val="20"/>
          <w:color w:val="auto"/>
        </w:rPr>
      </w:pPr>
      <w:r>
        <w:rPr>
          <w:rFonts w:ascii="Arial" w:cs="Arial" w:eastAsia="Arial" w:hAnsi="Arial"/>
          <w:sz w:val="7"/>
          <w:szCs w:val="7"/>
          <w:color w:val="FFFFFF"/>
        </w:rPr>
        <w:t>Consideration</w:t>
      </w:r>
      <w:r>
        <w:rPr>
          <w:rFonts w:ascii="Arial" w:cs="Arial" w:eastAsia="Arial" w:hAnsi="Arial"/>
          <w:sz w:val="9"/>
          <w:szCs w:val="9"/>
          <w:color w:val="FFFFFF"/>
          <w:vertAlign w:val="superscript"/>
        </w:rPr>
        <w:t>mbinedCompany</w:t>
      </w:r>
    </w:p>
    <w:p>
      <w:pPr>
        <w:spacing w:after="0" w:line="180" w:lineRule="auto"/>
        <w:rPr>
          <w:sz w:val="20"/>
          <w:szCs w:val="20"/>
          <w:color w:val="auto"/>
        </w:rPr>
      </w:pPr>
      <w:r>
        <w:rPr>
          <w:rFonts w:ascii="Arial" w:cs="Arial" w:eastAsia="Arial" w:hAnsi="Arial"/>
          <w:sz w:val="7"/>
          <w:szCs w:val="7"/>
          <w:color w:val="FFFFFF"/>
        </w:rPr>
        <w:t>Financial</w:t>
      </w:r>
      <w:r>
        <w:rPr>
          <w:rFonts w:ascii="Arial" w:cs="Arial" w:eastAsia="Arial" w:hAnsi="Arial"/>
          <w:sz w:val="9"/>
          <w:szCs w:val="9"/>
          <w:color w:val="FFFFFF"/>
          <w:vertAlign w:val="superscript"/>
        </w:rPr>
        <w:t>ng</w:t>
      </w:r>
    </w:p>
    <w:p>
      <w:pPr>
        <w:spacing w:after="0" w:line="203" w:lineRule="auto"/>
        <w:tabs>
          <w:tab w:leader="none" w:pos="500" w:val="left"/>
        </w:tabs>
        <w:rPr>
          <w:sz w:val="20"/>
          <w:szCs w:val="20"/>
          <w:color w:val="auto"/>
        </w:rPr>
      </w:pPr>
      <w:r>
        <w:rPr>
          <w:rFonts w:ascii="Arial" w:cs="Arial" w:eastAsia="Arial" w:hAnsi="Arial"/>
          <w:sz w:val="4"/>
          <w:szCs w:val="4"/>
          <w:color w:val="FFFFFF"/>
        </w:rPr>
        <w:t>Timing</w:t>
      </w:r>
      <w:r>
        <w:rPr>
          <w:sz w:val="20"/>
          <w:szCs w:val="20"/>
          <w:color w:val="auto"/>
        </w:rPr>
        <w:tab/>
      </w:r>
      <w:r>
        <w:rPr>
          <w:rFonts w:ascii="Arial" w:cs="Arial" w:eastAsia="Arial" w:hAnsi="Arial"/>
          <w:sz w:val="4"/>
          <w:szCs w:val="4"/>
          <w:color w:val="FFFFFF"/>
        </w:rPr>
        <w:t>Benefits</w:t>
      </w:r>
    </w:p>
    <w:p>
      <w:pPr>
        <w:spacing w:after="0" w:line="203" w:lineRule="auto"/>
        <w:rPr>
          <w:sz w:val="20"/>
          <w:szCs w:val="20"/>
          <w:color w:val="auto"/>
        </w:rPr>
      </w:pPr>
      <w:r>
        <w:rPr>
          <w:rFonts w:ascii="Arial" w:cs="Arial" w:eastAsia="Arial" w:hAnsi="Arial"/>
          <w:sz w:val="4"/>
          <w:szCs w:val="4"/>
          <w:color w:val="FFFFFF"/>
        </w:rPr>
        <w:t>2015 Revenue of approximately $725 million* 2015 EBITDA of $125—$135 million* 2015 Positive Free Cash Flow of $35 million*</w:t>
      </w:r>
    </w:p>
    <w:p>
      <w:pPr>
        <w:ind w:left="700" w:right="3820" w:hanging="697"/>
        <w:spacing w:after="0"/>
        <w:rPr>
          <w:sz w:val="20"/>
          <w:szCs w:val="20"/>
          <w:color w:val="auto"/>
        </w:rPr>
      </w:pPr>
      <w:r>
        <w:rPr>
          <w:rFonts w:ascii="Arial" w:cs="Arial" w:eastAsia="Arial" w:hAnsi="Arial"/>
          <w:sz w:val="7"/>
          <w:szCs w:val="7"/>
          <w:color w:val="FFFFFF"/>
          <w:vertAlign w:val="subscript"/>
        </w:rPr>
        <w:t>$350</w:t>
      </w:r>
      <w:r>
        <w:rPr>
          <w:rFonts w:ascii="Arial" w:cs="Arial" w:eastAsia="Arial" w:hAnsi="Arial"/>
          <w:sz w:val="6"/>
          <w:szCs w:val="6"/>
          <w:color w:val="FFFFFF"/>
        </w:rPr>
        <w:t xml:space="preserve">00 </w:t>
      </w:r>
      <w:r>
        <w:rPr>
          <w:rFonts w:ascii="Arial" w:cs="Arial" w:eastAsia="Arial" w:hAnsi="Arial"/>
          <w:sz w:val="7"/>
          <w:szCs w:val="7"/>
          <w:color w:val="FFFFFF"/>
          <w:vertAlign w:val="subscript"/>
        </w:rPr>
        <w:t>million</w:t>
      </w:r>
      <w:r>
        <w:rPr>
          <w:rFonts w:ascii="Arial" w:cs="Arial" w:eastAsia="Arial" w:hAnsi="Arial"/>
          <w:sz w:val="6"/>
          <w:szCs w:val="6"/>
          <w:color w:val="FFFFFF"/>
        </w:rPr>
        <w:t xml:space="preserve"> purchase price $275 million in cash and assumed debt; the remainder in NN Common shares to majority owner, John Kennedy Term Loan B underwritten by BofAML and Keybank NA $100 million ABL Revolver underwritten by Keybank NA and BofAML</w:t>
      </w:r>
    </w:p>
    <w:p>
      <w:pPr>
        <w:spacing w:after="0" w:line="195" w:lineRule="auto"/>
        <w:rPr>
          <w:sz w:val="20"/>
          <w:szCs w:val="20"/>
          <w:color w:val="auto"/>
        </w:rPr>
      </w:pPr>
      <w:r>
        <w:rPr>
          <w:rFonts w:ascii="Arial" w:cs="Arial" w:eastAsia="Arial" w:hAnsi="Arial"/>
          <w:sz w:val="8"/>
          <w:szCs w:val="8"/>
          <w:color w:val="FFFFFF"/>
        </w:rPr>
        <w:t>MergerImmediatelyAgreementaccretivesignedtoearningsJuly18,and2014cash flow Synergies of $15-20 million or more expected</w:t>
      </w:r>
    </w:p>
    <w:p>
      <w:pPr>
        <w:spacing w:after="0" w:line="203" w:lineRule="auto"/>
        <w:rPr>
          <w:sz w:val="20"/>
          <w:szCs w:val="20"/>
          <w:color w:val="auto"/>
        </w:rPr>
      </w:pPr>
      <w:r>
        <w:rPr>
          <w:rFonts w:ascii="Arial" w:cs="Arial" w:eastAsia="Arial" w:hAnsi="Arial"/>
          <w:sz w:val="4"/>
          <w:szCs w:val="4"/>
          <w:color w:val="FFFFFF"/>
        </w:rPr>
        <w:t>Closing expected post-HSR by end of third quarter 2014</w:t>
      </w:r>
    </w:p>
    <w:p>
      <w:pPr>
        <w:spacing w:after="0" w:line="180" w:lineRule="auto"/>
        <w:rPr>
          <w:sz w:val="20"/>
          <w:szCs w:val="20"/>
          <w:color w:val="auto"/>
        </w:rPr>
      </w:pPr>
      <w:r>
        <w:rPr>
          <w:rFonts w:ascii="Arial" w:cs="Arial" w:eastAsia="Arial" w:hAnsi="Arial"/>
          <w:sz w:val="9"/>
          <w:szCs w:val="9"/>
          <w:color w:val="FFFFFF"/>
        </w:rPr>
        <w:t>* Includes all completed acquisitions, estimated continued European recovery, organic growth and adjacent market growth per NN’s long-range strategic plan. EBITDA estimate assumes full realization of synergies and full integration of new operations.</w:t>
      </w:r>
    </w:p>
    <w:p>
      <w:pPr>
        <w:spacing w:after="0"/>
        <w:rPr>
          <w:sz w:val="20"/>
          <w:szCs w:val="20"/>
          <w:color w:val="auto"/>
        </w:rPr>
      </w:pPr>
      <w:r>
        <w:rPr>
          <w:rFonts w:ascii="Arial" w:cs="Arial" w:eastAsia="Arial" w:hAnsi="Arial"/>
          <w:sz w:val="13"/>
          <w:szCs w:val="13"/>
          <w:color w:val="FFFFFF"/>
        </w:rPr>
        <w:t>9</w:t>
      </w:r>
    </w:p>
    <w:p>
      <w:pPr>
        <w:sectPr>
          <w:pgSz w:w="11900" w:h="16838" w:orient="portrait"/>
          <w:cols w:equalWidth="0" w:num="1">
            <w:col w:w="11320"/>
          </w:cols>
          <w:pgMar w:left="240" w:top="1440" w:right="3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325360" cy="4210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5360" cy="421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00" w:type="dxa"/>
            <w:vAlign w:val="bottom"/>
          </w:tcPr>
          <w:p>
            <w:pPr>
              <w:spacing w:after="0"/>
              <w:rPr>
                <w:sz w:val="20"/>
                <w:szCs w:val="20"/>
                <w:color w:val="auto"/>
              </w:rPr>
            </w:pPr>
            <w:r>
              <w:rPr>
                <w:rFonts w:ascii="Arial" w:cs="Arial" w:eastAsia="Arial" w:hAnsi="Arial"/>
                <w:sz w:val="13"/>
                <w:szCs w:val="13"/>
                <w:color w:val="FFFFFF"/>
              </w:rPr>
              <w:t>Autocam Recent Historical Data*</w:t>
            </w:r>
          </w:p>
        </w:tc>
        <w:tc>
          <w:tcPr>
            <w:tcW w:w="100" w:type="dxa"/>
            <w:vAlign w:val="bottom"/>
          </w:tcPr>
          <w:p>
            <w:pPr>
              <w:spacing w:after="0"/>
              <w:rPr>
                <w:sz w:val="12"/>
                <w:szCs w:val="12"/>
                <w:color w:val="auto"/>
              </w:rPr>
            </w:pPr>
          </w:p>
        </w:tc>
        <w:tc>
          <w:tcPr>
            <w:tcW w:w="2600" w:type="dxa"/>
            <w:vAlign w:val="bottom"/>
            <w:gridSpan w:val="4"/>
            <w:vMerge w:val="restart"/>
          </w:tcPr>
          <w:p>
            <w:pPr>
              <w:jc w:val="center"/>
              <w:ind w:left="204"/>
              <w:spacing w:after="0"/>
              <w:rPr>
                <w:sz w:val="20"/>
                <w:szCs w:val="20"/>
                <w:color w:val="auto"/>
              </w:rPr>
            </w:pPr>
            <w:r>
              <w:rPr>
                <w:rFonts w:ascii="Arial" w:cs="Arial" w:eastAsia="Arial" w:hAnsi="Arial"/>
                <w:sz w:val="13"/>
                <w:szCs w:val="13"/>
                <w:color w:val="FFFFFF"/>
                <w:w w:val="96"/>
              </w:rPr>
              <w:t>Q2 13 Q3 13 Q4 13 Q1 14 Q2   LTM LTM</w:t>
            </w:r>
          </w:p>
        </w:tc>
        <w:tc>
          <w:tcPr>
            <w:tcW w:w="0" w:type="dxa"/>
            <w:vAlign w:val="bottom"/>
          </w:tcPr>
          <w:p>
            <w:pPr>
              <w:spacing w:after="0"/>
              <w:rPr>
                <w:sz w:val="1"/>
                <w:szCs w:val="1"/>
                <w:color w:val="auto"/>
              </w:rPr>
            </w:pPr>
          </w:p>
        </w:tc>
      </w:tr>
      <w:tr>
        <w:trPr>
          <w:trHeight w:val="39"/>
        </w:trPr>
        <w:tc>
          <w:tcPr>
            <w:tcW w:w="2600" w:type="dxa"/>
            <w:vAlign w:val="bottom"/>
          </w:tcPr>
          <w:p>
            <w:pPr>
              <w:spacing w:after="0" w:line="39" w:lineRule="exact"/>
              <w:rPr>
                <w:sz w:val="20"/>
                <w:szCs w:val="20"/>
                <w:color w:val="auto"/>
              </w:rPr>
            </w:pPr>
            <w:r>
              <w:rPr>
                <w:rFonts w:ascii="Arial" w:cs="Arial" w:eastAsia="Arial" w:hAnsi="Arial"/>
                <w:sz w:val="4"/>
                <w:szCs w:val="4"/>
                <w:color w:val="FFFFFF"/>
              </w:rPr>
              <w:t>Summary Unaudited Financial Data Years Ending</w:t>
            </w:r>
          </w:p>
        </w:tc>
        <w:tc>
          <w:tcPr>
            <w:tcW w:w="100" w:type="dxa"/>
            <w:vAlign w:val="bottom"/>
          </w:tcPr>
          <w:p>
            <w:pPr>
              <w:spacing w:after="0"/>
              <w:rPr>
                <w:sz w:val="3"/>
                <w:szCs w:val="3"/>
                <w:color w:val="auto"/>
              </w:rPr>
            </w:pPr>
          </w:p>
        </w:tc>
        <w:tc>
          <w:tcPr>
            <w:tcW w:w="26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600" w:type="dxa"/>
            <w:vAlign w:val="bottom"/>
          </w:tcPr>
          <w:p>
            <w:pPr>
              <w:spacing w:after="0" w:line="39" w:lineRule="exact"/>
              <w:rPr>
                <w:sz w:val="20"/>
                <w:szCs w:val="20"/>
                <w:color w:val="auto"/>
              </w:rPr>
            </w:pPr>
            <w:r>
              <w:rPr>
                <w:rFonts w:ascii="Arial" w:cs="Arial" w:eastAsia="Arial" w:hAnsi="Arial"/>
                <w:sz w:val="4"/>
                <w:szCs w:val="4"/>
                <w:color w:val="FFFFFF"/>
              </w:rPr>
              <w:t>($ in millions) 2012 2013 6/30/2013</w:t>
            </w: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40" w:type="dxa"/>
            <w:vAlign w:val="bottom"/>
            <w:gridSpan w:val="2"/>
          </w:tcPr>
          <w:p>
            <w:pPr>
              <w:jc w:val="right"/>
              <w:spacing w:after="0" w:line="39" w:lineRule="exact"/>
              <w:rPr>
                <w:sz w:val="20"/>
                <w:szCs w:val="20"/>
                <w:color w:val="auto"/>
              </w:rPr>
            </w:pPr>
            <w:r>
              <w:rPr>
                <w:rFonts w:ascii="Arial" w:cs="Arial" w:eastAsia="Arial" w:hAnsi="Arial"/>
                <w:sz w:val="4"/>
                <w:szCs w:val="4"/>
                <w:color w:val="FFFFFF"/>
              </w:rPr>
              <w:t>3/31/2014 6/30/2014 3/31/2014</w:t>
            </w:r>
          </w:p>
        </w:tc>
        <w:tc>
          <w:tcPr>
            <w:tcW w:w="540" w:type="dxa"/>
            <w:vAlign w:val="bottom"/>
          </w:tcPr>
          <w:p>
            <w:pPr>
              <w:jc w:val="right"/>
              <w:spacing w:after="0" w:line="39" w:lineRule="exact"/>
              <w:rPr>
                <w:sz w:val="20"/>
                <w:szCs w:val="20"/>
                <w:color w:val="auto"/>
              </w:rPr>
            </w:pPr>
            <w:r>
              <w:rPr>
                <w:rFonts w:ascii="Arial" w:cs="Arial" w:eastAsia="Arial" w:hAnsi="Arial"/>
                <w:sz w:val="4"/>
                <w:szCs w:val="4"/>
                <w:color w:val="FFFFFF"/>
              </w:rPr>
              <w:t>6/30/2014</w:t>
            </w:r>
          </w:p>
        </w:tc>
        <w:tc>
          <w:tcPr>
            <w:tcW w:w="0" w:type="dxa"/>
            <w:vAlign w:val="bottom"/>
          </w:tcPr>
          <w:p>
            <w:pPr>
              <w:spacing w:after="0" w:line="20" w:lineRule="exact"/>
              <w:rPr>
                <w:sz w:val="1"/>
                <w:szCs w:val="1"/>
                <w:color w:val="auto"/>
              </w:rPr>
            </w:pPr>
          </w:p>
        </w:tc>
      </w:tr>
      <w:tr>
        <w:trPr>
          <w:trHeight w:val="39"/>
        </w:trPr>
        <w:tc>
          <w:tcPr>
            <w:tcW w:w="3940" w:type="dxa"/>
            <w:vAlign w:val="bottom"/>
            <w:gridSpan w:val="4"/>
          </w:tcPr>
          <w:p>
            <w:pPr>
              <w:spacing w:after="0" w:line="39" w:lineRule="exact"/>
              <w:rPr>
                <w:sz w:val="20"/>
                <w:szCs w:val="20"/>
                <w:color w:val="auto"/>
              </w:rPr>
            </w:pPr>
            <w:r>
              <w:rPr>
                <w:rFonts w:ascii="Arial" w:cs="Arial" w:eastAsia="Arial" w:hAnsi="Arial"/>
                <w:sz w:val="4"/>
                <w:szCs w:val="4"/>
                <w:color w:val="FFFFFF"/>
              </w:rPr>
              <w:t>Net sales $ 181.6 $ 233.5 $ 59.7 $ 59.79/30/2013$59.$12/31/201364.$65.4 $ 242.8 $ 248.5</w:t>
            </w: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600" w:type="dxa"/>
            <w:vAlign w:val="bottom"/>
          </w:tcPr>
          <w:p>
            <w:pPr>
              <w:spacing w:after="0" w:line="39" w:lineRule="exact"/>
              <w:rPr>
                <w:sz w:val="20"/>
                <w:szCs w:val="20"/>
                <w:color w:val="auto"/>
              </w:rPr>
            </w:pPr>
            <w:r>
              <w:rPr>
                <w:rFonts w:ascii="Arial" w:cs="Arial" w:eastAsia="Arial" w:hAnsi="Arial"/>
                <w:sz w:val="4"/>
                <w:szCs w:val="4"/>
                <w:color w:val="FFFFFF"/>
              </w:rPr>
              <w:t>Cost of products sold (exclusive of depreciation</w:t>
            </w:r>
          </w:p>
        </w:tc>
        <w:tc>
          <w:tcPr>
            <w:tcW w:w="420" w:type="dxa"/>
            <w:vAlign w:val="bottom"/>
            <w:gridSpan w:val="2"/>
            <w:vMerge w:val="restart"/>
          </w:tcPr>
          <w:p>
            <w:pPr>
              <w:ind w:left="20"/>
              <w:spacing w:after="0" w:line="78" w:lineRule="exact"/>
              <w:rPr>
                <w:sz w:val="20"/>
                <w:szCs w:val="20"/>
                <w:color w:val="auto"/>
              </w:rPr>
            </w:pPr>
            <w:r>
              <w:rPr>
                <w:rFonts w:ascii="Arial" w:cs="Arial" w:eastAsia="Arial" w:hAnsi="Arial"/>
                <w:sz w:val="9"/>
                <w:szCs w:val="9"/>
                <w:color w:val="FFFFFF"/>
              </w:rPr>
              <w:t>$ 192.5</w:t>
            </w:r>
          </w:p>
        </w:tc>
        <w:tc>
          <w:tcPr>
            <w:tcW w:w="920" w:type="dxa"/>
            <w:vAlign w:val="bottom"/>
            <w:vMerge w:val="restart"/>
          </w:tcPr>
          <w:p>
            <w:pPr>
              <w:jc w:val="right"/>
              <w:ind w:right="473"/>
              <w:spacing w:after="0" w:line="78" w:lineRule="exact"/>
              <w:rPr>
                <w:sz w:val="20"/>
                <w:szCs w:val="20"/>
                <w:color w:val="auto"/>
              </w:rPr>
            </w:pPr>
            <w:r>
              <w:rPr>
                <w:rFonts w:ascii="Arial" w:cs="Arial" w:eastAsia="Arial" w:hAnsi="Arial"/>
                <w:sz w:val="9"/>
                <w:szCs w:val="9"/>
                <w:color w:val="FFFFFF"/>
              </w:rPr>
              <w:t>$ 195.2</w:t>
            </w: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600" w:type="dxa"/>
            <w:vAlign w:val="bottom"/>
          </w:tcPr>
          <w:p>
            <w:pPr>
              <w:spacing w:after="0" w:line="39" w:lineRule="exact"/>
              <w:rPr>
                <w:sz w:val="20"/>
                <w:szCs w:val="20"/>
                <w:color w:val="auto"/>
              </w:rPr>
            </w:pPr>
            <w:r>
              <w:rPr>
                <w:rFonts w:ascii="Arial" w:cs="Arial" w:eastAsia="Arial" w:hAnsi="Arial"/>
                <w:sz w:val="4"/>
                <w:szCs w:val="4"/>
                <w:color w:val="FFFFFF"/>
              </w:rPr>
              <w:t>$ 150.3 $ 187.4 $ 47.9 $ 47.8 $ 45.9 $ 50.9 $ 50.6</w:t>
            </w:r>
          </w:p>
        </w:tc>
        <w:tc>
          <w:tcPr>
            <w:tcW w:w="42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600" w:type="dxa"/>
            <w:vAlign w:val="bottom"/>
          </w:tcPr>
          <w:p>
            <w:pPr>
              <w:spacing w:after="0" w:line="39" w:lineRule="exact"/>
              <w:rPr>
                <w:sz w:val="20"/>
                <w:szCs w:val="20"/>
                <w:color w:val="auto"/>
              </w:rPr>
            </w:pPr>
            <w:r>
              <w:rPr>
                <w:rFonts w:ascii="Arial" w:cs="Arial" w:eastAsia="Arial" w:hAnsi="Arial"/>
                <w:sz w:val="4"/>
                <w:szCs w:val="4"/>
                <w:color w:val="FFFFFF"/>
              </w:rPr>
              <w:t>shown separately below)</w:t>
            </w: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restart"/>
          </w:tcPr>
          <w:p>
            <w:pPr>
              <w:jc w:val="right"/>
              <w:ind w:right="17"/>
              <w:spacing w:after="0" w:line="78" w:lineRule="exact"/>
              <w:rPr>
                <w:sz w:val="20"/>
                <w:szCs w:val="20"/>
                <w:color w:val="auto"/>
              </w:rPr>
            </w:pPr>
            <w:r>
              <w:rPr>
                <w:rFonts w:ascii="Arial" w:cs="Arial" w:eastAsia="Arial" w:hAnsi="Arial"/>
                <w:sz w:val="9"/>
                <w:szCs w:val="9"/>
                <w:color w:val="FFFFFF"/>
              </w:rPr>
              <w:t>$ 13.5 $ 13.8</w:t>
            </w: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940" w:type="dxa"/>
            <w:vAlign w:val="bottom"/>
            <w:gridSpan w:val="4"/>
          </w:tcPr>
          <w:p>
            <w:pPr>
              <w:spacing w:after="0" w:line="39" w:lineRule="exact"/>
              <w:rPr>
                <w:sz w:val="20"/>
                <w:szCs w:val="20"/>
                <w:color w:val="auto"/>
              </w:rPr>
            </w:pPr>
            <w:r>
              <w:rPr>
                <w:rFonts w:ascii="Arial" w:cs="Arial" w:eastAsia="Arial" w:hAnsi="Arial"/>
                <w:sz w:val="4"/>
                <w:szCs w:val="4"/>
                <w:color w:val="FFFFFF"/>
              </w:rPr>
              <w:t>Selling, general and administrative $ 12.  $ 13.6 $ 3.4 $ 3.2 $ 3.4 $ 3.5 $ 3.</w:t>
            </w:r>
          </w:p>
        </w:tc>
        <w:tc>
          <w:tcPr>
            <w:tcW w:w="8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600" w:type="dxa"/>
            <w:vAlign w:val="bottom"/>
          </w:tcPr>
          <w:p>
            <w:pPr>
              <w:spacing w:after="0" w:line="39" w:lineRule="exact"/>
              <w:rPr>
                <w:sz w:val="20"/>
                <w:szCs w:val="20"/>
                <w:color w:val="auto"/>
              </w:rPr>
            </w:pPr>
            <w:r>
              <w:rPr>
                <w:rFonts w:ascii="Arial" w:cs="Arial" w:eastAsia="Arial" w:hAnsi="Arial"/>
                <w:sz w:val="4"/>
                <w:szCs w:val="4"/>
                <w:color w:val="FFFFFF"/>
              </w:rPr>
              <w:t>Depreciation and amortization $ 13.6 $ 16.6 $ 4.0</w:t>
            </w:r>
          </w:p>
        </w:tc>
        <w:tc>
          <w:tcPr>
            <w:tcW w:w="2160" w:type="dxa"/>
            <w:vAlign w:val="bottom"/>
            <w:gridSpan w:val="4"/>
          </w:tcPr>
          <w:p>
            <w:pPr>
              <w:jc w:val="right"/>
              <w:ind w:right="257"/>
              <w:spacing w:after="0" w:line="39" w:lineRule="exact"/>
              <w:rPr>
                <w:sz w:val="20"/>
                <w:szCs w:val="20"/>
                <w:color w:val="auto"/>
              </w:rPr>
            </w:pPr>
            <w:r>
              <w:rPr>
                <w:rFonts w:ascii="Arial" w:cs="Arial" w:eastAsia="Arial" w:hAnsi="Arial"/>
                <w:sz w:val="4"/>
                <w:szCs w:val="4"/>
                <w:color w:val="FFFFFF"/>
              </w:rPr>
              <w:t>$ 4.2 $ 4.5 $ 4.9 $ 5.0 $ 17.6 $ 18.6</w:t>
            </w: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760" w:type="dxa"/>
            <w:vAlign w:val="bottom"/>
            <w:gridSpan w:val="5"/>
          </w:tcPr>
          <w:p>
            <w:pPr>
              <w:ind w:left="120"/>
              <w:spacing w:after="0" w:line="39" w:lineRule="exact"/>
              <w:rPr>
                <w:sz w:val="20"/>
                <w:szCs w:val="20"/>
                <w:color w:val="auto"/>
              </w:rPr>
            </w:pPr>
            <w:r>
              <w:rPr>
                <w:rFonts w:ascii="Arial" w:cs="Arial" w:eastAsia="Arial" w:hAnsi="Arial"/>
                <w:sz w:val="4"/>
                <w:szCs w:val="4"/>
                <w:color w:val="FFFFFF"/>
              </w:rPr>
              <w:t>come from operations $ 5.6 $ 15.9 $ 4.4 $ 4.5 $ 5.3 $ 5.0 $ 6.1 $ 19.2 $ 20.9</w:t>
            </w: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600" w:type="dxa"/>
            <w:vAlign w:val="bottom"/>
          </w:tcPr>
          <w:p>
            <w:pPr>
              <w:spacing w:after="0" w:line="39" w:lineRule="exact"/>
              <w:rPr>
                <w:sz w:val="20"/>
                <w:szCs w:val="20"/>
                <w:color w:val="auto"/>
              </w:rPr>
            </w:pPr>
            <w:r>
              <w:rPr>
                <w:rFonts w:ascii="Arial" w:cs="Arial" w:eastAsia="Arial" w:hAnsi="Arial"/>
                <w:sz w:val="4"/>
                <w:szCs w:val="4"/>
                <w:color w:val="FFFFFF"/>
              </w:rPr>
              <w:t>Interest expense $ 2.0 $ 2.7 $ 0.7 $ 0.7 $ 0.7 $ 0.7</w:t>
            </w:r>
          </w:p>
        </w:tc>
        <w:tc>
          <w:tcPr>
            <w:tcW w:w="1340" w:type="dxa"/>
            <w:vAlign w:val="bottom"/>
            <w:gridSpan w:val="3"/>
          </w:tcPr>
          <w:p>
            <w:pPr>
              <w:ind w:left="20"/>
              <w:spacing w:after="0" w:line="39" w:lineRule="exact"/>
              <w:rPr>
                <w:sz w:val="20"/>
                <w:szCs w:val="20"/>
                <w:color w:val="auto"/>
              </w:rPr>
            </w:pPr>
            <w:r>
              <w:rPr>
                <w:rFonts w:ascii="Arial" w:cs="Arial" w:eastAsia="Arial" w:hAnsi="Arial"/>
                <w:sz w:val="4"/>
                <w:szCs w:val="4"/>
                <w:color w:val="FFFFFF"/>
              </w:rPr>
              <w:t>$ 0.7 $ 2.8 $ 2.8</w:t>
            </w: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700" w:type="dxa"/>
            <w:vAlign w:val="bottom"/>
            <w:gridSpan w:val="2"/>
          </w:tcPr>
          <w:p>
            <w:pPr>
              <w:spacing w:after="0" w:line="39" w:lineRule="exact"/>
              <w:rPr>
                <w:sz w:val="20"/>
                <w:szCs w:val="20"/>
                <w:color w:val="auto"/>
              </w:rPr>
            </w:pPr>
            <w:r>
              <w:rPr>
                <w:rFonts w:ascii="Arial" w:cs="Arial" w:eastAsia="Arial" w:hAnsi="Arial"/>
                <w:sz w:val="4"/>
                <w:szCs w:val="4"/>
                <w:color w:val="FFFFFF"/>
              </w:rPr>
              <w:t>Other expense $ 0.3 $ 0.6 $ 0.2 $ 0.2 $ 0.1 $—$ 0.1</w:t>
            </w:r>
          </w:p>
        </w:tc>
        <w:tc>
          <w:tcPr>
            <w:tcW w:w="320" w:type="dxa"/>
            <w:vAlign w:val="bottom"/>
          </w:tcPr>
          <w:p>
            <w:pPr>
              <w:jc w:val="right"/>
              <w:ind w:right="4"/>
              <w:spacing w:after="0" w:line="39" w:lineRule="exact"/>
              <w:rPr>
                <w:sz w:val="20"/>
                <w:szCs w:val="20"/>
                <w:color w:val="auto"/>
              </w:rPr>
            </w:pPr>
            <w:r>
              <w:rPr>
                <w:rFonts w:ascii="Arial" w:cs="Arial" w:eastAsia="Arial" w:hAnsi="Arial"/>
                <w:sz w:val="4"/>
                <w:szCs w:val="4"/>
                <w:color w:val="FFFFFF"/>
              </w:rPr>
              <w:t>$ 0.5</w:t>
            </w:r>
          </w:p>
        </w:tc>
        <w:tc>
          <w:tcPr>
            <w:tcW w:w="920" w:type="dxa"/>
            <w:vAlign w:val="bottom"/>
          </w:tcPr>
          <w:p>
            <w:pPr>
              <w:spacing w:after="0" w:line="39" w:lineRule="exact"/>
              <w:rPr>
                <w:sz w:val="20"/>
                <w:szCs w:val="20"/>
                <w:color w:val="auto"/>
              </w:rPr>
            </w:pPr>
            <w:r>
              <w:rPr>
                <w:rFonts w:ascii="Arial" w:cs="Arial" w:eastAsia="Arial" w:hAnsi="Arial"/>
                <w:sz w:val="4"/>
                <w:szCs w:val="4"/>
                <w:color w:val="FFFFFF"/>
              </w:rPr>
              <w:t>$ 0.4</w:t>
            </w:r>
          </w:p>
        </w:tc>
        <w:tc>
          <w:tcPr>
            <w:tcW w:w="820" w:type="dxa"/>
            <w:vAlign w:val="bottom"/>
            <w:vMerge w:val="restart"/>
          </w:tcPr>
          <w:p>
            <w:pPr>
              <w:jc w:val="right"/>
              <w:ind w:right="437"/>
              <w:spacing w:after="0" w:line="78" w:lineRule="exact"/>
              <w:rPr>
                <w:sz w:val="20"/>
                <w:szCs w:val="20"/>
                <w:color w:val="auto"/>
              </w:rPr>
            </w:pPr>
            <w:r>
              <w:rPr>
                <w:rFonts w:ascii="Arial" w:cs="Arial" w:eastAsia="Arial" w:hAnsi="Arial"/>
                <w:sz w:val="9"/>
                <w:szCs w:val="9"/>
                <w:color w:val="FFFFFF"/>
              </w:rPr>
              <w:t>$ 17.7</w:t>
            </w: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700" w:type="dxa"/>
            <w:vAlign w:val="bottom"/>
            <w:gridSpan w:val="2"/>
          </w:tcPr>
          <w:p>
            <w:pPr>
              <w:spacing w:after="0" w:line="39" w:lineRule="exact"/>
              <w:rPr>
                <w:sz w:val="20"/>
                <w:szCs w:val="20"/>
                <w:color w:val="auto"/>
              </w:rPr>
            </w:pPr>
            <w:r>
              <w:rPr>
                <w:rFonts w:ascii="Arial" w:cs="Arial" w:eastAsia="Arial" w:hAnsi="Arial"/>
                <w:sz w:val="4"/>
                <w:szCs w:val="4"/>
                <w:color w:val="FFFFFF"/>
              </w:rPr>
              <w:t>Income before income taxes $ 3.3 $ 12.6 $ 3.5 $ 3.6</w:t>
            </w:r>
          </w:p>
        </w:tc>
        <w:tc>
          <w:tcPr>
            <w:tcW w:w="320" w:type="dxa"/>
            <w:vAlign w:val="bottom"/>
          </w:tcPr>
          <w:p>
            <w:pPr>
              <w:jc w:val="right"/>
              <w:ind w:right="4"/>
              <w:spacing w:after="0" w:line="39" w:lineRule="exact"/>
              <w:rPr>
                <w:sz w:val="20"/>
                <w:szCs w:val="20"/>
                <w:color w:val="auto"/>
              </w:rPr>
            </w:pPr>
            <w:r>
              <w:rPr>
                <w:rFonts w:ascii="Arial" w:cs="Arial" w:eastAsia="Arial" w:hAnsi="Arial"/>
                <w:sz w:val="4"/>
                <w:szCs w:val="4"/>
                <w:color w:val="FFFFFF"/>
              </w:rPr>
              <w:t>$ 4.5</w:t>
            </w:r>
          </w:p>
        </w:tc>
        <w:tc>
          <w:tcPr>
            <w:tcW w:w="920" w:type="dxa"/>
            <w:vAlign w:val="bottom"/>
          </w:tcPr>
          <w:p>
            <w:pPr>
              <w:spacing w:after="0" w:line="39" w:lineRule="exact"/>
              <w:rPr>
                <w:sz w:val="20"/>
                <w:szCs w:val="20"/>
                <w:color w:val="auto"/>
              </w:rPr>
            </w:pPr>
            <w:r>
              <w:rPr>
                <w:rFonts w:ascii="Arial" w:cs="Arial" w:eastAsia="Arial" w:hAnsi="Arial"/>
                <w:sz w:val="4"/>
                <w:szCs w:val="4"/>
                <w:color w:val="FFFFFF"/>
              </w:rPr>
              <w:t>$ 4.3 $ 5.3 $ 15.9</w:t>
            </w:r>
          </w:p>
        </w:tc>
        <w:tc>
          <w:tcPr>
            <w:tcW w:w="8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0"/>
        </w:trPr>
        <w:tc>
          <w:tcPr>
            <w:tcW w:w="3940" w:type="dxa"/>
            <w:vAlign w:val="bottom"/>
            <w:gridSpan w:val="4"/>
          </w:tcPr>
          <w:p>
            <w:pPr>
              <w:spacing w:after="0" w:line="38" w:lineRule="exact"/>
              <w:rPr>
                <w:sz w:val="20"/>
                <w:szCs w:val="20"/>
                <w:color w:val="auto"/>
              </w:rPr>
            </w:pPr>
            <w:r>
              <w:rPr>
                <w:rFonts w:ascii="Arial" w:cs="Arial" w:eastAsia="Arial" w:hAnsi="Arial"/>
                <w:sz w:val="4"/>
                <w:szCs w:val="4"/>
                <w:color w:val="FFFFFF"/>
              </w:rPr>
              <w:t>Capital spending $ 36.2 $ 29.8 $ 8.1 $ 7.7 $ 6.4 $ 4.1 $ 6.3 $ 26.3 $ 24.5</w:t>
            </w: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spacing w:after="0"/>
        <w:rPr>
          <w:sz w:val="20"/>
          <w:szCs w:val="20"/>
          <w:color w:val="auto"/>
        </w:rPr>
      </w:pPr>
      <w:r>
        <w:rPr>
          <w:rFonts w:ascii="Arial" w:cs="Arial" w:eastAsia="Arial" w:hAnsi="Arial"/>
          <w:sz w:val="4"/>
          <w:szCs w:val="4"/>
          <w:color w:val="FFFFFF"/>
        </w:rPr>
        <w:t>* The above information was prepared by NN, Inc. based on unaudited and unreviewed Autocam Corporation internal reports provided to NN, Inc. by Autocam. Autocam Corporation has not reviewed or endorsed this data as presented above. This data should be considered as forward-looking estimates and as such actual results could differ materially from the data presented herein. Please see the cautionary note regarding forward-looking statements on slide 2 of this presentation. NN does not intend, and undertakes no obligation, to update this information.</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FFFFFF"/>
        </w:rPr>
        <w:t>10</w:t>
      </w:r>
    </w:p>
    <w:p>
      <w:pPr>
        <w:sectPr>
          <w:pgSz w:w="11900" w:h="16838" w:orient="portrait"/>
          <w:cols w:equalWidth="0" w:num="1">
            <w:col w:w="11260"/>
          </w:cols>
          <w:pgMar w:left="240" w:top="1440" w:right="39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325360" cy="4210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5360" cy="421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20" w:type="dxa"/>
            <w:vAlign w:val="bottom"/>
          </w:tcPr>
          <w:p>
            <w:pPr>
              <w:spacing w:after="0"/>
              <w:rPr>
                <w:sz w:val="20"/>
                <w:szCs w:val="20"/>
                <w:color w:val="auto"/>
              </w:rPr>
            </w:pPr>
            <w:r>
              <w:rPr>
                <w:rFonts w:ascii="Arial" w:cs="Arial" w:eastAsia="Arial" w:hAnsi="Arial"/>
                <w:sz w:val="13"/>
                <w:szCs w:val="13"/>
                <w:color w:val="FFFFFF"/>
              </w:rPr>
              <w:t>Autocam Recent Historical Data*</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5300" w:type="dxa"/>
            <w:vAlign w:val="bottom"/>
            <w:gridSpan w:val="5"/>
          </w:tcPr>
          <w:p>
            <w:pPr>
              <w:spacing w:after="0" w:line="39" w:lineRule="exact"/>
              <w:rPr>
                <w:sz w:val="20"/>
                <w:szCs w:val="20"/>
                <w:color w:val="auto"/>
              </w:rPr>
            </w:pPr>
            <w:r>
              <w:rPr>
                <w:rFonts w:ascii="Arial" w:cs="Arial" w:eastAsia="Arial" w:hAnsi="Arial"/>
                <w:sz w:val="4"/>
                <w:szCs w:val="4"/>
                <w:color w:val="FFFFFF"/>
              </w:rPr>
              <w:t>EBITDA Calculation Years Ending 12/31 Q2 13 Q3   Q4 13 Q1   Q2   LTM LTM</w:t>
            </w:r>
          </w:p>
        </w:tc>
        <w:tc>
          <w:tcPr>
            <w:tcW w:w="0" w:type="dxa"/>
            <w:vAlign w:val="bottom"/>
          </w:tcPr>
          <w:p>
            <w:pPr>
              <w:spacing w:after="0" w:line="20" w:lineRule="exact"/>
              <w:rPr>
                <w:sz w:val="1"/>
                <w:szCs w:val="1"/>
                <w:color w:val="auto"/>
              </w:rPr>
            </w:pPr>
          </w:p>
        </w:tc>
      </w:tr>
      <w:tr>
        <w:trPr>
          <w:trHeight w:val="39"/>
        </w:trPr>
        <w:tc>
          <w:tcPr>
            <w:tcW w:w="2460" w:type="dxa"/>
            <w:vAlign w:val="bottom"/>
            <w:gridSpan w:val="3"/>
          </w:tcPr>
          <w:p>
            <w:pPr>
              <w:spacing w:after="0" w:line="39" w:lineRule="exact"/>
              <w:rPr>
                <w:sz w:val="20"/>
                <w:szCs w:val="20"/>
                <w:color w:val="auto"/>
              </w:rPr>
            </w:pPr>
            <w:r>
              <w:rPr>
                <w:rFonts w:ascii="Arial" w:cs="Arial" w:eastAsia="Arial" w:hAnsi="Arial"/>
                <w:sz w:val="4"/>
                <w:szCs w:val="4"/>
                <w:color w:val="FFFFFF"/>
              </w:rPr>
              <w:t>($ in millions) 2012 2013 6/30/2013 9/30/2013</w:t>
            </w:r>
          </w:p>
        </w:tc>
        <w:tc>
          <w:tcPr>
            <w:tcW w:w="1740" w:type="dxa"/>
            <w:vAlign w:val="bottom"/>
          </w:tcPr>
          <w:p>
            <w:pPr>
              <w:ind w:left="20"/>
              <w:spacing w:after="0" w:line="39" w:lineRule="exact"/>
              <w:rPr>
                <w:sz w:val="20"/>
                <w:szCs w:val="20"/>
                <w:color w:val="auto"/>
              </w:rPr>
            </w:pPr>
            <w:r>
              <w:rPr>
                <w:rFonts w:ascii="Arial" w:cs="Arial" w:eastAsia="Arial" w:hAnsi="Arial"/>
                <w:sz w:val="4"/>
                <w:szCs w:val="4"/>
                <w:color w:val="FFFFFF"/>
              </w:rPr>
              <w:t>12/31/2013 3/31/2014 6/30/2014</w:t>
            </w:r>
          </w:p>
        </w:tc>
        <w:tc>
          <w:tcPr>
            <w:tcW w:w="1100" w:type="dxa"/>
            <w:vAlign w:val="bottom"/>
          </w:tcPr>
          <w:p>
            <w:pPr>
              <w:jc w:val="right"/>
              <w:spacing w:after="0" w:line="39" w:lineRule="exact"/>
              <w:rPr>
                <w:sz w:val="20"/>
                <w:szCs w:val="20"/>
                <w:color w:val="auto"/>
              </w:rPr>
            </w:pPr>
            <w:r>
              <w:rPr>
                <w:rFonts w:ascii="Arial" w:cs="Arial" w:eastAsia="Arial" w:hAnsi="Arial"/>
                <w:sz w:val="4"/>
                <w:szCs w:val="4"/>
                <w:color w:val="FFFFFF"/>
              </w:rPr>
              <w:t>3/31/2014 6/30/2014</w:t>
            </w:r>
          </w:p>
        </w:tc>
        <w:tc>
          <w:tcPr>
            <w:tcW w:w="0" w:type="dxa"/>
            <w:vAlign w:val="bottom"/>
          </w:tcPr>
          <w:p>
            <w:pPr>
              <w:spacing w:after="0" w:line="20" w:lineRule="exact"/>
              <w:rPr>
                <w:sz w:val="1"/>
                <w:szCs w:val="1"/>
                <w:color w:val="auto"/>
              </w:rPr>
            </w:pPr>
          </w:p>
        </w:tc>
      </w:tr>
      <w:tr>
        <w:trPr>
          <w:trHeight w:val="39"/>
        </w:trPr>
        <w:tc>
          <w:tcPr>
            <w:tcW w:w="1920" w:type="dxa"/>
            <w:vAlign w:val="bottom"/>
          </w:tcPr>
          <w:p>
            <w:pPr>
              <w:spacing w:after="0" w:line="39" w:lineRule="exact"/>
              <w:rPr>
                <w:sz w:val="20"/>
                <w:szCs w:val="20"/>
                <w:color w:val="auto"/>
              </w:rPr>
            </w:pPr>
            <w:r>
              <w:rPr>
                <w:rFonts w:ascii="Arial" w:cs="Arial" w:eastAsia="Arial" w:hAnsi="Arial"/>
                <w:sz w:val="4"/>
                <w:szCs w:val="4"/>
                <w:color w:val="FFFFFF"/>
              </w:rPr>
              <w:t>Income before income taxes</w:t>
            </w: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740" w:type="dxa"/>
            <w:vAlign w:val="bottom"/>
            <w:vMerge w:val="restart"/>
          </w:tcPr>
          <w:p>
            <w:pPr>
              <w:spacing w:after="0" w:line="78" w:lineRule="exact"/>
              <w:rPr>
                <w:sz w:val="20"/>
                <w:szCs w:val="20"/>
                <w:color w:val="auto"/>
              </w:rPr>
            </w:pPr>
            <w:r>
              <w:rPr>
                <w:rFonts w:ascii="Arial" w:cs="Arial" w:eastAsia="Arial" w:hAnsi="Arial"/>
                <w:sz w:val="9"/>
                <w:szCs w:val="9"/>
                <w:color w:val="FFFFFF"/>
              </w:rPr>
              <w:t>$ 17.7</w:t>
            </w: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460" w:type="dxa"/>
            <w:vAlign w:val="bottom"/>
            <w:gridSpan w:val="3"/>
          </w:tcPr>
          <w:p>
            <w:pPr>
              <w:spacing w:after="0" w:line="39" w:lineRule="exact"/>
              <w:rPr>
                <w:sz w:val="20"/>
                <w:szCs w:val="20"/>
                <w:color w:val="auto"/>
              </w:rPr>
            </w:pPr>
            <w:r>
              <w:rPr>
                <w:rFonts w:ascii="Arial" w:cs="Arial" w:eastAsia="Arial" w:hAnsi="Arial"/>
                <w:sz w:val="4"/>
                <w:szCs w:val="4"/>
                <w:color w:val="FFFFFF"/>
              </w:rPr>
              <w:t>$ 3.3 $ 12.6 $ 3.5 $ 3.6 $ 4.5 $ 4.3 $ 5.3 $ 15.9</w:t>
            </w:r>
          </w:p>
        </w:tc>
        <w:tc>
          <w:tcPr>
            <w:tcW w:w="174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920" w:type="dxa"/>
            <w:vAlign w:val="bottom"/>
          </w:tcPr>
          <w:p>
            <w:pPr>
              <w:spacing w:after="0" w:line="39" w:lineRule="exact"/>
              <w:rPr>
                <w:sz w:val="20"/>
                <w:szCs w:val="20"/>
                <w:color w:val="auto"/>
              </w:rPr>
            </w:pPr>
            <w:r>
              <w:rPr>
                <w:rFonts w:ascii="Arial" w:cs="Arial" w:eastAsia="Arial" w:hAnsi="Arial"/>
                <w:sz w:val="4"/>
                <w:szCs w:val="4"/>
                <w:color w:val="FFFFFF"/>
              </w:rPr>
              <w:t>Depreciation and amortization</w:t>
            </w: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200" w:type="dxa"/>
            <w:vAlign w:val="bottom"/>
            <w:gridSpan w:val="4"/>
          </w:tcPr>
          <w:p>
            <w:pPr>
              <w:spacing w:after="0" w:line="39" w:lineRule="exact"/>
              <w:rPr>
                <w:sz w:val="20"/>
                <w:szCs w:val="20"/>
                <w:color w:val="auto"/>
              </w:rPr>
            </w:pPr>
            <w:r>
              <w:rPr>
                <w:rFonts w:ascii="Arial" w:cs="Arial" w:eastAsia="Arial" w:hAnsi="Arial"/>
                <w:sz w:val="4"/>
                <w:szCs w:val="4"/>
                <w:color w:val="FFFFFF"/>
              </w:rPr>
              <w:t>$ 13.6 $ 16.6 $ 4.0 $ 4.2 $ 4.5 $ 4.9 $ 5.0 $ 17.6 $ 18.6</w:t>
            </w: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920" w:type="dxa"/>
            <w:vAlign w:val="bottom"/>
          </w:tcPr>
          <w:p>
            <w:pPr>
              <w:spacing w:after="0" w:line="39" w:lineRule="exact"/>
              <w:rPr>
                <w:sz w:val="20"/>
                <w:szCs w:val="20"/>
                <w:color w:val="auto"/>
              </w:rPr>
            </w:pPr>
            <w:r>
              <w:rPr>
                <w:rFonts w:ascii="Arial" w:cs="Arial" w:eastAsia="Arial" w:hAnsi="Arial"/>
                <w:sz w:val="4"/>
                <w:szCs w:val="4"/>
                <w:color w:val="FFFFFF"/>
              </w:rPr>
              <w:t>Interest expense</w:t>
            </w:r>
          </w:p>
        </w:tc>
        <w:tc>
          <w:tcPr>
            <w:tcW w:w="100" w:type="dxa"/>
            <w:vAlign w:val="bottom"/>
          </w:tcPr>
          <w:p>
            <w:pPr>
              <w:spacing w:after="0"/>
              <w:rPr>
                <w:sz w:val="3"/>
                <w:szCs w:val="3"/>
                <w:color w:val="auto"/>
              </w:rPr>
            </w:pPr>
          </w:p>
        </w:tc>
        <w:tc>
          <w:tcPr>
            <w:tcW w:w="2180" w:type="dxa"/>
            <w:vAlign w:val="bottom"/>
            <w:gridSpan w:val="2"/>
            <w:vMerge w:val="restart"/>
          </w:tcPr>
          <w:p>
            <w:pPr>
              <w:ind w:left="20"/>
              <w:spacing w:after="0" w:line="78" w:lineRule="exact"/>
              <w:rPr>
                <w:sz w:val="20"/>
                <w:szCs w:val="20"/>
                <w:color w:val="auto"/>
              </w:rPr>
            </w:pPr>
            <w:r>
              <w:rPr>
                <w:rFonts w:ascii="Arial" w:cs="Arial" w:eastAsia="Arial" w:hAnsi="Arial"/>
                <w:sz w:val="9"/>
                <w:szCs w:val="9"/>
                <w:color w:val="FFFFFF"/>
              </w:rPr>
              <w:t>$ 2.8 $ 2.8</w:t>
            </w: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020" w:type="dxa"/>
            <w:vAlign w:val="bottom"/>
            <w:gridSpan w:val="2"/>
          </w:tcPr>
          <w:p>
            <w:pPr>
              <w:spacing w:after="0" w:line="39" w:lineRule="exact"/>
              <w:rPr>
                <w:sz w:val="20"/>
                <w:szCs w:val="20"/>
                <w:color w:val="auto"/>
              </w:rPr>
            </w:pPr>
            <w:r>
              <w:rPr>
                <w:rFonts w:ascii="Arial" w:cs="Arial" w:eastAsia="Arial" w:hAnsi="Arial"/>
                <w:sz w:val="4"/>
                <w:szCs w:val="4"/>
                <w:color w:val="FFFFFF"/>
              </w:rPr>
              <w:t>$ 2.0 $ 2.7 $ 0.7 $ 0.7 $ 0.7 $ 0.7 $ 0.7</w:t>
            </w:r>
          </w:p>
        </w:tc>
        <w:tc>
          <w:tcPr>
            <w:tcW w:w="2180" w:type="dxa"/>
            <w:vAlign w:val="bottom"/>
            <w:gridSpan w:val="2"/>
            <w:vMerge w:val="continue"/>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920" w:type="dxa"/>
            <w:vAlign w:val="bottom"/>
          </w:tcPr>
          <w:p>
            <w:pPr>
              <w:spacing w:after="0" w:line="39" w:lineRule="exact"/>
              <w:rPr>
                <w:sz w:val="20"/>
                <w:szCs w:val="20"/>
                <w:color w:val="auto"/>
              </w:rPr>
            </w:pPr>
            <w:r>
              <w:rPr>
                <w:rFonts w:ascii="Arial" w:cs="Arial" w:eastAsia="Arial" w:hAnsi="Arial"/>
                <w:sz w:val="4"/>
                <w:szCs w:val="4"/>
                <w:color w:val="FFFFFF"/>
              </w:rPr>
              <w:t>China JV dividends received</w:t>
            </w:r>
          </w:p>
        </w:tc>
        <w:tc>
          <w:tcPr>
            <w:tcW w:w="100" w:type="dxa"/>
            <w:vAlign w:val="bottom"/>
            <w:vMerge w:val="restart"/>
          </w:tcPr>
          <w:p>
            <w:pPr>
              <w:jc w:val="right"/>
              <w:spacing w:after="0" w:line="78" w:lineRule="exact"/>
              <w:rPr>
                <w:sz w:val="20"/>
                <w:szCs w:val="20"/>
                <w:color w:val="auto"/>
              </w:rPr>
            </w:pPr>
            <w:r>
              <w:rPr>
                <w:rFonts w:ascii="Arial" w:cs="Arial" w:eastAsia="Arial" w:hAnsi="Arial"/>
                <w:sz w:val="9"/>
                <w:szCs w:val="9"/>
                <w:color w:val="FFFFFF"/>
              </w:rPr>
              <w:t>$</w:t>
            </w:r>
          </w:p>
        </w:tc>
        <w:tc>
          <w:tcPr>
            <w:tcW w:w="440" w:type="dxa"/>
            <w:vAlign w:val="bottom"/>
            <w:vMerge w:val="restart"/>
          </w:tcPr>
          <w:p>
            <w:pPr>
              <w:ind w:left="20"/>
              <w:spacing w:after="0" w:line="78" w:lineRule="exact"/>
              <w:rPr>
                <w:sz w:val="20"/>
                <w:szCs w:val="20"/>
                <w:color w:val="auto"/>
              </w:rPr>
            </w:pPr>
            <w:r>
              <w:rPr>
                <w:rFonts w:ascii="Arial" w:cs="Arial" w:eastAsia="Arial" w:hAnsi="Arial"/>
                <w:sz w:val="9"/>
                <w:szCs w:val="9"/>
                <w:color w:val="FFFFFF"/>
              </w:rPr>
              <w:t>1.5</w:t>
            </w:r>
          </w:p>
        </w:tc>
        <w:tc>
          <w:tcPr>
            <w:tcW w:w="1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920" w:type="dxa"/>
            <w:vAlign w:val="bottom"/>
          </w:tcPr>
          <w:p>
            <w:pPr>
              <w:spacing w:after="0" w:line="39" w:lineRule="exact"/>
              <w:rPr>
                <w:sz w:val="20"/>
                <w:szCs w:val="20"/>
                <w:color w:val="auto"/>
              </w:rPr>
            </w:pPr>
            <w:r>
              <w:rPr>
                <w:rFonts w:ascii="Arial" w:cs="Arial" w:eastAsia="Arial" w:hAnsi="Arial"/>
                <w:sz w:val="4"/>
                <w:szCs w:val="4"/>
                <w:color w:val="FFFFFF"/>
              </w:rPr>
              <w:t>$ 1.8 $ 1.5 $—$ 1.5 $—$—$—$ 1.5</w:t>
            </w:r>
          </w:p>
        </w:tc>
        <w:tc>
          <w:tcPr>
            <w:tcW w:w="100" w:type="dxa"/>
            <w:vAlign w:val="bottom"/>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1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920" w:type="dxa"/>
            <w:vAlign w:val="bottom"/>
          </w:tcPr>
          <w:p>
            <w:pPr>
              <w:spacing w:after="0" w:line="39" w:lineRule="exact"/>
              <w:rPr>
                <w:sz w:val="20"/>
                <w:szCs w:val="20"/>
                <w:color w:val="auto"/>
              </w:rPr>
            </w:pPr>
            <w:r>
              <w:rPr>
                <w:rFonts w:ascii="Arial" w:cs="Arial" w:eastAsia="Arial" w:hAnsi="Arial"/>
                <w:sz w:val="4"/>
                <w:szCs w:val="4"/>
                <w:color w:val="FFFFFF"/>
              </w:rPr>
              <w:t>Divestiture costs</w:t>
            </w: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920" w:type="dxa"/>
            <w:vAlign w:val="bottom"/>
          </w:tcPr>
          <w:p>
            <w:pPr>
              <w:spacing w:after="0" w:line="39" w:lineRule="exact"/>
              <w:rPr>
                <w:sz w:val="20"/>
                <w:szCs w:val="20"/>
                <w:color w:val="auto"/>
              </w:rPr>
            </w:pPr>
            <w:r>
              <w:rPr>
                <w:rFonts w:ascii="Arial" w:cs="Arial" w:eastAsia="Arial" w:hAnsi="Arial"/>
                <w:sz w:val="4"/>
                <w:szCs w:val="4"/>
                <w:color w:val="FFFFFF"/>
              </w:rPr>
              <w:t>$—$—$—$—$—$—$ 0.2 $—$ 0.2</w:t>
            </w: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920" w:type="dxa"/>
            <w:vAlign w:val="bottom"/>
          </w:tcPr>
          <w:p>
            <w:pPr>
              <w:spacing w:after="0" w:line="39" w:lineRule="exact"/>
              <w:rPr>
                <w:sz w:val="20"/>
                <w:szCs w:val="20"/>
                <w:color w:val="auto"/>
              </w:rPr>
            </w:pPr>
            <w:r>
              <w:rPr>
                <w:rFonts w:ascii="Arial" w:cs="Arial" w:eastAsia="Arial" w:hAnsi="Arial"/>
                <w:sz w:val="4"/>
                <w:szCs w:val="4"/>
                <w:color w:val="FFFFFF"/>
              </w:rPr>
              <w:t>Other excludable losses (gains)</w:t>
            </w:r>
          </w:p>
        </w:tc>
        <w:tc>
          <w:tcPr>
            <w:tcW w:w="100" w:type="dxa"/>
            <w:vAlign w:val="bottom"/>
            <w:vMerge w:val="restart"/>
          </w:tcPr>
          <w:p>
            <w:pPr>
              <w:jc w:val="right"/>
              <w:spacing w:after="0" w:line="78" w:lineRule="exact"/>
              <w:rPr>
                <w:sz w:val="20"/>
                <w:szCs w:val="20"/>
                <w:color w:val="auto"/>
              </w:rPr>
            </w:pPr>
            <w:r>
              <w:rPr>
                <w:rFonts w:ascii="Arial" w:cs="Arial" w:eastAsia="Arial" w:hAnsi="Arial"/>
                <w:sz w:val="9"/>
                <w:szCs w:val="9"/>
                <w:color w:val="FFFFFF"/>
              </w:rPr>
              <w:t>$</w:t>
            </w:r>
          </w:p>
        </w:tc>
        <w:tc>
          <w:tcPr>
            <w:tcW w:w="2180" w:type="dxa"/>
            <w:vAlign w:val="bottom"/>
            <w:gridSpan w:val="2"/>
            <w:vMerge w:val="restart"/>
          </w:tcPr>
          <w:p>
            <w:pPr>
              <w:ind w:left="20"/>
              <w:spacing w:after="0" w:line="78" w:lineRule="exact"/>
              <w:rPr>
                <w:sz w:val="20"/>
                <w:szCs w:val="20"/>
                <w:color w:val="auto"/>
              </w:rPr>
            </w:pPr>
            <w:r>
              <w:rPr>
                <w:rFonts w:ascii="Arial" w:cs="Arial" w:eastAsia="Arial" w:hAnsi="Arial"/>
                <w:sz w:val="9"/>
                <w:szCs w:val="9"/>
                <w:color w:val="FFFFFF"/>
              </w:rPr>
              <w:t>0.5 $ 0.6</w:t>
            </w: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920" w:type="dxa"/>
            <w:vAlign w:val="bottom"/>
          </w:tcPr>
          <w:p>
            <w:pPr>
              <w:spacing w:after="0" w:line="39" w:lineRule="exact"/>
              <w:rPr>
                <w:sz w:val="20"/>
                <w:szCs w:val="20"/>
                <w:color w:val="auto"/>
              </w:rPr>
            </w:pPr>
            <w:r>
              <w:rPr>
                <w:rFonts w:ascii="Arial" w:cs="Arial" w:eastAsia="Arial" w:hAnsi="Arial"/>
                <w:sz w:val="4"/>
                <w:szCs w:val="4"/>
                <w:color w:val="FFFFFF"/>
              </w:rPr>
              <w:t>$ 0.5 $ 0.7 $ 0.1 $ 0.3 $ 0.1 $—$ 0.2</w:t>
            </w:r>
          </w:p>
        </w:tc>
        <w:tc>
          <w:tcPr>
            <w:tcW w:w="100" w:type="dxa"/>
            <w:vAlign w:val="bottom"/>
            <w:vMerge w:val="continue"/>
          </w:tcPr>
          <w:p>
            <w:pPr>
              <w:spacing w:after="0"/>
              <w:rPr>
                <w:sz w:val="3"/>
                <w:szCs w:val="3"/>
                <w:color w:val="auto"/>
              </w:rPr>
            </w:pPr>
          </w:p>
        </w:tc>
        <w:tc>
          <w:tcPr>
            <w:tcW w:w="2180" w:type="dxa"/>
            <w:vAlign w:val="bottom"/>
            <w:gridSpan w:val="2"/>
            <w:vMerge w:val="continue"/>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920" w:type="dxa"/>
            <w:vAlign w:val="bottom"/>
          </w:tcPr>
          <w:p>
            <w:pPr>
              <w:spacing w:after="0" w:line="39" w:lineRule="exact"/>
              <w:rPr>
                <w:sz w:val="20"/>
                <w:szCs w:val="20"/>
                <w:color w:val="auto"/>
              </w:rPr>
            </w:pPr>
            <w:r>
              <w:rPr>
                <w:rFonts w:ascii="Arial" w:cs="Arial" w:eastAsia="Arial" w:hAnsi="Arial"/>
                <w:sz w:val="4"/>
                <w:szCs w:val="4"/>
                <w:color w:val="FFFFFF"/>
              </w:rPr>
              <w:t>Adjusted EBITDA</w:t>
            </w:r>
          </w:p>
        </w:tc>
        <w:tc>
          <w:tcPr>
            <w:tcW w:w="100" w:type="dxa"/>
            <w:vAlign w:val="bottom"/>
            <w:vMerge w:val="restart"/>
          </w:tcPr>
          <w:p>
            <w:pPr>
              <w:jc w:val="right"/>
              <w:spacing w:after="0" w:line="2" w:lineRule="exact"/>
              <w:rPr>
                <w:sz w:val="20"/>
                <w:szCs w:val="20"/>
                <w:color w:val="auto"/>
              </w:rPr>
            </w:pPr>
            <w:r>
              <w:rPr>
                <w:rFonts w:ascii="Arial" w:cs="Arial" w:eastAsia="Arial" w:hAnsi="Arial"/>
                <w:sz w:val="1"/>
                <w:szCs w:val="1"/>
                <w:color w:val="FFFFFF"/>
              </w:rPr>
              <w:t>$</w:t>
            </w:r>
          </w:p>
        </w:tc>
        <w:tc>
          <w:tcPr>
            <w:tcW w:w="2180" w:type="dxa"/>
            <w:vAlign w:val="bottom"/>
            <w:gridSpan w:val="2"/>
            <w:vMerge w:val="restart"/>
          </w:tcPr>
          <w:p>
            <w:pPr>
              <w:ind w:left="20"/>
              <w:spacing w:after="0" w:line="2" w:lineRule="exact"/>
              <w:rPr>
                <w:sz w:val="20"/>
                <w:szCs w:val="20"/>
                <w:color w:val="auto"/>
              </w:rPr>
            </w:pPr>
            <w:r>
              <w:rPr>
                <w:rFonts w:ascii="Arial" w:cs="Arial" w:eastAsia="Arial" w:hAnsi="Arial"/>
                <w:sz w:val="1"/>
                <w:szCs w:val="1"/>
                <w:color w:val="FFFFFF"/>
              </w:rPr>
              <w:t>11.4 $ 38.3 $ 41.4</w:t>
            </w: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0"/>
        </w:trPr>
        <w:tc>
          <w:tcPr>
            <w:tcW w:w="1920" w:type="dxa"/>
            <w:vAlign w:val="bottom"/>
          </w:tcPr>
          <w:p>
            <w:pPr>
              <w:spacing w:after="0" w:line="38" w:lineRule="exact"/>
              <w:rPr>
                <w:sz w:val="20"/>
                <w:szCs w:val="20"/>
                <w:color w:val="auto"/>
              </w:rPr>
            </w:pPr>
            <w:r>
              <w:rPr>
                <w:rFonts w:ascii="Arial" w:cs="Arial" w:eastAsia="Arial" w:hAnsi="Arial"/>
                <w:sz w:val="4"/>
                <w:szCs w:val="4"/>
                <w:color w:val="FFFFFF"/>
              </w:rPr>
              <w:t>$ 21.2 $ 34.1 $ 8.3 $ 10.3 $ 9.8 $ 9.9</w:t>
            </w:r>
          </w:p>
        </w:tc>
        <w:tc>
          <w:tcPr>
            <w:tcW w:w="100" w:type="dxa"/>
            <w:vAlign w:val="bottom"/>
            <w:vMerge w:val="continue"/>
          </w:tcPr>
          <w:p>
            <w:pPr>
              <w:spacing w:after="0" w:line="20" w:lineRule="exact"/>
              <w:rPr>
                <w:sz w:val="1"/>
                <w:szCs w:val="1"/>
                <w:color w:val="auto"/>
              </w:rPr>
            </w:pPr>
          </w:p>
        </w:tc>
        <w:tc>
          <w:tcPr>
            <w:tcW w:w="2180" w:type="dxa"/>
            <w:vAlign w:val="bottom"/>
            <w:gridSpan w:val="2"/>
            <w:vMerge w:val="continu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spacing w:after="0"/>
        <w:rPr>
          <w:sz w:val="20"/>
          <w:szCs w:val="20"/>
          <w:color w:val="auto"/>
        </w:rPr>
      </w:pPr>
      <w:r>
        <w:rPr>
          <w:rFonts w:ascii="Arial" w:cs="Arial" w:eastAsia="Arial" w:hAnsi="Arial"/>
          <w:sz w:val="4"/>
          <w:szCs w:val="4"/>
          <w:color w:val="FFFFFF"/>
        </w:rPr>
        <w:t>* The above information was prepared by NN, Inc. based on unaudited and unreviewed Autocam Corporation internal reports provided to NN, Inc. by Autocam. Autocam Corporation has not reviewed or endorsed this data as presented above. This data should be considered as forward-looking estimates and as such actual results could differ materially from the data presented herein. Please see the cautionary note regarding forward-looking statements on slide 2 of this presentation. NN does not intend, and undertakes no obligation, to update this information.</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FFFFFF"/>
        </w:rPr>
        <w:t>11</w:t>
      </w:r>
    </w:p>
    <w:sectPr>
      <w:pgSz w:w="11900" w:h="16838" w:orient="portrait"/>
      <w:cols w:equalWidth="0" w:num="1">
        <w:col w:w="11260"/>
      </w:cols>
      <w:pgMar w:left="240" w:top="144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2019-12-06T10:22:48Z</dcterms:created>
  <dcterms:modified xsi:type="dcterms:W3CDTF">2019-12-06T10:22:48Z</dcterms:modified>
</cp:coreProperties>
</file>