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6997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2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2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314960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216"/>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60" w:hanging="216"/>
        <w:spacing w:after="0"/>
        <w:tabs>
          <w:tab w:leader="none" w:pos="6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660" w:hanging="216"/>
        <w:spacing w:after="0"/>
        <w:tabs>
          <w:tab w:leader="none" w:pos="6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220" w:right="160" w:hanging="216"/>
        <w:spacing w:after="0" w:line="308" w:lineRule="auto"/>
        <w:rPr>
          <w:rFonts w:ascii="MS PGothic" w:cs="MS PGothic" w:eastAsia="MS PGothic" w:hAnsi="MS PGothic"/>
          <w:sz w:val="18"/>
          <w:szCs w:val="18"/>
          <w:color w:val="auto"/>
        </w:rPr>
      </w:pPr>
      <w:r>
        <w:rPr>
          <w:rFonts w:ascii="Arial" w:cs="Arial" w:eastAsia="Arial" w:hAnsi="Arial"/>
          <w:sz w:val="17"/>
          <w:szCs w:val="17"/>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00"/>
          </w:cols>
          <w:pgMar w:left="440" w:top="517" w:right="5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629337106</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5377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6590" cy="537718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I.R.S. Identification Nos. of above persons (entities only).</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RBC Global Asset Management (U.S.) Inc.</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00" w:type="dxa"/>
            <w:vAlign w:val="bottom"/>
            <w:gridSpan w:val="3"/>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58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w w:val="92"/>
              </w:rPr>
              <w:t>Minnesota</w:t>
            </w:r>
          </w:p>
        </w:tc>
        <w:tc>
          <w:tcPr>
            <w:tcW w:w="9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95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20" w:type="dxa"/>
            <w:vAlign w:val="bottom"/>
            <w:tcBorders>
              <w:right w:val="single" w:sz="8" w:color="auto"/>
            </w:tcBorders>
            <w:gridSpan w:val="3"/>
            <w:vMerge w:val="restart"/>
          </w:tcPr>
          <w:p>
            <w:pPr>
              <w:jc w:val="center"/>
              <w:ind w:left="10"/>
              <w:spacing w:after="0"/>
              <w:rPr>
                <w:sz w:val="20"/>
                <w:szCs w:val="20"/>
                <w:color w:val="auto"/>
              </w:rPr>
            </w:pPr>
            <w:r>
              <w:rPr>
                <w:rFonts w:ascii="Arial" w:cs="Arial" w:eastAsia="Arial" w:hAnsi="Arial"/>
                <w:sz w:val="18"/>
                <w:szCs w:val="18"/>
                <w:color w:val="auto"/>
                <w:w w:val="92"/>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20" w:type="dxa"/>
            <w:vAlign w:val="bottom"/>
            <w:tcBorders>
              <w:right w:val="single" w:sz="8" w:color="auto"/>
            </w:tcBorders>
            <w:gridSpan w:val="3"/>
            <w:vMerge w:val="continue"/>
          </w:tcPr>
          <w:p>
            <w:pPr>
              <w:spacing w:after="0"/>
              <w:rPr>
                <w:sz w:val="4"/>
                <w:szCs w:val="4"/>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4"/>
                <w:szCs w:val="4"/>
                <w:color w:val="auto"/>
              </w:rPr>
            </w:pPr>
          </w:p>
        </w:tc>
        <w:tc>
          <w:tcPr>
            <w:tcW w:w="954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760" w:type="dxa"/>
            <w:vAlign w:val="bottom"/>
            <w:tcBorders>
              <w:right w:val="single" w:sz="8" w:color="auto"/>
            </w:tcBorders>
            <w:gridSpan w:val="2"/>
            <w:vMerge w:val="restart"/>
          </w:tcPr>
          <w:p>
            <w:pPr>
              <w:jc w:val="center"/>
              <w:ind w:right="144"/>
              <w:spacing w:after="0"/>
              <w:rPr>
                <w:sz w:val="20"/>
                <w:szCs w:val="20"/>
                <w:color w:val="auto"/>
              </w:rPr>
            </w:pPr>
            <w:r>
              <w:rPr>
                <w:rFonts w:ascii="Arial" w:cs="Arial" w:eastAsia="Arial" w:hAnsi="Arial"/>
                <w:sz w:val="18"/>
                <w:szCs w:val="18"/>
                <w:color w:val="auto"/>
                <w:w w:val="84"/>
              </w:rPr>
              <w:t>Shares</w:t>
            </w:r>
          </w:p>
        </w:tc>
        <w:tc>
          <w:tcPr>
            <w:tcW w:w="3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9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360" w:type="dxa"/>
            <w:vAlign w:val="bottom"/>
          </w:tcPr>
          <w:p>
            <w:pPr>
              <w:spacing w:after="0"/>
              <w:rPr>
                <w:sz w:val="3"/>
                <w:szCs w:val="3"/>
                <w:color w:val="auto"/>
              </w:rPr>
            </w:pPr>
          </w:p>
        </w:tc>
        <w:tc>
          <w:tcPr>
            <w:tcW w:w="760" w:type="dxa"/>
            <w:vAlign w:val="bottom"/>
            <w:tcBorders>
              <w:right w:val="single" w:sz="8" w:color="auto"/>
            </w:tcBorders>
            <w:gridSpan w:val="2"/>
            <w:vMerge w:val="continue"/>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540" w:type="dxa"/>
            <w:vAlign w:val="bottom"/>
            <w:vMerge w:val="restart"/>
          </w:tcPr>
          <w:p>
            <w:pPr>
              <w:ind w:left="40"/>
              <w:spacing w:after="0"/>
              <w:rPr>
                <w:sz w:val="20"/>
                <w:szCs w:val="20"/>
                <w:color w:val="auto"/>
              </w:rPr>
            </w:pPr>
            <w:r>
              <w:rPr>
                <w:rFonts w:ascii="Arial" w:cs="Arial" w:eastAsia="Arial" w:hAnsi="Arial"/>
                <w:sz w:val="22"/>
                <w:szCs w:val="22"/>
                <w:color w:val="auto"/>
              </w:rPr>
              <w:t>798,067</w:t>
            </w:r>
          </w:p>
        </w:tc>
        <w:tc>
          <w:tcPr>
            <w:tcW w:w="0" w:type="dxa"/>
            <w:vAlign w:val="bottom"/>
          </w:tcPr>
          <w:p>
            <w:pPr>
              <w:spacing w:after="0"/>
              <w:rPr>
                <w:sz w:val="1"/>
                <w:szCs w:val="1"/>
                <w:color w:val="auto"/>
              </w:rPr>
            </w:pPr>
          </w:p>
        </w:tc>
      </w:tr>
      <w:tr>
        <w:trPr>
          <w:trHeight w:val="230"/>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3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5"/>
                <w:szCs w:val="15"/>
                <w:color w:val="auto"/>
              </w:rPr>
            </w:pPr>
          </w:p>
        </w:tc>
        <w:tc>
          <w:tcPr>
            <w:tcW w:w="954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760" w:type="dxa"/>
            <w:vAlign w:val="bottom"/>
            <w:tcBorders>
              <w:right w:val="single" w:sz="8" w:color="auto"/>
            </w:tcBorders>
            <w:gridSpan w:val="2"/>
          </w:tcPr>
          <w:p>
            <w:pPr>
              <w:jc w:val="center"/>
              <w:ind w:right="144"/>
              <w:spacing w:after="0"/>
              <w:rPr>
                <w:sz w:val="20"/>
                <w:szCs w:val="20"/>
                <w:color w:val="auto"/>
              </w:rPr>
            </w:pPr>
            <w:r>
              <w:rPr>
                <w:rFonts w:ascii="Arial" w:cs="Arial" w:eastAsia="Arial" w:hAnsi="Arial"/>
                <w:sz w:val="18"/>
                <w:szCs w:val="18"/>
                <w:color w:val="auto"/>
                <w:w w:val="84"/>
              </w:rPr>
              <w:t>Person</w:t>
            </w:r>
          </w:p>
        </w:tc>
        <w:tc>
          <w:tcPr>
            <w:tcW w:w="3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540" w:type="dxa"/>
            <w:vAlign w:val="bottom"/>
          </w:tcPr>
          <w:p>
            <w:pPr>
              <w:ind w:left="4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360" w:type="dxa"/>
            <w:vAlign w:val="bottom"/>
          </w:tcPr>
          <w:p>
            <w:pPr>
              <w:spacing w:after="0"/>
              <w:rPr>
                <w:sz w:val="6"/>
                <w:szCs w:val="6"/>
                <w:color w:val="auto"/>
              </w:rPr>
            </w:pPr>
          </w:p>
        </w:tc>
        <w:tc>
          <w:tcPr>
            <w:tcW w:w="760" w:type="dxa"/>
            <w:vAlign w:val="bottom"/>
            <w:tcBorders>
              <w:right w:val="single" w:sz="8" w:color="auto"/>
            </w:tcBorders>
            <w:gridSpan w:val="2"/>
            <w:vMerge w:val="restart"/>
          </w:tcPr>
          <w:p>
            <w:pPr>
              <w:jc w:val="center"/>
              <w:ind w:right="144"/>
              <w:spacing w:after="0"/>
              <w:rPr>
                <w:sz w:val="20"/>
                <w:szCs w:val="20"/>
                <w:color w:val="auto"/>
              </w:rPr>
            </w:pPr>
            <w:r>
              <w:rPr>
                <w:rFonts w:ascii="Arial" w:cs="Arial" w:eastAsia="Arial" w:hAnsi="Arial"/>
                <w:sz w:val="18"/>
                <w:szCs w:val="18"/>
                <w:color w:val="auto"/>
                <w:w w:val="97"/>
              </w:rPr>
              <w:t>With:</w:t>
            </w:r>
          </w:p>
        </w:tc>
        <w:tc>
          <w:tcPr>
            <w:tcW w:w="30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760" w:type="dxa"/>
            <w:vAlign w:val="bottom"/>
            <w:tcBorders>
              <w:right w:val="single" w:sz="8" w:color="auto"/>
            </w:tcBorders>
            <w:gridSpan w:val="2"/>
            <w:vMerge w:val="continue"/>
          </w:tcPr>
          <w:p>
            <w:pPr>
              <w:spacing w:after="0"/>
              <w:rPr>
                <w:sz w:val="11"/>
                <w:szCs w:val="11"/>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1"/>
                <w:szCs w:val="11"/>
                <w:color w:val="auto"/>
              </w:rPr>
            </w:pPr>
          </w:p>
        </w:tc>
        <w:tc>
          <w:tcPr>
            <w:tcW w:w="954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3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1,352,909</w:t>
            </w: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9600" w:type="dxa"/>
            <w:vAlign w:val="bottom"/>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7"/>
              </w:rPr>
              <w:t>1,352,909</w:t>
            </w:r>
          </w:p>
        </w:tc>
        <w:tc>
          <w:tcPr>
            <w:tcW w:w="6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40" w:type="dxa"/>
            <w:vAlign w:val="bottom"/>
            <w:tcBorders>
              <w:bottom w:val="single" w:sz="8" w:color="auto"/>
              <w:right w:val="single" w:sz="8" w:color="auto"/>
            </w:tcBorders>
            <w:gridSpan w:val="2"/>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3.2%</w:t>
            </w: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IA</w:t>
            </w: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5" w:lineRule="exact"/>
        <w:rPr>
          <w:sz w:val="20"/>
          <w:szCs w:val="20"/>
          <w:color w:val="auto"/>
        </w:rPr>
      </w:pPr>
    </w:p>
    <w:p>
      <w:pPr>
        <w:ind w:left="860" w:right="9000" w:hanging="424"/>
        <w:spacing w:after="0" w:line="342"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 of Issuer NN, Inc.</w:t>
      </w:r>
    </w:p>
    <w:p>
      <w:pPr>
        <w:spacing w:after="0" w:line="150" w:lineRule="exact"/>
        <w:rPr>
          <w:rFonts w:ascii="Arial" w:cs="Arial" w:eastAsia="Arial" w:hAnsi="Arial"/>
          <w:sz w:val="16"/>
          <w:szCs w:val="16"/>
          <w:color w:val="auto"/>
        </w:rPr>
      </w:pPr>
    </w:p>
    <w:p>
      <w:pPr>
        <w:ind w:left="860" w:right="6680" w:hanging="424"/>
        <w:spacing w:after="0" w:line="258"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 6210 Ardrey Kell Road</w:t>
      </w:r>
    </w:p>
    <w:p>
      <w:pPr>
        <w:spacing w:after="0" w:line="1"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Charlotte, NC 28277</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860" w:hanging="4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RBC Global Asset Management (U.S.) Inc.</w:t>
      </w:r>
    </w:p>
    <w:p>
      <w:pPr>
        <w:spacing w:after="0" w:line="237" w:lineRule="exact"/>
        <w:rPr>
          <w:rFonts w:ascii="Arial" w:cs="Arial" w:eastAsia="Arial" w:hAnsi="Arial"/>
          <w:sz w:val="18"/>
          <w:szCs w:val="18"/>
          <w:color w:val="auto"/>
        </w:rPr>
      </w:pPr>
    </w:p>
    <w:p>
      <w:pPr>
        <w:ind w:left="860" w:right="5820" w:hanging="424"/>
        <w:spacing w:after="0" w:line="258"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50 South Sixth Street Suite 2350</w:t>
      </w:r>
    </w:p>
    <w:p>
      <w:pPr>
        <w:spacing w:after="0" w:line="1"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Minneapolis, Minnesota 55402</w:t>
      </w:r>
    </w:p>
    <w:p>
      <w:pPr>
        <w:spacing w:after="0" w:line="237" w:lineRule="exact"/>
        <w:rPr>
          <w:rFonts w:ascii="Arial" w:cs="Arial" w:eastAsia="Arial" w:hAnsi="Arial"/>
          <w:sz w:val="18"/>
          <w:szCs w:val="18"/>
          <w:color w:val="auto"/>
        </w:rPr>
      </w:pPr>
    </w:p>
    <w:p>
      <w:pPr>
        <w:ind w:left="860" w:hanging="424"/>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RBC Global Asset Management (U.S.) Inc. is incorporated under the laws of Minnesota</w:t>
      </w:r>
    </w:p>
    <w:p>
      <w:pPr>
        <w:spacing w:after="0" w:line="237" w:lineRule="exact"/>
        <w:rPr>
          <w:rFonts w:ascii="Arial" w:cs="Arial" w:eastAsia="Arial" w:hAnsi="Arial"/>
          <w:sz w:val="18"/>
          <w:szCs w:val="18"/>
          <w:color w:val="auto"/>
        </w:rPr>
      </w:pPr>
    </w:p>
    <w:p>
      <w:pPr>
        <w:ind w:left="860" w:right="8180" w:hanging="424"/>
        <w:spacing w:after="0" w:line="342"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860" w:right="8940" w:hanging="424"/>
        <w:spacing w:after="0" w:line="342"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CUSIP Number 629337106</w:t>
      </w:r>
    </w:p>
    <w:p>
      <w:pPr>
        <w:spacing w:after="0" w:line="26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4" w:lineRule="exact"/>
        <w:rPr>
          <w:sz w:val="20"/>
          <w:szCs w:val="20"/>
          <w:color w:val="auto"/>
        </w:rPr>
      </w:pPr>
    </w:p>
    <w:p>
      <w:pPr>
        <w:ind w:left="860" w:hanging="406"/>
        <w:spacing w:after="0" w:line="207" w:lineRule="exact"/>
        <w:tabs>
          <w:tab w:leader="none" w:pos="8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860" w:hanging="406"/>
        <w:spacing w:after="0" w:line="207" w:lineRule="exact"/>
        <w:tabs>
          <w:tab w:leader="none" w:pos="8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860" w:hanging="406"/>
        <w:spacing w:after="0" w:line="207" w:lineRule="exact"/>
        <w:tabs>
          <w:tab w:leader="none" w:pos="8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860" w:hanging="406"/>
        <w:spacing w:after="0" w:line="207" w:lineRule="exact"/>
        <w:tabs>
          <w:tab w:leader="none" w:pos="8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860" w:hanging="406"/>
        <w:spacing w:after="0" w:line="207" w:lineRule="exact"/>
        <w:tabs>
          <w:tab w:leader="none" w:pos="8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860" w:hanging="406"/>
        <w:spacing w:after="0" w:line="207" w:lineRule="exact"/>
        <w:tabs>
          <w:tab w:leader="none" w:pos="8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860" w:hanging="406"/>
        <w:spacing w:after="0" w:line="207" w:lineRule="exact"/>
        <w:tabs>
          <w:tab w:leader="none" w:pos="8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860" w:hanging="406"/>
        <w:spacing w:after="0" w:line="207" w:lineRule="exact"/>
        <w:tabs>
          <w:tab w:leader="none" w:pos="8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220" w:hanging="766"/>
        <w:spacing w:after="0" w:line="239" w:lineRule="exact"/>
        <w:tabs>
          <w:tab w:leader="none" w:pos="851"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860" w:hanging="406"/>
        <w:spacing w:after="0" w:line="207" w:lineRule="exact"/>
        <w:tabs>
          <w:tab w:leader="none" w:pos="8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117" w:lineRule="exact"/>
        <w:rPr>
          <w:rFonts w:ascii="Arial" w:cs="Arial" w:eastAsia="Arial" w:hAnsi="Arial"/>
          <w:sz w:val="18"/>
          <w:szCs w:val="18"/>
          <w:color w:val="auto"/>
        </w:rPr>
      </w:pPr>
    </w:p>
    <w:p>
      <w:pPr>
        <w:ind w:left="860" w:hanging="406"/>
        <w:spacing w:after="0" w:line="207" w:lineRule="exact"/>
        <w:tabs>
          <w:tab w:leader="none" w:pos="8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ectPr>
          <w:pgSz w:w="11900" w:h="16838" w:orient="portrait"/>
          <w:cols w:equalWidth="0" w:num="1">
            <w:col w:w="10960"/>
          </w:cols>
          <w:pgMar w:left="440" w:top="270" w:right="499" w:bottom="1440" w:gutter="0" w:footer="0" w:header="0"/>
        </w:sectPr>
      </w:pPr>
    </w:p>
    <w:bookmarkStart w:id="3" w:name="page4"/>
    <w:bookmarkEnd w:id="3"/>
    <w:p>
      <w:pPr>
        <w:spacing w:after="0"/>
        <w:tabs>
          <w:tab w:leader="none" w:pos="8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42" w:lineRule="exact"/>
        <w:rPr>
          <w:sz w:val="20"/>
          <w:szCs w:val="20"/>
          <w:color w:val="auto"/>
        </w:rPr>
      </w:pPr>
    </w:p>
    <w:p>
      <w:pPr>
        <w:ind w:left="860" w:hanging="42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See Item 9 of the Cover Page.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See Item 11 of the Cover Page.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1420" w:right="6780" w:hanging="538"/>
        <w:spacing w:after="0" w:line="277"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5 of the Cover Page.</w:t>
      </w:r>
    </w:p>
    <w:p>
      <w:pPr>
        <w:spacing w:after="0" w:line="75" w:lineRule="exact"/>
        <w:rPr>
          <w:rFonts w:ascii="Arial" w:cs="Arial" w:eastAsia="Arial" w:hAnsi="Arial"/>
          <w:sz w:val="18"/>
          <w:szCs w:val="18"/>
          <w:color w:val="auto"/>
        </w:rPr>
      </w:pPr>
    </w:p>
    <w:p>
      <w:pPr>
        <w:ind w:left="1420" w:right="6600" w:hanging="538"/>
        <w:spacing w:after="0" w:line="277"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of the Cover Page.</w:t>
      </w:r>
    </w:p>
    <w:p>
      <w:pPr>
        <w:spacing w:after="0" w:line="75" w:lineRule="exact"/>
        <w:rPr>
          <w:rFonts w:ascii="Arial" w:cs="Arial" w:eastAsia="Arial" w:hAnsi="Arial"/>
          <w:sz w:val="18"/>
          <w:szCs w:val="18"/>
          <w:color w:val="auto"/>
        </w:rPr>
      </w:pPr>
    </w:p>
    <w:p>
      <w:pPr>
        <w:ind w:left="1420" w:right="5880" w:hanging="538"/>
        <w:spacing w:after="0" w:line="277"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of the Cover Page.</w:t>
      </w:r>
    </w:p>
    <w:p>
      <w:pPr>
        <w:spacing w:after="0" w:line="75" w:lineRule="exact"/>
        <w:rPr>
          <w:rFonts w:ascii="Arial" w:cs="Arial" w:eastAsia="Arial" w:hAnsi="Arial"/>
          <w:sz w:val="18"/>
          <w:szCs w:val="18"/>
          <w:color w:val="auto"/>
        </w:rPr>
      </w:pPr>
    </w:p>
    <w:p>
      <w:pPr>
        <w:ind w:left="1420" w:right="5700" w:hanging="538"/>
        <w:spacing w:after="0" w:line="277" w:lineRule="auto"/>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of the Cover Page.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40" w:right="1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jc w:val="both"/>
        <w:ind w:left="440" w:right="8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40" w:top="270" w:right="43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30, 2019</w:t>
      </w:r>
    </w:p>
    <w:p>
      <w:pPr>
        <w:spacing w:after="0" w:line="37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RBC GLOBAL ASSET MANAGEMENT (U.S.) INC.</w:t>
      </w:r>
    </w:p>
    <w:p>
      <w:pPr>
        <w:spacing w:after="0" w:line="225"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Carol Kuha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4"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Carol Kuha / Chief Operating Officer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2019-12-05T00:40:12Z</dcterms:created>
  <dcterms:modified xsi:type="dcterms:W3CDTF">2019-12-05T00:40:12Z</dcterms:modified>
</cp:coreProperties>
</file>