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w:t>
      </w:r>
    </w:p>
    <w:p>
      <w:pPr>
        <w:jc w:val="center"/>
        <w:ind w:right="-5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740"/>
        <w:spacing w:after="0"/>
        <w:rPr>
          <w:sz w:val="20"/>
          <w:szCs w:val="20"/>
          <w:color w:val="auto"/>
        </w:rPr>
      </w:pPr>
      <w:r>
        <w:rPr>
          <w:rFonts w:ascii="Arial" w:cs="Arial" w:eastAsia="Arial" w:hAnsi="Arial"/>
          <w:sz w:val="19"/>
          <w:szCs w:val="19"/>
          <w:b w:val="1"/>
          <w:bCs w:val="1"/>
          <w:color w:val="auto"/>
        </w:rPr>
        <w:t>Date of Report (Date of earliest event reported): October 3, 2016 (September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444500</wp:posOffset>
            </wp:positionV>
            <wp:extent cx="728980" cy="728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59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740" w:space="720"/>
            <w:col w:w="2980" w:space="720"/>
            <w:col w:w="1660"/>
          </w:cols>
          <w:pgMar w:left="240" w:top="368" w:right="8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780"/>
          </w:cols>
          <w:pgMar w:left="240" w:top="368" w:right="839" w:bottom="1440" w:gutter="0" w:footer="0" w:header="0"/>
          <w:type w:val="continuous"/>
        </w:sectPr>
      </w:pPr>
    </w:p>
    <w:p>
      <w:pPr>
        <w:spacing w:after="0" w:line="249" w:lineRule="exact"/>
        <w:rPr>
          <w:sz w:val="24"/>
          <w:szCs w:val="24"/>
          <w:color w:val="auto"/>
        </w:rPr>
      </w:pPr>
    </w:p>
    <w:p>
      <w:pPr>
        <w:ind w:left="1980"/>
        <w:spacing w:after="0"/>
        <w:rPr>
          <w:sz w:val="20"/>
          <w:szCs w:val="20"/>
          <w:color w:val="auto"/>
        </w:rPr>
      </w:pPr>
      <w:r>
        <w:rPr>
          <w:rFonts w:ascii="Arial" w:cs="Arial" w:eastAsia="Arial" w:hAnsi="Arial"/>
          <w:sz w:val="17"/>
          <w:szCs w:val="17"/>
          <w:b w:val="1"/>
          <w:bCs w:val="1"/>
          <w:color w:val="auto"/>
        </w:rPr>
        <w:t>207 Mockingbird Lane</w:t>
      </w:r>
    </w:p>
    <w:p>
      <w:pPr>
        <w:spacing w:after="0" w:line="39" w:lineRule="exact"/>
        <w:rPr>
          <w:sz w:val="24"/>
          <w:szCs w:val="24"/>
          <w:color w:val="auto"/>
        </w:rPr>
      </w:pPr>
    </w:p>
    <w:p>
      <w:pPr>
        <w:ind w:left="1940"/>
        <w:spacing w:after="0"/>
        <w:rPr>
          <w:sz w:val="20"/>
          <w:szCs w:val="20"/>
          <w:color w:val="auto"/>
        </w:rPr>
      </w:pPr>
      <w:r>
        <w:rPr>
          <w:rFonts w:ascii="Arial" w:cs="Arial" w:eastAsia="Arial" w:hAnsi="Arial"/>
          <w:sz w:val="15"/>
          <w:szCs w:val="15"/>
          <w:b w:val="1"/>
          <w:bCs w:val="1"/>
          <w:color w:val="auto"/>
        </w:rPr>
        <w:t>Johnson City, Tennessee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37604</w:t>
      </w:r>
    </w:p>
    <w:p>
      <w:pPr>
        <w:spacing w:after="0" w:line="61" w:lineRule="exact"/>
        <w:rPr>
          <w:sz w:val="24"/>
          <w:szCs w:val="24"/>
          <w:color w:val="auto"/>
        </w:rPr>
      </w:pPr>
    </w:p>
    <w:p>
      <w:pPr>
        <w:sectPr>
          <w:pgSz w:w="11900" w:h="16838" w:orient="portrait"/>
          <w:cols w:equalWidth="0" w:num="2">
            <w:col w:w="7680" w:space="720"/>
            <w:col w:w="2420"/>
          </w:cols>
          <w:pgMar w:left="240" w:top="368" w:right="839" w:bottom="1440" w:gutter="0" w:footer="0" w:header="0"/>
          <w:type w:val="continuous"/>
        </w:sectPr>
      </w:pPr>
    </w:p>
    <w:p>
      <w:pPr>
        <w:ind w:left="1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580" w:space="720"/>
            <w:col w:w="2520"/>
          </w:cols>
          <w:pgMar w:left="240" w:top="368" w:right="839" w:bottom="1440" w:gutter="0" w:footer="0" w:header="0"/>
          <w:type w:val="continuous"/>
        </w:sectPr>
      </w:pPr>
    </w:p>
    <w:p>
      <w:pPr>
        <w:jc w:val="center"/>
        <w:ind w:right="-619"/>
        <w:spacing w:after="0"/>
        <w:rPr>
          <w:sz w:val="20"/>
          <w:szCs w:val="20"/>
          <w:color w:val="auto"/>
        </w:rPr>
      </w:pPr>
      <w:r>
        <w:rPr>
          <w:rFonts w:ascii="Arial" w:cs="Arial" w:eastAsia="Arial" w:hAnsi="Arial"/>
          <w:sz w:val="18"/>
          <w:szCs w:val="18"/>
          <w:b w:val="1"/>
          <w:bCs w:val="1"/>
          <w:color w:val="auto"/>
        </w:rPr>
        <w:t>(423) 434-8310</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30, 2016, NN, Inc., a Delaware corporation (the “Company”), certain Company subsidiaries named therein, SunTrust Bank (“SunTrust), KeyBank National Association (“KeyBank”) and Regions Bank (“Regions”) entered into the Amendment and Restatement Agreement (the “Amendment and Restatement Agreement”), which amended and restated the Company’s existing credit agreement dated as of October 19, 2015, as amended on November 9, 2015, by and among the Company, KeyBank, Regions, and SunTrust and the lenders from time to time party thereto (as amended and restated, the “Amended and Restated Credit Agreement”) to provide for a $545 million term loan credit facility (the “Term Loan Credit Facility”) and a $133 million revolving loan credit facility (the “Revolving Loan Credit Facility” and together with the Term Loan Credit Facility, the “Credit Facilities”) on the terms and conditions set forth below.</w:t>
      </w:r>
    </w:p>
    <w:p>
      <w:pPr>
        <w:spacing w:after="0" w:line="18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Notably, the Amended and Restated Credit Agreement: (i) increases the Revolving Loan Credit Facility from $100 million to $133 million; (ii) with respect to certain borrowings under the Term Loan Credit Facility, lowers the applicable margin by 0.50% per annum, from 4.75% to 4.25%, and lowers the interest rate floor by 0.25% per annum, from 1.00% to 0.75%; and (iii) changes the administrative agent to SunTrust.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brief summary of the Amended and Restated Credit Agreement.</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Interest</w:t>
      </w:r>
      <w:r>
        <w:rPr>
          <w:rFonts w:ascii="Arial" w:cs="Arial" w:eastAsia="Arial" w:hAnsi="Arial"/>
          <w:sz w:val="18"/>
          <w:szCs w:val="18"/>
          <w:color w:val="auto"/>
        </w:rPr>
        <w:t>. The interest rates applicable to borrowings under the Credit Facilities provided in the Amended and Restated Credit Agreement are based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fluctuating rate of interest measured by reference to either, at the Company’s option, (i) a base rate, plus an applicable margin, or (ii) the greater of the London Interbank Offered Rate (“LIBOR”) or 0.75%, plus an applicable margin. The initial applicable margin for all borrowings under the Term Loan Credit Facility is 3.25% per annum with respect to base rate borrowings and 4.25% per annum with respect to LIBOR borrowings. The initial applicable margin for Revolving Loan Credit Facility borrowings is 2.50% per annum with respect to base rate borrowings and 3.50% per annum with respect to LIBOR borrowings, which shall be in effect until the Company provides SunTrust with a compliance certificate, as required by the Amended and Restated Credit Agreement. Thereafter, the applicable margin shall be determined by reference to a ratio of the Company’s consolidated leverage ratio, as such term is defined in the Amended and Restated Credit Agreement.</w:t>
      </w:r>
    </w:p>
    <w:p>
      <w:pPr>
        <w:spacing w:after="0" w:line="19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Prepayments</w:t>
      </w:r>
      <w:r>
        <w:rPr>
          <w:rFonts w:ascii="Arial" w:cs="Arial" w:eastAsia="Arial" w:hAnsi="Arial"/>
          <w:sz w:val="18"/>
          <w:szCs w:val="18"/>
          <w:color w:val="auto"/>
        </w:rPr>
        <w:t>. The Company may voluntarily prepay outstanding loans under the Credit Facilities, in whole or in part without premium or penalty.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Restated Credit Agreement requires the Company to prepay outstanding loans, subject to certain exceptions, with: (i) a variable percentage of excess cash flow; (ii) 100% of the net cash proceeds of non-ordinary course asset sales or other dispositions of property by the Company or any of its subsidiaries, and 100% of the net cash proceeds from certain insurance and condemnation events with respect to the Company’s assets, subject to customary thresholds and reinvestment rights; (iii) 100% of the net cash proceeds from the issuance or incurrence of debt obligations for borrowed money not permitted by the Amended and Restated Credit Agreement by the Company or any of its subsidiaries; and (iv) 100% of any cash received not in the ordinary course of business.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Maturity</w:t>
      </w:r>
      <w:r>
        <w:rPr>
          <w:rFonts w:ascii="Arial" w:cs="Arial" w:eastAsia="Arial" w:hAnsi="Arial"/>
          <w:sz w:val="18"/>
          <w:szCs w:val="18"/>
          <w:color w:val="auto"/>
        </w:rPr>
        <w:t>. The Revolving Loan Credit Facility matures on October 19, 2020. The Term Loan Credit Facility matures on October 19, 2022.</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Guarantee and Security</w:t>
      </w:r>
      <w:r>
        <w:rPr>
          <w:rFonts w:ascii="Arial" w:cs="Arial" w:eastAsia="Arial" w:hAnsi="Arial"/>
          <w:sz w:val="18"/>
          <w:szCs w:val="18"/>
          <w:color w:val="auto"/>
        </w:rPr>
        <w:t>. The Company’s obligations under the Amended and Restated Credit Agreement are guaranteed by the Company and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direct and indirect, existing and future domestic subsidiaries, subject to customary exceptions and limitations. The Amended and Restated Credit Agreement is secured by a first priority lien over substantially all of the Company’s and each guarantor’s assets, subject to certain customary exceptions.</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b w:val="1"/>
          <w:bCs w:val="1"/>
          <w:i w:val="1"/>
          <w:iCs w:val="1"/>
          <w:color w:val="auto"/>
        </w:rPr>
        <w:t>Covenants</w:t>
      </w:r>
      <w:r>
        <w:rPr>
          <w:rFonts w:ascii="Arial" w:cs="Arial" w:eastAsia="Arial" w:hAnsi="Arial"/>
          <w:sz w:val="18"/>
          <w:szCs w:val="18"/>
          <w:color w:val="auto"/>
        </w:rPr>
        <w:t>. The Credit Facilities are subject to negative covenants that, among other things and subject to certain exceptions, limit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and the ability of its restricted subsidiaries to: (i) incur liens; (ii) incur indebtedness; (iii) make investments and acquisitions; (iv) merge, liquidate or dissolve; (v) sell assets, including capital stock of subsidiaries; (vi) pay dividends on capital stock or redeem, repurchase or retire capital stock; (vii) alter the Company’s business; (viii) engage in transactions with the Company’s affiliates; and (ix) enter into agreements limiting subsidiary dividends and distributions. In the event borrowings under the Revolving Loan</w:t>
      </w:r>
    </w:p>
    <w:p>
      <w:pPr>
        <w:sectPr>
          <w:pgSz w:w="11900" w:h="16838" w:orient="portrait"/>
          <w:cols w:equalWidth="0" w:num="1">
            <w:col w:w="11420"/>
          </w:cols>
          <w:pgMar w:left="240" w:top="270" w:right="239" w:bottom="1440" w:gutter="0" w:footer="0" w:header="0"/>
        </w:sectPr>
      </w:pPr>
    </w:p>
    <w:bookmarkStart w:id="2" w:name="page3"/>
    <w:bookmarkEnd w:id="2"/>
    <w:p>
      <w:pPr>
        <w:jc w:val="both"/>
        <w:ind w:right="4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Facility exceed 30.0% of the aggregate commitments under such Revolving Loan Credit Facility, the Company will become subject to a financial covenant that requires the Company to maintain a specified consolidated net leverage ratio, as such term is defined in the Amended and Restated Credit Agreement.</w:t>
      </w:r>
    </w:p>
    <w:p>
      <w:pPr>
        <w:spacing w:after="0" w:line="18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b w:val="1"/>
          <w:bCs w:val="1"/>
          <w:i w:val="1"/>
          <w:iCs w:val="1"/>
          <w:color w:val="auto"/>
        </w:rPr>
        <w:t>Events of Default</w:t>
      </w:r>
      <w:r>
        <w:rPr>
          <w:rFonts w:ascii="Arial" w:cs="Arial" w:eastAsia="Arial" w:hAnsi="Arial"/>
          <w:sz w:val="18"/>
          <w:szCs w:val="18"/>
          <w:color w:val="auto"/>
        </w:rPr>
        <w:t>. The Amended and Restated Credit Agreement also contains certain customary events of default (including, among others, an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default upon a change of control). If an event of default occurs and is not cured or waived, the lenders under the Amended and Restated Credit Agreement are entitled to take various actions, including the acceleration of amounts due under the Amended and Restated Credit Agreement and all actions permitted to be taken by a secured creditor.</w:t>
      </w:r>
    </w:p>
    <w:p>
      <w:pPr>
        <w:spacing w:after="0" w:line="187"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b w:val="1"/>
          <w:bCs w:val="1"/>
          <w:i w:val="1"/>
          <w:iCs w:val="1"/>
          <w:color w:val="auto"/>
        </w:rPr>
        <w:t>Incremental Facilities</w:t>
      </w:r>
      <w:r>
        <w:rPr>
          <w:rFonts w:ascii="Arial" w:cs="Arial" w:eastAsia="Arial" w:hAnsi="Arial"/>
          <w:sz w:val="17"/>
          <w:szCs w:val="17"/>
          <w:color w:val="auto"/>
        </w:rPr>
        <w:t>. The Amended and Restated Credit Agreement provides that the Company has the right at any time to request one or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increases in the revolving loan commitments or term loan commitments up to $100 million in the aggregate, provided that, unless the administrative agent otherwise agrees, any such request for an incremental increase must exceed $25 million and no event of default exists at the time of such request. Such incremental increases in commitments or loans are subject to certain customary conditions precedent.</w:t>
      </w:r>
    </w:p>
    <w:p>
      <w:pPr>
        <w:spacing w:after="0" w:line="17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foregoing summary is qualified in its entirety by reference to the full text of the Amendment and Restatement Agreement, including the Amended and Restated Credit Agreement attached thereto as Exhibit B, which is included as Exhibit 10.1 hereto and incorporated herein by reference.</w:t>
      </w:r>
    </w:p>
    <w:p>
      <w:pPr>
        <w:spacing w:after="0" w:line="268" w:lineRule="exact"/>
        <w:rPr>
          <w:sz w:val="20"/>
          <w:szCs w:val="20"/>
          <w:color w:val="auto"/>
        </w:rPr>
      </w:pPr>
    </w:p>
    <w:p>
      <w:pPr>
        <w:ind w:left="1380" w:right="760" w:hanging="1363"/>
        <w:spacing w:after="0" w:line="282" w:lineRule="auto"/>
        <w:tabs>
          <w:tab w:leader="none" w:pos="13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8"/>
          <w:szCs w:val="18"/>
          <w:b w:val="1"/>
          <w:bCs w:val="1"/>
          <w:color w:val="auto"/>
        </w:rPr>
        <w:t>CREATION OF A DIRECT FINANCIAL OBLIGATION OR AN OBLIGATION UNDER AN OFF-BALANCE SHEET ARRANGEMENT OF A REGISTRANT.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1.01 of this Current Report on Form 8-K above is incorporated herein by reference.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On October 3, 2016, the Company issued a press release, a copy of the press release is attached hereto as Exhibit 99.1 and is incorporated herein by reference.</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Pursuant to the rules and regulations of the U.S. Securities and Exchange Commission, the information furnished pursuant to Item 7.01 of this Current Report on Form 8-K,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31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71"/>
        </w:trPr>
        <w:tc>
          <w:tcPr>
            <w:tcW w:w="46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10940" w:type="dxa"/>
            <w:vAlign w:val="bottom"/>
            <w:gridSpan w:val="3"/>
          </w:tcPr>
          <w:p>
            <w:pPr>
              <w:ind w:left="5400"/>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90"/>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89"/>
              </w:rPr>
              <w:t>Amendment and Restatement Agreement, dated as of September 30, 2016, by and among NN, Inc., certain NN, Inc. subsidiaries named therein,</w:t>
            </w: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SunTrust Bank, KeyBank National Association and Regions Bank</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Press Release of NN, Inc. dated October 3, 2016.</w:t>
            </w:r>
          </w:p>
        </w:tc>
      </w:tr>
    </w:tbl>
    <w:p>
      <w:pPr>
        <w:sectPr>
          <w:pgSz w:w="11900" w:h="16838" w:orient="portrait"/>
          <w:cols w:equalWidth="0" w:num="1">
            <w:col w:w="11400"/>
          </w:cols>
          <w:pgMar w:left="240" w:top="27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 2016</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1420"/>
          </w:cols>
          <w:pgMar w:left="240" w:top="27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940" w:type="dxa"/>
            <w:vAlign w:val="bottom"/>
            <w:gridSpan w:val="3"/>
          </w:tcPr>
          <w:p>
            <w:pPr>
              <w:ind w:left="456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171"/>
        </w:trPr>
        <w:tc>
          <w:tcPr>
            <w:tcW w:w="46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10940" w:type="dxa"/>
            <w:vAlign w:val="bottom"/>
            <w:gridSpan w:val="3"/>
          </w:tcPr>
          <w:p>
            <w:pPr>
              <w:ind w:left="5400"/>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90"/>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89"/>
              </w:rPr>
              <w:t>Amendment and Restatement Agreement, dated as of September 30, 2016, by and among NN, Inc., certain NN, Inc. subsidiaries named therein,</w:t>
            </w: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SunTrust Bank, KeyBank National Association and Regions Bank</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Press Release of NN, Inc. dated October 3, 2016.</w:t>
            </w:r>
          </w:p>
        </w:tc>
      </w:tr>
    </w:tbl>
    <w:p>
      <w:pPr>
        <w:sectPr>
          <w:pgSz w:w="11900" w:h="16838" w:orient="portrait"/>
          <w:cols w:equalWidth="0" w:num="1">
            <w:col w:w="11400"/>
          </w:cols>
          <w:pgMar w:left="240" w:top="270"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62933RAE2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Loan Facility CUSIP Number: 62933RAF9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Initial Term Loan Facility CUSIP Number: 62933RAG7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Tranche B Term Loan CUSIP Number: 62933RAL6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RESTATEMENT AGREEMENT</w:t>
      </w:r>
    </w:p>
    <w:p>
      <w:pPr>
        <w:spacing w:after="0" w:line="229"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color w:val="auto"/>
        </w:rPr>
        <w:t>This AMENDMENT AND RESTATEMENT AGREEMENT, dated as of September 30, 2016 (this “</w:t>
      </w:r>
      <w:r>
        <w:rPr>
          <w:rFonts w:ascii="Arial" w:cs="Arial" w:eastAsia="Arial" w:hAnsi="Arial"/>
          <w:sz w:val="17"/>
          <w:szCs w:val="17"/>
          <w:u w:val="single" w:color="auto"/>
          <w:color w:val="auto"/>
        </w:rPr>
        <w:t>Agreement</w:t>
      </w:r>
      <w:r>
        <w:rPr>
          <w:rFonts w:ascii="Arial" w:cs="Arial" w:eastAsia="Arial" w:hAnsi="Arial"/>
          <w:sz w:val="17"/>
          <w:szCs w:val="17"/>
          <w:color w:val="auto"/>
        </w:rPr>
        <w:t>”), is among the following: (i) NN, Inc., a Delaware corporation as the borrower (the “</w:t>
      </w:r>
      <w:r>
        <w:rPr>
          <w:rFonts w:ascii="Arial" w:cs="Arial" w:eastAsia="Arial" w:hAnsi="Arial"/>
          <w:sz w:val="17"/>
          <w:szCs w:val="17"/>
          <w:u w:val="single" w:color="auto"/>
          <w:color w:val="auto"/>
        </w:rPr>
        <w:t>Borrower</w:t>
      </w:r>
      <w:r>
        <w:rPr>
          <w:rFonts w:ascii="Arial" w:cs="Arial" w:eastAsia="Arial" w:hAnsi="Arial"/>
          <w:sz w:val="17"/>
          <w:szCs w:val="17"/>
          <w:color w:val="auto"/>
        </w:rPr>
        <w:t>”); (ii) the Lenders signatory hereto that are party to the Credit Agreement referred to below;</w:t>
      </w:r>
    </w:p>
    <w:p>
      <w:pPr>
        <w:ind w:right="60" w:firstLine="8"/>
        <w:spacing w:after="0" w:line="255"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SunTrust Bank, as successor to KeyBank National Association,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as arranger of the transactions contemplated hereby (in such capacity, the “</w:t>
      </w:r>
      <w:r>
        <w:rPr>
          <w:rFonts w:ascii="Arial" w:cs="Arial" w:eastAsia="Arial" w:hAnsi="Arial"/>
          <w:sz w:val="18"/>
          <w:szCs w:val="18"/>
          <w:u w:val="single" w:color="auto"/>
          <w:color w:val="auto"/>
        </w:rPr>
        <w:t>2016 Amendment Arranger</w:t>
      </w:r>
      <w:r>
        <w:rPr>
          <w:rFonts w:ascii="Arial" w:cs="Arial" w:eastAsia="Arial" w:hAnsi="Arial"/>
          <w:sz w:val="18"/>
          <w:szCs w:val="18"/>
          <w:color w:val="auto"/>
        </w:rPr>
        <w:t>”); (iv) the Revolving Credit Lenders party hereto; and (v) SunTrust Bank, as Additional Tranche B Term Lender (the “</w:t>
      </w:r>
      <w:r>
        <w:rPr>
          <w:rFonts w:ascii="Arial" w:cs="Arial" w:eastAsia="Arial" w:hAnsi="Arial"/>
          <w:sz w:val="18"/>
          <w:szCs w:val="18"/>
          <w:u w:val="single" w:color="auto"/>
          <w:color w:val="auto"/>
        </w:rPr>
        <w:t>Additional Tranche B Term Lender</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WHEREAS, reference is hereby made to the Credit Agreement, dated as of October 19, 2015 (as amended by the First Amendment (as defined below) and as the same may be further amended, restated, amended and restated, supplemented, extended, refinanced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the Borrower, the Lenders party thereto, KeyBank, National Association, as administrative agent (in such capacity, the “</w:t>
      </w:r>
      <w:r>
        <w:rPr>
          <w:rFonts w:ascii="Arial" w:cs="Arial" w:eastAsia="Arial" w:hAnsi="Arial"/>
          <w:sz w:val="17"/>
          <w:szCs w:val="17"/>
          <w:u w:val="single" w:color="auto"/>
          <w:color w:val="auto"/>
        </w:rPr>
        <w:t>Initial Administrative Agent</w:t>
      </w:r>
      <w:r>
        <w:rPr>
          <w:rFonts w:ascii="Arial" w:cs="Arial" w:eastAsia="Arial" w:hAnsi="Arial"/>
          <w:sz w:val="17"/>
          <w:szCs w:val="17"/>
          <w:color w:val="auto"/>
        </w:rPr>
        <w:t>”), Regions Bank, as the syndication agent, KeyBank Capital Markets Inc. and SunTrust Robinson Humphrey, Inc., as joint lead arrangers and joint bookrunners, and SunTrust Bank, as documentation agent, pursuant to which the Lenders thereunder agreed to provide the Initial Term Loans (as defined therein) and the Revolving Credit Facility (as defined therein) to the Borrower. Capitalized terms used in this Agreement but not defined herein shall have the meaning assigned to such terms in the Credit Agreement, as amended and restated pursuant to the terms hereof (as so amended and restated, the “</w:t>
      </w:r>
      <w:r>
        <w:rPr>
          <w:rFonts w:ascii="Arial" w:cs="Arial" w:eastAsia="Arial" w:hAnsi="Arial"/>
          <w:sz w:val="17"/>
          <w:szCs w:val="17"/>
          <w:u w:val="single" w:color="auto"/>
          <w:color w:val="auto"/>
        </w:rPr>
        <w:t>Amended and Restated Credit Agreement</w:t>
      </w:r>
      <w:r>
        <w:rPr>
          <w:rFonts w:ascii="Arial" w:cs="Arial" w:eastAsia="Arial" w:hAnsi="Arial"/>
          <w:sz w:val="17"/>
          <w:szCs w:val="17"/>
          <w:color w:val="auto"/>
        </w:rPr>
        <w:t>”);</w:t>
      </w:r>
    </w:p>
    <w:p>
      <w:pPr>
        <w:spacing w:after="0" w:line="17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WHEREAS, on November 9, 2015, the Borrower, the Initial Administrative Agent, the Incremental Term Loan Lenders party thereto and the Revolving Credit Lenders party thereto entered into Amendment No. 1 to Credit Agreement (the “</w:t>
      </w:r>
      <w:r>
        <w:rPr>
          <w:rFonts w:ascii="Arial" w:cs="Arial" w:eastAsia="Arial" w:hAnsi="Arial"/>
          <w:sz w:val="18"/>
          <w:szCs w:val="18"/>
          <w:u w:val="single" w:color="auto"/>
          <w:color w:val="auto"/>
        </w:rPr>
        <w:t>First Amendment</w:t>
      </w:r>
      <w:r>
        <w:rPr>
          <w:rFonts w:ascii="Arial" w:cs="Arial" w:eastAsia="Arial" w:hAnsi="Arial"/>
          <w:sz w:val="18"/>
          <w:szCs w:val="18"/>
          <w:color w:val="auto"/>
        </w:rPr>
        <w:t>”), pursuant to which the Incremental Term Lenders made Incremental Term Loans in the aggregate principal amount of $50,000,000 (the “</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and, together with the Initial Term Loans, the “</w:t>
      </w:r>
      <w:r>
        <w:rPr>
          <w:rFonts w:ascii="Arial" w:cs="Arial" w:eastAsia="Arial" w:hAnsi="Arial"/>
          <w:sz w:val="18"/>
          <w:szCs w:val="18"/>
          <w:u w:val="single" w:color="auto"/>
          <w:color w:val="auto"/>
        </w:rPr>
        <w:t>Existing Term Loans</w:t>
      </w:r>
      <w:r>
        <w:rPr>
          <w:rFonts w:ascii="Arial" w:cs="Arial" w:eastAsia="Arial" w:hAnsi="Arial"/>
          <w:sz w:val="18"/>
          <w:szCs w:val="18"/>
          <w:color w:val="auto"/>
        </w:rPr>
        <w:t>”) in accordance with Section 2.14 of the Credit Agreement;</w:t>
      </w:r>
    </w:p>
    <w:p>
      <w:pPr>
        <w:spacing w:after="0" w:line="18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WHEREAS, (a) pursuant to Section 9.06(a) of the Credit Agreement, the Initial Administrative Agent has given notice to the Lenders, the L/C Issuer and the Borrower of its resignation as administrative agent, (b) the Required Lenders desire to appoint SunTrust Bank as successor administrative agent (in such capacity, the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(c) simultaneously herewith, the Initial Administrative Agent and the Successor Administrative Agent have executed and delivered a Successor Agency Agreement, dated as of the date hereof (the “</w:t>
      </w:r>
      <w:r>
        <w:rPr>
          <w:rFonts w:ascii="Arial" w:cs="Arial" w:eastAsia="Arial" w:hAnsi="Arial"/>
          <w:sz w:val="16"/>
          <w:szCs w:val="16"/>
          <w:u w:val="single" w:color="auto"/>
          <w:color w:val="auto"/>
        </w:rPr>
        <w:t>Successor Agency Agreement</w:t>
      </w:r>
      <w:r>
        <w:rPr>
          <w:rFonts w:ascii="Arial" w:cs="Arial" w:eastAsia="Arial" w:hAnsi="Arial"/>
          <w:sz w:val="16"/>
          <w:szCs w:val="16"/>
          <w:color w:val="auto"/>
        </w:rPr>
        <w:t>”), and all conditions to the effectiveness thereof have been satisfied, and (d) the Borrower and the Required Lenders wish to consent to such appointment;</w:t>
      </w:r>
    </w:p>
    <w:p>
      <w:pPr>
        <w:sectPr>
          <w:pgSz w:w="11900" w:h="16838" w:orient="portrait"/>
          <w:cols w:equalWidth="0" w:num="1">
            <w:col w:w="11420"/>
          </w:cols>
          <w:pgMar w:left="240" w:top="121" w:right="239" w:bottom="1440" w:gutter="0" w:footer="0" w:header="0"/>
        </w:sectPr>
      </w:pPr>
    </w:p>
    <w:bookmarkStart w:id="6" w:name="page7"/>
    <w:bookmarkEnd w:id="6"/>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 each Lender that shall have executed and delivered a consent to this Agreement substantially in the form of Exhibit A hereto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Consent</w:t>
      </w:r>
      <w:r>
        <w:rPr>
          <w:rFonts w:ascii="Arial" w:cs="Arial" w:eastAsia="Arial" w:hAnsi="Arial"/>
          <w:sz w:val="16"/>
          <w:szCs w:val="16"/>
          <w:color w:val="auto"/>
        </w:rPr>
        <w:t>”) indicating the “Cashless Settlement Option” (each, a “</w:t>
      </w:r>
      <w:r>
        <w:rPr>
          <w:rFonts w:ascii="Arial" w:cs="Arial" w:eastAsia="Arial" w:hAnsi="Arial"/>
          <w:sz w:val="16"/>
          <w:szCs w:val="16"/>
          <w:u w:val="single" w:color="auto"/>
          <w:color w:val="auto"/>
        </w:rPr>
        <w:t>Cashless Option Lender</w:t>
      </w:r>
      <w:r>
        <w:rPr>
          <w:rFonts w:ascii="Arial" w:cs="Arial" w:eastAsia="Arial" w:hAnsi="Arial"/>
          <w:sz w:val="16"/>
          <w:szCs w:val="16"/>
          <w:color w:val="auto"/>
        </w:rPr>
        <w:t>”) shall be deemed to have exchanged all of its Existing Term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allocation by the 2016 Amendment Arranger) for Tranche B Term Loans in the same aggregate principal amount as such Lender’s Existing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as of the Amendment and Restatement Effective Date and prior to giving effect to this Agreement (or such other principal amount as may be allocated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the 2016 Amendment Arranger), and such Lenders shall thereafter become Tranche B Term Loan Lenders in accordance with the provisions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WHEREAS, the Additional Tranche B Term Loan Lender will make Additional Tranche B Term Loans (as defined in the Amended and Restated Credit Agreement) to the Borrower, the proceeds of which will be used by the Borrower to repay the outstanding principal amount of Existing Term Loans held by Cashless Option Lenders that are not exchanged for Tranche B Term Loans or are held by Opt Out Lenders (as defined below), and to prepay Existing Term Loans from Lenders that execute and deliver a Consent indicating the “Post-Closing Settlement Option” (each, a “</w:t>
      </w:r>
      <w:r>
        <w:rPr>
          <w:rFonts w:ascii="Arial" w:cs="Arial" w:eastAsia="Arial" w:hAnsi="Arial"/>
          <w:sz w:val="18"/>
          <w:szCs w:val="18"/>
          <w:u w:val="single" w:color="auto"/>
          <w:color w:val="auto"/>
        </w:rPr>
        <w:t>Post-Closing Option Lender</w:t>
      </w:r>
      <w:r>
        <w:rPr>
          <w:rFonts w:ascii="Arial" w:cs="Arial" w:eastAsia="Arial" w:hAnsi="Arial"/>
          <w:sz w:val="18"/>
          <w:szCs w:val="18"/>
          <w:color w:val="auto"/>
        </w:rPr>
        <w:t>”; the Post-Closing Option Lenders and the Cashless Option Lenders are collectively referred to as the “</w:t>
      </w:r>
      <w:r>
        <w:rPr>
          <w:rFonts w:ascii="Arial" w:cs="Arial" w:eastAsia="Arial" w:hAnsi="Arial"/>
          <w:sz w:val="18"/>
          <w:szCs w:val="18"/>
          <w:u w:val="single" w:color="auto"/>
          <w:color w:val="auto"/>
        </w:rPr>
        <w:t>Continuing Term Lenders</w:t>
      </w:r>
      <w:r>
        <w:rPr>
          <w:rFonts w:ascii="Arial" w:cs="Arial" w:eastAsia="Arial" w:hAnsi="Arial"/>
          <w:sz w:val="18"/>
          <w:szCs w:val="18"/>
          <w:color w:val="auto"/>
        </w:rPr>
        <w:t>”), and the Borrower shall pay to each Lender all accrued and unpaid interest through, but not including, the Amendment and Restatement Effective Date with respect to such Existing Term Loans; and</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WHEREAS, in accordance with Section 2.14(c) of the Credit Agreement, the Borrower notified the Initial Administrative Agent of its request for an Incremental Increase, and pursuant to Section 2.14 of the Credit Agreement, the Borrower hereby requests that the Persons set forth on Schedule I hereto (the “</w:t>
      </w:r>
      <w:r>
        <w:rPr>
          <w:rFonts w:ascii="Arial" w:cs="Arial" w:eastAsia="Arial" w:hAnsi="Arial"/>
          <w:sz w:val="18"/>
          <w:szCs w:val="18"/>
          <w:u w:val="single" w:color="auto"/>
          <w:color w:val="auto"/>
        </w:rPr>
        <w:t>Revolving Credit Increase Lenders</w:t>
      </w:r>
      <w:r>
        <w:rPr>
          <w:rFonts w:ascii="Arial" w:cs="Arial" w:eastAsia="Arial" w:hAnsi="Arial"/>
          <w:sz w:val="18"/>
          <w:szCs w:val="18"/>
          <w:color w:val="auto"/>
        </w:rPr>
        <w:t>”) establish a Revolving Credit Increase in favor of the Borrower (the “</w:t>
      </w:r>
      <w:r>
        <w:rPr>
          <w:rFonts w:ascii="Arial" w:cs="Arial" w:eastAsia="Arial" w:hAnsi="Arial"/>
          <w:sz w:val="18"/>
          <w:szCs w:val="18"/>
          <w:u w:val="single" w:color="auto"/>
          <w:color w:val="auto"/>
        </w:rPr>
        <w:t>2016 Revolving Credit Increase</w:t>
      </w:r>
      <w:r>
        <w:rPr>
          <w:rFonts w:ascii="Arial" w:cs="Arial" w:eastAsia="Arial" w:hAnsi="Arial"/>
          <w:sz w:val="18"/>
          <w:szCs w:val="18"/>
          <w:color w:val="auto"/>
        </w:rPr>
        <w:t>”) in an aggregate principal amount of $33,000,000 on the Amendment and Restatement Effective Date (as defined below), with each Revolving Credit Increase Lender’s Revolving Credit Increase being in the amount set forth on Schedule I hereto;</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WHEREAS, immediately upon the establishment of the 2016 Revolving Credit Increase, the Borrower will incur a Borrowing of Revolving Loans, the proceeds of which will be used to prepay Existing Term Loans for which the respective Term Lender has not executed and delivered a Consent (each, an “</w:t>
      </w:r>
      <w:r>
        <w:rPr>
          <w:rFonts w:ascii="Arial" w:cs="Arial" w:eastAsia="Arial" w:hAnsi="Arial"/>
          <w:sz w:val="18"/>
          <w:szCs w:val="18"/>
          <w:u w:val="single" w:color="auto"/>
          <w:color w:val="auto"/>
        </w:rPr>
        <w:t>Opt</w:t>
      </w:r>
      <w:r>
        <w:rPr>
          <w:rFonts w:ascii="Arial" w:cs="Arial" w:eastAsia="Arial" w:hAnsi="Arial"/>
          <w:sz w:val="18"/>
          <w:szCs w:val="18"/>
          <w:color w:val="auto"/>
        </w:rPr>
        <w:t xml:space="preserve"> </w:t>
      </w:r>
      <w:r>
        <w:rPr>
          <w:rFonts w:ascii="Arial" w:cs="Arial" w:eastAsia="Arial" w:hAnsi="Arial"/>
          <w:sz w:val="18"/>
          <w:szCs w:val="18"/>
          <w:u w:val="single" w:color="auto"/>
          <w:color w:val="auto"/>
        </w:rPr>
        <w:t>Out Lender</w:t>
      </w:r>
      <w:r>
        <w:rPr>
          <w:rFonts w:ascii="Arial" w:cs="Arial" w:eastAsia="Arial" w:hAnsi="Arial"/>
          <w:sz w:val="18"/>
          <w:szCs w:val="18"/>
          <w:color w:val="auto"/>
        </w:rPr>
        <w:t>”);</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WHEREAS, the Borrower, the Initial Administrative Agent, the Successor Administrative Agent, the Term Lenders party hereto, the Revolving Credit Lenders party hereto and the Revolving Credit Increase Lenders desire to amend and restate the Credit Agreement to (i) confirm and consent to the succession of the Successor Administrative Agent to the Initial Administrative Agent pursuant to the Successor Agency Agreement; (ii) establish the 2016 Revolving Credit Increase; (iii) provide for the issuance of the Tranche B Term Loans; (iv) provide for the issuance of Additional Tranche B Term Loans and (v) effect the other amendments reflected in Exhibit B hereto; and</w:t>
      </w:r>
    </w:p>
    <w:p>
      <w:pPr>
        <w:spacing w:after="0" w:line="18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WHEREAS, pursuant to Section 10.01 of the Credit Agreement, (a) the consent of 100% of the Cashless Option Lenders, the Post-Closing Option Lenders and the Additional Tranche B Term Loan Lenders is required in connection with the establishment of the Tranche B Term Loan Commitments and the making of the Tranche B Term Loans on the Amendment and Restatement Effective Date, (b) the consent of the Required Lenders is required for the effectiveness of certain of the other amendments to the Credit Agreement set forth in the Amended and Restated Credit Agreement, and (c) the consent of the Required Revolving Credit Lenders is required for the effectiveness of amendments to Section 7.14 of the Credit Agreement and certain other amendments to the Credit Agreement, and each of the Lenders whose consent is required pursuant to the foregoing clauses (a) through (c) has agreed to the foregoing as evidenced by its signature to this Agreement or its delivery of a Consent.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 w:name="page8"/>
    <w:bookmarkEnd w:id="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 in consideration of the premises, agreements, provisions and covenants herein contained, the parties hereto agree as follows:</w:t>
      </w:r>
    </w:p>
    <w:p>
      <w:pPr>
        <w:spacing w:after="0" w:line="24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Each of the Borrower, each Lender party hereto and each Continuing Term Lender consents to the appointment of SunTrust Bank as successor Administrative Agent under the Credit Agreement and waives any condition to, or requirement for, the appointment of SunTrust Bank as successor Administrative Agent that has not otherwise been satisfied hereunder or under the Successor Agency Agreement.</w:t>
      </w:r>
    </w:p>
    <w:p>
      <w:pPr>
        <w:spacing w:after="0" w:line="147"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Revolving Credit Increase</w:t>
      </w:r>
      <w:r>
        <w:rPr>
          <w:rFonts w:ascii="Arial" w:cs="Arial" w:eastAsia="Arial" w:hAnsi="Arial"/>
          <w:sz w:val="16"/>
          <w:szCs w:val="16"/>
          <w:color w:val="auto"/>
        </w:rPr>
        <w:t>. Each Revolving Credit Increase Lender hereby severally, and not jointly, establishes a Revolving Credit Increase in the amount set forth opposite its name on Schedule I hereto, such that after giving effect to such Revolving Credit Increase such Revolving Credit Increase Lender’s Revolving Credit Commitment shall be equal to the amount set forth on Schedule 2.01 to the Amended and Restated Credit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Amendment and Restatement</w:t>
      </w:r>
      <w:r>
        <w:rPr>
          <w:rFonts w:ascii="Arial" w:cs="Arial" w:eastAsia="Arial" w:hAnsi="Arial"/>
          <w:sz w:val="18"/>
          <w:szCs w:val="18"/>
          <w:color w:val="auto"/>
        </w:rPr>
        <w:t>. The Credit Agreement is hereby amended and restated in the form of Exhibit B hereto.</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Certain Consents and Waivers</w:t>
      </w:r>
      <w:r>
        <w:rPr>
          <w:rFonts w:ascii="Arial" w:cs="Arial" w:eastAsia="Arial" w:hAnsi="Arial"/>
          <w:sz w:val="18"/>
          <w:szCs w:val="18"/>
          <w:color w:val="auto"/>
        </w:rPr>
        <w:t>. Each Continuing Term Lender and the Additional Tranche B Term Lender hereby consent to an Interest Period beginning on the Amendment and Restatement Effective Date and ending on October 31, 2016, in respect of the exchange of Existing Term Loans for Tranche B Term Loans or the Borrowing of Additional Tranche B Term Loans, as applicable, which shall initially constitute Eurodollar Loans. The Lenders party hereto waive any notice of prepayment of the Existing Term Loans on the Amendment and Restatement Effective Date that would otherwise be required pursuant to the Credit Agreement, and waive any condition to, or requirement for, the 2016 Revolving Credit Increase that is not satisfied by satisfaction of the conditions precedent set forth in Section 5 hereof.</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w:t>
      </w:r>
    </w:p>
    <w:p>
      <w:pPr>
        <w:spacing w:after="0" w:line="117" w:lineRule="exact"/>
        <w:rPr>
          <w:sz w:val="20"/>
          <w:szCs w:val="20"/>
          <w:color w:val="auto"/>
        </w:rPr>
      </w:pPr>
    </w:p>
    <w:p>
      <w:pPr>
        <w:ind w:right="60" w:firstLine="464"/>
        <w:spacing w:after="0" w:line="302" w:lineRule="auto"/>
        <w:tabs>
          <w:tab w:leader="none" w:pos="701" w:val="left"/>
        </w:tabs>
        <w:numPr>
          <w:ilvl w:val="1"/>
          <w:numId w:val="4"/>
        </w:numPr>
        <w:rPr>
          <w:rFonts w:ascii="Arial" w:cs="Arial" w:eastAsia="Arial" w:hAnsi="Arial"/>
          <w:sz w:val="16"/>
          <w:szCs w:val="16"/>
          <w:color w:val="auto"/>
        </w:rPr>
      </w:pPr>
      <w:r>
        <w:rPr>
          <w:rFonts w:ascii="Arial" w:cs="Arial" w:eastAsia="Arial" w:hAnsi="Arial"/>
          <w:sz w:val="16"/>
          <w:szCs w:val="16"/>
          <w:color w:val="auto"/>
        </w:rPr>
        <w:t>Section 1 hereof shall be effective immediately upon (i) the execution and delivery of the Successor Agency Agreement by the parties thereto and the satisfaction or waiver of all conditions to the effectiveness thereof and (ii) the Successor Administrative Agent (or its counsel) shall have received counterparts of this Agreement or a Consent that, when taken together, bear the signatures of Lenders constituting the Required Lenders as well as signatures of (A) the Initial Administrative Agent, (B) the Successor Administrative Agent, (C) each Revolving Credit Lender, (D) the Borrower and (E) the Guarantors</w:t>
      </w:r>
    </w:p>
    <w:p>
      <w:pPr>
        <w:spacing w:after="0" w:line="154" w:lineRule="exact"/>
        <w:rPr>
          <w:rFonts w:ascii="Arial" w:cs="Arial" w:eastAsia="Arial" w:hAnsi="Arial"/>
          <w:sz w:val="16"/>
          <w:szCs w:val="16"/>
          <w:color w:val="auto"/>
        </w:rPr>
      </w:pPr>
    </w:p>
    <w:p>
      <w:pPr>
        <w:ind w:right="280" w:firstLine="464"/>
        <w:spacing w:after="0" w:line="291" w:lineRule="auto"/>
        <w:tabs>
          <w:tab w:leader="none" w:pos="711"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effectiveness of (i) this Agreement (other than Section 1 hereof), (ii) the obligation of each Cashless Option Lender to exchange its Existing Term Loans for Tranche B Term Loans, (iii) the obligation of the Additional Tranche B Term Lender to make the Additional Tranche B Term Loans and</w:t>
      </w:r>
    </w:p>
    <w:p>
      <w:pPr>
        <w:ind w:right="280" w:firstLine="8"/>
        <w:spacing w:after="0" w:line="261" w:lineRule="auto"/>
        <w:tabs>
          <w:tab w:leader="none" w:pos="3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obligation of each Revolving Credit Increase Lender to establish its Revolving Credit Increase shall become effective on the first Business Day on which the following conditions are satisfied or waived (the “</w:t>
      </w:r>
      <w:r>
        <w:rPr>
          <w:rFonts w:ascii="Arial" w:cs="Arial" w:eastAsia="Arial" w:hAnsi="Arial"/>
          <w:sz w:val="18"/>
          <w:szCs w:val="18"/>
          <w:u w:val="single" w:color="auto"/>
          <w:color w:val="auto"/>
        </w:rPr>
        <w:t>Amendment and Restatement Effective Date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20" w:hanging="217"/>
        <w:spacing w:after="0"/>
        <w:tabs>
          <w:tab w:leader="none" w:pos="11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Section 1 hereof shall have become effective in accordance with the foregoing Section 5(a);</w:t>
      </w:r>
    </w:p>
    <w:p>
      <w:pPr>
        <w:spacing w:after="0" w:line="117" w:lineRule="exact"/>
        <w:rPr>
          <w:rFonts w:ascii="Arial" w:cs="Arial" w:eastAsia="Arial" w:hAnsi="Arial"/>
          <w:sz w:val="18"/>
          <w:szCs w:val="18"/>
          <w:color w:val="auto"/>
        </w:rPr>
      </w:pPr>
    </w:p>
    <w:p>
      <w:pPr>
        <w:ind w:left="460" w:firstLine="443"/>
        <w:spacing w:after="0" w:line="308" w:lineRule="auto"/>
        <w:tabs>
          <w:tab w:leader="none" w:pos="1163" w:val="left"/>
        </w:tabs>
        <w:numPr>
          <w:ilvl w:val="2"/>
          <w:numId w:val="5"/>
        </w:numPr>
        <w:rPr>
          <w:rFonts w:ascii="Arial" w:cs="Arial" w:eastAsia="Arial" w:hAnsi="Arial"/>
          <w:sz w:val="17"/>
          <w:szCs w:val="17"/>
          <w:color w:val="auto"/>
        </w:rPr>
      </w:pPr>
      <w:r>
        <w:rPr>
          <w:rFonts w:ascii="Arial" w:cs="Arial" w:eastAsia="Arial" w:hAnsi="Arial"/>
          <w:sz w:val="17"/>
          <w:szCs w:val="17"/>
          <w:color w:val="auto"/>
        </w:rPr>
        <w:t>the Successor Administrative Agent (or its counsel) shall have received counterparts of this Agreement or Consents that, when taken together, bear the signatures of Lenders constituting the Required Lenders and the Required Revolving Credit Lenders as well as signatures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8" w:name="page9"/>
    <w:bookmarkEnd w:id="8"/>
    <w:p>
      <w:pPr>
        <w:ind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 each Cashless Option Lender and each Post-Closing Option Lender, (B) the Initial Administrative Agent, (C) the Successor Administrative Agent, (D) each Lender with a Revolving Commitment, (E) the Additional Tranche B Term Loan Lender, (F) the Borrower and (G) the Guarantors;</w:t>
      </w:r>
    </w:p>
    <w:p>
      <w:pPr>
        <w:spacing w:after="0" w:line="16" w:lineRule="exact"/>
        <w:rPr>
          <w:sz w:val="20"/>
          <w:szCs w:val="20"/>
          <w:color w:val="auto"/>
        </w:rPr>
      </w:pPr>
    </w:p>
    <w:p>
      <w:pPr>
        <w:ind w:firstLine="443"/>
        <w:spacing w:after="0" w:line="277" w:lineRule="auto"/>
        <w:tabs>
          <w:tab w:leader="none" w:pos="7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Successor Administrative Agent shall have received a notice of Borrowing for the Additional Tranche B Term Loans (whether in writing or by telephone) in accordance with the Amended and Restated Credit Agreement;</w:t>
      </w:r>
    </w:p>
    <w:p>
      <w:pPr>
        <w:spacing w:after="0" w:line="62" w:lineRule="exact"/>
        <w:rPr>
          <w:rFonts w:ascii="Arial" w:cs="Arial" w:eastAsia="Arial" w:hAnsi="Arial"/>
          <w:sz w:val="18"/>
          <w:szCs w:val="18"/>
          <w:color w:val="auto"/>
        </w:rPr>
      </w:pPr>
    </w:p>
    <w:p>
      <w:pPr>
        <w:ind w:right="180" w:firstLine="443"/>
        <w:spacing w:after="0" w:line="277"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Borrower shall have paid in full all accrued and unpaid interest owing in respect of the Existing Term Loans as of the Amendment and Restatement Effective Date; and</w:t>
      </w:r>
    </w:p>
    <w:p>
      <w:pPr>
        <w:spacing w:after="0" w:line="62" w:lineRule="exact"/>
        <w:rPr>
          <w:rFonts w:ascii="Arial" w:cs="Arial" w:eastAsia="Arial" w:hAnsi="Arial"/>
          <w:sz w:val="18"/>
          <w:szCs w:val="18"/>
          <w:color w:val="auto"/>
        </w:rPr>
      </w:pPr>
    </w:p>
    <w:p>
      <w:pPr>
        <w:ind w:right="180" w:firstLine="443"/>
        <w:spacing w:after="0" w:line="277"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Successor Administrative Agent’s receipt of the following, each of which shall be originals or facsimiles or electronic copies (followed promptly by originals) unless otherwise specified:</w:t>
      </w:r>
    </w:p>
    <w:p>
      <w:pPr>
        <w:spacing w:after="0" w:line="62" w:lineRule="exact"/>
        <w:rPr>
          <w:rFonts w:ascii="Arial" w:cs="Arial" w:eastAsia="Arial" w:hAnsi="Arial"/>
          <w:sz w:val="18"/>
          <w:szCs w:val="18"/>
          <w:color w:val="auto"/>
        </w:rPr>
      </w:pPr>
    </w:p>
    <w:p>
      <w:pPr>
        <w:ind w:left="1180" w:hanging="299"/>
        <w:spacing w:after="0"/>
        <w:tabs>
          <w:tab w:leader="none" w:pos="1180" w:val="left"/>
        </w:tabs>
        <w:numPr>
          <w:ilvl w:val="1"/>
          <w:numId w:val="6"/>
        </w:numPr>
        <w:rPr>
          <w:rFonts w:ascii="Arial" w:cs="Arial" w:eastAsia="Arial" w:hAnsi="Arial"/>
          <w:sz w:val="16"/>
          <w:szCs w:val="16"/>
          <w:color w:val="auto"/>
        </w:rPr>
      </w:pPr>
      <w:r>
        <w:rPr>
          <w:rFonts w:ascii="Arial" w:cs="Arial" w:eastAsia="Arial" w:hAnsi="Arial"/>
          <w:sz w:val="16"/>
          <w:szCs w:val="16"/>
          <w:color w:val="auto"/>
        </w:rPr>
        <w:t>opinions of counsel for the Borrower, in a form and substance reasonably satisfactory to the Successor Administrative Agent; and</w:t>
      </w:r>
    </w:p>
    <w:p>
      <w:pPr>
        <w:spacing w:after="0" w:line="140" w:lineRule="exact"/>
        <w:rPr>
          <w:rFonts w:ascii="Arial" w:cs="Arial" w:eastAsia="Arial" w:hAnsi="Arial"/>
          <w:sz w:val="16"/>
          <w:szCs w:val="16"/>
          <w:color w:val="auto"/>
        </w:rPr>
      </w:pPr>
    </w:p>
    <w:p>
      <w:pPr>
        <w:ind w:left="460" w:right="20" w:firstLine="421"/>
        <w:spacing w:after="0" w:line="285" w:lineRule="auto"/>
        <w:tabs>
          <w:tab w:leader="none" w:pos="1165"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a certificate from a Responsible Officer of the Borrower dated as of the Amendment and Restatement Effective Date (1) certifying and attaching resolutions adopted by the Borrower approving and authorizing the execution, delivery and performance of this Agreement to which it is a party and the extensions of credit contemplated hereunder, and (2) certifying that (a) both before and immediately after giving effect hereto, to the making of (or exchange of Existing Term Loans for) the Tranche B Term Loans, including by means of the making of the Additional Tranche B Term Loans and to the 2016 Revolving Credit Increase and the use of proceeds thereof, as of the Amendment and Restatement Effective Date, no Default or Event of Default shall exist and be continuing, (b) as of the Amendment and Restatement Effective Date, the Borrower is in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compliance (immediately after giving effect to the transactions contemplated hereby and the use of proceeds thereof, but disregarding any cash constituting proceeds of such Revolving Credit Increase solely for purposes of determining the Consolidated Net Leverage Ratio (and assuming that the Revolving Credit Commitments in respect of the 2016 Revolving Credit Increase are fully drawn)) with the financial covenant contained in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of the Amended and Restated Credit Agreement (whether or not the same is to be tested at the time) and (c) the representations and warranties of the Borrower and each other Loan Party contained in Section 6 hereof, Article V of the Amended and Restated Credit Agreement or in any other Loan Document are true and correct in all material respects (or, with respect to representations and warranties modified by a materiality or Material Adverse Effect standard, in all respects) on and as of the Amendment and Restatement Effective Date, except to the extent that such representations and warranties specifically refer to an earlier date, in which case they are true and correct in all material respects (or, with respect to representations and warranties modified by a materiality or Material Adverse Effect standard, in all respects) and (3) certifying and attaching a good standing certificate as of a recent date from the applicable Governmental Authority of the Borrower’s jurisdiction of incorporation, organization or formation;</w:t>
      </w:r>
    </w:p>
    <w:p>
      <w:pPr>
        <w:spacing w:after="0" w:line="67" w:lineRule="exact"/>
        <w:rPr>
          <w:rFonts w:ascii="Arial" w:cs="Arial" w:eastAsia="Arial" w:hAnsi="Arial"/>
          <w:sz w:val="16"/>
          <w:szCs w:val="16"/>
          <w:color w:val="auto"/>
        </w:rPr>
      </w:pPr>
    </w:p>
    <w:p>
      <w:pPr>
        <w:ind w:right="100" w:firstLine="443"/>
        <w:spacing w:after="0" w:line="264"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Successor Administrative Agent shall have received a completed “Life-of-Loan” Federal Emergency Management Agency Standard Flood Hazard Determination with respect to each Mortgaged Property (together with a notice about special flood hazard area status and flood disaster assistance duly executed by the Borrower and each Loan Party relating thereto); and</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700" w:top="274" w:right="319" w:bottom="1440" w:gutter="0" w:footer="0" w:header="0"/>
        </w:sectPr>
      </w:pPr>
    </w:p>
    <w:bookmarkStart w:id="9" w:name="page10"/>
    <w:bookmarkEnd w:id="9"/>
    <w:p>
      <w:pPr>
        <w:ind w:left="460" w:right="20" w:firstLine="443"/>
        <w:spacing w:after="0" w:line="276" w:lineRule="auto"/>
        <w:tabs>
          <w:tab w:leader="none" w:pos="1253"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fees in the amounts previously agreed in writing by the 2016 Amendment Arranger to be received on the Amendment and Restatement Effective Date and all reasonable and documented or invoiced out-of-pocket costs and expenses (including the reasonable fees, charges of a single counsel to the 2016 Amendment Arranger) incurred in connection with the transactions contemplated hereby for which invoices have been presented at least one (1) Business Day prior to the Amendment and Restatement Effective Date shall, upon the Borrowings of all Loans to be incurred on the Amendment and Restatement Effective Date, have been, or will be substantially simultaneously, paid in full.</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By its execution of this Agreement, each Loan Party hereby represents and warrants to the Initial Administrative Agent, the Successor Administrative Agent, the Tranche B Term Loan Lenders and the Lenders that the representations and warranties of each Loan Party set forth in Article V of the Amended and Restated Credit Agreement and in the other Loan Documents are, after giving effect to this Agreement, true and correct in all material respects on and as of the Amendment and Restatement Effective Date (unless stated to relate to a specific earlier date, in which case such representations and warranties shall be true and correct in all material respects as of such earlier date).</w:t>
      </w:r>
    </w:p>
    <w:p>
      <w:pPr>
        <w:spacing w:after="0" w:line="173"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Acknowledgments and Affirmations of the Loan Parties</w:t>
      </w:r>
      <w:r>
        <w:rPr>
          <w:rFonts w:ascii="Arial" w:cs="Arial" w:eastAsia="Arial" w:hAnsi="Arial"/>
          <w:sz w:val="16"/>
          <w:szCs w:val="16"/>
          <w:color w:val="auto"/>
        </w:rPr>
        <w:t>. Each Loan Party hereby expressly acknowledges the terms of this Agreement and confirms and reaffirms, as of the date hereof, (i) the covenants and agreements contained in each Loan Document to which it is a party, including, in each case, such covenants and agreements as in effect immediately after giving effect to this Agreement and the transactions contemplated hereby and thereby,</w:t>
      </w:r>
    </w:p>
    <w:p>
      <w:pPr>
        <w:ind w:right="40" w:firstLine="8"/>
        <w:spacing w:after="0" w:line="252"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its guarantee of the Obligations (including, without limitation, the Tranche B Term Loans) under the Guaranty and (iii) its grant of Liens on the Collateral to secure the Obligations (including, without limitation, the Obligations with respect to the Tranche B Term Loans) pursuant to the Security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and after the effectiveness of this Agreement, each reference in the Guaranty and in each of the other Loan Documents to “the Credit Agreement”, “thereunder”, “thereof” or words of like import shall mean and be a reference to the Amended and Restated Credit Agreement. Without limiting the generality of the foregoing, the Security Documents to which such Loan Party is a party and all of the Collateral described therein do, and shall continue to secure, payment of all of the Obligations.</w:t>
      </w:r>
    </w:p>
    <w:p>
      <w:pPr>
        <w:spacing w:after="0" w:line="19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Allocations.</w:t>
      </w:r>
      <w:r>
        <w:rPr>
          <w:rFonts w:ascii="Arial" w:cs="Arial" w:eastAsia="Arial" w:hAnsi="Arial"/>
          <w:sz w:val="18"/>
          <w:szCs w:val="18"/>
          <w:color w:val="auto"/>
        </w:rPr>
        <w:t xml:space="preserve"> The Borrower, the Continuing Lenders and the Tranche B Term Lenders hereby authorize (i) the 2016 Amendment Arranger, in consultation with the Borrower, to determine all amounts, percentages and other information with respect to the Tranche B Term Loan Commitments and Tranche B Term Loans of each Lender and (ii) the Administrative Agent to enter and complete all such amounts, percentages and other information in the Register maintained pursuant to Section 10.06(c) of the Amended and Restated Credit Agreement, as appropriate. The 2016 Amendment Arranger’s determination and the Administrative Agent’s entry and completion shall be conclusive and shall be conclusive evidence of the existence, amounts, percentages and other information with respect to the obligations of the Lenders and the Borrower hereunder and under the Amendment and Restatement Agreement, in each case, absent manifest error. For the avoidance of doubt, the provisions of Article IX and Section 10.04 of the Amended and Restated Credit Agreement shall apply to any determination, entry or completion made by the 2016 Amendment Arranger or the Administrative Agent pursuant to this Section 8.</w:t>
      </w:r>
    </w:p>
    <w:p>
      <w:pPr>
        <w:spacing w:after="0" w:line="19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Other</w:t>
      </w:r>
      <w:r>
        <w:rPr>
          <w:rFonts w:ascii="Arial" w:cs="Arial" w:eastAsia="Arial" w:hAnsi="Arial"/>
          <w:sz w:val="18"/>
          <w:szCs w:val="18"/>
          <w:color w:val="auto"/>
        </w:rPr>
        <w:t>. This Agreement, the Credit Agreement (as amended and restated by the Amended and Restated Credit Agreement) and the other Loan Documents constitute the entire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0" w:name="page11"/>
    <w:bookmarkEnd w:id="1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among the parties hereto with respect to the subject matter hereof and thereof and supersede all other prior agreements and understandings, both written and verbal, among the parties hereto with respect to the subject matter hereof. Except as expressly set forth herein (including in the Amended and Restated Credit Agreement), this Agreement shall not by implication or otherwise limit, impair, constitute a waiver of, or otherwise affect the rights and remedies of any party under, the Credit Agreement, nor alter, modify, amend or in any way affect any of the terms, conditions, obligations, covenants or agreements contained in the Credit Agreement, all of which are ratified and affirmed in all respects and shall continue in full force and effect. It is understood and agreed that each reference in each Loan Document to the Credit Agreement, whether direct or indirect, shall hereafter be deemed to be a reference to the Credit Agreement as amended and restated by this Agreement and that this Agreement is a Loan Document.</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Governing Law; Submission to Jurisdiction; Venue; Waiver of Jury Trial</w:t>
      </w:r>
      <w:r>
        <w:rPr>
          <w:rFonts w:ascii="Arial" w:cs="Arial" w:eastAsia="Arial" w:hAnsi="Arial"/>
          <w:sz w:val="18"/>
          <w:szCs w:val="18"/>
          <w:color w:val="auto"/>
        </w:rPr>
        <w:t>. THIS AGREEMENT AND THE RIGHTS AND OBLIGATIONS OF THE PARTIES HEREUNDER SHALL BE GOVERNED BY, CONSTRUED AND INTERPRETED IN ACCORDANCE WITH, THE LAWS OF THE STATE OF NEW YORK. SECTIONS 10.14 AND 10.15 OF THE CREDIT AGREEMENT ARE HEREBY INCORPORATED BY REFERENCE INTO THIS AGREEMENT AND SHALL APPLY MUTATIS MUTANDIS HERETO</w:t>
      </w:r>
      <w:r>
        <w:rPr>
          <w:rFonts w:ascii="Arial" w:cs="Arial" w:eastAsia="Arial" w:hAnsi="Arial"/>
          <w:sz w:val="18"/>
          <w:szCs w:val="18"/>
          <w:b w:val="1"/>
          <w:bCs w:val="1"/>
          <w:color w:val="auto"/>
        </w:rPr>
        <w:t>.</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would be enforceable.</w:t>
      </w:r>
    </w:p>
    <w:p>
      <w:pPr>
        <w:spacing w:after="0" w:line="17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telecopy or e-mail (including in a “.pdf” format) shall be effective as delivery of a manually executed counterpart of this Agreement.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1" w:name="page12"/>
    <w:bookmarkEnd w:id="1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undersigned has caused its duly authorized officer to execute and deliver this Agreement as of the date first written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NN, INC., as the Borrower</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 Robert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 Robert Atkinson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[Amendment and Restatement Agreement Signature Page]</w:t>
      </w:r>
    </w:p>
    <w:p>
      <w:pPr>
        <w:sectPr>
          <w:pgSz w:w="11900" w:h="16838" w:orient="portrait"/>
          <w:cols w:equalWidth="0" w:num="1">
            <w:col w:w="11020"/>
          </w:cols>
          <w:pgMar w:left="240" w:top="274" w:right="639" w:bottom="1440" w:gutter="0" w:footer="0" w:header="0"/>
        </w:sectPr>
      </w:pPr>
    </w:p>
    <w:bookmarkStart w:id="12" w:name="page13"/>
    <w:bookmarkEnd w:id="1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and agreed to by each of the undersigned</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Guarantors:</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AUTOCAM CORPORATION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AUTOCAM-PAX,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INDUSTRIAL MOLDING CORPORATION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WHIRLAWAY CORPORATION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PNC ACQUISITION COMPANY,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PMC USA ACQUISITION COMPANY,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PMC ACQUISITION COMPANY, INC.</w:t>
      </w:r>
    </w:p>
    <w:p>
      <w:pPr>
        <w:spacing w:after="0" w:line="9" w:lineRule="exact"/>
        <w:rPr>
          <w:sz w:val="20"/>
          <w:szCs w:val="20"/>
          <w:color w:val="auto"/>
        </w:rPr>
      </w:pPr>
    </w:p>
    <w:p>
      <w:pPr>
        <w:ind w:left="5660" w:right="980" w:hanging="5"/>
        <w:spacing w:after="0" w:line="281" w:lineRule="auto"/>
        <w:tabs>
          <w:tab w:leader="none" w:pos="5965"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PRECISION PLASTICS, INC. CAPROCK MANUFACTURING, INC. CAPROCK ENCLOSURES, LLC PRECISION ENGINEERED PRODUCTS</w:t>
      </w:r>
    </w:p>
    <w:p>
      <w:pPr>
        <w:spacing w:after="0" w:line="2" w:lineRule="exact"/>
        <w:rPr>
          <w:rFonts w:ascii="Arial" w:cs="Arial" w:eastAsia="Arial" w:hAnsi="Arial"/>
          <w:sz w:val="16"/>
          <w:szCs w:val="16"/>
          <w:color w:val="auto"/>
        </w:rPr>
      </w:pPr>
    </w:p>
    <w:p>
      <w:pPr>
        <w:ind w:left="6200"/>
        <w:spacing w:after="0"/>
        <w:rPr>
          <w:rFonts w:ascii="Arial" w:cs="Arial" w:eastAsia="Arial" w:hAnsi="Arial"/>
          <w:sz w:val="16"/>
          <w:szCs w:val="16"/>
          <w:color w:val="auto"/>
        </w:rPr>
      </w:pPr>
      <w:r>
        <w:rPr>
          <w:rFonts w:ascii="Arial" w:cs="Arial" w:eastAsia="Arial" w:hAnsi="Arial"/>
          <w:sz w:val="18"/>
          <w:szCs w:val="18"/>
          <w:color w:val="auto"/>
        </w:rPr>
        <w:t>HOLDINGS, INC.</w:t>
      </w:r>
    </w:p>
    <w:p>
      <w:pPr>
        <w:spacing w:after="0" w:line="9" w:lineRule="exact"/>
        <w:rPr>
          <w:rFonts w:ascii="Arial" w:cs="Arial" w:eastAsia="Arial" w:hAnsi="Arial"/>
          <w:sz w:val="16"/>
          <w:szCs w:val="16"/>
          <w:color w:val="auto"/>
        </w:rPr>
      </w:pPr>
    </w:p>
    <w:p>
      <w:pPr>
        <w:ind w:left="5660" w:right="540"/>
        <w:spacing w:after="0" w:line="265" w:lineRule="auto"/>
        <w:rPr>
          <w:rFonts w:ascii="Arial" w:cs="Arial" w:eastAsia="Arial" w:hAnsi="Arial"/>
          <w:sz w:val="16"/>
          <w:szCs w:val="16"/>
          <w:color w:val="auto"/>
        </w:rPr>
      </w:pPr>
      <w:r>
        <w:rPr>
          <w:rFonts w:ascii="Arial" w:cs="Arial" w:eastAsia="Arial" w:hAnsi="Arial"/>
          <w:sz w:val="17"/>
          <w:szCs w:val="17"/>
          <w:color w:val="auto"/>
        </w:rPr>
        <w:t>PRECISION ENGINEERED PRODUCTS LLC BRAININ-ADVANCE INDUSTRIES LLC WAUCONDA TOOL &amp; ENGINEERING LLC LACEY MANUFACTURING COMPANY, LLC GENERAL METAL FINISHING LLC POLYMETALLURGICAL LLC</w:t>
      </w:r>
    </w:p>
    <w:p>
      <w:pPr>
        <w:spacing w:after="0" w:line="1"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MATRIX I LLC</w:t>
      </w:r>
    </w:p>
    <w:p>
      <w:pPr>
        <w:spacing w:after="0" w:line="9" w:lineRule="exact"/>
        <w:rPr>
          <w:rFonts w:ascii="Arial" w:cs="Arial" w:eastAsia="Arial" w:hAnsi="Arial"/>
          <w:sz w:val="16"/>
          <w:szCs w:val="16"/>
          <w:color w:val="auto"/>
        </w:rPr>
      </w:pPr>
    </w:p>
    <w:p>
      <w:pPr>
        <w:ind w:left="6200" w:right="440" w:hanging="540"/>
        <w:spacing w:after="0" w:line="250" w:lineRule="auto"/>
        <w:rPr>
          <w:rFonts w:ascii="Arial" w:cs="Arial" w:eastAsia="Arial" w:hAnsi="Arial"/>
          <w:sz w:val="16"/>
          <w:szCs w:val="16"/>
          <w:color w:val="auto"/>
        </w:rPr>
      </w:pPr>
      <w:r>
        <w:rPr>
          <w:rFonts w:ascii="Arial" w:cs="Arial" w:eastAsia="Arial" w:hAnsi="Arial"/>
          <w:sz w:val="18"/>
          <w:szCs w:val="18"/>
          <w:color w:val="auto"/>
        </w:rPr>
        <w:t>BOSTON ENDO-SURGICAL TECHNOLOGIES LLC</w:t>
      </w:r>
    </w:p>
    <w:p>
      <w:pPr>
        <w:ind w:left="5660" w:right="700"/>
        <w:spacing w:after="0" w:line="250" w:lineRule="auto"/>
        <w:rPr>
          <w:rFonts w:ascii="Arial" w:cs="Arial" w:eastAsia="Arial" w:hAnsi="Arial"/>
          <w:sz w:val="16"/>
          <w:szCs w:val="16"/>
          <w:color w:val="auto"/>
        </w:rPr>
      </w:pPr>
      <w:r>
        <w:rPr>
          <w:rFonts w:ascii="Arial" w:cs="Arial" w:eastAsia="Arial" w:hAnsi="Arial"/>
          <w:sz w:val="18"/>
          <w:szCs w:val="18"/>
          <w:color w:val="auto"/>
        </w:rPr>
        <w:t>CONNECTICUT PLASTICS LLC ADVANCED PRECISION PRODUCTS, INC. HOWES TEMCO, LLC</w:t>
      </w:r>
    </w:p>
    <w:p>
      <w:pPr>
        <w:spacing w:after="0" w:line="1"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PREMCO, INC.</w:t>
      </w:r>
    </w:p>
    <w:p>
      <w:pPr>
        <w:spacing w:after="0" w:line="9" w:lineRule="exact"/>
        <w:rPr>
          <w:rFonts w:ascii="Arial" w:cs="Arial" w:eastAsia="Arial" w:hAnsi="Arial"/>
          <w:sz w:val="16"/>
          <w:szCs w:val="16"/>
          <w:color w:val="auto"/>
        </w:rPr>
      </w:pPr>
    </w:p>
    <w:p>
      <w:pPr>
        <w:ind w:left="5660" w:right="1840"/>
        <w:spacing w:after="0" w:line="281" w:lineRule="auto"/>
        <w:rPr>
          <w:rFonts w:ascii="Arial" w:cs="Arial" w:eastAsia="Arial" w:hAnsi="Arial"/>
          <w:sz w:val="16"/>
          <w:szCs w:val="16"/>
          <w:color w:val="auto"/>
        </w:rPr>
      </w:pPr>
      <w:r>
        <w:rPr>
          <w:rFonts w:ascii="Arial" w:cs="Arial" w:eastAsia="Arial" w:hAnsi="Arial"/>
          <w:sz w:val="16"/>
          <w:szCs w:val="16"/>
          <w:color w:val="auto"/>
        </w:rPr>
        <w:t>PROFILES INCORPORATED HOLMED, LLC</w:t>
      </w:r>
    </w:p>
    <w:p>
      <w:pPr>
        <w:spacing w:after="0" w:line="1"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TRIGON INTERNATIONAL LLC</w:t>
      </w:r>
    </w:p>
    <w:p>
      <w:pPr>
        <w:spacing w:after="0" w:line="224"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 Robert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 Robert Atkinson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[Amendment and Restatement Agreement Signature Page]</w:t>
      </w:r>
    </w:p>
    <w:p>
      <w:pPr>
        <w:sectPr>
          <w:pgSz w:w="11900" w:h="16838" w:orient="portrait"/>
          <w:cols w:equalWidth="0" w:num="1">
            <w:col w:w="9740"/>
          </w:cols>
          <w:pgMar w:left="1440" w:top="274" w:right="7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BANK, as Successor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Chris Hursey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 Hursey</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SUNTRUST BANK, as a Revolving Credit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Chris Hursey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 Hursey</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SUNTRUST BANK, as Additional Tranche B Term Loan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Sam Huffman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Sam Huffman</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right"/>
        <w:ind w:right="2399"/>
        <w:spacing w:after="0"/>
        <w:rPr>
          <w:sz w:val="20"/>
          <w:szCs w:val="20"/>
          <w:color w:val="auto"/>
        </w:rPr>
      </w:pPr>
      <w:r>
        <w:rPr>
          <w:rFonts w:ascii="Arial" w:cs="Arial" w:eastAsia="Arial" w:hAnsi="Arial"/>
          <w:sz w:val="18"/>
          <w:szCs w:val="18"/>
          <w:color w:val="auto"/>
        </w:rPr>
        <w:t>[Amendment and Restatement Agreement Signature Page]</w:t>
      </w:r>
    </w:p>
    <w:p>
      <w:pPr>
        <w:sectPr>
          <w:pgSz w:w="11900" w:h="16838" w:orient="portrait"/>
          <w:cols w:equalWidth="0" w:num="1">
            <w:col w:w="10219"/>
          </w:cols>
          <w:pgMar w:left="240" w:top="274"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KEYBANK NATIONAL ASSOCIATION,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Initial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Ari Deutchman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Ari Deutchman</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KEYBANK NATIONAL ASSOCIATION,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Revolving Credit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Ari Deutchman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Ari Deutchman</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jc w:val="right"/>
        <w:ind w:right="2399"/>
        <w:spacing w:after="0"/>
        <w:rPr>
          <w:sz w:val="20"/>
          <w:szCs w:val="20"/>
          <w:color w:val="auto"/>
        </w:rPr>
      </w:pPr>
      <w:r>
        <w:rPr>
          <w:rFonts w:ascii="Arial" w:cs="Arial" w:eastAsia="Arial" w:hAnsi="Arial"/>
          <w:sz w:val="18"/>
          <w:szCs w:val="18"/>
          <w:color w:val="auto"/>
        </w:rPr>
        <w:t>[Amendment and Restatement Agreement Signature Page]</w:t>
      </w:r>
    </w:p>
    <w:p>
      <w:pPr>
        <w:sectPr>
          <w:pgSz w:w="11900" w:h="16838" w:orient="portrait"/>
          <w:cols w:equalWidth="0" w:num="1">
            <w:col w:w="10219"/>
          </w:cols>
          <w:pgMar w:left="240" w:top="274"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REGIONS BANK, as a Revolving Credit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Stuart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667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Stuart A. Hall</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jc w:val="right"/>
        <w:ind w:right="2399"/>
        <w:spacing w:after="0"/>
        <w:rPr>
          <w:sz w:val="20"/>
          <w:szCs w:val="20"/>
          <w:color w:val="auto"/>
        </w:rPr>
      </w:pPr>
      <w:r>
        <w:rPr>
          <w:rFonts w:ascii="Arial" w:cs="Arial" w:eastAsia="Arial" w:hAnsi="Arial"/>
          <w:sz w:val="18"/>
          <w:szCs w:val="18"/>
          <w:color w:val="auto"/>
        </w:rPr>
        <w:t>[Amendment and Restatement Agreement Signature Page]</w:t>
      </w:r>
    </w:p>
    <w:p>
      <w:pPr>
        <w:sectPr>
          <w:pgSz w:w="11900" w:h="16838" w:orient="portrait"/>
          <w:cols w:equalWidth="0" w:num="1">
            <w:col w:w="10219"/>
          </w:cols>
          <w:pgMar w:left="240" w:top="274"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SIEMENS FINANCIAL SERVICES, INC., as a Revolving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Mary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667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Mary Levy</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WD Jentsch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667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WD Jentsch</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ind w:right="2399"/>
        <w:spacing w:after="0"/>
        <w:rPr>
          <w:sz w:val="20"/>
          <w:szCs w:val="20"/>
          <w:color w:val="auto"/>
        </w:rPr>
      </w:pPr>
      <w:r>
        <w:rPr>
          <w:rFonts w:ascii="Arial" w:cs="Arial" w:eastAsia="Arial" w:hAnsi="Arial"/>
          <w:sz w:val="18"/>
          <w:szCs w:val="18"/>
          <w:color w:val="auto"/>
        </w:rPr>
        <w:t>[Amendment and Restatement Agreement Signature Page]</w:t>
      </w:r>
    </w:p>
    <w:p>
      <w:pPr>
        <w:sectPr>
          <w:pgSz w:w="11900" w:h="16838" w:orient="portrait"/>
          <w:cols w:equalWidth="0" w:num="1">
            <w:col w:w="10219"/>
          </w:cols>
          <w:pgMar w:left="240" w:top="274" w:right="1440" w:bottom="1440" w:gutter="0" w:footer="0" w:header="0"/>
        </w:sectPr>
      </w:pPr>
    </w:p>
    <w:bookmarkStart w:id="17" w:name="page18"/>
    <w:bookmarkEnd w:id="17"/>
    <w:p>
      <w:pPr>
        <w:jc w:val="center"/>
        <w:ind w:right="-17"/>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to Amendment and Restatement Agreement</w:t>
      </w:r>
    </w:p>
    <w:p>
      <w:pPr>
        <w:spacing w:after="0" w:line="225"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CONSENT TO AMENDMENT AND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169545</wp:posOffset>
            </wp:positionV>
            <wp:extent cx="7267575" cy="653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6538595"/>
                    </a:xfrm>
                    <a:prstGeom prst="rect">
                      <a:avLst/>
                    </a:prstGeom>
                    <a:noFill/>
                  </pic:spPr>
                </pic:pic>
              </a:graphicData>
            </a:graphic>
          </wp:anchor>
        </w:drawing>
      </w:r>
    </w:p>
    <w:p>
      <w:pPr>
        <w:spacing w:after="0" w:line="290" w:lineRule="exact"/>
        <w:rPr>
          <w:sz w:val="20"/>
          <w:szCs w:val="20"/>
          <w:color w:val="auto"/>
        </w:rPr>
      </w:pPr>
    </w:p>
    <w:p>
      <w:pPr>
        <w:ind w:left="118" w:right="80"/>
        <w:spacing w:after="0" w:line="290" w:lineRule="auto"/>
        <w:rPr>
          <w:sz w:val="20"/>
          <w:szCs w:val="20"/>
          <w:color w:val="auto"/>
        </w:rPr>
      </w:pPr>
      <w:r>
        <w:rPr>
          <w:rFonts w:ascii="Arial" w:cs="Arial" w:eastAsia="Arial" w:hAnsi="Arial"/>
          <w:sz w:val="16"/>
          <w:szCs w:val="16"/>
          <w:color w:val="auto"/>
        </w:rPr>
        <w:t>CONSENT (this “</w:t>
      </w:r>
      <w:r>
        <w:rPr>
          <w:rFonts w:ascii="Arial" w:cs="Arial" w:eastAsia="Arial" w:hAnsi="Arial"/>
          <w:sz w:val="16"/>
          <w:szCs w:val="16"/>
          <w:u w:val="single" w:color="auto"/>
          <w:color w:val="auto"/>
        </w:rPr>
        <w:t>Consent</w:t>
      </w:r>
      <w:r>
        <w:rPr>
          <w:rFonts w:ascii="Arial" w:cs="Arial" w:eastAsia="Arial" w:hAnsi="Arial"/>
          <w:sz w:val="16"/>
          <w:szCs w:val="16"/>
          <w:color w:val="auto"/>
        </w:rPr>
        <w:t>”) to Amendment and Restatement Agreement (“</w:t>
      </w:r>
      <w:r>
        <w:rPr>
          <w:rFonts w:ascii="Arial" w:cs="Arial" w:eastAsia="Arial" w:hAnsi="Arial"/>
          <w:sz w:val="16"/>
          <w:szCs w:val="16"/>
          <w:u w:val="single" w:color="auto"/>
          <w:color w:val="auto"/>
        </w:rPr>
        <w:t>Amendment and Restatement Agreement</w:t>
      </w:r>
      <w:r>
        <w:rPr>
          <w:rFonts w:ascii="Arial" w:cs="Arial" w:eastAsia="Arial" w:hAnsi="Arial"/>
          <w:sz w:val="16"/>
          <w:szCs w:val="16"/>
          <w:color w:val="auto"/>
        </w:rPr>
        <w:t>”) to the Credit Agreement, dated as of October 19, 2015 (as amended by that certain Amendment No. 1 to Credit Agreement dated as of November 9, 2015 and as further amended, restated, amended and restated, supplemented, extended, refinanced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NN,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lending institutions from time to time parties thereto (each a “</w:t>
      </w:r>
      <w:r>
        <w:rPr>
          <w:rFonts w:ascii="Arial" w:cs="Arial" w:eastAsia="Arial" w:hAnsi="Arial"/>
          <w:sz w:val="16"/>
          <w:szCs w:val="16"/>
          <w:u w:val="single" w:color="auto"/>
          <w:color w:val="auto"/>
        </w:rPr>
        <w:t>Lender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KeyBank National Association, as initial administrative agent, SunTrust Bank, as successor administrative agent, Regions Bank, as the syndication agent, KeyBank Capital Markets Inc., SunTrust Robinson Humphrey, Inc., and Regions Capital Markets, as joint lead arrangers and joint bookrunners, and SunTrust Bank as documentation agent. Capitalized terms used in this Consent but not defined in this Consent have the meanings assigned to such terms in the Credit Agreement (as amended and restated by the Amendment and Restatement Agreement).</w:t>
      </w:r>
    </w:p>
    <w:p>
      <w:pPr>
        <w:spacing w:after="0" w:line="230" w:lineRule="exact"/>
        <w:rPr>
          <w:sz w:val="20"/>
          <w:szCs w:val="20"/>
          <w:color w:val="auto"/>
        </w:rPr>
      </w:pPr>
    </w:p>
    <w:p>
      <w:pPr>
        <w:ind w:left="118" w:right="420"/>
        <w:spacing w:after="0" w:line="313" w:lineRule="auto"/>
        <w:rPr>
          <w:sz w:val="20"/>
          <w:szCs w:val="20"/>
          <w:color w:val="auto"/>
        </w:rPr>
      </w:pPr>
      <w:r>
        <w:rPr>
          <w:rFonts w:ascii="Arial" w:cs="Arial" w:eastAsia="Arial" w:hAnsi="Arial"/>
          <w:sz w:val="17"/>
          <w:szCs w:val="17"/>
          <w:b w:val="1"/>
          <w:bCs w:val="1"/>
          <w:u w:val="single" w:color="auto"/>
          <w:color w:val="auto"/>
        </w:rPr>
        <w:t>Consent</w:t>
      </w:r>
      <w:r>
        <w:rPr>
          <w:rFonts w:ascii="Arial" w:cs="Arial" w:eastAsia="Arial" w:hAnsi="Arial"/>
          <w:sz w:val="17"/>
          <w:szCs w:val="17"/>
          <w:b w:val="1"/>
          <w:bCs w:val="1"/>
          <w:color w:val="auto"/>
        </w:rPr>
        <w:t xml:space="preserve">. </w:t>
      </w:r>
      <w:r>
        <w:rPr>
          <w:rFonts w:ascii="Arial" w:cs="Arial" w:eastAsia="Arial" w:hAnsi="Arial"/>
          <w:sz w:val="17"/>
          <w:szCs w:val="17"/>
          <w:color w:val="auto"/>
        </w:rPr>
        <w:t>The undersigned Lender hereby irrevocably and unconditionally consents to the appointment of SunTrust Bank as Administrative Agent and</w:t>
      </w:r>
      <w:r>
        <w:rPr>
          <w:rFonts w:ascii="Arial" w:cs="Arial" w:eastAsia="Arial" w:hAnsi="Arial"/>
          <w:sz w:val="17"/>
          <w:szCs w:val="17"/>
          <w:b w:val="1"/>
          <w:bCs w:val="1"/>
          <w:color w:val="auto"/>
        </w:rPr>
        <w:t xml:space="preserve"> </w:t>
      </w:r>
      <w:r>
        <w:rPr>
          <w:rFonts w:ascii="Arial" w:cs="Arial" w:eastAsia="Arial" w:hAnsi="Arial"/>
          <w:sz w:val="17"/>
          <w:szCs w:val="17"/>
          <w:color w:val="auto"/>
        </w:rPr>
        <w:t>approves of and consents to the Amendment and Restatement Agreement and further consents as follows (check ONE option):</w:t>
      </w:r>
    </w:p>
    <w:p>
      <w:pPr>
        <w:sectPr>
          <w:pgSz w:w="11900" w:h="16838" w:orient="portrait"/>
          <w:cols w:equalWidth="0" w:num="1">
            <w:col w:w="11378"/>
          </w:cols>
          <w:pgMar w:left="262" w:top="270" w:right="259" w:bottom="1440" w:gutter="0" w:footer="0" w:header="0"/>
        </w:sectPr>
      </w:pPr>
    </w:p>
    <w:p>
      <w:pPr>
        <w:spacing w:after="0" w:line="287" w:lineRule="exact"/>
        <w:rPr>
          <w:sz w:val="20"/>
          <w:szCs w:val="20"/>
          <w:color w:val="auto"/>
        </w:rPr>
      </w:pPr>
    </w:p>
    <w:p>
      <w:pPr>
        <w:ind w:left="38"/>
        <w:spacing w:after="0"/>
        <w:rPr>
          <w:sz w:val="20"/>
          <w:szCs w:val="20"/>
          <w:color w:val="auto"/>
        </w:rPr>
      </w:pPr>
      <w:r>
        <w:rPr>
          <w:rFonts w:ascii="Arial" w:cs="Arial" w:eastAsia="Arial" w:hAnsi="Arial"/>
          <w:sz w:val="18"/>
          <w:szCs w:val="18"/>
          <w:b w:val="1"/>
          <w:bCs w:val="1"/>
          <w:color w:val="auto"/>
        </w:rPr>
        <w:t>Cashless Settlement Option</w:t>
      </w:r>
    </w:p>
    <w:p>
      <w:pPr>
        <w:spacing w:after="0" w:line="121" w:lineRule="exact"/>
        <w:rPr>
          <w:sz w:val="20"/>
          <w:szCs w:val="20"/>
          <w:color w:val="auto"/>
        </w:rPr>
      </w:pPr>
    </w:p>
    <w:p>
      <w:pPr>
        <w:ind w:left="678" w:hanging="633"/>
        <w:spacing w:after="0" w:line="302" w:lineRule="auto"/>
        <w:tabs>
          <w:tab w:leader="none" w:pos="678" w:val="left"/>
        </w:tabs>
        <w:numPr>
          <w:ilvl w:val="0"/>
          <w:numId w:val="10"/>
        </w:numPr>
        <w:rPr>
          <w:rFonts w:ascii="MS PGothic" w:cs="MS PGothic" w:eastAsia="MS PGothic" w:hAnsi="MS PGothic"/>
          <w:sz w:val="16"/>
          <w:szCs w:val="16"/>
          <w:color w:val="auto"/>
        </w:rPr>
      </w:pPr>
      <w:r>
        <w:rPr>
          <w:rFonts w:ascii="Arial" w:cs="Arial" w:eastAsia="Arial" w:hAnsi="Arial"/>
          <w:sz w:val="16"/>
          <w:szCs w:val="16"/>
          <w:color w:val="auto"/>
        </w:rPr>
        <w:t>to convert 100% of the outstanding principal amount of the Existing Term Loans held by such Lender (or such lesser amount allocated to such Lender by the 2016 Amendment Arranger) into a Tranche B Term Loan in a like principal amount.</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Post-Closing Settlement Option</w:t>
      </w:r>
    </w:p>
    <w:p>
      <w:pPr>
        <w:spacing w:after="0" w:line="121" w:lineRule="exact"/>
        <w:rPr>
          <w:sz w:val="20"/>
          <w:szCs w:val="20"/>
          <w:color w:val="auto"/>
        </w:rPr>
      </w:pPr>
    </w:p>
    <w:p>
      <w:pPr>
        <w:ind w:left="684" w:hanging="684"/>
        <w:spacing w:after="0" w:line="293" w:lineRule="auto"/>
        <w:tabs>
          <w:tab w:leader="none" w:pos="684" w:val="left"/>
        </w:tabs>
        <w:numPr>
          <w:ilvl w:val="0"/>
          <w:numId w:val="11"/>
        </w:numPr>
        <w:rPr>
          <w:rFonts w:ascii="MS PGothic" w:cs="MS PGothic" w:eastAsia="MS PGothic" w:hAnsi="MS PGothic"/>
          <w:sz w:val="16"/>
          <w:szCs w:val="16"/>
          <w:color w:val="auto"/>
        </w:rPr>
      </w:pPr>
      <w:r>
        <w:rPr>
          <w:rFonts w:ascii="Arial" w:cs="Arial" w:eastAsia="Arial" w:hAnsi="Arial"/>
          <w:sz w:val="16"/>
          <w:szCs w:val="16"/>
          <w:color w:val="auto"/>
        </w:rPr>
        <w:t>to have 100% of the outstanding principal amount of the Existing Term Loans held by such Lender prepaid on the Amendment and Restatement Effective Date and purchase by assignment the principal amount of Additional Tranche B Term Loans committed to separately by the undersigned (or such lesser amount allocated to such Lender by the 2016 Amendment Arranger).</w:t>
      </w:r>
    </w:p>
    <w:p>
      <w:pPr>
        <w:spacing w:after="0" w:line="107" w:lineRule="exact"/>
        <w:rPr>
          <w:sz w:val="20"/>
          <w:szCs w:val="20"/>
          <w:color w:val="auto"/>
        </w:rPr>
      </w:pPr>
    </w:p>
    <w:p>
      <w:pPr>
        <w:sectPr>
          <w:pgSz w:w="11900" w:h="16838" w:orient="portrait"/>
          <w:cols w:equalWidth="0" w:num="2">
            <w:col w:w="5358" w:space="476"/>
            <w:col w:w="5544"/>
          </w:cols>
          <w:pgMar w:left="262" w:top="270" w:right="259" w:bottom="1440" w:gutter="0" w:footer="0" w:header="0"/>
          <w:type w:val="continuous"/>
        </w:sectPr>
      </w:pPr>
    </w:p>
    <w:p>
      <w:pPr>
        <w:ind w:left="118"/>
        <w:spacing w:after="0"/>
        <w:rPr>
          <w:sz w:val="20"/>
          <w:szCs w:val="20"/>
          <w:color w:val="auto"/>
        </w:rPr>
      </w:pPr>
      <w:r>
        <w:rPr>
          <w:rFonts w:ascii="Arial" w:cs="Arial" w:eastAsia="Arial" w:hAnsi="Arial"/>
          <w:sz w:val="18"/>
          <w:szCs w:val="18"/>
          <w:b w:val="1"/>
          <w:bCs w:val="1"/>
          <w:color w:val="auto"/>
        </w:rPr>
        <w:t>Increasing Lenders</w:t>
      </w:r>
    </w:p>
    <w:p>
      <w:pPr>
        <w:spacing w:after="0" w:line="135" w:lineRule="exact"/>
        <w:rPr>
          <w:sz w:val="20"/>
          <w:szCs w:val="20"/>
          <w:color w:val="auto"/>
        </w:rPr>
      </w:pPr>
    </w:p>
    <w:p>
      <w:pPr>
        <w:ind w:left="558" w:hanging="558"/>
        <w:spacing w:after="0"/>
        <w:tabs>
          <w:tab w:leader="none" w:pos="558"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In addition, by marking this box, the undersigned Lender hereby requests to purchase Additional Tranche B Term Loans up to an aggregate principal</w:t>
      </w:r>
    </w:p>
    <w:p>
      <w:pPr>
        <w:spacing w:after="0" w:line="48" w:lineRule="exact"/>
        <w:rPr>
          <w:rFonts w:ascii="MS PGothic" w:cs="MS PGothic" w:eastAsia="MS PGothic" w:hAnsi="MS PGothic"/>
          <w:sz w:val="16"/>
          <w:szCs w:val="16"/>
          <w:color w:val="auto"/>
        </w:rPr>
      </w:pPr>
    </w:p>
    <w:p>
      <w:pPr>
        <w:ind w:left="558" w:right="760"/>
        <w:spacing w:after="0" w:line="259" w:lineRule="auto"/>
        <w:rPr>
          <w:rFonts w:ascii="MS PGothic" w:cs="MS PGothic" w:eastAsia="MS PGothic" w:hAnsi="MS PGothic"/>
          <w:sz w:val="16"/>
          <w:szCs w:val="16"/>
          <w:color w:val="auto"/>
        </w:rPr>
      </w:pPr>
      <w:r>
        <w:rPr>
          <w:rFonts w:ascii="Arial" w:cs="Arial" w:eastAsia="Arial" w:hAnsi="Arial"/>
          <w:sz w:val="18"/>
          <w:szCs w:val="18"/>
          <w:color w:val="auto"/>
        </w:rPr>
        <w:t>amount no greater than $ , subject to allocation by the 2016 Amendment Arranger in accordance with Section 8 of the Amendment and Restatement Agreement.</w:t>
      </w:r>
    </w:p>
    <w:p>
      <w:pPr>
        <w:spacing w:after="0" w:line="131" w:lineRule="exact"/>
        <w:rPr>
          <w:sz w:val="20"/>
          <w:szCs w:val="20"/>
          <w:color w:val="auto"/>
        </w:rPr>
      </w:pPr>
    </w:p>
    <w:p>
      <w:pPr>
        <w:ind w:left="118"/>
        <w:spacing w:after="0"/>
        <w:tabs>
          <w:tab w:leader="none" w:pos="10078" w:val="left"/>
          <w:tab w:leader="none" w:pos="10798" w:val="left"/>
        </w:tabs>
        <w:rPr>
          <w:sz w:val="20"/>
          <w:szCs w:val="20"/>
          <w:color w:val="auto"/>
        </w:rPr>
      </w:pPr>
      <w:r>
        <w:rPr>
          <w:rFonts w:ascii="Arial" w:cs="Arial" w:eastAsia="Arial" w:hAnsi="Arial"/>
          <w:sz w:val="16"/>
          <w:szCs w:val="16"/>
          <w:color w:val="auto"/>
        </w:rPr>
        <w:t>IN WITNESS WHEREOF, the undersigned has caused this Consent to be executed and delivered by a duly authorized officer as of the</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18"/>
        <w:spacing w:after="0"/>
        <w:rPr>
          <w:sz w:val="20"/>
          <w:szCs w:val="20"/>
          <w:color w:val="auto"/>
        </w:rPr>
      </w:pPr>
      <w:r>
        <w:rPr>
          <w:rFonts w:ascii="Arial" w:cs="Arial" w:eastAsia="Arial" w:hAnsi="Arial"/>
          <w:sz w:val="18"/>
          <w:szCs w:val="18"/>
          <w:color w:val="auto"/>
        </w:rPr>
        <w:t>2016.</w:t>
      </w:r>
    </w:p>
    <w:p>
      <w:pPr>
        <w:spacing w:after="0" w:line="238" w:lineRule="exact"/>
        <w:rPr>
          <w:sz w:val="20"/>
          <w:szCs w:val="20"/>
          <w:color w:val="auto"/>
        </w:rPr>
      </w:pPr>
    </w:p>
    <w:p>
      <w:pPr>
        <w:ind w:left="10798"/>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838"/>
        <w:spacing w:after="0"/>
        <w:rPr>
          <w:sz w:val="20"/>
          <w:szCs w:val="20"/>
          <w:color w:val="auto"/>
        </w:rPr>
      </w:pPr>
      <w:r>
        <w:rPr>
          <w:rFonts w:ascii="Arial" w:cs="Arial" w:eastAsia="Arial" w:hAnsi="Arial"/>
          <w:sz w:val="18"/>
          <w:szCs w:val="18"/>
          <w:color w:val="auto"/>
        </w:rPr>
        <w:t>as a Lender (type name of the legal entity)</w:t>
      </w:r>
    </w:p>
    <w:p>
      <w:pPr>
        <w:spacing w:after="0" w:line="211" w:lineRule="exact"/>
        <w:rPr>
          <w:sz w:val="20"/>
          <w:szCs w:val="20"/>
          <w:color w:val="auto"/>
        </w:rPr>
      </w:pPr>
    </w:p>
    <w:p>
      <w:pPr>
        <w:ind w:left="6838"/>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7258"/>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58"/>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38"/>
        <w:spacing w:after="0"/>
        <w:rPr>
          <w:sz w:val="20"/>
          <w:szCs w:val="20"/>
          <w:color w:val="auto"/>
        </w:rPr>
      </w:pPr>
      <w:r>
        <w:rPr>
          <w:rFonts w:ascii="Arial" w:cs="Arial" w:eastAsia="Arial" w:hAnsi="Arial"/>
          <w:sz w:val="18"/>
          <w:szCs w:val="18"/>
          <w:color w:val="auto"/>
        </w:rPr>
        <w:t>If a second signature is necessary:</w:t>
      </w:r>
    </w:p>
    <w:p>
      <w:pPr>
        <w:spacing w:after="0" w:line="225" w:lineRule="exact"/>
        <w:rPr>
          <w:sz w:val="20"/>
          <w:szCs w:val="20"/>
          <w:color w:val="auto"/>
        </w:rPr>
      </w:pPr>
    </w:p>
    <w:p>
      <w:pPr>
        <w:ind w:left="6838"/>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7258"/>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58"/>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38"/>
        <w:spacing w:after="0"/>
        <w:rPr>
          <w:sz w:val="20"/>
          <w:szCs w:val="20"/>
          <w:color w:val="auto"/>
        </w:rPr>
      </w:pPr>
      <w:r>
        <w:rPr>
          <w:rFonts w:ascii="Arial" w:cs="Arial" w:eastAsia="Arial" w:hAnsi="Arial"/>
          <w:sz w:val="18"/>
          <w:szCs w:val="18"/>
          <w:color w:val="auto"/>
        </w:rPr>
        <w:t>Current outstanding principal amount of Existing Term</w:t>
      </w:r>
    </w:p>
    <w:p>
      <w:pPr>
        <w:spacing w:after="0" w:line="23" w:lineRule="exact"/>
        <w:rPr>
          <w:sz w:val="20"/>
          <w:szCs w:val="20"/>
          <w:color w:val="auto"/>
        </w:rPr>
      </w:pPr>
    </w:p>
    <w:p>
      <w:pPr>
        <w:ind w:left="6838"/>
        <w:spacing w:after="0"/>
        <w:rPr>
          <w:sz w:val="20"/>
          <w:szCs w:val="20"/>
          <w:color w:val="auto"/>
        </w:rPr>
      </w:pPr>
      <w:r>
        <w:rPr>
          <w:rFonts w:ascii="Arial" w:cs="Arial" w:eastAsia="Arial" w:hAnsi="Arial"/>
          <w:sz w:val="18"/>
          <w:szCs w:val="18"/>
          <w:color w:val="auto"/>
        </w:rPr>
        <w:t>Loans held by Lender: $</w:t>
      </w:r>
    </w:p>
    <w:p>
      <w:pPr>
        <w:spacing w:after="0" w:line="238" w:lineRule="exact"/>
        <w:rPr>
          <w:sz w:val="20"/>
          <w:szCs w:val="20"/>
          <w:color w:val="auto"/>
        </w:rPr>
      </w:pPr>
    </w:p>
    <w:p>
      <w:pPr>
        <w:ind w:left="38"/>
        <w:spacing w:after="0"/>
        <w:rPr>
          <w:sz w:val="20"/>
          <w:szCs w:val="20"/>
          <w:color w:val="auto"/>
        </w:rPr>
      </w:pPr>
      <w:r>
        <w:rPr>
          <w:rFonts w:ascii="Arial" w:cs="Arial" w:eastAsia="Arial" w:hAnsi="Arial"/>
          <w:sz w:val="18"/>
          <w:szCs w:val="18"/>
          <w:color w:val="auto"/>
        </w:rPr>
        <w:t>Name of Fund Manager (if any):</w:t>
      </w:r>
    </w:p>
    <w:p>
      <w:pPr>
        <w:sectPr>
          <w:pgSz w:w="11900" w:h="16838" w:orient="portrait"/>
          <w:cols w:equalWidth="0" w:num="1">
            <w:col w:w="11378"/>
          </w:cols>
          <w:pgMar w:left="262" w:top="270" w:right="259" w:bottom="1440" w:gutter="0" w:footer="0" w:header="0"/>
          <w:type w:val="continuous"/>
        </w:sectPr>
      </w:pPr>
    </w:p>
    <w:bookmarkStart w:id="18" w:name="page19"/>
    <w:bookmarkEnd w:id="18"/>
    <w:p>
      <w:pPr>
        <w:jc w:val="center"/>
        <w:ind w:right="-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 to Amendment and Restatement Agreement</w:t>
      </w:r>
    </w:p>
    <w:p>
      <w:pPr>
        <w:sectPr>
          <w:pgSz w:w="11900" w:h="16838" w:orient="portrait"/>
          <w:cols w:equalWidth="0" w:num="1">
            <w:col w:w="9019"/>
          </w:cols>
          <w:pgMar w:left="1440" w:top="270"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Credit Agreement</w:t>
      </w:r>
    </w:p>
    <w:p>
      <w:pPr>
        <w:sectPr>
          <w:pgSz w:w="11900" w:h="16838" w:orient="portrait"/>
          <w:cols w:equalWidth="0" w:num="1">
            <w:col w:w="9019"/>
          </w:cols>
          <w:pgMar w:left="1440" w:top="270" w:right="1440"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186690</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246380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62933RAE2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Loan Facility CUSIP Number: 62933RAF9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Initial Term Loan Facility CUSIP Number: 62933RAG7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Tranche B Term Loan CUSIP Number: 62933RAL6</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AMENDED AND RESTATED CREDIT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September 30, 2016</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REGIONS BANK,</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Syndication Agent and Co-Documentation Agent,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KEYBANK NATIONAL ASSOCIATION,</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Co-Documentation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KEYBANC CAPITAL MARKETS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REGIONS CAPITAL MARKETS (a division of Regions Bank),</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194310</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Article I</w:t>
            </w:r>
          </w:p>
        </w:tc>
        <w:tc>
          <w:tcPr>
            <w:tcW w:w="7980" w:type="dxa"/>
            <w:vAlign w:val="bottom"/>
          </w:tcPr>
          <w:p>
            <w:pPr>
              <w:ind w:left="720"/>
              <w:spacing w:after="0"/>
              <w:rPr>
                <w:sz w:val="20"/>
                <w:szCs w:val="20"/>
                <w:color w:val="auto"/>
              </w:rPr>
            </w:pPr>
            <w:r>
              <w:rPr>
                <w:rFonts w:ascii="Arial" w:cs="Arial" w:eastAsia="Arial" w:hAnsi="Arial"/>
                <w:sz w:val="18"/>
                <w:szCs w:val="18"/>
                <w:color w:val="auto"/>
              </w:rPr>
              <w:t>DEFINITIONS AND ACCOUNTING TERMS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1.01</w:t>
            </w:r>
          </w:p>
        </w:tc>
        <w:tc>
          <w:tcPr>
            <w:tcW w:w="7980" w:type="dxa"/>
            <w:vAlign w:val="bottom"/>
          </w:tcPr>
          <w:p>
            <w:pPr>
              <w:ind w:left="360"/>
              <w:spacing w:after="0"/>
              <w:rPr>
                <w:sz w:val="20"/>
                <w:szCs w:val="20"/>
                <w:color w:val="auto"/>
              </w:rPr>
            </w:pPr>
            <w:r>
              <w:rPr>
                <w:rFonts w:ascii="Arial" w:cs="Arial" w:eastAsia="Arial" w:hAnsi="Arial"/>
                <w:sz w:val="18"/>
                <w:szCs w:val="18"/>
                <w:color w:val="auto"/>
              </w:rPr>
              <w:t>Defined Terms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1.02</w:t>
            </w:r>
          </w:p>
        </w:tc>
        <w:tc>
          <w:tcPr>
            <w:tcW w:w="7980" w:type="dxa"/>
            <w:vAlign w:val="bottom"/>
          </w:tcPr>
          <w:p>
            <w:pPr>
              <w:ind w:left="360"/>
              <w:spacing w:after="0"/>
              <w:rPr>
                <w:sz w:val="20"/>
                <w:szCs w:val="20"/>
                <w:color w:val="auto"/>
              </w:rPr>
            </w:pPr>
            <w:r>
              <w:rPr>
                <w:rFonts w:ascii="Arial" w:cs="Arial" w:eastAsia="Arial" w:hAnsi="Arial"/>
                <w:sz w:val="18"/>
                <w:szCs w:val="18"/>
                <w:color w:val="auto"/>
              </w:rPr>
              <w:t>Other Interpretive Provisions</w:t>
            </w:r>
          </w:p>
        </w:tc>
        <w:tc>
          <w:tcPr>
            <w:tcW w:w="22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1.03</w:t>
            </w:r>
          </w:p>
        </w:tc>
        <w:tc>
          <w:tcPr>
            <w:tcW w:w="7980" w:type="dxa"/>
            <w:vAlign w:val="bottom"/>
          </w:tcPr>
          <w:p>
            <w:pPr>
              <w:ind w:left="360"/>
              <w:spacing w:after="0"/>
              <w:rPr>
                <w:sz w:val="20"/>
                <w:szCs w:val="20"/>
                <w:color w:val="auto"/>
              </w:rPr>
            </w:pPr>
            <w:r>
              <w:rPr>
                <w:rFonts w:ascii="Arial" w:cs="Arial" w:eastAsia="Arial" w:hAnsi="Arial"/>
                <w:sz w:val="18"/>
                <w:szCs w:val="18"/>
                <w:color w:val="auto"/>
              </w:rPr>
              <w:t>Accounting Terms</w:t>
            </w:r>
          </w:p>
        </w:tc>
        <w:tc>
          <w:tcPr>
            <w:tcW w:w="2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7980" w:type="dxa"/>
            <w:vAlign w:val="bottom"/>
          </w:tcPr>
          <w:p>
            <w:pPr>
              <w:ind w:left="360"/>
              <w:spacing w:after="0"/>
              <w:rPr>
                <w:sz w:val="20"/>
                <w:szCs w:val="20"/>
                <w:color w:val="auto"/>
              </w:rPr>
            </w:pPr>
            <w:r>
              <w:rPr>
                <w:rFonts w:ascii="Arial" w:cs="Arial" w:eastAsia="Arial" w:hAnsi="Arial"/>
                <w:sz w:val="18"/>
                <w:szCs w:val="18"/>
                <w:color w:val="auto"/>
              </w:rPr>
              <w:t>Rounding</w:t>
            </w:r>
          </w:p>
        </w:tc>
        <w:tc>
          <w:tcPr>
            <w:tcW w:w="2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1.05</w:t>
            </w:r>
          </w:p>
        </w:tc>
        <w:tc>
          <w:tcPr>
            <w:tcW w:w="7980" w:type="dxa"/>
            <w:vAlign w:val="bottom"/>
          </w:tcPr>
          <w:p>
            <w:pPr>
              <w:ind w:left="360"/>
              <w:spacing w:after="0"/>
              <w:rPr>
                <w:sz w:val="20"/>
                <w:szCs w:val="20"/>
                <w:color w:val="auto"/>
              </w:rPr>
            </w:pPr>
            <w:r>
              <w:rPr>
                <w:rFonts w:ascii="Arial" w:cs="Arial" w:eastAsia="Arial" w:hAnsi="Arial"/>
                <w:sz w:val="18"/>
                <w:szCs w:val="18"/>
                <w:color w:val="auto"/>
              </w:rPr>
              <w:t>Times of Day; Rates</w:t>
            </w:r>
          </w:p>
        </w:tc>
        <w:tc>
          <w:tcPr>
            <w:tcW w:w="2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1.06</w:t>
            </w:r>
          </w:p>
        </w:tc>
        <w:tc>
          <w:tcPr>
            <w:tcW w:w="7980" w:type="dxa"/>
            <w:vAlign w:val="bottom"/>
          </w:tcPr>
          <w:p>
            <w:pPr>
              <w:ind w:left="360"/>
              <w:spacing w:after="0"/>
              <w:rPr>
                <w:sz w:val="20"/>
                <w:szCs w:val="20"/>
                <w:color w:val="auto"/>
              </w:rPr>
            </w:pPr>
            <w:r>
              <w:rPr>
                <w:rFonts w:ascii="Arial" w:cs="Arial" w:eastAsia="Arial" w:hAnsi="Arial"/>
                <w:sz w:val="18"/>
                <w:szCs w:val="18"/>
                <w:color w:val="auto"/>
              </w:rPr>
              <w:t>Currency Equivalents Generally</w:t>
            </w:r>
          </w:p>
        </w:tc>
        <w:tc>
          <w:tcPr>
            <w:tcW w:w="2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1.07</w:t>
            </w:r>
          </w:p>
        </w:tc>
        <w:tc>
          <w:tcPr>
            <w:tcW w:w="7980" w:type="dxa"/>
            <w:vAlign w:val="bottom"/>
          </w:tcPr>
          <w:p>
            <w:pPr>
              <w:ind w:left="360"/>
              <w:spacing w:after="0"/>
              <w:rPr>
                <w:sz w:val="20"/>
                <w:szCs w:val="20"/>
                <w:color w:val="auto"/>
              </w:rPr>
            </w:pPr>
            <w:r>
              <w:rPr>
                <w:rFonts w:ascii="Arial" w:cs="Arial" w:eastAsia="Arial" w:hAnsi="Arial"/>
                <w:sz w:val="18"/>
                <w:szCs w:val="18"/>
                <w:color w:val="auto"/>
              </w:rPr>
              <w:t>Letter of Credit Amounts</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II</w:t>
            </w:r>
          </w:p>
        </w:tc>
        <w:tc>
          <w:tcPr>
            <w:tcW w:w="7980" w:type="dxa"/>
            <w:vAlign w:val="bottom"/>
          </w:tcPr>
          <w:p>
            <w:pPr>
              <w:ind w:left="720"/>
              <w:spacing w:after="0"/>
              <w:rPr>
                <w:sz w:val="20"/>
                <w:szCs w:val="20"/>
                <w:color w:val="auto"/>
              </w:rPr>
            </w:pPr>
            <w:r>
              <w:rPr>
                <w:rFonts w:ascii="Arial" w:cs="Arial" w:eastAsia="Arial" w:hAnsi="Arial"/>
                <w:sz w:val="18"/>
                <w:szCs w:val="18"/>
                <w:color w:val="auto"/>
              </w:rPr>
              <w:t>THE COMMITMENTS AND BORROWINGS</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2.01</w:t>
            </w:r>
          </w:p>
        </w:tc>
        <w:tc>
          <w:tcPr>
            <w:tcW w:w="7980" w:type="dxa"/>
            <w:vAlign w:val="bottom"/>
          </w:tcPr>
          <w:p>
            <w:pPr>
              <w:ind w:left="360"/>
              <w:spacing w:after="0"/>
              <w:rPr>
                <w:sz w:val="20"/>
                <w:szCs w:val="20"/>
                <w:color w:val="auto"/>
              </w:rPr>
            </w:pPr>
            <w:r>
              <w:rPr>
                <w:rFonts w:ascii="Arial" w:cs="Arial" w:eastAsia="Arial" w:hAnsi="Arial"/>
                <w:sz w:val="18"/>
                <w:szCs w:val="18"/>
                <w:color w:val="auto"/>
              </w:rPr>
              <w:t>The Loans</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2.02</w:t>
            </w:r>
          </w:p>
        </w:tc>
        <w:tc>
          <w:tcPr>
            <w:tcW w:w="7980" w:type="dxa"/>
            <w:vAlign w:val="bottom"/>
          </w:tcPr>
          <w:p>
            <w:pPr>
              <w:ind w:left="360"/>
              <w:spacing w:after="0"/>
              <w:rPr>
                <w:sz w:val="20"/>
                <w:szCs w:val="20"/>
                <w:color w:val="auto"/>
              </w:rPr>
            </w:pPr>
            <w:r>
              <w:rPr>
                <w:rFonts w:ascii="Arial" w:cs="Arial" w:eastAsia="Arial" w:hAnsi="Arial"/>
                <w:sz w:val="18"/>
                <w:szCs w:val="18"/>
                <w:color w:val="auto"/>
              </w:rPr>
              <w:t>Borrowings, Conversions and Continuations of Loans</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2.03</w:t>
            </w:r>
          </w:p>
        </w:tc>
        <w:tc>
          <w:tcPr>
            <w:tcW w:w="7980" w:type="dxa"/>
            <w:vAlign w:val="bottom"/>
          </w:tcPr>
          <w:p>
            <w:pPr>
              <w:ind w:left="360"/>
              <w:spacing w:after="0"/>
              <w:rPr>
                <w:sz w:val="20"/>
                <w:szCs w:val="20"/>
                <w:color w:val="auto"/>
              </w:rPr>
            </w:pPr>
            <w:r>
              <w:rPr>
                <w:rFonts w:ascii="Arial" w:cs="Arial" w:eastAsia="Arial" w:hAnsi="Arial"/>
                <w:sz w:val="18"/>
                <w:szCs w:val="18"/>
                <w:color w:val="auto"/>
              </w:rPr>
              <w:t>Letters of Credit</w:t>
            </w:r>
          </w:p>
        </w:tc>
        <w:tc>
          <w:tcPr>
            <w:tcW w:w="2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2.04</w:t>
            </w:r>
          </w:p>
        </w:tc>
        <w:tc>
          <w:tcPr>
            <w:tcW w:w="7980" w:type="dxa"/>
            <w:vAlign w:val="bottom"/>
          </w:tcPr>
          <w:p>
            <w:pPr>
              <w:ind w:left="360"/>
              <w:spacing w:after="0"/>
              <w:rPr>
                <w:sz w:val="20"/>
                <w:szCs w:val="20"/>
                <w:color w:val="auto"/>
              </w:rPr>
            </w:pPr>
            <w:r>
              <w:rPr>
                <w:rFonts w:ascii="Arial" w:cs="Arial" w:eastAsia="Arial" w:hAnsi="Arial"/>
                <w:sz w:val="18"/>
                <w:szCs w:val="18"/>
                <w:color w:val="auto"/>
              </w:rPr>
              <w:t>Swing Line Loans</w:t>
            </w:r>
          </w:p>
        </w:tc>
        <w:tc>
          <w:tcPr>
            <w:tcW w:w="22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2.05</w:t>
            </w:r>
          </w:p>
        </w:tc>
        <w:tc>
          <w:tcPr>
            <w:tcW w:w="7980" w:type="dxa"/>
            <w:vAlign w:val="bottom"/>
          </w:tcPr>
          <w:p>
            <w:pPr>
              <w:ind w:left="360"/>
              <w:spacing w:after="0"/>
              <w:rPr>
                <w:sz w:val="20"/>
                <w:szCs w:val="20"/>
                <w:color w:val="auto"/>
              </w:rPr>
            </w:pPr>
            <w:r>
              <w:rPr>
                <w:rFonts w:ascii="Arial" w:cs="Arial" w:eastAsia="Arial" w:hAnsi="Arial"/>
                <w:sz w:val="18"/>
                <w:szCs w:val="18"/>
                <w:color w:val="auto"/>
              </w:rPr>
              <w:t>Prepayments</w:t>
            </w:r>
          </w:p>
        </w:tc>
        <w:tc>
          <w:tcPr>
            <w:tcW w:w="22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2.06</w:t>
            </w:r>
          </w:p>
        </w:tc>
        <w:tc>
          <w:tcPr>
            <w:tcW w:w="7980" w:type="dxa"/>
            <w:vAlign w:val="bottom"/>
          </w:tcPr>
          <w:p>
            <w:pPr>
              <w:ind w:left="360"/>
              <w:spacing w:after="0"/>
              <w:rPr>
                <w:sz w:val="20"/>
                <w:szCs w:val="20"/>
                <w:color w:val="auto"/>
              </w:rPr>
            </w:pPr>
            <w:r>
              <w:rPr>
                <w:rFonts w:ascii="Arial" w:cs="Arial" w:eastAsia="Arial" w:hAnsi="Arial"/>
                <w:sz w:val="18"/>
                <w:szCs w:val="18"/>
                <w:color w:val="auto"/>
              </w:rPr>
              <w:t>Termination or Reduction of Commitments</w:t>
            </w:r>
          </w:p>
        </w:tc>
        <w:tc>
          <w:tcPr>
            <w:tcW w:w="22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2.07</w:t>
            </w:r>
          </w:p>
        </w:tc>
        <w:tc>
          <w:tcPr>
            <w:tcW w:w="7980" w:type="dxa"/>
            <w:vAlign w:val="bottom"/>
          </w:tcPr>
          <w:p>
            <w:pPr>
              <w:ind w:left="360"/>
              <w:spacing w:after="0"/>
              <w:rPr>
                <w:sz w:val="20"/>
                <w:szCs w:val="20"/>
                <w:color w:val="auto"/>
              </w:rPr>
            </w:pPr>
            <w:r>
              <w:rPr>
                <w:rFonts w:ascii="Arial" w:cs="Arial" w:eastAsia="Arial" w:hAnsi="Arial"/>
                <w:sz w:val="18"/>
                <w:szCs w:val="18"/>
                <w:color w:val="auto"/>
              </w:rPr>
              <w:t>Repayment of Loans</w:t>
            </w:r>
          </w:p>
        </w:tc>
        <w:tc>
          <w:tcPr>
            <w:tcW w:w="22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2.08</w:t>
            </w:r>
          </w:p>
        </w:tc>
        <w:tc>
          <w:tcPr>
            <w:tcW w:w="7980" w:type="dxa"/>
            <w:vAlign w:val="bottom"/>
          </w:tcPr>
          <w:p>
            <w:pPr>
              <w:ind w:left="360"/>
              <w:spacing w:after="0"/>
              <w:rPr>
                <w:sz w:val="20"/>
                <w:szCs w:val="20"/>
                <w:color w:val="auto"/>
              </w:rPr>
            </w:pPr>
            <w:r>
              <w:rPr>
                <w:rFonts w:ascii="Arial" w:cs="Arial" w:eastAsia="Arial" w:hAnsi="Arial"/>
                <w:sz w:val="18"/>
                <w:szCs w:val="18"/>
                <w:color w:val="auto"/>
              </w:rPr>
              <w:t>Interest</w:t>
            </w:r>
          </w:p>
        </w:tc>
        <w:tc>
          <w:tcPr>
            <w:tcW w:w="22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2.09</w:t>
            </w:r>
          </w:p>
        </w:tc>
        <w:tc>
          <w:tcPr>
            <w:tcW w:w="7980" w:type="dxa"/>
            <w:vAlign w:val="bottom"/>
          </w:tcPr>
          <w:p>
            <w:pPr>
              <w:ind w:left="360"/>
              <w:spacing w:after="0"/>
              <w:rPr>
                <w:sz w:val="20"/>
                <w:szCs w:val="20"/>
                <w:color w:val="auto"/>
              </w:rPr>
            </w:pPr>
            <w:r>
              <w:rPr>
                <w:rFonts w:ascii="Arial" w:cs="Arial" w:eastAsia="Arial" w:hAnsi="Arial"/>
                <w:sz w:val="18"/>
                <w:szCs w:val="18"/>
                <w:color w:val="auto"/>
              </w:rPr>
              <w:t>Fees</w:t>
            </w:r>
          </w:p>
        </w:tc>
        <w:tc>
          <w:tcPr>
            <w:tcW w:w="2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2.10</w:t>
            </w:r>
          </w:p>
        </w:tc>
        <w:tc>
          <w:tcPr>
            <w:tcW w:w="7980" w:type="dxa"/>
            <w:vAlign w:val="bottom"/>
          </w:tcPr>
          <w:p>
            <w:pPr>
              <w:ind w:left="36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22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2.11</w:t>
            </w:r>
          </w:p>
        </w:tc>
        <w:tc>
          <w:tcPr>
            <w:tcW w:w="7980" w:type="dxa"/>
            <w:vAlign w:val="bottom"/>
          </w:tcPr>
          <w:p>
            <w:pPr>
              <w:ind w:left="360"/>
              <w:spacing w:after="0"/>
              <w:rPr>
                <w:sz w:val="20"/>
                <w:szCs w:val="20"/>
                <w:color w:val="auto"/>
              </w:rPr>
            </w:pPr>
            <w:r>
              <w:rPr>
                <w:rFonts w:ascii="Arial" w:cs="Arial" w:eastAsia="Arial" w:hAnsi="Arial"/>
                <w:sz w:val="18"/>
                <w:szCs w:val="18"/>
                <w:color w:val="auto"/>
              </w:rPr>
              <w:t>Evidence of Debt</w:t>
            </w: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2.12</w:t>
            </w:r>
          </w:p>
        </w:tc>
        <w:tc>
          <w:tcPr>
            <w:tcW w:w="7980" w:type="dxa"/>
            <w:vAlign w:val="bottom"/>
          </w:tcPr>
          <w:p>
            <w:pPr>
              <w:ind w:left="360"/>
              <w:spacing w:after="0"/>
              <w:rPr>
                <w:sz w:val="20"/>
                <w:szCs w:val="20"/>
                <w:color w:val="auto"/>
              </w:rPr>
            </w:pPr>
            <w:r>
              <w:rPr>
                <w:rFonts w:ascii="Arial" w:cs="Arial" w:eastAsia="Arial" w:hAnsi="Arial"/>
                <w:sz w:val="18"/>
                <w:szCs w:val="18"/>
                <w:color w:val="auto"/>
              </w:rPr>
              <w:t>Payments Generally; Administrative Agent’s Clawback</w:t>
            </w: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2.13</w:t>
            </w:r>
          </w:p>
        </w:tc>
        <w:tc>
          <w:tcPr>
            <w:tcW w:w="7980" w:type="dxa"/>
            <w:vAlign w:val="bottom"/>
          </w:tcPr>
          <w:p>
            <w:pPr>
              <w:ind w:left="360"/>
              <w:spacing w:after="0"/>
              <w:rPr>
                <w:sz w:val="20"/>
                <w:szCs w:val="20"/>
                <w:color w:val="auto"/>
              </w:rPr>
            </w:pPr>
            <w:r>
              <w:rPr>
                <w:rFonts w:ascii="Arial" w:cs="Arial" w:eastAsia="Arial" w:hAnsi="Arial"/>
                <w:sz w:val="18"/>
                <w:szCs w:val="18"/>
                <w:color w:val="auto"/>
              </w:rPr>
              <w:t>Sharing of Payments by Lenders</w:t>
            </w:r>
          </w:p>
        </w:tc>
        <w:tc>
          <w:tcPr>
            <w:tcW w:w="22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2.14</w:t>
            </w:r>
          </w:p>
        </w:tc>
        <w:tc>
          <w:tcPr>
            <w:tcW w:w="7980" w:type="dxa"/>
            <w:vAlign w:val="bottom"/>
          </w:tcPr>
          <w:p>
            <w:pPr>
              <w:ind w:left="360"/>
              <w:spacing w:after="0"/>
              <w:rPr>
                <w:sz w:val="20"/>
                <w:szCs w:val="20"/>
                <w:color w:val="auto"/>
              </w:rPr>
            </w:pPr>
            <w:r>
              <w:rPr>
                <w:rFonts w:ascii="Arial" w:cs="Arial" w:eastAsia="Arial" w:hAnsi="Arial"/>
                <w:sz w:val="18"/>
                <w:szCs w:val="18"/>
                <w:color w:val="auto"/>
              </w:rPr>
              <w:t>Increase in Commitments</w:t>
            </w:r>
          </w:p>
        </w:tc>
        <w:tc>
          <w:tcPr>
            <w:tcW w:w="22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2.15</w:t>
            </w:r>
          </w:p>
        </w:tc>
        <w:tc>
          <w:tcPr>
            <w:tcW w:w="7980" w:type="dxa"/>
            <w:vAlign w:val="bottom"/>
          </w:tcPr>
          <w:p>
            <w:pPr>
              <w:ind w:left="360"/>
              <w:spacing w:after="0"/>
              <w:rPr>
                <w:sz w:val="20"/>
                <w:szCs w:val="20"/>
                <w:color w:val="auto"/>
              </w:rPr>
            </w:pPr>
            <w:r>
              <w:rPr>
                <w:rFonts w:ascii="Arial" w:cs="Arial" w:eastAsia="Arial" w:hAnsi="Arial"/>
                <w:sz w:val="18"/>
                <w:szCs w:val="18"/>
                <w:color w:val="auto"/>
              </w:rPr>
              <w:t>Defaulting Lenders</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2.16</w:t>
            </w:r>
          </w:p>
        </w:tc>
        <w:tc>
          <w:tcPr>
            <w:tcW w:w="7980" w:type="dxa"/>
            <w:vAlign w:val="bottom"/>
          </w:tcPr>
          <w:p>
            <w:pPr>
              <w:ind w:left="360"/>
              <w:spacing w:after="0"/>
              <w:rPr>
                <w:sz w:val="20"/>
                <w:szCs w:val="20"/>
                <w:color w:val="auto"/>
              </w:rPr>
            </w:pPr>
            <w:r>
              <w:rPr>
                <w:rFonts w:ascii="Arial" w:cs="Arial" w:eastAsia="Arial" w:hAnsi="Arial"/>
                <w:sz w:val="18"/>
                <w:szCs w:val="18"/>
                <w:color w:val="auto"/>
              </w:rPr>
              <w:t>Cash Collateral</w:t>
            </w:r>
          </w:p>
        </w:tc>
        <w:tc>
          <w:tcPr>
            <w:tcW w:w="2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III</w:t>
            </w:r>
          </w:p>
        </w:tc>
        <w:tc>
          <w:tcPr>
            <w:tcW w:w="7980" w:type="dxa"/>
            <w:vAlign w:val="bottom"/>
          </w:tcPr>
          <w:p>
            <w:pPr>
              <w:ind w:left="720"/>
              <w:spacing w:after="0"/>
              <w:rPr>
                <w:sz w:val="20"/>
                <w:szCs w:val="20"/>
                <w:color w:val="auto"/>
              </w:rPr>
            </w:pPr>
            <w:r>
              <w:rPr>
                <w:rFonts w:ascii="Arial" w:cs="Arial" w:eastAsia="Arial" w:hAnsi="Arial"/>
                <w:sz w:val="18"/>
                <w:szCs w:val="18"/>
                <w:color w:val="auto"/>
              </w:rPr>
              <w:t>TAXES, YIELD PROTECTION AND ILLEGALITY</w:t>
            </w:r>
          </w:p>
        </w:tc>
        <w:tc>
          <w:tcPr>
            <w:tcW w:w="22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3.01</w:t>
            </w:r>
          </w:p>
        </w:tc>
        <w:tc>
          <w:tcPr>
            <w:tcW w:w="7980" w:type="dxa"/>
            <w:vAlign w:val="bottom"/>
          </w:tcPr>
          <w:p>
            <w:pPr>
              <w:ind w:left="360"/>
              <w:spacing w:after="0"/>
              <w:rPr>
                <w:sz w:val="20"/>
                <w:szCs w:val="20"/>
                <w:color w:val="auto"/>
              </w:rPr>
            </w:pPr>
            <w:r>
              <w:rPr>
                <w:rFonts w:ascii="Arial" w:cs="Arial" w:eastAsia="Arial" w:hAnsi="Arial"/>
                <w:sz w:val="18"/>
                <w:szCs w:val="18"/>
                <w:color w:val="auto"/>
              </w:rPr>
              <w:t>Taxes</w:t>
            </w:r>
          </w:p>
        </w:tc>
        <w:tc>
          <w:tcPr>
            <w:tcW w:w="22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3.02</w:t>
            </w:r>
          </w:p>
        </w:tc>
        <w:tc>
          <w:tcPr>
            <w:tcW w:w="7980" w:type="dxa"/>
            <w:vAlign w:val="bottom"/>
          </w:tcPr>
          <w:p>
            <w:pPr>
              <w:ind w:left="360"/>
              <w:spacing w:after="0"/>
              <w:rPr>
                <w:sz w:val="20"/>
                <w:szCs w:val="20"/>
                <w:color w:val="auto"/>
              </w:rPr>
            </w:pPr>
            <w:r>
              <w:rPr>
                <w:rFonts w:ascii="Arial" w:cs="Arial" w:eastAsia="Arial" w:hAnsi="Arial"/>
                <w:sz w:val="18"/>
                <w:szCs w:val="18"/>
                <w:color w:val="auto"/>
              </w:rPr>
              <w:t>Illegality</w:t>
            </w:r>
          </w:p>
        </w:tc>
        <w:tc>
          <w:tcPr>
            <w:tcW w:w="22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3.03</w:t>
            </w:r>
          </w:p>
        </w:tc>
        <w:tc>
          <w:tcPr>
            <w:tcW w:w="7980" w:type="dxa"/>
            <w:vAlign w:val="bottom"/>
          </w:tcPr>
          <w:p>
            <w:pPr>
              <w:ind w:left="360"/>
              <w:spacing w:after="0"/>
              <w:rPr>
                <w:sz w:val="20"/>
                <w:szCs w:val="20"/>
                <w:color w:val="auto"/>
              </w:rPr>
            </w:pPr>
            <w:r>
              <w:rPr>
                <w:rFonts w:ascii="Arial" w:cs="Arial" w:eastAsia="Arial" w:hAnsi="Arial"/>
                <w:sz w:val="18"/>
                <w:szCs w:val="18"/>
                <w:color w:val="auto"/>
              </w:rPr>
              <w:t>Inability to Determine Rates</w:t>
            </w:r>
          </w:p>
        </w:tc>
        <w:tc>
          <w:tcPr>
            <w:tcW w:w="22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3.04</w:t>
            </w:r>
          </w:p>
        </w:tc>
        <w:tc>
          <w:tcPr>
            <w:tcW w:w="7980" w:type="dxa"/>
            <w:vAlign w:val="bottom"/>
          </w:tcPr>
          <w:p>
            <w:pPr>
              <w:ind w:left="360"/>
              <w:spacing w:after="0"/>
              <w:rPr>
                <w:sz w:val="20"/>
                <w:szCs w:val="20"/>
                <w:color w:val="auto"/>
              </w:rPr>
            </w:pPr>
            <w:r>
              <w:rPr>
                <w:rFonts w:ascii="Arial" w:cs="Arial" w:eastAsia="Arial" w:hAnsi="Arial"/>
                <w:sz w:val="18"/>
                <w:szCs w:val="18"/>
                <w:color w:val="auto"/>
              </w:rPr>
              <w:t>Increased Costs; Reserves on Eurodollar Rate Loans</w:t>
            </w:r>
          </w:p>
        </w:tc>
        <w:tc>
          <w:tcPr>
            <w:tcW w:w="22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3.05</w:t>
            </w:r>
          </w:p>
        </w:tc>
        <w:tc>
          <w:tcPr>
            <w:tcW w:w="7980" w:type="dxa"/>
            <w:vAlign w:val="bottom"/>
          </w:tcPr>
          <w:p>
            <w:pPr>
              <w:ind w:left="360"/>
              <w:spacing w:after="0"/>
              <w:rPr>
                <w:sz w:val="20"/>
                <w:szCs w:val="20"/>
                <w:color w:val="auto"/>
              </w:rPr>
            </w:pPr>
            <w:r>
              <w:rPr>
                <w:rFonts w:ascii="Arial" w:cs="Arial" w:eastAsia="Arial" w:hAnsi="Arial"/>
                <w:sz w:val="18"/>
                <w:szCs w:val="18"/>
                <w:color w:val="auto"/>
              </w:rPr>
              <w:t>Compensation for Losses</w:t>
            </w:r>
          </w:p>
        </w:tc>
        <w:tc>
          <w:tcPr>
            <w:tcW w:w="2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3.06</w:t>
            </w:r>
          </w:p>
        </w:tc>
        <w:tc>
          <w:tcPr>
            <w:tcW w:w="7980" w:type="dxa"/>
            <w:vAlign w:val="bottom"/>
          </w:tcPr>
          <w:p>
            <w:pPr>
              <w:ind w:left="360"/>
              <w:spacing w:after="0"/>
              <w:rPr>
                <w:sz w:val="20"/>
                <w:szCs w:val="20"/>
                <w:color w:val="auto"/>
              </w:rPr>
            </w:pPr>
            <w:r>
              <w:rPr>
                <w:rFonts w:ascii="Arial" w:cs="Arial" w:eastAsia="Arial" w:hAnsi="Arial"/>
                <w:sz w:val="18"/>
                <w:szCs w:val="18"/>
                <w:color w:val="auto"/>
              </w:rPr>
              <w:t>Mitigation Obligations; Replacement of Lenders</w:t>
            </w:r>
          </w:p>
        </w:tc>
        <w:tc>
          <w:tcPr>
            <w:tcW w:w="22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3.07</w:t>
            </w:r>
          </w:p>
        </w:tc>
        <w:tc>
          <w:tcPr>
            <w:tcW w:w="7980" w:type="dxa"/>
            <w:vAlign w:val="bottom"/>
          </w:tcPr>
          <w:p>
            <w:pPr>
              <w:ind w:left="360"/>
              <w:spacing w:after="0"/>
              <w:rPr>
                <w:sz w:val="20"/>
                <w:szCs w:val="20"/>
                <w:color w:val="auto"/>
              </w:rPr>
            </w:pPr>
            <w:r>
              <w:rPr>
                <w:rFonts w:ascii="Arial" w:cs="Arial" w:eastAsia="Arial" w:hAnsi="Arial"/>
                <w:sz w:val="18"/>
                <w:szCs w:val="18"/>
                <w:color w:val="auto"/>
              </w:rPr>
              <w:t>Survival</w:t>
            </w:r>
          </w:p>
        </w:tc>
        <w:tc>
          <w:tcPr>
            <w:tcW w:w="22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65"/>
        </w:trPr>
        <w:tc>
          <w:tcPr>
            <w:tcW w:w="1100" w:type="dxa"/>
            <w:vAlign w:val="bottom"/>
          </w:tcPr>
          <w:p>
            <w:pPr>
              <w:spacing w:after="0"/>
              <w:rPr>
                <w:sz w:val="24"/>
                <w:szCs w:val="24"/>
                <w:color w:val="auto"/>
              </w:rPr>
            </w:pPr>
          </w:p>
        </w:tc>
        <w:tc>
          <w:tcPr>
            <w:tcW w:w="7980" w:type="dxa"/>
            <w:vAlign w:val="bottom"/>
          </w:tcPr>
          <w:p>
            <w:pPr>
              <w:ind w:left="4520"/>
              <w:spacing w:after="0"/>
              <w:rPr>
                <w:sz w:val="20"/>
                <w:szCs w:val="20"/>
                <w:color w:val="auto"/>
              </w:rPr>
            </w:pPr>
            <w:r>
              <w:rPr>
                <w:rFonts w:ascii="Arial" w:cs="Arial" w:eastAsia="Arial" w:hAnsi="Arial"/>
                <w:sz w:val="18"/>
                <w:szCs w:val="18"/>
                <w:color w:val="auto"/>
              </w:rPr>
              <w:t>-i-</w:t>
            </w:r>
          </w:p>
        </w:tc>
        <w:tc>
          <w:tcPr>
            <w:tcW w:w="224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100" w:type="dxa"/>
            <w:vAlign w:val="bottom"/>
          </w:tcPr>
          <w:p>
            <w:pPr>
              <w:jc w:val="right"/>
              <w:ind w:right="270"/>
              <w:spacing w:after="0"/>
              <w:rPr>
                <w:sz w:val="20"/>
                <w:szCs w:val="20"/>
                <w:color w:val="auto"/>
              </w:rPr>
            </w:pPr>
            <w:r>
              <w:rPr>
                <w:rFonts w:ascii="Arial" w:cs="Arial" w:eastAsia="Arial" w:hAnsi="Arial"/>
                <w:sz w:val="18"/>
                <w:szCs w:val="18"/>
                <w:color w:val="auto"/>
                <w:w w:val="99"/>
              </w:rPr>
              <w:t>Article IV</w:t>
            </w:r>
          </w:p>
        </w:tc>
        <w:tc>
          <w:tcPr>
            <w:tcW w:w="7760" w:type="dxa"/>
            <w:vAlign w:val="bottom"/>
          </w:tcPr>
          <w:p>
            <w:pPr>
              <w:ind w:left="720"/>
              <w:spacing w:after="0"/>
              <w:rPr>
                <w:sz w:val="20"/>
                <w:szCs w:val="20"/>
                <w:color w:val="auto"/>
              </w:rPr>
            </w:pPr>
            <w:r>
              <w:rPr>
                <w:rFonts w:ascii="Arial" w:cs="Arial" w:eastAsia="Arial" w:hAnsi="Arial"/>
                <w:sz w:val="18"/>
                <w:szCs w:val="18"/>
                <w:color w:val="auto"/>
              </w:rPr>
              <w:t>CONDITIONS PRECEDENT TO CLOSING AND BORROWING</w:t>
            </w:r>
          </w:p>
        </w:tc>
        <w:tc>
          <w:tcPr>
            <w:tcW w:w="2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4.01</w:t>
            </w:r>
          </w:p>
        </w:tc>
        <w:tc>
          <w:tcPr>
            <w:tcW w:w="7760" w:type="dxa"/>
            <w:vAlign w:val="bottom"/>
          </w:tcPr>
          <w:p>
            <w:pPr>
              <w:ind w:left="360"/>
              <w:spacing w:after="0"/>
              <w:rPr>
                <w:sz w:val="20"/>
                <w:szCs w:val="20"/>
                <w:color w:val="auto"/>
              </w:rPr>
            </w:pPr>
            <w:r>
              <w:rPr>
                <w:rFonts w:ascii="Arial" w:cs="Arial" w:eastAsia="Arial" w:hAnsi="Arial"/>
                <w:sz w:val="18"/>
                <w:szCs w:val="18"/>
                <w:color w:val="auto"/>
              </w:rPr>
              <w:t>Conditions of Closing and Initial Borrowing</w:t>
            </w:r>
          </w:p>
        </w:tc>
        <w:tc>
          <w:tcPr>
            <w:tcW w:w="2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4.02</w:t>
            </w:r>
          </w:p>
        </w:tc>
        <w:tc>
          <w:tcPr>
            <w:tcW w:w="7760" w:type="dxa"/>
            <w:vAlign w:val="bottom"/>
          </w:tcPr>
          <w:p>
            <w:pPr>
              <w:ind w:left="360"/>
              <w:spacing w:after="0"/>
              <w:rPr>
                <w:sz w:val="20"/>
                <w:szCs w:val="20"/>
                <w:color w:val="auto"/>
              </w:rPr>
            </w:pPr>
            <w:r>
              <w:rPr>
                <w:rFonts w:ascii="Arial" w:cs="Arial" w:eastAsia="Arial" w:hAnsi="Arial"/>
                <w:sz w:val="18"/>
                <w:szCs w:val="18"/>
                <w:color w:val="auto"/>
              </w:rPr>
              <w:t>Conditions to All Credit Extensions</w:t>
            </w:r>
          </w:p>
        </w:tc>
        <w:tc>
          <w:tcPr>
            <w:tcW w:w="24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w w:val="98"/>
              </w:rPr>
              <w:t>Article V</w:t>
            </w:r>
          </w:p>
        </w:tc>
        <w:tc>
          <w:tcPr>
            <w:tcW w:w="7760" w:type="dxa"/>
            <w:vAlign w:val="bottom"/>
          </w:tcPr>
          <w:p>
            <w:pPr>
              <w:ind w:left="720"/>
              <w:spacing w:after="0"/>
              <w:rPr>
                <w:sz w:val="20"/>
                <w:szCs w:val="20"/>
                <w:color w:val="auto"/>
              </w:rPr>
            </w:pPr>
            <w:r>
              <w:rPr>
                <w:rFonts w:ascii="Arial" w:cs="Arial" w:eastAsia="Arial" w:hAnsi="Arial"/>
                <w:sz w:val="18"/>
                <w:szCs w:val="18"/>
                <w:color w:val="auto"/>
              </w:rPr>
              <w:t>REPRESENTATIONS AND WARRANTIES</w:t>
            </w:r>
          </w:p>
        </w:tc>
        <w:tc>
          <w:tcPr>
            <w:tcW w:w="24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5.01</w:t>
            </w:r>
          </w:p>
        </w:tc>
        <w:tc>
          <w:tcPr>
            <w:tcW w:w="7760" w:type="dxa"/>
            <w:vAlign w:val="bottom"/>
          </w:tcPr>
          <w:p>
            <w:pPr>
              <w:ind w:left="360"/>
              <w:spacing w:after="0"/>
              <w:rPr>
                <w:sz w:val="20"/>
                <w:szCs w:val="20"/>
                <w:color w:val="auto"/>
              </w:rPr>
            </w:pPr>
            <w:r>
              <w:rPr>
                <w:rFonts w:ascii="Arial" w:cs="Arial" w:eastAsia="Arial" w:hAnsi="Arial"/>
                <w:sz w:val="18"/>
                <w:szCs w:val="18"/>
                <w:color w:val="auto"/>
              </w:rPr>
              <w:t>Corporate Existence; Subsidiaries; Foreign Qualification</w:t>
            </w:r>
          </w:p>
        </w:tc>
        <w:tc>
          <w:tcPr>
            <w:tcW w:w="24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5.02</w:t>
            </w:r>
          </w:p>
        </w:tc>
        <w:tc>
          <w:tcPr>
            <w:tcW w:w="7760" w:type="dxa"/>
            <w:vAlign w:val="bottom"/>
          </w:tcPr>
          <w:p>
            <w:pPr>
              <w:ind w:left="360"/>
              <w:spacing w:after="0"/>
              <w:rPr>
                <w:sz w:val="20"/>
                <w:szCs w:val="20"/>
                <w:color w:val="auto"/>
              </w:rPr>
            </w:pPr>
            <w:r>
              <w:rPr>
                <w:rFonts w:ascii="Arial" w:cs="Arial" w:eastAsia="Arial" w:hAnsi="Arial"/>
                <w:sz w:val="18"/>
                <w:szCs w:val="18"/>
                <w:color w:val="auto"/>
              </w:rPr>
              <w:t>Corporate Authority</w:t>
            </w:r>
          </w:p>
        </w:tc>
        <w:tc>
          <w:tcPr>
            <w:tcW w:w="2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5.03</w:t>
            </w:r>
          </w:p>
        </w:tc>
        <w:tc>
          <w:tcPr>
            <w:tcW w:w="7760" w:type="dxa"/>
            <w:vAlign w:val="bottom"/>
          </w:tcPr>
          <w:p>
            <w:pPr>
              <w:ind w:left="360"/>
              <w:spacing w:after="0"/>
              <w:rPr>
                <w:sz w:val="20"/>
                <w:szCs w:val="20"/>
                <w:color w:val="auto"/>
              </w:rPr>
            </w:pPr>
            <w:r>
              <w:rPr>
                <w:rFonts w:ascii="Arial" w:cs="Arial" w:eastAsia="Arial" w:hAnsi="Arial"/>
                <w:sz w:val="18"/>
                <w:szCs w:val="18"/>
                <w:color w:val="auto"/>
              </w:rPr>
              <w:t>Governmental Authorization; Other Consents</w:t>
            </w:r>
          </w:p>
        </w:tc>
        <w:tc>
          <w:tcPr>
            <w:tcW w:w="2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5.04</w:t>
            </w:r>
          </w:p>
        </w:tc>
        <w:tc>
          <w:tcPr>
            <w:tcW w:w="7760" w:type="dxa"/>
            <w:vAlign w:val="bottom"/>
          </w:tcPr>
          <w:p>
            <w:pPr>
              <w:ind w:left="360"/>
              <w:spacing w:after="0"/>
              <w:rPr>
                <w:sz w:val="20"/>
                <w:szCs w:val="20"/>
                <w:color w:val="auto"/>
              </w:rPr>
            </w:pPr>
            <w:r>
              <w:rPr>
                <w:rFonts w:ascii="Arial" w:cs="Arial" w:eastAsia="Arial" w:hAnsi="Arial"/>
                <w:sz w:val="18"/>
                <w:szCs w:val="18"/>
                <w:color w:val="auto"/>
              </w:rPr>
              <w:t>Litigation and Administrative Proceedings</w:t>
            </w:r>
          </w:p>
        </w:tc>
        <w:tc>
          <w:tcPr>
            <w:tcW w:w="2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5.05</w:t>
            </w:r>
          </w:p>
        </w:tc>
        <w:tc>
          <w:tcPr>
            <w:tcW w:w="7760" w:type="dxa"/>
            <w:vAlign w:val="bottom"/>
          </w:tcPr>
          <w:p>
            <w:pPr>
              <w:ind w:left="360"/>
              <w:spacing w:after="0"/>
              <w:rPr>
                <w:sz w:val="20"/>
                <w:szCs w:val="20"/>
                <w:color w:val="auto"/>
              </w:rPr>
            </w:pPr>
            <w:r>
              <w:rPr>
                <w:rFonts w:ascii="Arial" w:cs="Arial" w:eastAsia="Arial" w:hAnsi="Arial"/>
                <w:sz w:val="18"/>
                <w:szCs w:val="18"/>
                <w:color w:val="auto"/>
              </w:rPr>
              <w:t>Title to Assets</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5.06</w:t>
            </w:r>
          </w:p>
        </w:tc>
        <w:tc>
          <w:tcPr>
            <w:tcW w:w="7760" w:type="dxa"/>
            <w:vAlign w:val="bottom"/>
          </w:tcPr>
          <w:p>
            <w:pPr>
              <w:ind w:left="360"/>
              <w:spacing w:after="0"/>
              <w:rPr>
                <w:sz w:val="20"/>
                <w:szCs w:val="20"/>
                <w:color w:val="auto"/>
              </w:rPr>
            </w:pPr>
            <w:r>
              <w:rPr>
                <w:rFonts w:ascii="Arial" w:cs="Arial" w:eastAsia="Arial" w:hAnsi="Arial"/>
                <w:sz w:val="18"/>
                <w:szCs w:val="18"/>
                <w:color w:val="auto"/>
              </w:rPr>
              <w:t>Liens and Security Interests</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5.07</w:t>
            </w:r>
          </w:p>
        </w:tc>
        <w:tc>
          <w:tcPr>
            <w:tcW w:w="7760" w:type="dxa"/>
            <w:vAlign w:val="bottom"/>
          </w:tcPr>
          <w:p>
            <w:pPr>
              <w:ind w:left="360"/>
              <w:spacing w:after="0"/>
              <w:rPr>
                <w:sz w:val="20"/>
                <w:szCs w:val="20"/>
                <w:color w:val="auto"/>
              </w:rPr>
            </w:pPr>
            <w:r>
              <w:rPr>
                <w:rFonts w:ascii="Arial" w:cs="Arial" w:eastAsia="Arial" w:hAnsi="Arial"/>
                <w:sz w:val="18"/>
                <w:szCs w:val="18"/>
                <w:color w:val="auto"/>
              </w:rPr>
              <w:t>Tax Returns</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5.08</w:t>
            </w:r>
          </w:p>
        </w:tc>
        <w:tc>
          <w:tcPr>
            <w:tcW w:w="7760" w:type="dxa"/>
            <w:vAlign w:val="bottom"/>
          </w:tcPr>
          <w:p>
            <w:pPr>
              <w:ind w:left="360"/>
              <w:spacing w:after="0"/>
              <w:rPr>
                <w:sz w:val="20"/>
                <w:szCs w:val="20"/>
                <w:color w:val="auto"/>
              </w:rPr>
            </w:pPr>
            <w:r>
              <w:rPr>
                <w:rFonts w:ascii="Arial" w:cs="Arial" w:eastAsia="Arial" w:hAnsi="Arial"/>
                <w:sz w:val="18"/>
                <w:szCs w:val="18"/>
                <w:color w:val="auto"/>
              </w:rPr>
              <w:t>Environmental Laws</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5.09</w:t>
            </w:r>
          </w:p>
        </w:tc>
        <w:tc>
          <w:tcPr>
            <w:tcW w:w="7760" w:type="dxa"/>
            <w:vAlign w:val="bottom"/>
          </w:tcPr>
          <w:p>
            <w:pPr>
              <w:ind w:left="360"/>
              <w:spacing w:after="0"/>
              <w:rPr>
                <w:sz w:val="20"/>
                <w:szCs w:val="20"/>
                <w:color w:val="auto"/>
              </w:rPr>
            </w:pPr>
            <w:r>
              <w:rPr>
                <w:rFonts w:ascii="Arial" w:cs="Arial" w:eastAsia="Arial" w:hAnsi="Arial"/>
                <w:sz w:val="18"/>
                <w:szCs w:val="18"/>
                <w:color w:val="auto"/>
              </w:rPr>
              <w:t>Locations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5.10</w:t>
            </w:r>
          </w:p>
        </w:tc>
        <w:tc>
          <w:tcPr>
            <w:tcW w:w="7760" w:type="dxa"/>
            <w:vAlign w:val="bottom"/>
          </w:tcPr>
          <w:p>
            <w:pPr>
              <w:ind w:left="360"/>
              <w:spacing w:after="0"/>
              <w:rPr>
                <w:sz w:val="20"/>
                <w:szCs w:val="20"/>
                <w:color w:val="auto"/>
              </w:rPr>
            </w:pPr>
            <w:r>
              <w:rPr>
                <w:rFonts w:ascii="Arial" w:cs="Arial" w:eastAsia="Arial" w:hAnsi="Arial"/>
                <w:sz w:val="18"/>
                <w:szCs w:val="18"/>
                <w:color w:val="auto"/>
              </w:rPr>
              <w:t>Continued Business</w:t>
            </w:r>
          </w:p>
        </w:tc>
        <w:tc>
          <w:tcPr>
            <w:tcW w:w="24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5.11</w:t>
            </w:r>
          </w:p>
        </w:tc>
        <w:tc>
          <w:tcPr>
            <w:tcW w:w="7760" w:type="dxa"/>
            <w:vAlign w:val="bottom"/>
          </w:tcPr>
          <w:p>
            <w:pPr>
              <w:ind w:left="360"/>
              <w:spacing w:after="0"/>
              <w:rPr>
                <w:sz w:val="20"/>
                <w:szCs w:val="20"/>
                <w:color w:val="auto"/>
              </w:rPr>
            </w:pPr>
            <w:r>
              <w:rPr>
                <w:rFonts w:ascii="Arial" w:cs="Arial" w:eastAsia="Arial" w:hAnsi="Arial"/>
                <w:sz w:val="18"/>
                <w:szCs w:val="18"/>
                <w:color w:val="auto"/>
              </w:rPr>
              <w:t>Employee Benefits Plans</w:t>
            </w:r>
          </w:p>
        </w:tc>
        <w:tc>
          <w:tcPr>
            <w:tcW w:w="24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5.12</w:t>
            </w:r>
          </w:p>
        </w:tc>
        <w:tc>
          <w:tcPr>
            <w:tcW w:w="7760" w:type="dxa"/>
            <w:vAlign w:val="bottom"/>
          </w:tcPr>
          <w:p>
            <w:pPr>
              <w:ind w:left="360"/>
              <w:spacing w:after="0"/>
              <w:rPr>
                <w:sz w:val="20"/>
                <w:szCs w:val="20"/>
                <w:color w:val="auto"/>
              </w:rPr>
            </w:pPr>
            <w:r>
              <w:rPr>
                <w:rFonts w:ascii="Arial" w:cs="Arial" w:eastAsia="Arial" w:hAnsi="Arial"/>
                <w:sz w:val="18"/>
                <w:szCs w:val="18"/>
                <w:color w:val="auto"/>
              </w:rPr>
              <w:t>Consents or Approvals</w:t>
            </w:r>
          </w:p>
        </w:tc>
        <w:tc>
          <w:tcPr>
            <w:tcW w:w="24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5.13</w:t>
            </w:r>
          </w:p>
        </w:tc>
        <w:tc>
          <w:tcPr>
            <w:tcW w:w="7760" w:type="dxa"/>
            <w:vAlign w:val="bottom"/>
          </w:tcPr>
          <w:p>
            <w:pPr>
              <w:ind w:left="360"/>
              <w:spacing w:after="0"/>
              <w:rPr>
                <w:sz w:val="20"/>
                <w:szCs w:val="20"/>
                <w:color w:val="auto"/>
              </w:rPr>
            </w:pPr>
            <w:r>
              <w:rPr>
                <w:rFonts w:ascii="Arial" w:cs="Arial" w:eastAsia="Arial" w:hAnsi="Arial"/>
                <w:sz w:val="18"/>
                <w:szCs w:val="18"/>
                <w:color w:val="auto"/>
              </w:rPr>
              <w:t>Solvency</w:t>
            </w:r>
          </w:p>
        </w:tc>
        <w:tc>
          <w:tcPr>
            <w:tcW w:w="24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5.14</w:t>
            </w:r>
          </w:p>
        </w:tc>
        <w:tc>
          <w:tcPr>
            <w:tcW w:w="7760" w:type="dxa"/>
            <w:vAlign w:val="bottom"/>
          </w:tcPr>
          <w:p>
            <w:pPr>
              <w:ind w:left="360"/>
              <w:spacing w:after="0"/>
              <w:rPr>
                <w:sz w:val="20"/>
                <w:szCs w:val="20"/>
                <w:color w:val="auto"/>
              </w:rPr>
            </w:pPr>
            <w:r>
              <w:rPr>
                <w:rFonts w:ascii="Arial" w:cs="Arial" w:eastAsia="Arial" w:hAnsi="Arial"/>
                <w:sz w:val="18"/>
                <w:szCs w:val="18"/>
                <w:color w:val="auto"/>
              </w:rPr>
              <w:t>Financial Statements; No Material Adverse Effect</w:t>
            </w:r>
          </w:p>
        </w:tc>
        <w:tc>
          <w:tcPr>
            <w:tcW w:w="24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5.15</w:t>
            </w:r>
          </w:p>
        </w:tc>
        <w:tc>
          <w:tcPr>
            <w:tcW w:w="7760" w:type="dxa"/>
            <w:vAlign w:val="bottom"/>
          </w:tcPr>
          <w:p>
            <w:pPr>
              <w:ind w:left="360"/>
              <w:spacing w:after="0"/>
              <w:rPr>
                <w:sz w:val="20"/>
                <w:szCs w:val="20"/>
                <w:color w:val="auto"/>
              </w:rPr>
            </w:pPr>
            <w:r>
              <w:rPr>
                <w:rFonts w:ascii="Arial" w:cs="Arial" w:eastAsia="Arial" w:hAnsi="Arial"/>
                <w:sz w:val="18"/>
                <w:szCs w:val="18"/>
                <w:color w:val="auto"/>
              </w:rPr>
              <w:t>Regulations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5.16</w:t>
            </w:r>
          </w:p>
        </w:tc>
        <w:tc>
          <w:tcPr>
            <w:tcW w:w="7760" w:type="dxa"/>
            <w:vAlign w:val="bottom"/>
          </w:tcPr>
          <w:p>
            <w:pPr>
              <w:ind w:left="360"/>
              <w:spacing w:after="0"/>
              <w:rPr>
                <w:sz w:val="20"/>
                <w:szCs w:val="20"/>
                <w:color w:val="auto"/>
              </w:rPr>
            </w:pPr>
            <w:r>
              <w:rPr>
                <w:rFonts w:ascii="Arial" w:cs="Arial" w:eastAsia="Arial" w:hAnsi="Arial"/>
                <w:sz w:val="18"/>
                <w:szCs w:val="18"/>
                <w:color w:val="auto"/>
              </w:rPr>
              <w:t>Material Agreements</w:t>
            </w:r>
          </w:p>
        </w:tc>
        <w:tc>
          <w:tcPr>
            <w:tcW w:w="24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5.17</w:t>
            </w:r>
          </w:p>
        </w:tc>
        <w:tc>
          <w:tcPr>
            <w:tcW w:w="7760" w:type="dxa"/>
            <w:vAlign w:val="bottom"/>
          </w:tcPr>
          <w:p>
            <w:pPr>
              <w:ind w:left="360"/>
              <w:spacing w:after="0"/>
              <w:rPr>
                <w:sz w:val="20"/>
                <w:szCs w:val="20"/>
                <w:color w:val="auto"/>
              </w:rPr>
            </w:pPr>
            <w:r>
              <w:rPr>
                <w:rFonts w:ascii="Arial" w:cs="Arial" w:eastAsia="Arial" w:hAnsi="Arial"/>
                <w:sz w:val="18"/>
                <w:szCs w:val="18"/>
                <w:color w:val="auto"/>
              </w:rPr>
              <w:t>Intellectual Property</w:t>
            </w:r>
          </w:p>
        </w:tc>
        <w:tc>
          <w:tcPr>
            <w:tcW w:w="24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5.18</w:t>
            </w:r>
          </w:p>
        </w:tc>
        <w:tc>
          <w:tcPr>
            <w:tcW w:w="7760" w:type="dxa"/>
            <w:vAlign w:val="bottom"/>
          </w:tcPr>
          <w:p>
            <w:pPr>
              <w:ind w:left="360"/>
              <w:spacing w:after="0"/>
              <w:rPr>
                <w:sz w:val="20"/>
                <w:szCs w:val="20"/>
                <w:color w:val="auto"/>
              </w:rPr>
            </w:pPr>
            <w:r>
              <w:rPr>
                <w:rFonts w:ascii="Arial" w:cs="Arial" w:eastAsia="Arial" w:hAnsi="Arial"/>
                <w:sz w:val="18"/>
                <w:szCs w:val="18"/>
                <w:color w:val="auto"/>
              </w:rPr>
              <w:t>Insurance</w:t>
            </w:r>
          </w:p>
        </w:tc>
        <w:tc>
          <w:tcPr>
            <w:tcW w:w="24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5.19</w:t>
            </w:r>
          </w:p>
        </w:tc>
        <w:tc>
          <w:tcPr>
            <w:tcW w:w="7760" w:type="dxa"/>
            <w:vAlign w:val="bottom"/>
          </w:tcPr>
          <w:p>
            <w:pPr>
              <w:ind w:left="360"/>
              <w:spacing w:after="0"/>
              <w:rPr>
                <w:sz w:val="20"/>
                <w:szCs w:val="20"/>
                <w:color w:val="auto"/>
              </w:rPr>
            </w:pPr>
            <w:r>
              <w:rPr>
                <w:rFonts w:ascii="Arial" w:cs="Arial" w:eastAsia="Arial" w:hAnsi="Arial"/>
                <w:sz w:val="18"/>
                <w:szCs w:val="18"/>
                <w:color w:val="auto"/>
              </w:rPr>
              <w:t>Casualty, Etc</w:t>
            </w:r>
          </w:p>
        </w:tc>
        <w:tc>
          <w:tcPr>
            <w:tcW w:w="24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5.20</w:t>
            </w:r>
          </w:p>
        </w:tc>
        <w:tc>
          <w:tcPr>
            <w:tcW w:w="7760" w:type="dxa"/>
            <w:vAlign w:val="bottom"/>
          </w:tcPr>
          <w:p>
            <w:pPr>
              <w:ind w:left="360"/>
              <w:spacing w:after="0"/>
              <w:rPr>
                <w:sz w:val="20"/>
                <w:szCs w:val="20"/>
                <w:color w:val="auto"/>
              </w:rPr>
            </w:pPr>
            <w:r>
              <w:rPr>
                <w:rFonts w:ascii="Arial" w:cs="Arial" w:eastAsia="Arial" w:hAnsi="Arial"/>
                <w:sz w:val="18"/>
                <w:szCs w:val="18"/>
                <w:color w:val="auto"/>
              </w:rPr>
              <w:t>Labor Matters</w:t>
            </w:r>
          </w:p>
        </w:tc>
        <w:tc>
          <w:tcPr>
            <w:tcW w:w="24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5.21</w:t>
            </w:r>
          </w:p>
        </w:tc>
        <w:tc>
          <w:tcPr>
            <w:tcW w:w="7760" w:type="dxa"/>
            <w:vAlign w:val="bottom"/>
          </w:tcPr>
          <w:p>
            <w:pPr>
              <w:ind w:left="360"/>
              <w:spacing w:after="0"/>
              <w:rPr>
                <w:sz w:val="20"/>
                <w:szCs w:val="20"/>
                <w:color w:val="auto"/>
              </w:rPr>
            </w:pPr>
            <w:r>
              <w:rPr>
                <w:rFonts w:ascii="Arial" w:cs="Arial" w:eastAsia="Arial" w:hAnsi="Arial"/>
                <w:sz w:val="18"/>
                <w:szCs w:val="18"/>
                <w:color w:val="auto"/>
              </w:rPr>
              <w:t>OFAC; Anti-Money Laundering; FCPA</w:t>
            </w:r>
          </w:p>
        </w:tc>
        <w:tc>
          <w:tcPr>
            <w:tcW w:w="24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5.22</w:t>
            </w:r>
          </w:p>
        </w:tc>
        <w:tc>
          <w:tcPr>
            <w:tcW w:w="7760" w:type="dxa"/>
            <w:vAlign w:val="bottom"/>
          </w:tcPr>
          <w:p>
            <w:pPr>
              <w:ind w:left="360"/>
              <w:spacing w:after="0"/>
              <w:rPr>
                <w:sz w:val="20"/>
                <w:szCs w:val="20"/>
                <w:color w:val="auto"/>
              </w:rPr>
            </w:pPr>
            <w:r>
              <w:rPr>
                <w:rFonts w:ascii="Arial" w:cs="Arial" w:eastAsia="Arial" w:hAnsi="Arial"/>
                <w:sz w:val="18"/>
                <w:szCs w:val="18"/>
                <w:color w:val="auto"/>
              </w:rPr>
              <w:t>Certain Treasury Regulation Matters</w:t>
            </w:r>
          </w:p>
        </w:tc>
        <w:tc>
          <w:tcPr>
            <w:tcW w:w="2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5.23</w:t>
            </w:r>
          </w:p>
        </w:tc>
        <w:tc>
          <w:tcPr>
            <w:tcW w:w="7760" w:type="dxa"/>
            <w:vAlign w:val="bottom"/>
          </w:tcPr>
          <w:p>
            <w:pPr>
              <w:ind w:left="360"/>
              <w:spacing w:after="0"/>
              <w:rPr>
                <w:sz w:val="20"/>
                <w:szCs w:val="20"/>
                <w:color w:val="auto"/>
              </w:rPr>
            </w:pPr>
            <w:r>
              <w:rPr>
                <w:rFonts w:ascii="Arial" w:cs="Arial" w:eastAsia="Arial" w:hAnsi="Arial"/>
                <w:sz w:val="18"/>
                <w:szCs w:val="18"/>
                <w:color w:val="auto"/>
              </w:rPr>
              <w:t>Deposit Accounts; Securities Accounts</w:t>
            </w:r>
          </w:p>
        </w:tc>
        <w:tc>
          <w:tcPr>
            <w:tcW w:w="2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5.24</w:t>
            </w:r>
          </w:p>
        </w:tc>
        <w:tc>
          <w:tcPr>
            <w:tcW w:w="7760" w:type="dxa"/>
            <w:vAlign w:val="bottom"/>
          </w:tcPr>
          <w:p>
            <w:pPr>
              <w:ind w:left="360"/>
              <w:spacing w:after="0"/>
              <w:rPr>
                <w:sz w:val="20"/>
                <w:szCs w:val="20"/>
                <w:color w:val="auto"/>
              </w:rPr>
            </w:pPr>
            <w:r>
              <w:rPr>
                <w:rFonts w:ascii="Arial" w:cs="Arial" w:eastAsia="Arial" w:hAnsi="Arial"/>
                <w:sz w:val="18"/>
                <w:szCs w:val="18"/>
                <w:color w:val="auto"/>
              </w:rPr>
              <w:t>Accurate and Complete Statements</w:t>
            </w:r>
          </w:p>
        </w:tc>
        <w:tc>
          <w:tcPr>
            <w:tcW w:w="2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5.25</w:t>
            </w:r>
          </w:p>
        </w:tc>
        <w:tc>
          <w:tcPr>
            <w:tcW w:w="7760" w:type="dxa"/>
            <w:vAlign w:val="bottom"/>
          </w:tcPr>
          <w:p>
            <w:pPr>
              <w:ind w:left="360"/>
              <w:spacing w:after="0"/>
              <w:rPr>
                <w:sz w:val="20"/>
                <w:szCs w:val="20"/>
                <w:color w:val="auto"/>
              </w:rPr>
            </w:pPr>
            <w:r>
              <w:rPr>
                <w:rFonts w:ascii="Arial" w:cs="Arial" w:eastAsia="Arial" w:hAnsi="Arial"/>
                <w:sz w:val="18"/>
                <w:szCs w:val="18"/>
                <w:color w:val="auto"/>
              </w:rPr>
              <w:t>[Reserved]</w:t>
            </w:r>
          </w:p>
        </w:tc>
        <w:tc>
          <w:tcPr>
            <w:tcW w:w="2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5.26</w:t>
            </w:r>
          </w:p>
        </w:tc>
        <w:tc>
          <w:tcPr>
            <w:tcW w:w="7760" w:type="dxa"/>
            <w:vAlign w:val="bottom"/>
          </w:tcPr>
          <w:p>
            <w:pPr>
              <w:ind w:left="360"/>
              <w:spacing w:after="0"/>
              <w:rPr>
                <w:sz w:val="20"/>
                <w:szCs w:val="20"/>
                <w:color w:val="auto"/>
              </w:rPr>
            </w:pPr>
            <w:r>
              <w:rPr>
                <w:rFonts w:ascii="Arial" w:cs="Arial" w:eastAsia="Arial" w:hAnsi="Arial"/>
                <w:sz w:val="18"/>
                <w:szCs w:val="18"/>
                <w:color w:val="auto"/>
              </w:rPr>
              <w:t>Investment Company</w:t>
            </w:r>
          </w:p>
        </w:tc>
        <w:tc>
          <w:tcPr>
            <w:tcW w:w="2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5.27</w:t>
            </w:r>
          </w:p>
        </w:tc>
        <w:tc>
          <w:tcPr>
            <w:tcW w:w="7760" w:type="dxa"/>
            <w:vAlign w:val="bottom"/>
          </w:tcPr>
          <w:p>
            <w:pPr>
              <w:ind w:left="360"/>
              <w:spacing w:after="0"/>
              <w:rPr>
                <w:sz w:val="20"/>
                <w:szCs w:val="20"/>
                <w:color w:val="auto"/>
              </w:rPr>
            </w:pPr>
            <w:r>
              <w:rPr>
                <w:rFonts w:ascii="Arial" w:cs="Arial" w:eastAsia="Arial" w:hAnsi="Arial"/>
                <w:sz w:val="18"/>
                <w:szCs w:val="18"/>
                <w:color w:val="auto"/>
              </w:rPr>
              <w:t>Defaults</w:t>
            </w:r>
          </w:p>
        </w:tc>
        <w:tc>
          <w:tcPr>
            <w:tcW w:w="24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5.28</w:t>
            </w:r>
          </w:p>
        </w:tc>
        <w:tc>
          <w:tcPr>
            <w:tcW w:w="7760" w:type="dxa"/>
            <w:vAlign w:val="bottom"/>
          </w:tcPr>
          <w:p>
            <w:pPr>
              <w:ind w:left="360"/>
              <w:spacing w:after="0"/>
              <w:rPr>
                <w:sz w:val="20"/>
                <w:szCs w:val="20"/>
                <w:color w:val="auto"/>
              </w:rPr>
            </w:pPr>
            <w:r>
              <w:rPr>
                <w:rFonts w:ascii="Arial" w:cs="Arial" w:eastAsia="Arial" w:hAnsi="Arial"/>
                <w:sz w:val="18"/>
                <w:szCs w:val="18"/>
                <w:color w:val="auto"/>
              </w:rPr>
              <w:t>Senior Debt Status</w:t>
            </w:r>
          </w:p>
        </w:tc>
        <w:tc>
          <w:tcPr>
            <w:tcW w:w="24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65"/>
        </w:trPr>
        <w:tc>
          <w:tcPr>
            <w:tcW w:w="1100" w:type="dxa"/>
            <w:vAlign w:val="bottom"/>
          </w:tcPr>
          <w:p>
            <w:pPr>
              <w:spacing w:after="0"/>
              <w:rPr>
                <w:sz w:val="24"/>
                <w:szCs w:val="24"/>
                <w:color w:val="auto"/>
              </w:rPr>
            </w:pPr>
          </w:p>
        </w:tc>
        <w:tc>
          <w:tcPr>
            <w:tcW w:w="7760" w:type="dxa"/>
            <w:vAlign w:val="bottom"/>
          </w:tcPr>
          <w:p>
            <w:pPr>
              <w:ind w:left="4500"/>
              <w:spacing w:after="0"/>
              <w:rPr>
                <w:sz w:val="20"/>
                <w:szCs w:val="20"/>
                <w:color w:val="auto"/>
              </w:rPr>
            </w:pPr>
            <w:r>
              <w:rPr>
                <w:rFonts w:ascii="Arial" w:cs="Arial" w:eastAsia="Arial" w:hAnsi="Arial"/>
                <w:sz w:val="18"/>
                <w:szCs w:val="18"/>
                <w:color w:val="auto"/>
              </w:rPr>
              <w:t>-ii-</w:t>
            </w:r>
          </w:p>
        </w:tc>
        <w:tc>
          <w:tcPr>
            <w:tcW w:w="246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7700" w:type="dxa"/>
            <w:vAlign w:val="bottom"/>
          </w:tcPr>
          <w:p>
            <w:pPr>
              <w:jc w:val="center"/>
              <w:ind w:left="1370"/>
              <w:spacing w:after="0"/>
              <w:rPr>
                <w:sz w:val="20"/>
                <w:szCs w:val="20"/>
                <w:color w:val="auto"/>
              </w:rPr>
            </w:pPr>
            <w:r>
              <w:rPr>
                <w:rFonts w:ascii="Arial" w:cs="Arial" w:eastAsia="Arial" w:hAnsi="Arial"/>
                <w:sz w:val="18"/>
                <w:szCs w:val="18"/>
                <w:b w:val="1"/>
                <w:bCs w:val="1"/>
                <w:color w:val="auto"/>
                <w:w w:val="98"/>
              </w:rPr>
              <w:t>TABLE OF CONTENTS</w:t>
            </w:r>
          </w:p>
        </w:tc>
        <w:tc>
          <w:tcPr>
            <w:tcW w:w="248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7700" w:type="dxa"/>
            <w:vAlign w:val="bottom"/>
          </w:tcPr>
          <w:p>
            <w:pPr>
              <w:jc w:val="center"/>
              <w:ind w:left="1350"/>
              <w:spacing w:after="0"/>
              <w:rPr>
                <w:sz w:val="20"/>
                <w:szCs w:val="20"/>
                <w:color w:val="auto"/>
              </w:rPr>
            </w:pPr>
            <w:r>
              <w:rPr>
                <w:rFonts w:ascii="Arial" w:cs="Arial" w:eastAsia="Arial" w:hAnsi="Arial"/>
                <w:sz w:val="18"/>
                <w:szCs w:val="18"/>
                <w:color w:val="auto"/>
                <w:w w:val="91"/>
              </w:rPr>
              <w:t>(continued)</w:t>
            </w:r>
          </w:p>
        </w:tc>
        <w:tc>
          <w:tcPr>
            <w:tcW w:w="2480" w:type="dxa"/>
            <w:vAlign w:val="bottom"/>
          </w:tcPr>
          <w:p>
            <w:pPr>
              <w:spacing w:after="0"/>
              <w:rPr>
                <w:sz w:val="20"/>
                <w:szCs w:val="20"/>
                <w:color w:val="auto"/>
              </w:rPr>
            </w:pPr>
          </w:p>
        </w:tc>
      </w:tr>
      <w:tr>
        <w:trPr>
          <w:trHeight w:val="283"/>
        </w:trPr>
        <w:tc>
          <w:tcPr>
            <w:tcW w:w="11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Article VI</w:t>
            </w:r>
          </w:p>
        </w:tc>
        <w:tc>
          <w:tcPr>
            <w:tcW w:w="7700" w:type="dxa"/>
            <w:vAlign w:val="bottom"/>
          </w:tcPr>
          <w:p>
            <w:pPr>
              <w:ind w:left="680"/>
              <w:spacing w:after="0"/>
              <w:rPr>
                <w:sz w:val="20"/>
                <w:szCs w:val="20"/>
                <w:color w:val="auto"/>
              </w:rPr>
            </w:pPr>
            <w:r>
              <w:rPr>
                <w:rFonts w:ascii="Arial" w:cs="Arial" w:eastAsia="Arial" w:hAnsi="Arial"/>
                <w:sz w:val="18"/>
                <w:szCs w:val="18"/>
                <w:color w:val="auto"/>
              </w:rPr>
              <w:t>AFFIRMATIVE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6.01</w:t>
            </w:r>
          </w:p>
        </w:tc>
        <w:tc>
          <w:tcPr>
            <w:tcW w:w="770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6.02</w:t>
            </w:r>
          </w:p>
        </w:tc>
        <w:tc>
          <w:tcPr>
            <w:tcW w:w="7700" w:type="dxa"/>
            <w:vAlign w:val="bottom"/>
          </w:tcPr>
          <w:p>
            <w:pPr>
              <w:ind w:left="320"/>
              <w:spacing w:after="0"/>
              <w:rPr>
                <w:sz w:val="20"/>
                <w:szCs w:val="20"/>
                <w:color w:val="auto"/>
              </w:rPr>
            </w:pPr>
            <w:r>
              <w:rPr>
                <w:rFonts w:ascii="Arial" w:cs="Arial" w:eastAsia="Arial" w:hAnsi="Arial"/>
                <w:sz w:val="18"/>
                <w:szCs w:val="18"/>
                <w:color w:val="auto"/>
              </w:rPr>
              <w:t>Certificates; Other Information</w:t>
            </w:r>
          </w:p>
        </w:tc>
        <w:tc>
          <w:tcPr>
            <w:tcW w:w="24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6.03</w:t>
            </w:r>
          </w:p>
        </w:tc>
        <w:tc>
          <w:tcPr>
            <w:tcW w:w="7700" w:type="dxa"/>
            <w:vAlign w:val="bottom"/>
          </w:tcPr>
          <w:p>
            <w:pPr>
              <w:ind w:left="320"/>
              <w:spacing w:after="0"/>
              <w:rPr>
                <w:sz w:val="20"/>
                <w:szCs w:val="20"/>
                <w:color w:val="auto"/>
              </w:rPr>
            </w:pPr>
            <w:r>
              <w:rPr>
                <w:rFonts w:ascii="Arial" w:cs="Arial" w:eastAsia="Arial" w:hAnsi="Arial"/>
                <w:sz w:val="18"/>
                <w:szCs w:val="18"/>
                <w:color w:val="auto"/>
              </w:rPr>
              <w:t>Notices</w:t>
            </w:r>
          </w:p>
        </w:tc>
        <w:tc>
          <w:tcPr>
            <w:tcW w:w="24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6.04</w:t>
            </w:r>
          </w:p>
        </w:tc>
        <w:tc>
          <w:tcPr>
            <w:tcW w:w="7700" w:type="dxa"/>
            <w:vAlign w:val="bottom"/>
          </w:tcPr>
          <w:p>
            <w:pPr>
              <w:ind w:left="320"/>
              <w:spacing w:after="0"/>
              <w:rPr>
                <w:sz w:val="20"/>
                <w:szCs w:val="20"/>
                <w:color w:val="auto"/>
              </w:rPr>
            </w:pPr>
            <w:r>
              <w:rPr>
                <w:rFonts w:ascii="Arial" w:cs="Arial" w:eastAsia="Arial" w:hAnsi="Arial"/>
                <w:sz w:val="18"/>
                <w:szCs w:val="18"/>
                <w:color w:val="auto"/>
              </w:rPr>
              <w:t>Payment of Taxes and Other Obligations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6.05</w:t>
            </w:r>
          </w:p>
        </w:tc>
        <w:tc>
          <w:tcPr>
            <w:tcW w:w="7700" w:type="dxa"/>
            <w:vAlign w:val="bottom"/>
          </w:tcPr>
          <w:p>
            <w:pPr>
              <w:ind w:left="320"/>
              <w:spacing w:after="0"/>
              <w:rPr>
                <w:sz w:val="20"/>
                <w:szCs w:val="20"/>
                <w:color w:val="auto"/>
              </w:rPr>
            </w:pPr>
            <w:r>
              <w:rPr>
                <w:rFonts w:ascii="Arial" w:cs="Arial" w:eastAsia="Arial" w:hAnsi="Arial"/>
                <w:sz w:val="18"/>
                <w:szCs w:val="18"/>
                <w:color w:val="auto"/>
              </w:rPr>
              <w:t>Preservation of Existence, Etc</w:t>
            </w:r>
          </w:p>
        </w:tc>
        <w:tc>
          <w:tcPr>
            <w:tcW w:w="24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6.06</w:t>
            </w:r>
          </w:p>
        </w:tc>
        <w:tc>
          <w:tcPr>
            <w:tcW w:w="7700" w:type="dxa"/>
            <w:vAlign w:val="bottom"/>
          </w:tcPr>
          <w:p>
            <w:pPr>
              <w:ind w:left="320"/>
              <w:spacing w:after="0"/>
              <w:rPr>
                <w:sz w:val="20"/>
                <w:szCs w:val="20"/>
                <w:color w:val="auto"/>
              </w:rPr>
            </w:pPr>
            <w:r>
              <w:rPr>
                <w:rFonts w:ascii="Arial" w:cs="Arial" w:eastAsia="Arial" w:hAnsi="Arial"/>
                <w:sz w:val="18"/>
                <w:szCs w:val="18"/>
                <w:color w:val="auto"/>
              </w:rPr>
              <w:t>Maintenance of Properties</w:t>
            </w:r>
          </w:p>
        </w:tc>
        <w:tc>
          <w:tcPr>
            <w:tcW w:w="24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6.07</w:t>
            </w:r>
          </w:p>
        </w:tc>
        <w:tc>
          <w:tcPr>
            <w:tcW w:w="7700" w:type="dxa"/>
            <w:vAlign w:val="bottom"/>
          </w:tcPr>
          <w:p>
            <w:pPr>
              <w:ind w:left="320"/>
              <w:spacing w:after="0"/>
              <w:rPr>
                <w:sz w:val="20"/>
                <w:szCs w:val="20"/>
                <w:color w:val="auto"/>
              </w:rPr>
            </w:pPr>
            <w:r>
              <w:rPr>
                <w:rFonts w:ascii="Arial" w:cs="Arial" w:eastAsia="Arial" w:hAnsi="Arial"/>
                <w:sz w:val="18"/>
                <w:szCs w:val="18"/>
                <w:color w:val="auto"/>
              </w:rPr>
              <w:t>Maintenance of 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6.08</w:t>
            </w:r>
          </w:p>
        </w:tc>
        <w:tc>
          <w:tcPr>
            <w:tcW w:w="7700" w:type="dxa"/>
            <w:vAlign w:val="bottom"/>
          </w:tcPr>
          <w:p>
            <w:pPr>
              <w:ind w:left="320"/>
              <w:spacing w:after="0"/>
              <w:rPr>
                <w:sz w:val="20"/>
                <w:szCs w:val="20"/>
                <w:color w:val="auto"/>
              </w:rPr>
            </w:pPr>
            <w:r>
              <w:rPr>
                <w:rFonts w:ascii="Arial" w:cs="Arial" w:eastAsia="Arial" w:hAnsi="Arial"/>
                <w:sz w:val="18"/>
                <w:szCs w:val="18"/>
                <w:color w:val="auto"/>
              </w:rPr>
              <w:t>Compliance with Laws</w:t>
            </w:r>
          </w:p>
        </w:tc>
        <w:tc>
          <w:tcPr>
            <w:tcW w:w="24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6.09</w:t>
            </w:r>
          </w:p>
        </w:tc>
        <w:tc>
          <w:tcPr>
            <w:tcW w:w="7700" w:type="dxa"/>
            <w:vAlign w:val="bottom"/>
          </w:tcPr>
          <w:p>
            <w:pPr>
              <w:ind w:left="320"/>
              <w:spacing w:after="0"/>
              <w:rPr>
                <w:sz w:val="20"/>
                <w:szCs w:val="20"/>
                <w:color w:val="auto"/>
              </w:rPr>
            </w:pPr>
            <w:r>
              <w:rPr>
                <w:rFonts w:ascii="Arial" w:cs="Arial" w:eastAsia="Arial" w:hAnsi="Arial"/>
                <w:sz w:val="18"/>
                <w:szCs w:val="18"/>
                <w:color w:val="auto"/>
              </w:rPr>
              <w:t>Books and Records</w:t>
            </w:r>
          </w:p>
        </w:tc>
        <w:tc>
          <w:tcPr>
            <w:tcW w:w="24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6.10</w:t>
            </w:r>
          </w:p>
        </w:tc>
        <w:tc>
          <w:tcPr>
            <w:tcW w:w="7700" w:type="dxa"/>
            <w:vAlign w:val="bottom"/>
          </w:tcPr>
          <w:p>
            <w:pPr>
              <w:ind w:left="320"/>
              <w:spacing w:after="0"/>
              <w:rPr>
                <w:sz w:val="20"/>
                <w:szCs w:val="20"/>
                <w:color w:val="auto"/>
              </w:rPr>
            </w:pPr>
            <w:r>
              <w:rPr>
                <w:rFonts w:ascii="Arial" w:cs="Arial" w:eastAsia="Arial" w:hAnsi="Arial"/>
                <w:sz w:val="18"/>
                <w:szCs w:val="18"/>
                <w:color w:val="auto"/>
              </w:rPr>
              <w:t>Inspection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6.11</w:t>
            </w:r>
          </w:p>
        </w:tc>
        <w:tc>
          <w:tcPr>
            <w:tcW w:w="7700" w:type="dxa"/>
            <w:vAlign w:val="bottom"/>
          </w:tcPr>
          <w:p>
            <w:pPr>
              <w:ind w:left="320"/>
              <w:spacing w:after="0"/>
              <w:rPr>
                <w:sz w:val="20"/>
                <w:szCs w:val="20"/>
                <w:color w:val="auto"/>
              </w:rPr>
            </w:pPr>
            <w:r>
              <w:rPr>
                <w:rFonts w:ascii="Arial" w:cs="Arial" w:eastAsia="Arial" w:hAnsi="Arial"/>
                <w:sz w:val="18"/>
                <w:szCs w:val="18"/>
                <w:color w:val="auto"/>
              </w:rPr>
              <w:t>Use of Proceeds</w:t>
            </w:r>
          </w:p>
        </w:tc>
        <w:tc>
          <w:tcPr>
            <w:tcW w:w="2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6.12</w:t>
            </w:r>
          </w:p>
        </w:tc>
        <w:tc>
          <w:tcPr>
            <w:tcW w:w="7700" w:type="dxa"/>
            <w:vAlign w:val="bottom"/>
          </w:tcPr>
          <w:p>
            <w:pPr>
              <w:ind w:left="320"/>
              <w:spacing w:after="0"/>
              <w:rPr>
                <w:sz w:val="20"/>
                <w:szCs w:val="20"/>
                <w:color w:val="auto"/>
              </w:rPr>
            </w:pPr>
            <w:r>
              <w:rPr>
                <w:rFonts w:ascii="Arial" w:cs="Arial" w:eastAsia="Arial" w:hAnsi="Arial"/>
                <w:sz w:val="18"/>
                <w:szCs w:val="18"/>
                <w:color w:val="auto"/>
              </w:rPr>
              <w:t>Covenant to Guarantee Obligations and Give Security</w:t>
            </w:r>
          </w:p>
        </w:tc>
        <w:tc>
          <w:tcPr>
            <w:tcW w:w="2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6.13</w:t>
            </w:r>
          </w:p>
        </w:tc>
        <w:tc>
          <w:tcPr>
            <w:tcW w:w="7700" w:type="dxa"/>
            <w:vAlign w:val="bottom"/>
          </w:tcPr>
          <w:p>
            <w:pPr>
              <w:ind w:left="320"/>
              <w:spacing w:after="0"/>
              <w:rPr>
                <w:sz w:val="20"/>
                <w:szCs w:val="20"/>
                <w:color w:val="auto"/>
              </w:rPr>
            </w:pPr>
            <w:r>
              <w:rPr>
                <w:rFonts w:ascii="Arial" w:cs="Arial" w:eastAsia="Arial" w:hAnsi="Arial"/>
                <w:sz w:val="18"/>
                <w:szCs w:val="18"/>
                <w:color w:val="auto"/>
              </w:rPr>
              <w:t>Compliance with Environmental Laws</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6.14</w:t>
            </w:r>
          </w:p>
        </w:tc>
        <w:tc>
          <w:tcPr>
            <w:tcW w:w="7700" w:type="dxa"/>
            <w:vAlign w:val="bottom"/>
          </w:tcPr>
          <w:p>
            <w:pPr>
              <w:ind w:left="320"/>
              <w:spacing w:after="0"/>
              <w:rPr>
                <w:sz w:val="20"/>
                <w:szCs w:val="20"/>
                <w:color w:val="auto"/>
              </w:rPr>
            </w:pPr>
            <w:r>
              <w:rPr>
                <w:rFonts w:ascii="Arial" w:cs="Arial" w:eastAsia="Arial" w:hAnsi="Arial"/>
                <w:sz w:val="18"/>
                <w:szCs w:val="18"/>
                <w:color w:val="auto"/>
              </w:rPr>
              <w:t>Information Regarding Collateral</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6.15</w:t>
            </w:r>
          </w:p>
        </w:tc>
        <w:tc>
          <w:tcPr>
            <w:tcW w:w="7700" w:type="dxa"/>
            <w:vAlign w:val="bottom"/>
          </w:tcPr>
          <w:p>
            <w:pPr>
              <w:ind w:left="320"/>
              <w:spacing w:after="0"/>
              <w:rPr>
                <w:sz w:val="20"/>
                <w:szCs w:val="20"/>
                <w:color w:val="auto"/>
              </w:rPr>
            </w:pPr>
            <w:r>
              <w:rPr>
                <w:rFonts w:ascii="Arial" w:cs="Arial" w:eastAsia="Arial" w:hAnsi="Arial"/>
                <w:sz w:val="18"/>
                <w:szCs w:val="18"/>
                <w:color w:val="auto"/>
              </w:rPr>
              <w:t>Maintenance of Debt Ratings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6.16</w:t>
            </w:r>
          </w:p>
        </w:tc>
        <w:tc>
          <w:tcPr>
            <w:tcW w:w="7700" w:type="dxa"/>
            <w:vAlign w:val="bottom"/>
          </w:tcPr>
          <w:p>
            <w:pPr>
              <w:ind w:left="320"/>
              <w:spacing w:after="0"/>
              <w:rPr>
                <w:sz w:val="20"/>
                <w:szCs w:val="20"/>
                <w:color w:val="auto"/>
              </w:rPr>
            </w:pPr>
            <w:r>
              <w:rPr>
                <w:rFonts w:ascii="Arial" w:cs="Arial" w:eastAsia="Arial" w:hAnsi="Arial"/>
                <w:sz w:val="18"/>
                <w:szCs w:val="18"/>
                <w:color w:val="auto"/>
              </w:rPr>
              <w:t>Further Assurances</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6.17</w:t>
            </w:r>
          </w:p>
        </w:tc>
        <w:tc>
          <w:tcPr>
            <w:tcW w:w="7700" w:type="dxa"/>
            <w:vAlign w:val="bottom"/>
          </w:tcPr>
          <w:p>
            <w:pPr>
              <w:ind w:left="320"/>
              <w:spacing w:after="0"/>
              <w:rPr>
                <w:sz w:val="20"/>
                <w:szCs w:val="20"/>
                <w:color w:val="auto"/>
              </w:rPr>
            </w:pPr>
            <w:r>
              <w:rPr>
                <w:rFonts w:ascii="Arial" w:cs="Arial" w:eastAsia="Arial" w:hAnsi="Arial"/>
                <w:sz w:val="18"/>
                <w:szCs w:val="18"/>
                <w:color w:val="auto"/>
              </w:rPr>
              <w:t>Post-Closing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6.18</w:t>
            </w:r>
          </w:p>
        </w:tc>
        <w:tc>
          <w:tcPr>
            <w:tcW w:w="7700" w:type="dxa"/>
            <w:vAlign w:val="bottom"/>
          </w:tcPr>
          <w:p>
            <w:pPr>
              <w:ind w:left="320"/>
              <w:spacing w:after="0"/>
              <w:rPr>
                <w:sz w:val="20"/>
                <w:szCs w:val="20"/>
                <w:color w:val="auto"/>
              </w:rPr>
            </w:pPr>
            <w:r>
              <w:rPr>
                <w:rFonts w:ascii="Arial" w:cs="Arial" w:eastAsia="Arial" w:hAnsi="Arial"/>
                <w:sz w:val="18"/>
                <w:szCs w:val="18"/>
                <w:color w:val="auto"/>
              </w:rPr>
              <w:t>Lender Meeting</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VII</w:t>
            </w:r>
          </w:p>
        </w:tc>
        <w:tc>
          <w:tcPr>
            <w:tcW w:w="7700" w:type="dxa"/>
            <w:vAlign w:val="bottom"/>
          </w:tcPr>
          <w:p>
            <w:pPr>
              <w:ind w:left="680"/>
              <w:spacing w:after="0"/>
              <w:rPr>
                <w:sz w:val="20"/>
                <w:szCs w:val="20"/>
                <w:color w:val="auto"/>
              </w:rPr>
            </w:pPr>
            <w:r>
              <w:rPr>
                <w:rFonts w:ascii="Arial" w:cs="Arial" w:eastAsia="Arial" w:hAnsi="Arial"/>
                <w:sz w:val="18"/>
                <w:szCs w:val="18"/>
                <w:color w:val="auto"/>
              </w:rPr>
              <w:t>NEGATIVE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7.01</w:t>
            </w:r>
          </w:p>
        </w:tc>
        <w:tc>
          <w:tcPr>
            <w:tcW w:w="7700" w:type="dxa"/>
            <w:vAlign w:val="bottom"/>
          </w:tcPr>
          <w:p>
            <w:pPr>
              <w:ind w:left="320"/>
              <w:spacing w:after="0"/>
              <w:rPr>
                <w:sz w:val="20"/>
                <w:szCs w:val="20"/>
                <w:color w:val="auto"/>
              </w:rPr>
            </w:pPr>
            <w:r>
              <w:rPr>
                <w:rFonts w:ascii="Arial" w:cs="Arial" w:eastAsia="Arial" w:hAnsi="Arial"/>
                <w:sz w:val="18"/>
                <w:szCs w:val="18"/>
                <w:color w:val="auto"/>
              </w:rPr>
              <w:t>Liens</w:t>
            </w:r>
          </w:p>
        </w:tc>
        <w:tc>
          <w:tcPr>
            <w:tcW w:w="24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7.02</w:t>
            </w:r>
          </w:p>
        </w:tc>
        <w:tc>
          <w:tcPr>
            <w:tcW w:w="7700" w:type="dxa"/>
            <w:vAlign w:val="bottom"/>
          </w:tcPr>
          <w:p>
            <w:pPr>
              <w:ind w:left="320"/>
              <w:spacing w:after="0"/>
              <w:rPr>
                <w:sz w:val="20"/>
                <w:szCs w:val="20"/>
                <w:color w:val="auto"/>
              </w:rPr>
            </w:pPr>
            <w:r>
              <w:rPr>
                <w:rFonts w:ascii="Arial" w:cs="Arial" w:eastAsia="Arial" w:hAnsi="Arial"/>
                <w:sz w:val="18"/>
                <w:szCs w:val="18"/>
                <w:color w:val="auto"/>
              </w:rPr>
              <w:t>Indebtedness</w:t>
            </w:r>
          </w:p>
        </w:tc>
        <w:tc>
          <w:tcPr>
            <w:tcW w:w="24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7.03</w:t>
            </w:r>
          </w:p>
        </w:tc>
        <w:tc>
          <w:tcPr>
            <w:tcW w:w="7700" w:type="dxa"/>
            <w:vAlign w:val="bottom"/>
          </w:tcPr>
          <w:p>
            <w:pPr>
              <w:ind w:left="320"/>
              <w:spacing w:after="0"/>
              <w:rPr>
                <w:sz w:val="20"/>
                <w:szCs w:val="20"/>
                <w:color w:val="auto"/>
              </w:rPr>
            </w:pPr>
            <w:r>
              <w:rPr>
                <w:rFonts w:ascii="Arial" w:cs="Arial" w:eastAsia="Arial" w:hAnsi="Arial"/>
                <w:sz w:val="18"/>
                <w:szCs w:val="18"/>
                <w:color w:val="auto"/>
              </w:rPr>
              <w:t>Investments and Acquisitions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7.04</w:t>
            </w:r>
          </w:p>
        </w:tc>
        <w:tc>
          <w:tcPr>
            <w:tcW w:w="7700" w:type="dxa"/>
            <w:vAlign w:val="bottom"/>
          </w:tcPr>
          <w:p>
            <w:pPr>
              <w:ind w:left="320"/>
              <w:spacing w:after="0"/>
              <w:rPr>
                <w:sz w:val="20"/>
                <w:szCs w:val="20"/>
                <w:color w:val="auto"/>
              </w:rPr>
            </w:pPr>
            <w:r>
              <w:rPr>
                <w:rFonts w:ascii="Arial" w:cs="Arial" w:eastAsia="Arial" w:hAnsi="Arial"/>
                <w:sz w:val="18"/>
                <w:szCs w:val="18"/>
                <w:color w:val="auto"/>
              </w:rPr>
              <w:t>Fundamental Changes</w:t>
            </w:r>
          </w:p>
        </w:tc>
        <w:tc>
          <w:tcPr>
            <w:tcW w:w="24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7.05</w:t>
            </w:r>
          </w:p>
        </w:tc>
        <w:tc>
          <w:tcPr>
            <w:tcW w:w="7700" w:type="dxa"/>
            <w:vAlign w:val="bottom"/>
          </w:tcPr>
          <w:p>
            <w:pPr>
              <w:ind w:left="320"/>
              <w:spacing w:after="0"/>
              <w:rPr>
                <w:sz w:val="20"/>
                <w:szCs w:val="20"/>
                <w:color w:val="auto"/>
              </w:rPr>
            </w:pPr>
            <w:r>
              <w:rPr>
                <w:rFonts w:ascii="Arial" w:cs="Arial" w:eastAsia="Arial" w:hAnsi="Arial"/>
                <w:sz w:val="18"/>
                <w:szCs w:val="18"/>
                <w:color w:val="auto"/>
              </w:rPr>
              <w:t>Dispositions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7.06</w:t>
            </w:r>
          </w:p>
        </w:tc>
        <w:tc>
          <w:tcPr>
            <w:tcW w:w="7700" w:type="dxa"/>
            <w:vAlign w:val="bottom"/>
          </w:tcPr>
          <w:p>
            <w:pPr>
              <w:ind w:left="320"/>
              <w:spacing w:after="0"/>
              <w:rPr>
                <w:sz w:val="20"/>
                <w:szCs w:val="20"/>
                <w:color w:val="auto"/>
              </w:rPr>
            </w:pPr>
            <w:r>
              <w:rPr>
                <w:rFonts w:ascii="Arial" w:cs="Arial" w:eastAsia="Arial" w:hAnsi="Arial"/>
                <w:sz w:val="18"/>
                <w:szCs w:val="18"/>
                <w:color w:val="auto"/>
              </w:rPr>
              <w:t>Restricted 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7.07</w:t>
            </w:r>
          </w:p>
        </w:tc>
        <w:tc>
          <w:tcPr>
            <w:tcW w:w="7700" w:type="dxa"/>
            <w:vAlign w:val="bottom"/>
          </w:tcPr>
          <w:p>
            <w:pPr>
              <w:ind w:left="320"/>
              <w:spacing w:after="0"/>
              <w:rPr>
                <w:sz w:val="20"/>
                <w:szCs w:val="20"/>
                <w:color w:val="auto"/>
              </w:rPr>
            </w:pPr>
            <w:r>
              <w:rPr>
                <w:rFonts w:ascii="Arial" w:cs="Arial" w:eastAsia="Arial" w:hAnsi="Arial"/>
                <w:sz w:val="18"/>
                <w:szCs w:val="18"/>
                <w:color w:val="auto"/>
              </w:rPr>
              <w:t>Change in Nature of Business</w:t>
            </w:r>
          </w:p>
        </w:tc>
        <w:tc>
          <w:tcPr>
            <w:tcW w:w="24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7.08</w:t>
            </w:r>
          </w:p>
        </w:tc>
        <w:tc>
          <w:tcPr>
            <w:tcW w:w="7700" w:type="dxa"/>
            <w:vAlign w:val="bottom"/>
          </w:tcPr>
          <w:p>
            <w:pPr>
              <w:ind w:left="320"/>
              <w:spacing w:after="0"/>
              <w:rPr>
                <w:sz w:val="20"/>
                <w:szCs w:val="20"/>
                <w:color w:val="auto"/>
              </w:rPr>
            </w:pPr>
            <w:r>
              <w:rPr>
                <w:rFonts w:ascii="Arial" w:cs="Arial" w:eastAsia="Arial" w:hAnsi="Arial"/>
                <w:sz w:val="18"/>
                <w:szCs w:val="18"/>
                <w:color w:val="auto"/>
              </w:rPr>
              <w:t>Transactions with Affiliates</w:t>
            </w:r>
          </w:p>
        </w:tc>
        <w:tc>
          <w:tcPr>
            <w:tcW w:w="24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7.09</w:t>
            </w:r>
          </w:p>
        </w:tc>
        <w:tc>
          <w:tcPr>
            <w:tcW w:w="7700" w:type="dxa"/>
            <w:vAlign w:val="bottom"/>
          </w:tcPr>
          <w:p>
            <w:pPr>
              <w:ind w:left="320"/>
              <w:spacing w:after="0"/>
              <w:rPr>
                <w:sz w:val="20"/>
                <w:szCs w:val="20"/>
                <w:color w:val="auto"/>
              </w:rPr>
            </w:pPr>
            <w:r>
              <w:rPr>
                <w:rFonts w:ascii="Arial" w:cs="Arial" w:eastAsia="Arial" w:hAnsi="Arial"/>
                <w:sz w:val="18"/>
                <w:szCs w:val="18"/>
                <w:color w:val="auto"/>
              </w:rPr>
              <w:t>Burdensome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7.10</w:t>
            </w:r>
          </w:p>
        </w:tc>
        <w:tc>
          <w:tcPr>
            <w:tcW w:w="7700" w:type="dxa"/>
            <w:vAlign w:val="bottom"/>
          </w:tcPr>
          <w:p>
            <w:pPr>
              <w:ind w:left="320"/>
              <w:spacing w:after="0"/>
              <w:rPr>
                <w:sz w:val="20"/>
                <w:szCs w:val="20"/>
                <w:color w:val="auto"/>
              </w:rPr>
            </w:pPr>
            <w:r>
              <w:rPr>
                <w:rFonts w:ascii="Arial" w:cs="Arial" w:eastAsia="Arial" w:hAnsi="Arial"/>
                <w:sz w:val="18"/>
                <w:szCs w:val="18"/>
                <w:color w:val="auto"/>
              </w:rPr>
              <w:t>Use of Proceeds</w:t>
            </w:r>
          </w:p>
        </w:tc>
        <w:tc>
          <w:tcPr>
            <w:tcW w:w="24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1140" w:type="dxa"/>
            <w:vAlign w:val="bottom"/>
          </w:tcPr>
          <w:p>
            <w:pPr>
              <w:jc w:val="right"/>
              <w:ind w:right="370"/>
              <w:spacing w:after="0"/>
              <w:rPr>
                <w:sz w:val="20"/>
                <w:szCs w:val="20"/>
                <w:color w:val="auto"/>
              </w:rPr>
            </w:pPr>
            <w:r>
              <w:rPr>
                <w:rFonts w:ascii="Arial" w:cs="Arial" w:eastAsia="Arial" w:hAnsi="Arial"/>
                <w:sz w:val="18"/>
                <w:szCs w:val="18"/>
                <w:color w:val="auto"/>
              </w:rPr>
              <w:t>7.11</w:t>
            </w:r>
          </w:p>
        </w:tc>
        <w:tc>
          <w:tcPr>
            <w:tcW w:w="7700" w:type="dxa"/>
            <w:vAlign w:val="bottom"/>
          </w:tcPr>
          <w:p>
            <w:pPr>
              <w:ind w:left="320"/>
              <w:spacing w:after="0"/>
              <w:rPr>
                <w:sz w:val="20"/>
                <w:szCs w:val="20"/>
                <w:color w:val="auto"/>
              </w:rPr>
            </w:pPr>
            <w:r>
              <w:rPr>
                <w:rFonts w:ascii="Arial" w:cs="Arial" w:eastAsia="Arial" w:hAnsi="Arial"/>
                <w:sz w:val="18"/>
                <w:szCs w:val="18"/>
                <w:color w:val="auto"/>
              </w:rPr>
              <w:t>Amendments of Organization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65"/>
        </w:trPr>
        <w:tc>
          <w:tcPr>
            <w:tcW w:w="1140" w:type="dxa"/>
            <w:vAlign w:val="bottom"/>
          </w:tcPr>
          <w:p>
            <w:pPr>
              <w:spacing w:after="0"/>
              <w:rPr>
                <w:sz w:val="24"/>
                <w:szCs w:val="24"/>
                <w:color w:val="auto"/>
              </w:rPr>
            </w:pPr>
          </w:p>
        </w:tc>
        <w:tc>
          <w:tcPr>
            <w:tcW w:w="7700" w:type="dxa"/>
            <w:vAlign w:val="bottom"/>
          </w:tcPr>
          <w:p>
            <w:pPr>
              <w:jc w:val="center"/>
              <w:ind w:left="1350"/>
              <w:spacing w:after="0"/>
              <w:rPr>
                <w:sz w:val="20"/>
                <w:szCs w:val="20"/>
                <w:color w:val="auto"/>
              </w:rPr>
            </w:pPr>
            <w:r>
              <w:rPr>
                <w:rFonts w:ascii="Arial" w:cs="Arial" w:eastAsia="Arial" w:hAnsi="Arial"/>
                <w:sz w:val="18"/>
                <w:szCs w:val="18"/>
                <w:color w:val="auto"/>
              </w:rPr>
              <w:t>-iii-</w:t>
            </w:r>
          </w:p>
        </w:tc>
        <w:tc>
          <w:tcPr>
            <w:tcW w:w="248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23" w:name="page24"/>
    <w:bookmarkEnd w:id="2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160" w:type="dxa"/>
            <w:vAlign w:val="bottom"/>
          </w:tcPr>
          <w:p>
            <w:pPr>
              <w:ind w:left="360"/>
              <w:spacing w:after="0"/>
              <w:rPr>
                <w:sz w:val="20"/>
                <w:szCs w:val="20"/>
                <w:color w:val="auto"/>
              </w:rPr>
            </w:pPr>
            <w:r>
              <w:rPr>
                <w:rFonts w:ascii="Arial" w:cs="Arial" w:eastAsia="Arial" w:hAnsi="Arial"/>
                <w:sz w:val="18"/>
                <w:szCs w:val="18"/>
                <w:color w:val="auto"/>
              </w:rPr>
              <w:t>7.12</w:t>
            </w:r>
          </w:p>
        </w:tc>
        <w:tc>
          <w:tcPr>
            <w:tcW w:w="7700" w:type="dxa"/>
            <w:vAlign w:val="bottom"/>
          </w:tcPr>
          <w:p>
            <w:pPr>
              <w:ind w:left="300"/>
              <w:spacing w:after="0"/>
              <w:rPr>
                <w:sz w:val="20"/>
                <w:szCs w:val="20"/>
                <w:color w:val="auto"/>
              </w:rPr>
            </w:pPr>
            <w:r>
              <w:rPr>
                <w:rFonts w:ascii="Arial" w:cs="Arial" w:eastAsia="Arial" w:hAnsi="Arial"/>
                <w:sz w:val="18"/>
                <w:szCs w:val="18"/>
                <w:color w:val="auto"/>
              </w:rPr>
              <w:t>Accounting Changes</w:t>
            </w:r>
          </w:p>
        </w:tc>
        <w:tc>
          <w:tcPr>
            <w:tcW w:w="24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7.13</w:t>
            </w:r>
          </w:p>
        </w:tc>
        <w:tc>
          <w:tcPr>
            <w:tcW w:w="7700" w:type="dxa"/>
            <w:vAlign w:val="bottom"/>
          </w:tcPr>
          <w:p>
            <w:pPr>
              <w:ind w:left="300"/>
              <w:spacing w:after="0"/>
              <w:rPr>
                <w:sz w:val="20"/>
                <w:szCs w:val="20"/>
                <w:color w:val="auto"/>
              </w:rPr>
            </w:pPr>
            <w:r>
              <w:rPr>
                <w:rFonts w:ascii="Arial" w:cs="Arial" w:eastAsia="Arial" w:hAnsi="Arial"/>
                <w:sz w:val="18"/>
                <w:szCs w:val="18"/>
                <w:color w:val="auto"/>
              </w:rPr>
              <w:t>Sanctions; FCPA</w:t>
            </w:r>
          </w:p>
        </w:tc>
        <w:tc>
          <w:tcPr>
            <w:tcW w:w="24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7.14</w:t>
            </w:r>
          </w:p>
        </w:tc>
        <w:tc>
          <w:tcPr>
            <w:tcW w:w="7700" w:type="dxa"/>
            <w:vAlign w:val="bottom"/>
          </w:tcPr>
          <w:p>
            <w:pPr>
              <w:ind w:left="300"/>
              <w:spacing w:after="0"/>
              <w:rPr>
                <w:sz w:val="20"/>
                <w:szCs w:val="20"/>
                <w:color w:val="auto"/>
              </w:rPr>
            </w:pPr>
            <w:r>
              <w:rPr>
                <w:rFonts w:ascii="Arial" w:cs="Arial" w:eastAsia="Arial" w:hAnsi="Arial"/>
                <w:sz w:val="18"/>
                <w:szCs w:val="18"/>
                <w:color w:val="auto"/>
              </w:rPr>
              <w:t>Financial Covenant</w:t>
            </w:r>
          </w:p>
        </w:tc>
        <w:tc>
          <w:tcPr>
            <w:tcW w:w="24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7.15</w:t>
            </w:r>
          </w:p>
        </w:tc>
        <w:tc>
          <w:tcPr>
            <w:tcW w:w="7700" w:type="dxa"/>
            <w:vAlign w:val="bottom"/>
          </w:tcPr>
          <w:p>
            <w:pPr>
              <w:ind w:left="300"/>
              <w:spacing w:after="0"/>
              <w:rPr>
                <w:sz w:val="20"/>
                <w:szCs w:val="20"/>
                <w:color w:val="auto"/>
              </w:rPr>
            </w:pPr>
            <w:r>
              <w:rPr>
                <w:rFonts w:ascii="Arial" w:cs="Arial" w:eastAsia="Arial" w:hAnsi="Arial"/>
                <w:sz w:val="18"/>
                <w:szCs w:val="18"/>
                <w:color w:val="auto"/>
              </w:rPr>
              <w:t>Restrictions Pertaining to Certain Indebtedness</w:t>
            </w:r>
          </w:p>
        </w:tc>
        <w:tc>
          <w:tcPr>
            <w:tcW w:w="24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7.16</w:t>
            </w:r>
          </w:p>
        </w:tc>
        <w:tc>
          <w:tcPr>
            <w:tcW w:w="7700" w:type="dxa"/>
            <w:vAlign w:val="bottom"/>
          </w:tcPr>
          <w:p>
            <w:pPr>
              <w:ind w:left="300"/>
              <w:spacing w:after="0"/>
              <w:rPr>
                <w:sz w:val="20"/>
                <w:szCs w:val="20"/>
                <w:color w:val="auto"/>
              </w:rPr>
            </w:pPr>
            <w:r>
              <w:rPr>
                <w:rFonts w:ascii="Arial" w:cs="Arial" w:eastAsia="Arial" w:hAnsi="Arial"/>
                <w:sz w:val="18"/>
                <w:szCs w:val="18"/>
                <w:color w:val="auto"/>
              </w:rPr>
              <w:t>New Notes</w:t>
            </w:r>
          </w:p>
        </w:tc>
        <w:tc>
          <w:tcPr>
            <w:tcW w:w="24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VIII</w:t>
            </w:r>
          </w:p>
        </w:tc>
        <w:tc>
          <w:tcPr>
            <w:tcW w:w="7700" w:type="dxa"/>
            <w:vAlign w:val="bottom"/>
          </w:tcPr>
          <w:p>
            <w:pPr>
              <w:ind w:left="660"/>
              <w:spacing w:after="0"/>
              <w:rPr>
                <w:sz w:val="20"/>
                <w:szCs w:val="20"/>
                <w:color w:val="auto"/>
              </w:rPr>
            </w:pPr>
            <w:r>
              <w:rPr>
                <w:rFonts w:ascii="Arial" w:cs="Arial" w:eastAsia="Arial" w:hAnsi="Arial"/>
                <w:sz w:val="18"/>
                <w:szCs w:val="18"/>
                <w:color w:val="auto"/>
              </w:rPr>
              <w:t>EVENTS OF DEFAULT AND REMEDIES</w:t>
            </w:r>
          </w:p>
        </w:tc>
        <w:tc>
          <w:tcPr>
            <w:tcW w:w="24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8.01</w:t>
            </w:r>
          </w:p>
        </w:tc>
        <w:tc>
          <w:tcPr>
            <w:tcW w:w="7700" w:type="dxa"/>
            <w:vAlign w:val="bottom"/>
          </w:tcPr>
          <w:p>
            <w:pPr>
              <w:ind w:left="300"/>
              <w:spacing w:after="0"/>
              <w:rPr>
                <w:sz w:val="20"/>
                <w:szCs w:val="20"/>
                <w:color w:val="auto"/>
              </w:rPr>
            </w:pPr>
            <w:r>
              <w:rPr>
                <w:rFonts w:ascii="Arial" w:cs="Arial" w:eastAsia="Arial" w:hAnsi="Arial"/>
                <w:sz w:val="18"/>
                <w:szCs w:val="18"/>
                <w:color w:val="auto"/>
              </w:rPr>
              <w:t>Events of Default</w:t>
            </w:r>
          </w:p>
        </w:tc>
        <w:tc>
          <w:tcPr>
            <w:tcW w:w="24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8.02</w:t>
            </w:r>
          </w:p>
        </w:tc>
        <w:tc>
          <w:tcPr>
            <w:tcW w:w="7700" w:type="dxa"/>
            <w:vAlign w:val="bottom"/>
          </w:tcPr>
          <w:p>
            <w:pPr>
              <w:ind w:left="300"/>
              <w:spacing w:after="0"/>
              <w:rPr>
                <w:sz w:val="20"/>
                <w:szCs w:val="20"/>
                <w:color w:val="auto"/>
              </w:rPr>
            </w:pPr>
            <w:r>
              <w:rPr>
                <w:rFonts w:ascii="Arial" w:cs="Arial" w:eastAsia="Arial" w:hAnsi="Arial"/>
                <w:sz w:val="18"/>
                <w:szCs w:val="18"/>
                <w:color w:val="auto"/>
              </w:rPr>
              <w:t>Remedies upon Event of Default</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8.03</w:t>
            </w:r>
          </w:p>
        </w:tc>
        <w:tc>
          <w:tcPr>
            <w:tcW w:w="7700" w:type="dxa"/>
            <w:vAlign w:val="bottom"/>
          </w:tcPr>
          <w:p>
            <w:pPr>
              <w:ind w:left="300"/>
              <w:spacing w:after="0"/>
              <w:rPr>
                <w:sz w:val="20"/>
                <w:szCs w:val="20"/>
                <w:color w:val="auto"/>
              </w:rPr>
            </w:pPr>
            <w:r>
              <w:rPr>
                <w:rFonts w:ascii="Arial" w:cs="Arial" w:eastAsia="Arial" w:hAnsi="Arial"/>
                <w:sz w:val="18"/>
                <w:szCs w:val="18"/>
                <w:color w:val="auto"/>
              </w:rPr>
              <w:t>Application of Funds</w:t>
            </w:r>
          </w:p>
        </w:tc>
        <w:tc>
          <w:tcPr>
            <w:tcW w:w="24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IX</w:t>
            </w:r>
          </w:p>
        </w:tc>
        <w:tc>
          <w:tcPr>
            <w:tcW w:w="7700" w:type="dxa"/>
            <w:vAlign w:val="bottom"/>
          </w:tcPr>
          <w:p>
            <w:pPr>
              <w:ind w:left="660"/>
              <w:spacing w:after="0"/>
              <w:rPr>
                <w:sz w:val="20"/>
                <w:szCs w:val="20"/>
                <w:color w:val="auto"/>
              </w:rPr>
            </w:pPr>
            <w:r>
              <w:rPr>
                <w:rFonts w:ascii="Arial" w:cs="Arial" w:eastAsia="Arial" w:hAnsi="Arial"/>
                <w:sz w:val="18"/>
                <w:szCs w:val="18"/>
                <w:color w:val="auto"/>
              </w:rPr>
              <w:t>ADMINISTRATIVE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9.01</w:t>
            </w:r>
          </w:p>
        </w:tc>
        <w:tc>
          <w:tcPr>
            <w:tcW w:w="7700" w:type="dxa"/>
            <w:vAlign w:val="bottom"/>
          </w:tcPr>
          <w:p>
            <w:pPr>
              <w:ind w:left="300"/>
              <w:spacing w:after="0"/>
              <w:rPr>
                <w:sz w:val="20"/>
                <w:szCs w:val="20"/>
                <w:color w:val="auto"/>
              </w:rPr>
            </w:pPr>
            <w:r>
              <w:rPr>
                <w:rFonts w:ascii="Arial" w:cs="Arial" w:eastAsia="Arial" w:hAnsi="Arial"/>
                <w:sz w:val="18"/>
                <w:szCs w:val="18"/>
                <w:color w:val="auto"/>
              </w:rPr>
              <w:t>Appointment of the Administrative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9.02</w:t>
            </w:r>
          </w:p>
        </w:tc>
        <w:tc>
          <w:tcPr>
            <w:tcW w:w="7700" w:type="dxa"/>
            <w:vAlign w:val="bottom"/>
          </w:tcPr>
          <w:p>
            <w:pPr>
              <w:ind w:left="300"/>
              <w:spacing w:after="0"/>
              <w:rPr>
                <w:sz w:val="20"/>
                <w:szCs w:val="20"/>
                <w:color w:val="auto"/>
              </w:rPr>
            </w:pPr>
            <w:r>
              <w:rPr>
                <w:rFonts w:ascii="Arial" w:cs="Arial" w:eastAsia="Arial" w:hAnsi="Arial"/>
                <w:sz w:val="18"/>
                <w:szCs w:val="18"/>
                <w:color w:val="auto"/>
              </w:rPr>
              <w:t>Nature of Duties of the Administrative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9.03</w:t>
            </w:r>
          </w:p>
        </w:tc>
        <w:tc>
          <w:tcPr>
            <w:tcW w:w="7700" w:type="dxa"/>
            <w:vAlign w:val="bottom"/>
          </w:tcPr>
          <w:p>
            <w:pPr>
              <w:ind w:left="300"/>
              <w:spacing w:after="0"/>
              <w:rPr>
                <w:sz w:val="20"/>
                <w:szCs w:val="20"/>
                <w:color w:val="auto"/>
              </w:rPr>
            </w:pPr>
            <w:r>
              <w:rPr>
                <w:rFonts w:ascii="Arial" w:cs="Arial" w:eastAsia="Arial" w:hAnsi="Arial"/>
                <w:sz w:val="18"/>
                <w:szCs w:val="18"/>
                <w:color w:val="auto"/>
              </w:rPr>
              <w:t>Lack of Reliance on the Administrative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9.04</w:t>
            </w:r>
          </w:p>
        </w:tc>
        <w:tc>
          <w:tcPr>
            <w:tcW w:w="7700" w:type="dxa"/>
            <w:vAlign w:val="bottom"/>
          </w:tcPr>
          <w:p>
            <w:pPr>
              <w:ind w:left="300"/>
              <w:spacing w:after="0"/>
              <w:rPr>
                <w:sz w:val="20"/>
                <w:szCs w:val="20"/>
                <w:color w:val="auto"/>
              </w:rPr>
            </w:pPr>
            <w:r>
              <w:rPr>
                <w:rFonts w:ascii="Arial" w:cs="Arial" w:eastAsia="Arial" w:hAnsi="Arial"/>
                <w:sz w:val="18"/>
                <w:szCs w:val="18"/>
                <w:color w:val="auto"/>
              </w:rPr>
              <w:t>Certain Rights of the Administrative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9.05</w:t>
            </w:r>
          </w:p>
        </w:tc>
        <w:tc>
          <w:tcPr>
            <w:tcW w:w="7700" w:type="dxa"/>
            <w:vAlign w:val="bottom"/>
          </w:tcPr>
          <w:p>
            <w:pPr>
              <w:ind w:left="300"/>
              <w:spacing w:after="0"/>
              <w:rPr>
                <w:sz w:val="20"/>
                <w:szCs w:val="20"/>
                <w:color w:val="auto"/>
              </w:rPr>
            </w:pPr>
            <w:r>
              <w:rPr>
                <w:rFonts w:ascii="Arial" w:cs="Arial" w:eastAsia="Arial" w:hAnsi="Arial"/>
                <w:sz w:val="18"/>
                <w:szCs w:val="18"/>
                <w:color w:val="auto"/>
              </w:rPr>
              <w:t>Reliance by the Administrative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9.06</w:t>
            </w:r>
          </w:p>
        </w:tc>
        <w:tc>
          <w:tcPr>
            <w:tcW w:w="7700" w:type="dxa"/>
            <w:vAlign w:val="bottom"/>
          </w:tcPr>
          <w:p>
            <w:pPr>
              <w:ind w:left="300"/>
              <w:spacing w:after="0"/>
              <w:rPr>
                <w:sz w:val="20"/>
                <w:szCs w:val="20"/>
                <w:color w:val="auto"/>
              </w:rPr>
            </w:pPr>
            <w:r>
              <w:rPr>
                <w:rFonts w:ascii="Arial" w:cs="Arial" w:eastAsia="Arial" w:hAnsi="Arial"/>
                <w:sz w:val="18"/>
                <w:szCs w:val="18"/>
                <w:color w:val="auto"/>
              </w:rPr>
              <w:t>The Administrative Agent in its Individual Capacity</w:t>
            </w:r>
          </w:p>
        </w:tc>
        <w:tc>
          <w:tcPr>
            <w:tcW w:w="24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9.07</w:t>
            </w:r>
          </w:p>
        </w:tc>
        <w:tc>
          <w:tcPr>
            <w:tcW w:w="7700" w:type="dxa"/>
            <w:vAlign w:val="bottom"/>
          </w:tcPr>
          <w:p>
            <w:pPr>
              <w:ind w:left="300"/>
              <w:spacing w:after="0"/>
              <w:rPr>
                <w:sz w:val="20"/>
                <w:szCs w:val="20"/>
                <w:color w:val="auto"/>
              </w:rPr>
            </w:pPr>
            <w:r>
              <w:rPr>
                <w:rFonts w:ascii="Arial" w:cs="Arial" w:eastAsia="Arial" w:hAnsi="Arial"/>
                <w:sz w:val="18"/>
                <w:szCs w:val="18"/>
                <w:color w:val="auto"/>
              </w:rPr>
              <w:t>Successor Administrative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9.08</w:t>
            </w:r>
          </w:p>
        </w:tc>
        <w:tc>
          <w:tcPr>
            <w:tcW w:w="7700" w:type="dxa"/>
            <w:vAlign w:val="bottom"/>
          </w:tcPr>
          <w:p>
            <w:pPr>
              <w:ind w:left="300"/>
              <w:spacing w:after="0"/>
              <w:rPr>
                <w:sz w:val="20"/>
                <w:szCs w:val="20"/>
                <w:color w:val="auto"/>
              </w:rPr>
            </w:pPr>
            <w:r>
              <w:rPr>
                <w:rFonts w:ascii="Arial" w:cs="Arial" w:eastAsia="Arial" w:hAnsi="Arial"/>
                <w:sz w:val="18"/>
                <w:szCs w:val="18"/>
                <w:color w:val="auto"/>
              </w:rPr>
              <w:t>Withholding Tax</w:t>
            </w:r>
          </w:p>
        </w:tc>
        <w:tc>
          <w:tcPr>
            <w:tcW w:w="24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9.09</w:t>
            </w:r>
          </w:p>
        </w:tc>
        <w:tc>
          <w:tcPr>
            <w:tcW w:w="7700" w:type="dxa"/>
            <w:vAlign w:val="bottom"/>
          </w:tcPr>
          <w:p>
            <w:pPr>
              <w:ind w:left="300"/>
              <w:spacing w:after="0"/>
              <w:rPr>
                <w:sz w:val="20"/>
                <w:szCs w:val="20"/>
                <w:color w:val="auto"/>
              </w:rPr>
            </w:pPr>
            <w:r>
              <w:rPr>
                <w:rFonts w:ascii="Arial" w:cs="Arial" w:eastAsia="Arial" w:hAnsi="Arial"/>
                <w:sz w:val="18"/>
                <w:szCs w:val="18"/>
                <w:color w:val="auto"/>
              </w:rPr>
              <w:t>The Administrative Agent May File Proofs of Claim; Credit Bidding</w:t>
            </w:r>
          </w:p>
        </w:tc>
        <w:tc>
          <w:tcPr>
            <w:tcW w:w="24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9.10</w:t>
            </w:r>
          </w:p>
        </w:tc>
        <w:tc>
          <w:tcPr>
            <w:tcW w:w="7700" w:type="dxa"/>
            <w:vAlign w:val="bottom"/>
          </w:tcPr>
          <w:p>
            <w:pPr>
              <w:ind w:left="300"/>
              <w:spacing w:after="0"/>
              <w:rPr>
                <w:sz w:val="20"/>
                <w:szCs w:val="20"/>
                <w:color w:val="auto"/>
              </w:rPr>
            </w:pPr>
            <w:r>
              <w:rPr>
                <w:rFonts w:ascii="Arial" w:cs="Arial" w:eastAsia="Arial" w:hAnsi="Arial"/>
                <w:sz w:val="18"/>
                <w:szCs w:val="18"/>
                <w:color w:val="auto"/>
              </w:rPr>
              <w:t>Authorization to Execute Other Loan Documents</w:t>
            </w:r>
          </w:p>
        </w:tc>
        <w:tc>
          <w:tcPr>
            <w:tcW w:w="24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9.11</w:t>
            </w:r>
          </w:p>
        </w:tc>
        <w:tc>
          <w:tcPr>
            <w:tcW w:w="7700" w:type="dxa"/>
            <w:vAlign w:val="bottom"/>
          </w:tcPr>
          <w:p>
            <w:pPr>
              <w:ind w:left="300"/>
              <w:spacing w:after="0"/>
              <w:rPr>
                <w:sz w:val="20"/>
                <w:szCs w:val="20"/>
                <w:color w:val="auto"/>
              </w:rPr>
            </w:pPr>
            <w:r>
              <w:rPr>
                <w:rFonts w:ascii="Arial" w:cs="Arial" w:eastAsia="Arial" w:hAnsi="Arial"/>
                <w:sz w:val="18"/>
                <w:szCs w:val="18"/>
                <w:color w:val="auto"/>
              </w:rPr>
              <w:t>Collateral and Guaranty Matters</w:t>
            </w:r>
          </w:p>
        </w:tc>
        <w:tc>
          <w:tcPr>
            <w:tcW w:w="24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9.12</w:t>
            </w:r>
          </w:p>
        </w:tc>
        <w:tc>
          <w:tcPr>
            <w:tcW w:w="7700" w:type="dxa"/>
            <w:vAlign w:val="bottom"/>
          </w:tcPr>
          <w:p>
            <w:pPr>
              <w:ind w:left="300"/>
              <w:spacing w:after="0"/>
              <w:rPr>
                <w:sz w:val="20"/>
                <w:szCs w:val="20"/>
                <w:color w:val="auto"/>
              </w:rPr>
            </w:pPr>
            <w:r>
              <w:rPr>
                <w:rFonts w:ascii="Arial" w:cs="Arial" w:eastAsia="Arial" w:hAnsi="Arial"/>
                <w:sz w:val="18"/>
                <w:szCs w:val="18"/>
                <w:color w:val="auto"/>
              </w:rPr>
              <w:t>Documentation Agents; Syndication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9.13</w:t>
            </w:r>
          </w:p>
        </w:tc>
        <w:tc>
          <w:tcPr>
            <w:tcW w:w="7700" w:type="dxa"/>
            <w:vAlign w:val="bottom"/>
          </w:tcPr>
          <w:p>
            <w:pPr>
              <w:ind w:left="300"/>
              <w:spacing w:after="0"/>
              <w:rPr>
                <w:sz w:val="20"/>
                <w:szCs w:val="20"/>
                <w:color w:val="auto"/>
              </w:rPr>
            </w:pPr>
            <w:r>
              <w:rPr>
                <w:rFonts w:ascii="Arial" w:cs="Arial" w:eastAsia="Arial" w:hAnsi="Arial"/>
                <w:sz w:val="18"/>
                <w:szCs w:val="18"/>
                <w:color w:val="auto"/>
              </w:rPr>
              <w:t>Right to Realize on Collateral and Enforce Guarantee</w:t>
            </w:r>
          </w:p>
        </w:tc>
        <w:tc>
          <w:tcPr>
            <w:tcW w:w="24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9.14</w:t>
            </w:r>
          </w:p>
        </w:tc>
        <w:tc>
          <w:tcPr>
            <w:tcW w:w="7700" w:type="dxa"/>
            <w:vAlign w:val="bottom"/>
          </w:tcPr>
          <w:p>
            <w:pPr>
              <w:ind w:left="300"/>
              <w:spacing w:after="0"/>
              <w:rPr>
                <w:sz w:val="20"/>
                <w:szCs w:val="20"/>
                <w:color w:val="auto"/>
              </w:rPr>
            </w:pPr>
            <w:r>
              <w:rPr>
                <w:rFonts w:ascii="Arial" w:cs="Arial" w:eastAsia="Arial" w:hAnsi="Arial"/>
                <w:sz w:val="18"/>
                <w:szCs w:val="18"/>
                <w:color w:val="auto"/>
              </w:rPr>
              <w:t>Secured Cash Management Agreements and Secured Hedge Agreements</w:t>
            </w:r>
          </w:p>
        </w:tc>
        <w:tc>
          <w:tcPr>
            <w:tcW w:w="24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X</w:t>
            </w:r>
          </w:p>
        </w:tc>
        <w:tc>
          <w:tcPr>
            <w:tcW w:w="7700" w:type="dxa"/>
            <w:vAlign w:val="bottom"/>
          </w:tcPr>
          <w:p>
            <w:pPr>
              <w:ind w:left="660"/>
              <w:spacing w:after="0"/>
              <w:rPr>
                <w:sz w:val="20"/>
                <w:szCs w:val="20"/>
                <w:color w:val="auto"/>
              </w:rPr>
            </w:pPr>
            <w:r>
              <w:rPr>
                <w:rFonts w:ascii="Arial" w:cs="Arial" w:eastAsia="Arial" w:hAnsi="Arial"/>
                <w:sz w:val="18"/>
                <w:szCs w:val="18"/>
                <w:color w:val="auto"/>
              </w:rPr>
              <w:t>MISCELLANEOUS</w:t>
            </w:r>
          </w:p>
        </w:tc>
        <w:tc>
          <w:tcPr>
            <w:tcW w:w="24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10.01</w:t>
            </w:r>
          </w:p>
        </w:tc>
        <w:tc>
          <w:tcPr>
            <w:tcW w:w="7700" w:type="dxa"/>
            <w:vAlign w:val="bottom"/>
          </w:tcPr>
          <w:p>
            <w:pPr>
              <w:ind w:left="300"/>
              <w:spacing w:after="0"/>
              <w:rPr>
                <w:sz w:val="20"/>
                <w:szCs w:val="20"/>
                <w:color w:val="auto"/>
              </w:rPr>
            </w:pPr>
            <w:r>
              <w:rPr>
                <w:rFonts w:ascii="Arial" w:cs="Arial" w:eastAsia="Arial" w:hAnsi="Arial"/>
                <w:sz w:val="18"/>
                <w:szCs w:val="18"/>
                <w:color w:val="auto"/>
              </w:rPr>
              <w:t>Amendments, Etc</w:t>
            </w:r>
          </w:p>
        </w:tc>
        <w:tc>
          <w:tcPr>
            <w:tcW w:w="24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10.02</w:t>
            </w:r>
          </w:p>
        </w:tc>
        <w:tc>
          <w:tcPr>
            <w:tcW w:w="7700" w:type="dxa"/>
            <w:vAlign w:val="bottom"/>
          </w:tcPr>
          <w:p>
            <w:pPr>
              <w:ind w:left="300"/>
              <w:spacing w:after="0"/>
              <w:rPr>
                <w:sz w:val="20"/>
                <w:szCs w:val="20"/>
                <w:color w:val="auto"/>
              </w:rPr>
            </w:pPr>
            <w:r>
              <w:rPr>
                <w:rFonts w:ascii="Arial" w:cs="Arial" w:eastAsia="Arial" w:hAnsi="Arial"/>
                <w:sz w:val="18"/>
                <w:szCs w:val="18"/>
                <w:color w:val="auto"/>
              </w:rPr>
              <w:t>Notices; Effectiveness; Electronic Communications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10.03</w:t>
            </w:r>
          </w:p>
        </w:tc>
        <w:tc>
          <w:tcPr>
            <w:tcW w:w="7700" w:type="dxa"/>
            <w:vAlign w:val="bottom"/>
          </w:tcPr>
          <w:p>
            <w:pPr>
              <w:ind w:left="300"/>
              <w:spacing w:after="0"/>
              <w:rPr>
                <w:sz w:val="20"/>
                <w:szCs w:val="20"/>
                <w:color w:val="auto"/>
              </w:rPr>
            </w:pPr>
            <w:r>
              <w:rPr>
                <w:rFonts w:ascii="Arial" w:cs="Arial" w:eastAsia="Arial" w:hAnsi="Arial"/>
                <w:sz w:val="18"/>
                <w:szCs w:val="18"/>
                <w:color w:val="auto"/>
              </w:rPr>
              <w:t>No Waiver; Cumulative Remedies; Enforcement</w:t>
            </w:r>
          </w:p>
        </w:tc>
        <w:tc>
          <w:tcPr>
            <w:tcW w:w="24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10.04</w:t>
            </w:r>
          </w:p>
        </w:tc>
        <w:tc>
          <w:tcPr>
            <w:tcW w:w="7700" w:type="dxa"/>
            <w:vAlign w:val="bottom"/>
          </w:tcPr>
          <w:p>
            <w:pPr>
              <w:ind w:left="300"/>
              <w:spacing w:after="0"/>
              <w:rPr>
                <w:sz w:val="20"/>
                <w:szCs w:val="20"/>
                <w:color w:val="auto"/>
              </w:rPr>
            </w:pPr>
            <w:r>
              <w:rPr>
                <w:rFonts w:ascii="Arial" w:cs="Arial" w:eastAsia="Arial" w:hAnsi="Arial"/>
                <w:sz w:val="18"/>
                <w:szCs w:val="18"/>
                <w:color w:val="auto"/>
              </w:rPr>
              <w:t>Expenses; Indemnity; Damage Waiver</w:t>
            </w:r>
          </w:p>
        </w:tc>
        <w:tc>
          <w:tcPr>
            <w:tcW w:w="24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10.05</w:t>
            </w:r>
          </w:p>
        </w:tc>
        <w:tc>
          <w:tcPr>
            <w:tcW w:w="7700" w:type="dxa"/>
            <w:vAlign w:val="bottom"/>
          </w:tcPr>
          <w:p>
            <w:pPr>
              <w:ind w:left="300"/>
              <w:spacing w:after="0"/>
              <w:rPr>
                <w:sz w:val="20"/>
                <w:szCs w:val="20"/>
                <w:color w:val="auto"/>
              </w:rPr>
            </w:pPr>
            <w:r>
              <w:rPr>
                <w:rFonts w:ascii="Arial" w:cs="Arial" w:eastAsia="Arial" w:hAnsi="Arial"/>
                <w:sz w:val="18"/>
                <w:szCs w:val="18"/>
                <w:color w:val="auto"/>
              </w:rPr>
              <w:t>Payments Set Aside</w:t>
            </w:r>
          </w:p>
        </w:tc>
        <w:tc>
          <w:tcPr>
            <w:tcW w:w="24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10.06</w:t>
            </w:r>
          </w:p>
        </w:tc>
        <w:tc>
          <w:tcPr>
            <w:tcW w:w="7700" w:type="dxa"/>
            <w:vAlign w:val="bottom"/>
          </w:tcPr>
          <w:p>
            <w:pPr>
              <w:ind w:left="300"/>
              <w:spacing w:after="0"/>
              <w:rPr>
                <w:sz w:val="20"/>
                <w:szCs w:val="20"/>
                <w:color w:val="auto"/>
              </w:rPr>
            </w:pPr>
            <w:r>
              <w:rPr>
                <w:rFonts w:ascii="Arial" w:cs="Arial" w:eastAsia="Arial" w:hAnsi="Arial"/>
                <w:sz w:val="18"/>
                <w:szCs w:val="18"/>
                <w:color w:val="auto"/>
              </w:rPr>
              <w:t>Successors and Assigns</w:t>
            </w:r>
          </w:p>
        </w:tc>
        <w:tc>
          <w:tcPr>
            <w:tcW w:w="24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10.07</w:t>
            </w:r>
          </w:p>
        </w:tc>
        <w:tc>
          <w:tcPr>
            <w:tcW w:w="7700" w:type="dxa"/>
            <w:vAlign w:val="bottom"/>
          </w:tcPr>
          <w:p>
            <w:pPr>
              <w:ind w:left="300"/>
              <w:spacing w:after="0"/>
              <w:rPr>
                <w:sz w:val="20"/>
                <w:szCs w:val="20"/>
                <w:color w:val="auto"/>
              </w:rPr>
            </w:pPr>
            <w:r>
              <w:rPr>
                <w:rFonts w:ascii="Arial" w:cs="Arial" w:eastAsia="Arial" w:hAnsi="Arial"/>
                <w:sz w:val="18"/>
                <w:szCs w:val="18"/>
                <w:color w:val="auto"/>
              </w:rPr>
              <w:t>Treatment of Certain Information; Confidentiality</w:t>
            </w:r>
          </w:p>
        </w:tc>
        <w:tc>
          <w:tcPr>
            <w:tcW w:w="24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65"/>
        </w:trPr>
        <w:tc>
          <w:tcPr>
            <w:tcW w:w="1160" w:type="dxa"/>
            <w:vAlign w:val="bottom"/>
          </w:tcPr>
          <w:p>
            <w:pPr>
              <w:spacing w:after="0"/>
              <w:rPr>
                <w:sz w:val="24"/>
                <w:szCs w:val="24"/>
                <w:color w:val="auto"/>
              </w:rPr>
            </w:pPr>
          </w:p>
        </w:tc>
        <w:tc>
          <w:tcPr>
            <w:tcW w:w="7700" w:type="dxa"/>
            <w:vAlign w:val="bottom"/>
          </w:tcPr>
          <w:p>
            <w:pPr>
              <w:ind w:left="4420"/>
              <w:spacing w:after="0"/>
              <w:rPr>
                <w:sz w:val="20"/>
                <w:szCs w:val="20"/>
                <w:color w:val="auto"/>
              </w:rPr>
            </w:pPr>
            <w:r>
              <w:rPr>
                <w:rFonts w:ascii="Arial" w:cs="Arial" w:eastAsia="Arial" w:hAnsi="Arial"/>
                <w:sz w:val="18"/>
                <w:szCs w:val="18"/>
                <w:color w:val="auto"/>
              </w:rPr>
              <w:t>-iv-</w:t>
            </w:r>
          </w:p>
        </w:tc>
        <w:tc>
          <w:tcPr>
            <w:tcW w:w="246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760" w:type="dxa"/>
            <w:vAlign w:val="bottom"/>
          </w:tcPr>
          <w:p>
            <w:pPr>
              <w:spacing w:after="0"/>
              <w:rPr>
                <w:sz w:val="19"/>
                <w:szCs w:val="19"/>
                <w:color w:val="auto"/>
              </w:rPr>
            </w:pPr>
          </w:p>
        </w:tc>
        <w:tc>
          <w:tcPr>
            <w:tcW w:w="7720" w:type="dxa"/>
            <w:vAlign w:val="bottom"/>
          </w:tcPr>
          <w:p>
            <w:pPr>
              <w:jc w:val="center"/>
              <w:ind w:left="1390"/>
              <w:spacing w:after="0"/>
              <w:rPr>
                <w:sz w:val="20"/>
                <w:szCs w:val="20"/>
                <w:color w:val="auto"/>
              </w:rPr>
            </w:pPr>
            <w:r>
              <w:rPr>
                <w:rFonts w:ascii="Arial" w:cs="Arial" w:eastAsia="Arial" w:hAnsi="Arial"/>
                <w:sz w:val="18"/>
                <w:szCs w:val="18"/>
                <w:b w:val="1"/>
                <w:bCs w:val="1"/>
                <w:color w:val="auto"/>
                <w:w w:val="98"/>
              </w:rPr>
              <w:t>TABLE OF CONTENTS</w:t>
            </w:r>
          </w:p>
        </w:tc>
        <w:tc>
          <w:tcPr>
            <w:tcW w:w="2480" w:type="dxa"/>
            <w:vAlign w:val="bottom"/>
          </w:tcPr>
          <w:p>
            <w:pPr>
              <w:spacing w:after="0"/>
              <w:rPr>
                <w:sz w:val="19"/>
                <w:szCs w:val="19"/>
                <w:color w:val="auto"/>
              </w:rPr>
            </w:pPr>
          </w:p>
        </w:tc>
      </w:tr>
      <w:tr>
        <w:trPr>
          <w:trHeight w:val="230"/>
        </w:trPr>
        <w:tc>
          <w:tcPr>
            <w:tcW w:w="760" w:type="dxa"/>
            <w:vAlign w:val="bottom"/>
          </w:tcPr>
          <w:p>
            <w:pPr>
              <w:spacing w:after="0"/>
              <w:rPr>
                <w:sz w:val="20"/>
                <w:szCs w:val="20"/>
                <w:color w:val="auto"/>
              </w:rPr>
            </w:pPr>
          </w:p>
        </w:tc>
        <w:tc>
          <w:tcPr>
            <w:tcW w:w="7720" w:type="dxa"/>
            <w:vAlign w:val="bottom"/>
          </w:tcPr>
          <w:p>
            <w:pPr>
              <w:jc w:val="center"/>
              <w:ind w:left="1370"/>
              <w:spacing w:after="0"/>
              <w:rPr>
                <w:sz w:val="20"/>
                <w:szCs w:val="20"/>
                <w:color w:val="auto"/>
              </w:rPr>
            </w:pPr>
            <w:r>
              <w:rPr>
                <w:rFonts w:ascii="Arial" w:cs="Arial" w:eastAsia="Arial" w:hAnsi="Arial"/>
                <w:sz w:val="18"/>
                <w:szCs w:val="18"/>
                <w:color w:val="auto"/>
                <w:w w:val="91"/>
              </w:rPr>
              <w:t>(continued)</w:t>
            </w:r>
          </w:p>
        </w:tc>
        <w:tc>
          <w:tcPr>
            <w:tcW w:w="2480" w:type="dxa"/>
            <w:vAlign w:val="bottom"/>
          </w:tcPr>
          <w:p>
            <w:pPr>
              <w:spacing w:after="0"/>
              <w:rPr>
                <w:sz w:val="20"/>
                <w:szCs w:val="20"/>
                <w:color w:val="auto"/>
              </w:rPr>
            </w:pPr>
          </w:p>
        </w:tc>
      </w:tr>
      <w:tr>
        <w:trPr>
          <w:trHeight w:val="283"/>
        </w:trPr>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88"/>
              </w:rPr>
              <w:t>10.08</w:t>
            </w:r>
          </w:p>
        </w:tc>
        <w:tc>
          <w:tcPr>
            <w:tcW w:w="7720" w:type="dxa"/>
            <w:vAlign w:val="bottom"/>
          </w:tcPr>
          <w:p>
            <w:pPr>
              <w:ind w:left="340"/>
              <w:spacing w:after="0"/>
              <w:rPr>
                <w:sz w:val="20"/>
                <w:szCs w:val="20"/>
                <w:color w:val="auto"/>
              </w:rPr>
            </w:pPr>
            <w:r>
              <w:rPr>
                <w:rFonts w:ascii="Arial" w:cs="Arial" w:eastAsia="Arial" w:hAnsi="Arial"/>
                <w:sz w:val="18"/>
                <w:szCs w:val="18"/>
                <w:color w:val="auto"/>
              </w:rPr>
              <w:t>Right of Setoff</w:t>
            </w:r>
          </w:p>
        </w:tc>
        <w:tc>
          <w:tcPr>
            <w:tcW w:w="24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24"/>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88"/>
              </w:rPr>
              <w:t>10.09</w:t>
            </w:r>
          </w:p>
        </w:tc>
        <w:tc>
          <w:tcPr>
            <w:tcW w:w="7720" w:type="dxa"/>
            <w:vAlign w:val="bottom"/>
          </w:tcPr>
          <w:p>
            <w:pPr>
              <w:ind w:left="340"/>
              <w:spacing w:after="0"/>
              <w:rPr>
                <w:sz w:val="20"/>
                <w:szCs w:val="20"/>
                <w:color w:val="auto"/>
              </w:rPr>
            </w:pPr>
            <w:r>
              <w:rPr>
                <w:rFonts w:ascii="Arial" w:cs="Arial" w:eastAsia="Arial" w:hAnsi="Arial"/>
                <w:sz w:val="18"/>
                <w:szCs w:val="18"/>
                <w:color w:val="auto"/>
              </w:rPr>
              <w:t>Interest Rate Limitation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24"/>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88"/>
              </w:rPr>
              <w:t>10.10</w:t>
            </w:r>
          </w:p>
        </w:tc>
        <w:tc>
          <w:tcPr>
            <w:tcW w:w="7720" w:type="dxa"/>
            <w:vAlign w:val="bottom"/>
          </w:tcPr>
          <w:p>
            <w:pPr>
              <w:ind w:left="340"/>
              <w:spacing w:after="0"/>
              <w:rPr>
                <w:sz w:val="20"/>
                <w:szCs w:val="20"/>
                <w:color w:val="auto"/>
              </w:rPr>
            </w:pPr>
            <w:r>
              <w:rPr>
                <w:rFonts w:ascii="Arial" w:cs="Arial" w:eastAsia="Arial" w:hAnsi="Arial"/>
                <w:sz w:val="18"/>
                <w:szCs w:val="18"/>
                <w:color w:val="auto"/>
              </w:rPr>
              <w:t>Counterparts; Integration; Effectiveness</w:t>
            </w:r>
          </w:p>
        </w:tc>
        <w:tc>
          <w:tcPr>
            <w:tcW w:w="24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760" w:type="dxa"/>
            <w:vAlign w:val="bottom"/>
          </w:tcPr>
          <w:p>
            <w:pPr>
              <w:jc w:val="right"/>
              <w:ind w:right="270"/>
              <w:spacing w:after="0"/>
              <w:rPr>
                <w:sz w:val="20"/>
                <w:szCs w:val="20"/>
                <w:color w:val="auto"/>
              </w:rPr>
            </w:pPr>
            <w:r>
              <w:rPr>
                <w:rFonts w:ascii="Arial" w:cs="Arial" w:eastAsia="Arial" w:hAnsi="Arial"/>
                <w:sz w:val="18"/>
                <w:szCs w:val="18"/>
                <w:color w:val="auto"/>
                <w:w w:val="84"/>
              </w:rPr>
              <w:t>10.11</w:t>
            </w:r>
          </w:p>
        </w:tc>
        <w:tc>
          <w:tcPr>
            <w:tcW w:w="7720" w:type="dxa"/>
            <w:vAlign w:val="bottom"/>
          </w:tcPr>
          <w:p>
            <w:pPr>
              <w:ind w:left="340"/>
              <w:spacing w:after="0"/>
              <w:rPr>
                <w:sz w:val="20"/>
                <w:szCs w:val="20"/>
                <w:color w:val="auto"/>
              </w:rPr>
            </w:pPr>
            <w:r>
              <w:rPr>
                <w:rFonts w:ascii="Arial" w:cs="Arial" w:eastAsia="Arial" w:hAnsi="Arial"/>
                <w:sz w:val="18"/>
                <w:szCs w:val="18"/>
                <w:color w:val="auto"/>
              </w:rPr>
              <w:t>Survival of Representations and Warranties</w:t>
            </w:r>
          </w:p>
        </w:tc>
        <w:tc>
          <w:tcPr>
            <w:tcW w:w="24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88"/>
              </w:rPr>
              <w:t>10.12</w:t>
            </w:r>
          </w:p>
        </w:tc>
        <w:tc>
          <w:tcPr>
            <w:tcW w:w="7720" w:type="dxa"/>
            <w:vAlign w:val="bottom"/>
          </w:tcPr>
          <w:p>
            <w:pPr>
              <w:ind w:left="340"/>
              <w:spacing w:after="0"/>
              <w:rPr>
                <w:sz w:val="20"/>
                <w:szCs w:val="20"/>
                <w:color w:val="auto"/>
              </w:rPr>
            </w:pPr>
            <w:r>
              <w:rPr>
                <w:rFonts w:ascii="Arial" w:cs="Arial" w:eastAsia="Arial" w:hAnsi="Arial"/>
                <w:sz w:val="18"/>
                <w:szCs w:val="18"/>
                <w:color w:val="auto"/>
              </w:rPr>
              <w:t>Severability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88"/>
              </w:rPr>
              <w:t>10.13</w:t>
            </w:r>
          </w:p>
        </w:tc>
        <w:tc>
          <w:tcPr>
            <w:tcW w:w="7720" w:type="dxa"/>
            <w:vAlign w:val="bottom"/>
          </w:tcPr>
          <w:p>
            <w:pPr>
              <w:ind w:left="340"/>
              <w:spacing w:after="0"/>
              <w:rPr>
                <w:sz w:val="20"/>
                <w:szCs w:val="20"/>
                <w:color w:val="auto"/>
              </w:rPr>
            </w:pPr>
            <w:r>
              <w:rPr>
                <w:rFonts w:ascii="Arial" w:cs="Arial" w:eastAsia="Arial" w:hAnsi="Arial"/>
                <w:sz w:val="18"/>
                <w:szCs w:val="18"/>
                <w:color w:val="auto"/>
              </w:rPr>
              <w:t>Replacement of Lenders</w:t>
            </w:r>
          </w:p>
        </w:tc>
        <w:tc>
          <w:tcPr>
            <w:tcW w:w="24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88"/>
              </w:rPr>
              <w:t>10.14</w:t>
            </w:r>
          </w:p>
        </w:tc>
        <w:tc>
          <w:tcPr>
            <w:tcW w:w="7720" w:type="dxa"/>
            <w:vAlign w:val="bottom"/>
          </w:tcPr>
          <w:p>
            <w:pPr>
              <w:ind w:left="340"/>
              <w:spacing w:after="0"/>
              <w:rPr>
                <w:sz w:val="20"/>
                <w:szCs w:val="20"/>
                <w:color w:val="auto"/>
              </w:rPr>
            </w:pPr>
            <w:r>
              <w:rPr>
                <w:rFonts w:ascii="Arial" w:cs="Arial" w:eastAsia="Arial" w:hAnsi="Arial"/>
                <w:sz w:val="18"/>
                <w:szCs w:val="18"/>
                <w:color w:val="auto"/>
              </w:rPr>
              <w:t>Governing Law; Jurisdiction; Etc</w:t>
            </w:r>
          </w:p>
        </w:tc>
        <w:tc>
          <w:tcPr>
            <w:tcW w:w="24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24"/>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88"/>
              </w:rPr>
              <w:t>10.15</w:t>
            </w:r>
          </w:p>
        </w:tc>
        <w:tc>
          <w:tcPr>
            <w:tcW w:w="7720" w:type="dxa"/>
            <w:vAlign w:val="bottom"/>
          </w:tcPr>
          <w:p>
            <w:pPr>
              <w:ind w:left="340"/>
              <w:spacing w:after="0"/>
              <w:rPr>
                <w:sz w:val="20"/>
                <w:szCs w:val="20"/>
                <w:color w:val="auto"/>
              </w:rPr>
            </w:pPr>
            <w:r>
              <w:rPr>
                <w:rFonts w:ascii="Arial" w:cs="Arial" w:eastAsia="Arial" w:hAnsi="Arial"/>
                <w:sz w:val="18"/>
                <w:szCs w:val="18"/>
                <w:color w:val="auto"/>
              </w:rPr>
              <w:t>WAIVER OF JURY TRIAL</w:t>
            </w:r>
          </w:p>
        </w:tc>
        <w:tc>
          <w:tcPr>
            <w:tcW w:w="24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24"/>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88"/>
              </w:rPr>
              <w:t>10.16</w:t>
            </w:r>
          </w:p>
        </w:tc>
        <w:tc>
          <w:tcPr>
            <w:tcW w:w="7720" w:type="dxa"/>
            <w:vAlign w:val="bottom"/>
          </w:tcPr>
          <w:p>
            <w:pPr>
              <w:ind w:left="340"/>
              <w:spacing w:after="0"/>
              <w:rPr>
                <w:sz w:val="20"/>
                <w:szCs w:val="20"/>
                <w:color w:val="auto"/>
              </w:rPr>
            </w:pPr>
            <w:r>
              <w:rPr>
                <w:rFonts w:ascii="Arial" w:cs="Arial" w:eastAsia="Arial" w:hAnsi="Arial"/>
                <w:sz w:val="18"/>
                <w:szCs w:val="18"/>
                <w:color w:val="auto"/>
              </w:rPr>
              <w:t>No Advisory or Fiduciary Responsibility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24"/>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88"/>
              </w:rPr>
              <w:t>10.17</w:t>
            </w:r>
          </w:p>
        </w:tc>
        <w:tc>
          <w:tcPr>
            <w:tcW w:w="7720" w:type="dxa"/>
            <w:vAlign w:val="bottom"/>
          </w:tcPr>
          <w:p>
            <w:pPr>
              <w:ind w:left="340"/>
              <w:spacing w:after="0"/>
              <w:rPr>
                <w:sz w:val="20"/>
                <w:szCs w:val="20"/>
                <w:color w:val="auto"/>
              </w:rPr>
            </w:pPr>
            <w:r>
              <w:rPr>
                <w:rFonts w:ascii="Arial" w:cs="Arial" w:eastAsia="Arial" w:hAnsi="Arial"/>
                <w:sz w:val="18"/>
                <w:szCs w:val="18"/>
                <w:color w:val="auto"/>
              </w:rPr>
              <w:t>Electronic Execution of Assignments and Certain Other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24"/>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88"/>
              </w:rPr>
              <w:t>10.18</w:t>
            </w:r>
          </w:p>
        </w:tc>
        <w:tc>
          <w:tcPr>
            <w:tcW w:w="7720" w:type="dxa"/>
            <w:vAlign w:val="bottom"/>
          </w:tcPr>
          <w:p>
            <w:pPr>
              <w:ind w:left="340"/>
              <w:spacing w:after="0"/>
              <w:rPr>
                <w:sz w:val="20"/>
                <w:szCs w:val="20"/>
                <w:color w:val="auto"/>
              </w:rPr>
            </w:pPr>
            <w:r>
              <w:rPr>
                <w:rFonts w:ascii="Arial" w:cs="Arial" w:eastAsia="Arial" w:hAnsi="Arial"/>
                <w:sz w:val="18"/>
                <w:szCs w:val="18"/>
                <w:color w:val="auto"/>
              </w:rPr>
              <w:t>USA PATRIOT Act</w:t>
            </w:r>
          </w:p>
        </w:tc>
        <w:tc>
          <w:tcPr>
            <w:tcW w:w="24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24"/>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88"/>
              </w:rPr>
              <w:t>10.19</w:t>
            </w:r>
          </w:p>
        </w:tc>
        <w:tc>
          <w:tcPr>
            <w:tcW w:w="7720" w:type="dxa"/>
            <w:vAlign w:val="bottom"/>
          </w:tcPr>
          <w:p>
            <w:pPr>
              <w:ind w:left="340"/>
              <w:spacing w:after="0"/>
              <w:rPr>
                <w:sz w:val="20"/>
                <w:szCs w:val="20"/>
                <w:color w:val="auto"/>
              </w:rPr>
            </w:pPr>
            <w:r>
              <w:rPr>
                <w:rFonts w:ascii="Arial" w:cs="Arial" w:eastAsia="Arial" w:hAnsi="Arial"/>
                <w:sz w:val="18"/>
                <w:szCs w:val="18"/>
                <w:color w:val="auto"/>
              </w:rPr>
              <w:t>Inconsistencies with Other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24"/>
        </w:trPr>
        <w:tc>
          <w:tcPr>
            <w:tcW w:w="760" w:type="dxa"/>
            <w:vAlign w:val="bottom"/>
          </w:tcPr>
          <w:p>
            <w:pPr>
              <w:jc w:val="right"/>
              <w:ind w:right="250"/>
              <w:spacing w:after="0"/>
              <w:rPr>
                <w:sz w:val="20"/>
                <w:szCs w:val="20"/>
                <w:color w:val="auto"/>
              </w:rPr>
            </w:pPr>
            <w:r>
              <w:rPr>
                <w:rFonts w:ascii="Arial" w:cs="Arial" w:eastAsia="Arial" w:hAnsi="Arial"/>
                <w:sz w:val="18"/>
                <w:szCs w:val="18"/>
                <w:color w:val="auto"/>
                <w:w w:val="88"/>
              </w:rPr>
              <w:t>10.20</w:t>
            </w:r>
          </w:p>
        </w:tc>
        <w:tc>
          <w:tcPr>
            <w:tcW w:w="7720" w:type="dxa"/>
            <w:vAlign w:val="bottom"/>
          </w:tcPr>
          <w:p>
            <w:pPr>
              <w:ind w:left="340"/>
              <w:spacing w:after="0"/>
              <w:rPr>
                <w:sz w:val="20"/>
                <w:szCs w:val="20"/>
                <w:color w:val="auto"/>
              </w:rPr>
            </w:pPr>
            <w:r>
              <w:rPr>
                <w:rFonts w:ascii="Arial" w:cs="Arial" w:eastAsia="Arial" w:hAnsi="Arial"/>
                <w:sz w:val="18"/>
                <w:szCs w:val="18"/>
                <w:color w:val="auto"/>
              </w:rPr>
              <w:t>Acknowledgment and Consent to Bail-In of EEA Financial Institutions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65"/>
        </w:trPr>
        <w:tc>
          <w:tcPr>
            <w:tcW w:w="760" w:type="dxa"/>
            <w:vAlign w:val="bottom"/>
          </w:tcPr>
          <w:p>
            <w:pPr>
              <w:spacing w:after="0"/>
              <w:rPr>
                <w:sz w:val="24"/>
                <w:szCs w:val="24"/>
                <w:color w:val="auto"/>
              </w:rPr>
            </w:pPr>
          </w:p>
        </w:tc>
        <w:tc>
          <w:tcPr>
            <w:tcW w:w="7720" w:type="dxa"/>
            <w:vAlign w:val="bottom"/>
          </w:tcPr>
          <w:p>
            <w:pPr>
              <w:jc w:val="center"/>
              <w:ind w:left="1370"/>
              <w:spacing w:after="0"/>
              <w:rPr>
                <w:sz w:val="20"/>
                <w:szCs w:val="20"/>
                <w:color w:val="auto"/>
              </w:rPr>
            </w:pPr>
            <w:r>
              <w:rPr>
                <w:rFonts w:ascii="Arial" w:cs="Arial" w:eastAsia="Arial" w:hAnsi="Arial"/>
                <w:sz w:val="18"/>
                <w:szCs w:val="18"/>
                <w:color w:val="auto"/>
              </w:rPr>
              <w:t>-v-</w:t>
            </w:r>
          </w:p>
        </w:tc>
        <w:tc>
          <w:tcPr>
            <w:tcW w:w="2480" w:type="dxa"/>
            <w:vAlign w:val="bottom"/>
          </w:tcPr>
          <w:p>
            <w:pPr>
              <w:spacing w:after="0"/>
              <w:rPr>
                <w:sz w:val="24"/>
                <w:szCs w:val="24"/>
                <w:color w:val="auto"/>
              </w:rPr>
            </w:pPr>
          </w:p>
        </w:tc>
      </w:tr>
    </w:tbl>
    <w:p>
      <w:pPr>
        <w:sectPr>
          <w:pgSz w:w="11900" w:h="16838" w:orient="portrait"/>
          <w:cols w:equalWidth="0" w:num="1">
            <w:col w:w="10960"/>
          </w:cols>
          <w:pgMar w:left="600" w:top="270" w:right="33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SCHEDULES</w:t>
            </w:r>
          </w:p>
        </w:tc>
        <w:tc>
          <w:tcPr>
            <w:tcW w:w="4880" w:type="dxa"/>
            <w:vAlign w:val="bottom"/>
          </w:tcPr>
          <w:p>
            <w:pPr>
              <w:spacing w:after="0"/>
              <w:rPr>
                <w:sz w:val="20"/>
                <w:szCs w:val="20"/>
                <w:color w:val="auto"/>
              </w:rPr>
            </w:pPr>
          </w:p>
        </w:tc>
      </w:tr>
      <w:tr>
        <w:trPr>
          <w:trHeight w:val="323"/>
        </w:trPr>
        <w:tc>
          <w:tcPr>
            <w:tcW w:w="1340" w:type="dxa"/>
            <w:vAlign w:val="bottom"/>
          </w:tcPr>
          <w:p>
            <w:pPr>
              <w:ind w:left="360"/>
              <w:spacing w:after="0"/>
              <w:rPr>
                <w:sz w:val="20"/>
                <w:szCs w:val="20"/>
                <w:color w:val="auto"/>
              </w:rPr>
            </w:pPr>
            <w:r>
              <w:rPr>
                <w:rFonts w:ascii="Arial" w:cs="Arial" w:eastAsia="Arial" w:hAnsi="Arial"/>
                <w:sz w:val="18"/>
                <w:szCs w:val="18"/>
                <w:color w:val="auto"/>
              </w:rPr>
              <w:t>2.01</w:t>
            </w:r>
          </w:p>
        </w:tc>
        <w:tc>
          <w:tcPr>
            <w:tcW w:w="4880" w:type="dxa"/>
            <w:vAlign w:val="bottom"/>
          </w:tcPr>
          <w:p>
            <w:pPr>
              <w:ind w:left="280"/>
              <w:spacing w:after="0"/>
              <w:rPr>
                <w:sz w:val="20"/>
                <w:szCs w:val="20"/>
                <w:color w:val="auto"/>
              </w:rPr>
            </w:pPr>
            <w:r>
              <w:rPr>
                <w:rFonts w:ascii="Arial" w:cs="Arial" w:eastAsia="Arial" w:hAnsi="Arial"/>
                <w:sz w:val="18"/>
                <w:szCs w:val="18"/>
                <w:color w:val="auto"/>
              </w:rPr>
              <w:t>Commitments and Applicable Percentages</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5.01</w:t>
            </w:r>
          </w:p>
        </w:tc>
        <w:tc>
          <w:tcPr>
            <w:tcW w:w="4880" w:type="dxa"/>
            <w:vAlign w:val="bottom"/>
          </w:tcPr>
          <w:p>
            <w:pPr>
              <w:ind w:left="280"/>
              <w:spacing w:after="0"/>
              <w:rPr>
                <w:sz w:val="20"/>
                <w:szCs w:val="20"/>
                <w:color w:val="auto"/>
              </w:rPr>
            </w:pPr>
            <w:r>
              <w:rPr>
                <w:rFonts w:ascii="Arial" w:cs="Arial" w:eastAsia="Arial" w:hAnsi="Arial"/>
                <w:sz w:val="18"/>
                <w:szCs w:val="18"/>
                <w:color w:val="auto"/>
              </w:rPr>
              <w:t>Corporate Existence; Subsidiaries; Foreign Qualifications</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5.04</w:t>
            </w:r>
          </w:p>
        </w:tc>
        <w:tc>
          <w:tcPr>
            <w:tcW w:w="4880" w:type="dxa"/>
            <w:vAlign w:val="bottom"/>
          </w:tcPr>
          <w:p>
            <w:pPr>
              <w:ind w:left="280"/>
              <w:spacing w:after="0"/>
              <w:rPr>
                <w:sz w:val="20"/>
                <w:szCs w:val="20"/>
                <w:color w:val="auto"/>
              </w:rPr>
            </w:pPr>
            <w:r>
              <w:rPr>
                <w:rFonts w:ascii="Arial" w:cs="Arial" w:eastAsia="Arial" w:hAnsi="Arial"/>
                <w:sz w:val="18"/>
                <w:szCs w:val="18"/>
                <w:color w:val="auto"/>
              </w:rPr>
              <w:t>Litigation and Administrative Procedures</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5.05</w:t>
            </w:r>
          </w:p>
        </w:tc>
        <w:tc>
          <w:tcPr>
            <w:tcW w:w="4880" w:type="dxa"/>
            <w:vAlign w:val="bottom"/>
          </w:tcPr>
          <w:p>
            <w:pPr>
              <w:ind w:left="280"/>
              <w:spacing w:after="0"/>
              <w:rPr>
                <w:sz w:val="20"/>
                <w:szCs w:val="20"/>
                <w:color w:val="auto"/>
              </w:rPr>
            </w:pPr>
            <w:r>
              <w:rPr>
                <w:rFonts w:ascii="Arial" w:cs="Arial" w:eastAsia="Arial" w:hAnsi="Arial"/>
                <w:sz w:val="18"/>
                <w:szCs w:val="18"/>
                <w:color w:val="auto"/>
              </w:rPr>
              <w:t>Real Property</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5.09</w:t>
            </w:r>
          </w:p>
        </w:tc>
        <w:tc>
          <w:tcPr>
            <w:tcW w:w="4880" w:type="dxa"/>
            <w:vAlign w:val="bottom"/>
          </w:tcPr>
          <w:p>
            <w:pPr>
              <w:ind w:left="280"/>
              <w:spacing w:after="0"/>
              <w:rPr>
                <w:sz w:val="20"/>
                <w:szCs w:val="20"/>
                <w:color w:val="auto"/>
              </w:rPr>
            </w:pPr>
            <w:r>
              <w:rPr>
                <w:rFonts w:ascii="Arial" w:cs="Arial" w:eastAsia="Arial" w:hAnsi="Arial"/>
                <w:sz w:val="18"/>
                <w:szCs w:val="18"/>
                <w:color w:val="auto"/>
              </w:rPr>
              <w:t>Locations</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5.11</w:t>
            </w:r>
          </w:p>
        </w:tc>
        <w:tc>
          <w:tcPr>
            <w:tcW w:w="4880" w:type="dxa"/>
            <w:vAlign w:val="bottom"/>
          </w:tcPr>
          <w:p>
            <w:pPr>
              <w:ind w:left="280"/>
              <w:spacing w:after="0"/>
              <w:rPr>
                <w:sz w:val="20"/>
                <w:szCs w:val="20"/>
                <w:color w:val="auto"/>
              </w:rPr>
            </w:pPr>
            <w:r>
              <w:rPr>
                <w:rFonts w:ascii="Arial" w:cs="Arial" w:eastAsia="Arial" w:hAnsi="Arial"/>
                <w:sz w:val="18"/>
                <w:szCs w:val="18"/>
                <w:color w:val="auto"/>
                <w:w w:val="90"/>
              </w:rPr>
              <w:t>US Employee Benefit Plans; Foreign Pension and Benefit Plans</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5.16</w:t>
            </w:r>
          </w:p>
        </w:tc>
        <w:tc>
          <w:tcPr>
            <w:tcW w:w="4880" w:type="dxa"/>
            <w:vAlign w:val="bottom"/>
          </w:tcPr>
          <w:p>
            <w:pPr>
              <w:ind w:left="280"/>
              <w:spacing w:after="0"/>
              <w:rPr>
                <w:sz w:val="20"/>
                <w:szCs w:val="20"/>
                <w:color w:val="auto"/>
              </w:rPr>
            </w:pPr>
            <w:r>
              <w:rPr>
                <w:rFonts w:ascii="Arial" w:cs="Arial" w:eastAsia="Arial" w:hAnsi="Arial"/>
                <w:sz w:val="18"/>
                <w:szCs w:val="18"/>
                <w:color w:val="auto"/>
              </w:rPr>
              <w:t>Material Agreements</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5.17</w:t>
            </w:r>
          </w:p>
        </w:tc>
        <w:tc>
          <w:tcPr>
            <w:tcW w:w="4880" w:type="dxa"/>
            <w:vAlign w:val="bottom"/>
          </w:tcPr>
          <w:p>
            <w:pPr>
              <w:ind w:left="280"/>
              <w:spacing w:after="0"/>
              <w:rPr>
                <w:sz w:val="20"/>
                <w:szCs w:val="20"/>
                <w:color w:val="auto"/>
              </w:rPr>
            </w:pPr>
            <w:r>
              <w:rPr>
                <w:rFonts w:ascii="Arial" w:cs="Arial" w:eastAsia="Arial" w:hAnsi="Arial"/>
                <w:sz w:val="18"/>
                <w:szCs w:val="18"/>
                <w:color w:val="auto"/>
              </w:rPr>
              <w:t>Intellectual Property</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5.18</w:t>
            </w:r>
          </w:p>
        </w:tc>
        <w:tc>
          <w:tcPr>
            <w:tcW w:w="4880" w:type="dxa"/>
            <w:vAlign w:val="bottom"/>
          </w:tcPr>
          <w:p>
            <w:pPr>
              <w:ind w:left="280"/>
              <w:spacing w:after="0"/>
              <w:rPr>
                <w:sz w:val="20"/>
                <w:szCs w:val="20"/>
                <w:color w:val="auto"/>
              </w:rPr>
            </w:pPr>
            <w:r>
              <w:rPr>
                <w:rFonts w:ascii="Arial" w:cs="Arial" w:eastAsia="Arial" w:hAnsi="Arial"/>
                <w:sz w:val="18"/>
                <w:szCs w:val="18"/>
                <w:color w:val="auto"/>
              </w:rPr>
              <w:t>Insurance</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5.23</w:t>
            </w:r>
          </w:p>
        </w:tc>
        <w:tc>
          <w:tcPr>
            <w:tcW w:w="4880" w:type="dxa"/>
            <w:vAlign w:val="bottom"/>
          </w:tcPr>
          <w:p>
            <w:pPr>
              <w:ind w:left="280"/>
              <w:spacing w:after="0"/>
              <w:rPr>
                <w:sz w:val="20"/>
                <w:szCs w:val="20"/>
                <w:color w:val="auto"/>
              </w:rPr>
            </w:pPr>
            <w:r>
              <w:rPr>
                <w:rFonts w:ascii="Arial" w:cs="Arial" w:eastAsia="Arial" w:hAnsi="Arial"/>
                <w:sz w:val="18"/>
                <w:szCs w:val="18"/>
                <w:color w:val="auto"/>
              </w:rPr>
              <w:t>Deposit Accounts</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6.17</w:t>
            </w:r>
          </w:p>
        </w:tc>
        <w:tc>
          <w:tcPr>
            <w:tcW w:w="4880" w:type="dxa"/>
            <w:vAlign w:val="bottom"/>
          </w:tcPr>
          <w:p>
            <w:pPr>
              <w:ind w:left="280"/>
              <w:spacing w:after="0"/>
              <w:rPr>
                <w:sz w:val="20"/>
                <w:szCs w:val="20"/>
                <w:color w:val="auto"/>
              </w:rPr>
            </w:pPr>
            <w:r>
              <w:rPr>
                <w:rFonts w:ascii="Arial" w:cs="Arial" w:eastAsia="Arial" w:hAnsi="Arial"/>
                <w:sz w:val="18"/>
                <w:szCs w:val="18"/>
                <w:color w:val="auto"/>
              </w:rPr>
              <w:t>Post-Closing Matters</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7.01</w:t>
            </w:r>
          </w:p>
        </w:tc>
        <w:tc>
          <w:tcPr>
            <w:tcW w:w="4880" w:type="dxa"/>
            <w:vAlign w:val="bottom"/>
          </w:tcPr>
          <w:p>
            <w:pPr>
              <w:ind w:left="280"/>
              <w:spacing w:after="0"/>
              <w:rPr>
                <w:sz w:val="20"/>
                <w:szCs w:val="20"/>
                <w:color w:val="auto"/>
              </w:rPr>
            </w:pPr>
            <w:r>
              <w:rPr>
                <w:rFonts w:ascii="Arial" w:cs="Arial" w:eastAsia="Arial" w:hAnsi="Arial"/>
                <w:sz w:val="18"/>
                <w:szCs w:val="18"/>
                <w:color w:val="auto"/>
              </w:rPr>
              <w:t>Existing Liens</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7.02</w:t>
            </w:r>
          </w:p>
        </w:tc>
        <w:tc>
          <w:tcPr>
            <w:tcW w:w="4880" w:type="dxa"/>
            <w:vAlign w:val="bottom"/>
          </w:tcPr>
          <w:p>
            <w:pPr>
              <w:ind w:left="280"/>
              <w:spacing w:after="0"/>
              <w:rPr>
                <w:sz w:val="20"/>
                <w:szCs w:val="20"/>
                <w:color w:val="auto"/>
              </w:rPr>
            </w:pPr>
            <w:r>
              <w:rPr>
                <w:rFonts w:ascii="Arial" w:cs="Arial" w:eastAsia="Arial" w:hAnsi="Arial"/>
                <w:sz w:val="18"/>
                <w:szCs w:val="18"/>
                <w:color w:val="auto"/>
              </w:rPr>
              <w:t>Existing Indebtedness</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rPr>
              <w:t>7.03</w:t>
            </w:r>
          </w:p>
        </w:tc>
        <w:tc>
          <w:tcPr>
            <w:tcW w:w="4880" w:type="dxa"/>
            <w:vAlign w:val="bottom"/>
          </w:tcPr>
          <w:p>
            <w:pPr>
              <w:ind w:left="280"/>
              <w:spacing w:after="0"/>
              <w:rPr>
                <w:sz w:val="20"/>
                <w:szCs w:val="20"/>
                <w:color w:val="auto"/>
              </w:rPr>
            </w:pPr>
            <w:r>
              <w:rPr>
                <w:rFonts w:ascii="Arial" w:cs="Arial" w:eastAsia="Arial" w:hAnsi="Arial"/>
                <w:sz w:val="18"/>
                <w:szCs w:val="18"/>
                <w:color w:val="auto"/>
              </w:rPr>
              <w:t>Existing Investments</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10.02</w:t>
            </w:r>
          </w:p>
        </w:tc>
        <w:tc>
          <w:tcPr>
            <w:tcW w:w="4880" w:type="dxa"/>
            <w:vAlign w:val="bottom"/>
          </w:tcPr>
          <w:p>
            <w:pPr>
              <w:ind w:left="280"/>
              <w:spacing w:after="0"/>
              <w:rPr>
                <w:sz w:val="20"/>
                <w:szCs w:val="20"/>
                <w:color w:val="auto"/>
              </w:rPr>
            </w:pPr>
            <w:r>
              <w:rPr>
                <w:rFonts w:ascii="Arial" w:cs="Arial" w:eastAsia="Arial" w:hAnsi="Arial"/>
                <w:sz w:val="18"/>
                <w:szCs w:val="18"/>
                <w:color w:val="auto"/>
                <w:w w:val="95"/>
              </w:rPr>
              <w:t>Administrative Agent’s Office, Certain Addresses for Notices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Form of</w:t>
      </w:r>
    </w:p>
    <w:p>
      <w:pPr>
        <w:spacing w:after="0" w:line="117" w:lineRule="exact"/>
        <w:rPr>
          <w:sz w:val="20"/>
          <w:szCs w:val="20"/>
          <w:color w:val="auto"/>
        </w:rPr>
      </w:pPr>
    </w:p>
    <w:p>
      <w:pPr>
        <w:ind w:left="1620" w:hanging="1252"/>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sz w:val="20"/>
          <w:szCs w:val="20"/>
          <w:color w:val="auto"/>
        </w:rPr>
      </w:pPr>
    </w:p>
    <w:p>
      <w:pPr>
        <w:ind w:left="1620" w:hanging="1252"/>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Swing Line Loan Notice</w:t>
      </w:r>
    </w:p>
    <w:p>
      <w:pPr>
        <w:spacing w:after="0" w:line="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C-1</w:t>
            </w:r>
          </w:p>
        </w:tc>
        <w:tc>
          <w:tcPr>
            <w:tcW w:w="2140" w:type="dxa"/>
            <w:vAlign w:val="bottom"/>
          </w:tcPr>
          <w:p>
            <w:pPr>
              <w:ind w:left="500"/>
              <w:spacing w:after="0"/>
              <w:rPr>
                <w:sz w:val="20"/>
                <w:szCs w:val="20"/>
                <w:color w:val="auto"/>
              </w:rPr>
            </w:pPr>
            <w:r>
              <w:rPr>
                <w:rFonts w:ascii="Arial" w:cs="Arial" w:eastAsia="Arial" w:hAnsi="Arial"/>
                <w:sz w:val="18"/>
                <w:szCs w:val="18"/>
                <w:color w:val="auto"/>
              </w:rPr>
              <w:t>Term Note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C-2</w:t>
            </w:r>
          </w:p>
        </w:tc>
        <w:tc>
          <w:tcPr>
            <w:tcW w:w="2140" w:type="dxa"/>
            <w:vAlign w:val="bottom"/>
          </w:tcPr>
          <w:p>
            <w:pPr>
              <w:ind w:left="500"/>
              <w:spacing w:after="0"/>
              <w:rPr>
                <w:sz w:val="20"/>
                <w:szCs w:val="20"/>
                <w:color w:val="auto"/>
              </w:rPr>
            </w:pPr>
            <w:r>
              <w:rPr>
                <w:rFonts w:ascii="Arial" w:cs="Arial" w:eastAsia="Arial" w:hAnsi="Arial"/>
                <w:sz w:val="18"/>
                <w:szCs w:val="18"/>
                <w:color w:val="auto"/>
                <w:w w:val="92"/>
              </w:rPr>
              <w:t>Revolving Credit Note</w:t>
            </w:r>
          </w:p>
        </w:tc>
      </w:tr>
    </w:tbl>
    <w:p>
      <w:pPr>
        <w:ind w:left="1620" w:hanging="1252"/>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9" w:lineRule="exact"/>
        <w:rPr>
          <w:sz w:val="20"/>
          <w:szCs w:val="20"/>
          <w:color w:val="auto"/>
        </w:rPr>
      </w:pPr>
    </w:p>
    <w:p>
      <w:pPr>
        <w:ind w:left="1620" w:hanging="1252"/>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Assignment and Assumption</w:t>
      </w:r>
    </w:p>
    <w:p>
      <w:pPr>
        <w:spacing w:after="0" w:line="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E-1</w:t>
            </w:r>
          </w:p>
        </w:tc>
        <w:tc>
          <w:tcPr>
            <w:tcW w:w="5700" w:type="dxa"/>
            <w:vAlign w:val="bottom"/>
          </w:tcPr>
          <w:p>
            <w:pPr>
              <w:ind w:left="500"/>
              <w:spacing w:after="0"/>
              <w:rPr>
                <w:sz w:val="20"/>
                <w:szCs w:val="20"/>
                <w:color w:val="auto"/>
              </w:rPr>
            </w:pPr>
            <w:r>
              <w:rPr>
                <w:rFonts w:ascii="Arial" w:cs="Arial" w:eastAsia="Arial" w:hAnsi="Arial"/>
                <w:sz w:val="18"/>
                <w:szCs w:val="18"/>
                <w:color w:val="auto"/>
                <w:w w:val="95"/>
              </w:rPr>
              <w:t>U.S. Tax Compliance Certificate (Non-Partnership Foreign Lenders)</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E-2</w:t>
            </w:r>
          </w:p>
        </w:tc>
        <w:tc>
          <w:tcPr>
            <w:tcW w:w="5700" w:type="dxa"/>
            <w:vAlign w:val="bottom"/>
          </w:tcPr>
          <w:p>
            <w:pPr>
              <w:ind w:left="500"/>
              <w:spacing w:after="0"/>
              <w:rPr>
                <w:sz w:val="20"/>
                <w:szCs w:val="20"/>
                <w:color w:val="auto"/>
              </w:rPr>
            </w:pPr>
            <w:r>
              <w:rPr>
                <w:rFonts w:ascii="Arial" w:cs="Arial" w:eastAsia="Arial" w:hAnsi="Arial"/>
                <w:sz w:val="18"/>
                <w:szCs w:val="18"/>
                <w:color w:val="auto"/>
                <w:w w:val="91"/>
              </w:rPr>
              <w:t>U.S. Tax Compliance Certificate (Non-Partnership Foreign Participants)</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E-3</w:t>
            </w:r>
          </w:p>
        </w:tc>
        <w:tc>
          <w:tcPr>
            <w:tcW w:w="5700" w:type="dxa"/>
            <w:vAlign w:val="bottom"/>
          </w:tcPr>
          <w:p>
            <w:pPr>
              <w:ind w:left="500"/>
              <w:spacing w:after="0"/>
              <w:rPr>
                <w:sz w:val="20"/>
                <w:szCs w:val="20"/>
                <w:color w:val="auto"/>
              </w:rPr>
            </w:pPr>
            <w:r>
              <w:rPr>
                <w:rFonts w:ascii="Arial" w:cs="Arial" w:eastAsia="Arial" w:hAnsi="Arial"/>
                <w:sz w:val="18"/>
                <w:szCs w:val="18"/>
                <w:color w:val="auto"/>
                <w:w w:val="97"/>
              </w:rPr>
              <w:t>U.S. Tax Compliance Certificate (Foreign Participant Partnerships)</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E-4</w:t>
            </w:r>
          </w:p>
        </w:tc>
        <w:tc>
          <w:tcPr>
            <w:tcW w:w="5700" w:type="dxa"/>
            <w:vAlign w:val="bottom"/>
          </w:tcPr>
          <w:p>
            <w:pPr>
              <w:ind w:left="500"/>
              <w:spacing w:after="0"/>
              <w:rPr>
                <w:sz w:val="20"/>
                <w:szCs w:val="20"/>
                <w:color w:val="auto"/>
              </w:rPr>
            </w:pPr>
            <w:r>
              <w:rPr>
                <w:rFonts w:ascii="Arial" w:cs="Arial" w:eastAsia="Arial" w:hAnsi="Arial"/>
                <w:sz w:val="18"/>
                <w:szCs w:val="18"/>
                <w:color w:val="auto"/>
              </w:rPr>
              <w:t>U.S. Tax Compliance Certificate (Foreign Lender Partnerships)</w:t>
            </w: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219"/>
          </w:cols>
          <w:pgMar w:left="240" w:top="274" w:right="1440"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CREDIT AGREEMENT</w:t>
      </w:r>
    </w:p>
    <w:p>
      <w:pPr>
        <w:spacing w:after="0" w:line="225"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This AMENDED AND RESTATED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September 30, 2016, among NN,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and SUNTRUST BANK, as successor to KeyBank National Association, as Administrative Agent.</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PRELIMINARY STATEMENTS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WHEREAS, reference is hereby made to that certain Credit Agreement dated as of October 19, 2015 among the Borrower, KeyBank National Association, as administrative agent, Regions Bank, as syndication agent, and SunTrust Bank, as documentation agent, and the Lenders from time to time party thereto, as amended by Amendment No. 1 (as defined below) (the “</w:t>
      </w: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pursuant to which the Lenders agreed to provide term loans and a revolving credit facility to the Borrower, and the L/C Issuers agreed to issue letters of credit, in each case, on the terms and subject to the conditions set forth therein, in connection with the Borrower’s acquisition (the “</w:t>
      </w:r>
      <w:r>
        <w:rPr>
          <w:rFonts w:ascii="Arial" w:cs="Arial" w:eastAsia="Arial" w:hAnsi="Arial"/>
          <w:sz w:val="18"/>
          <w:szCs w:val="18"/>
          <w:u w:val="single" w:color="auto"/>
          <w:color w:val="auto"/>
        </w:rPr>
        <w:t>Closing Date Acquisition</w:t>
      </w:r>
      <w:r>
        <w:rPr>
          <w:rFonts w:ascii="Arial" w:cs="Arial" w:eastAsia="Arial" w:hAnsi="Arial"/>
          <w:sz w:val="18"/>
          <w:szCs w:val="18"/>
          <w:color w:val="auto"/>
        </w:rPr>
        <w:t>”) of 100% of the equity interests of Precision Engineered Products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from PEP Industries, LLC, a Delaware limited liability company (the “</w:t>
      </w:r>
      <w:r>
        <w:rPr>
          <w:rFonts w:ascii="Arial" w:cs="Arial" w:eastAsia="Arial" w:hAnsi="Arial"/>
          <w:sz w:val="18"/>
          <w:szCs w:val="18"/>
          <w:u w:val="single" w:color="auto"/>
          <w:color w:val="auto"/>
        </w:rPr>
        <w:t>Seller</w:t>
      </w:r>
      <w:r>
        <w:rPr>
          <w:rFonts w:ascii="Arial" w:cs="Arial" w:eastAsia="Arial" w:hAnsi="Arial"/>
          <w:sz w:val="18"/>
          <w:szCs w:val="18"/>
          <w:color w:val="auto"/>
        </w:rPr>
        <w:t>”);</w:t>
      </w:r>
    </w:p>
    <w:p>
      <w:pPr>
        <w:spacing w:after="0" w:line="18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WHEREAS, pursuant to that certain Amendment No. 1 to Credit Agreement dated as of November 9, 2015, the Incremental Term Lenders made Incremental Term Loans to the Borrower in the aggregate amount of $50,000,000;</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WHEREAS, pursuant to, and subject to the terms and conditions of, that certain Amendment and Restatement Agreement, dated as of the date hereof (the “</w:t>
      </w:r>
      <w:r>
        <w:rPr>
          <w:rFonts w:ascii="Arial" w:cs="Arial" w:eastAsia="Arial" w:hAnsi="Arial"/>
          <w:sz w:val="18"/>
          <w:szCs w:val="18"/>
          <w:u w:val="single" w:color="auto"/>
          <w:color w:val="auto"/>
        </w:rPr>
        <w:t>Amendment and Restatement Agreement</w:t>
      </w:r>
      <w:r>
        <w:rPr>
          <w:rFonts w:ascii="Arial" w:cs="Arial" w:eastAsia="Arial" w:hAnsi="Arial"/>
          <w:sz w:val="18"/>
          <w:szCs w:val="18"/>
          <w:color w:val="auto"/>
        </w:rPr>
        <w:t>”) by and among the Borrower, the Administrative Agent, the Lenders party thereto, the Revolving Lenders and the Additional Tranche B Term Lender, upon the occurrence of the Amendment and Restatement Effective Date, the Original Credit Agreement will be amended and restated as set forth herein.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 AND ACCOUNTING TERMS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2016 Amendment Arranger</w:t>
      </w:r>
      <w:r>
        <w:rPr>
          <w:rFonts w:ascii="Arial" w:cs="Arial" w:eastAsia="Arial" w:hAnsi="Arial"/>
          <w:sz w:val="18"/>
          <w:szCs w:val="18"/>
          <w:color w:val="auto"/>
        </w:rPr>
        <w:t>” has the meaning specified in the Amendment and Restatement Agreement.</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any transaction or series of related transactions for the purpose of or resulting, directly or indirectly, in (a) the acquisition of all or substantially all of the assets of any Person, or any business or division of any Person, (b) the acquisition of in excess of 50% of the Equity Interests of any Person, or (c) the acquisition of another Person by a merger, consolidation, amalgamation or any other combination with such Person.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ectPr>
          <w:pgSz w:w="11900" w:h="16838" w:orient="portrait"/>
          <w:cols w:equalWidth="0" w:num="1">
            <w:col w:w="11340"/>
          </w:cols>
          <w:pgMar w:left="240" w:top="274" w:right="319" w:bottom="1440" w:gutter="0" w:footer="0" w:header="0"/>
        </w:sectPr>
      </w:pPr>
    </w:p>
    <w:bookmarkStart w:id="27" w:name="page28"/>
    <w:bookmarkEnd w:id="27"/>
    <w:p>
      <w:pPr>
        <w:ind w:right="2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Additional Tranche B Term Loan Commitment</w:t>
      </w:r>
      <w:r>
        <w:rPr>
          <w:rFonts w:ascii="Arial" w:cs="Arial" w:eastAsia="Arial" w:hAnsi="Arial"/>
          <w:sz w:val="18"/>
          <w:szCs w:val="18"/>
          <w:color w:val="auto"/>
        </w:rPr>
        <w:t>” means, with respect to the Additional Tranche B Term Lender, the commitment of such Additional Tranche B Term Lender to make Additional Tranche B Term Loans on the Amendment and Restatement Effective Date in an amount equal to $105,102,955.47.</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Tranche B Term Lender</w:t>
      </w:r>
      <w:r>
        <w:rPr>
          <w:rFonts w:ascii="Arial" w:cs="Arial" w:eastAsia="Arial" w:hAnsi="Arial"/>
          <w:sz w:val="18"/>
          <w:szCs w:val="18"/>
          <w:color w:val="auto"/>
        </w:rPr>
        <w:t>” means SunTrust Bank, in its capacity as a Lender of Additional Tranche B Term Loans.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Tranche B Term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right="10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SunTrust Bank in its capacity as administrative agent under any of the Loan Documents, or any successor administrative agent.</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Administrative Agent may from time to time notify to the Borrower and the Lenders.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from time to time by the Administrative Agent.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and Restatement Agreement</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and Restatement Effective Date</w:t>
      </w:r>
      <w:r>
        <w:rPr>
          <w:rFonts w:ascii="Arial" w:cs="Arial" w:eastAsia="Arial" w:hAnsi="Arial"/>
          <w:sz w:val="18"/>
          <w:szCs w:val="18"/>
          <w:color w:val="auto"/>
        </w:rPr>
        <w:t>” has the meaning specified in the Amendment and Restatement Agreement.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the UK Bribery Act 2010, or other similar legislation in other jurisdictions.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Fee Rate</w:t>
      </w:r>
      <w:r>
        <w:rPr>
          <w:rFonts w:ascii="Arial" w:cs="Arial" w:eastAsia="Arial" w:hAnsi="Arial"/>
          <w:sz w:val="18"/>
          <w:szCs w:val="18"/>
          <w:color w:val="auto"/>
        </w:rPr>
        <w:t>” means the Applicable Rate with respect to the “Commitment Fee” as set forth in the definition of Applicable Rate.</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(a) in respect of the Term Facility, with respect to any Term Lender at any time, the percentage (carried out to the ninth decimal place) of the Term Facility represented by (i) such Term Lender’s Term Commitment at such time, subject to adjustment as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principal amount of such Term Lender’s Term Loans at such time and (b) in respect of the Revolving Credit Facility, with respect to any Revolving Credit Lender at any time, the percentage (carried out to the ninth decimal place) of the Revolving Credit Facility represented by such Revolving Credit Lender’s Revolving Credit Commitment at such time, subject to adjustment as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If the commitment of each Lender to make Loans and the obligation of the L/C Issuers to make L/C Credit Extensions have been terminated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or if the Revolving Credit Commitments or the Term Commitments have expired, then the Applicable Percentage of each Lender in respect of the applicable Facility shall be determined based on the Applicable Percentage of such Lender</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8" w:name="page29"/>
    <w:bookmarkEnd w:id="28"/>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respect of such Facility most recently in effect, giving effect to any subsequent assignments. The initial Applicable Percentage of each Lender in respect of each Facility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w:t>
      </w:r>
    </w:p>
    <w:p>
      <w:pPr>
        <w:spacing w:after="0" w:line="18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xml:space="preserve">” means, at any time, in respect of (x) the Initial Term Facility, 3.75% per annum for Base Rate Loans and 4.75% per annum for Eurodollar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Applicable Rate with respect to any Incremental Term Loans shall be determined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w:t>
      </w:r>
    </w:p>
    <w:p>
      <w:pPr>
        <w:ind w:left="260" w:hanging="252"/>
        <w:spacing w:after="0"/>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Tranche B Term Facility, 3.25% per annum for Base Rate Loans and 4.25% per annum for Eurodollar Rate Loans, and (z) the Revolving Credit</w:t>
      </w:r>
    </w:p>
    <w:p>
      <w:pPr>
        <w:spacing w:after="0" w:line="20" w:lineRule="exact"/>
        <w:rPr>
          <w:rFonts w:ascii="Arial" w:cs="Arial" w:eastAsia="Arial" w:hAnsi="Arial"/>
          <w:sz w:val="17"/>
          <w:szCs w:val="17"/>
          <w:color w:val="auto"/>
        </w:rPr>
      </w:pPr>
    </w:p>
    <w:p>
      <w:pPr>
        <w:ind w:right="260"/>
        <w:spacing w:after="0" w:line="281" w:lineRule="auto"/>
        <w:rPr>
          <w:rFonts w:ascii="Arial" w:cs="Arial" w:eastAsia="Arial" w:hAnsi="Arial"/>
          <w:sz w:val="17"/>
          <w:szCs w:val="17"/>
          <w:color w:val="auto"/>
        </w:rPr>
      </w:pPr>
      <w:r>
        <w:rPr>
          <w:rFonts w:ascii="Arial" w:cs="Arial" w:eastAsia="Arial" w:hAnsi="Arial"/>
          <w:sz w:val="16"/>
          <w:szCs w:val="16"/>
          <w:color w:val="auto"/>
        </w:rPr>
        <w:t xml:space="preserve">Facility, (1) from the Closing Date to the date on which the Administrative Agent receives a Compliance Certificate pursuant to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for the fiscal quarter ending March 31, 2016, (i) 2.50% per annum for Base Rate Loans, (ii) 3.50% per annum for Eurodollar Rate Loans and Letter of Credit Fees and</w:t>
      </w:r>
    </w:p>
    <w:p>
      <w:pPr>
        <w:spacing w:after="0" w:line="1" w:lineRule="exact"/>
        <w:rPr>
          <w:rFonts w:ascii="Arial" w:cs="Arial" w:eastAsia="Arial" w:hAnsi="Arial"/>
          <w:sz w:val="17"/>
          <w:szCs w:val="17"/>
          <w:color w:val="auto"/>
        </w:rPr>
      </w:pPr>
    </w:p>
    <w:p>
      <w:pPr>
        <w:jc w:val="both"/>
        <w:ind w:right="560" w:firstLine="8"/>
        <w:spacing w:after="0" w:line="323" w:lineRule="auto"/>
        <w:tabs>
          <w:tab w:leader="none" w:pos="3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0.50% per annum for the Commitment Fee and (2) thereafter, the applicable percentage per annum set forth below determined by reference to the Consolidated Leverage Ratio as set forth in the most recent Compliance Certificate received by the Administrative Agent pursuant to </w:t>
      </w:r>
      <w:r>
        <w:rPr>
          <w:rFonts w:ascii="Arial" w:cs="Arial" w:eastAsia="Arial" w:hAnsi="Arial"/>
          <w:sz w:val="16"/>
          <w:szCs w:val="16"/>
          <w:u w:val="single" w:color="auto"/>
          <w:color w:val="auto"/>
        </w:rPr>
        <w:t>Section 6.02(b)</w:t>
      </w:r>
      <w:r>
        <w:rPr>
          <w:rFonts w:ascii="Arial" w:cs="Arial" w:eastAsia="Arial" w:hAnsi="Arial"/>
          <w:sz w:val="16"/>
          <w:szCs w:val="16"/>
          <w:color w:val="auto"/>
        </w:rPr>
        <w:t>:</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Eurocurrency Rate</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Pricing</w:t>
            </w:r>
          </w:p>
        </w:tc>
        <w:tc>
          <w:tcPr>
            <w:tcW w:w="20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Consolidated</w:t>
            </w: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Loans /</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40" w:type="dxa"/>
            <w:vAlign w:val="bottom"/>
            <w:gridSpan w:val="3"/>
            <w:vMerge w:val="continue"/>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gridSpan w:val="2"/>
          </w:tcPr>
          <w:p>
            <w:pPr>
              <w:jc w:val="center"/>
              <w:ind w:right="800"/>
              <w:spacing w:after="0" w:line="145" w:lineRule="exact"/>
              <w:rPr>
                <w:sz w:val="20"/>
                <w:szCs w:val="20"/>
                <w:color w:val="auto"/>
              </w:rPr>
            </w:pPr>
            <w:r>
              <w:rPr>
                <w:rFonts w:ascii="Arial" w:cs="Arial" w:eastAsia="Arial" w:hAnsi="Arial"/>
                <w:sz w:val="14"/>
                <w:szCs w:val="14"/>
                <w:b w:val="1"/>
                <w:bCs w:val="1"/>
                <w:color w:val="auto"/>
                <w:w w:val="97"/>
              </w:rPr>
              <w:t>Letter of Credit</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Level</w:t>
            </w:r>
          </w:p>
        </w:tc>
        <w:tc>
          <w:tcPr>
            <w:tcW w:w="2880" w:type="dxa"/>
            <w:vAlign w:val="bottom"/>
          </w:tcPr>
          <w:p>
            <w:pPr>
              <w:spacing w:after="0"/>
              <w:rPr>
                <w:sz w:val="11"/>
                <w:szCs w:val="11"/>
                <w:color w:val="auto"/>
              </w:rPr>
            </w:pPr>
          </w:p>
        </w:tc>
        <w:tc>
          <w:tcPr>
            <w:tcW w:w="206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3"/>
              </w:rPr>
              <w:t>Leverage Ratio</w:t>
            </w:r>
          </w:p>
        </w:tc>
        <w:tc>
          <w:tcPr>
            <w:tcW w:w="1840" w:type="dxa"/>
            <w:vAlign w:val="bottom"/>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w w:val="90"/>
              </w:rPr>
              <w:t>Base Rate Loans</w:t>
            </w:r>
          </w:p>
        </w:tc>
        <w:tc>
          <w:tcPr>
            <w:tcW w:w="198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1"/>
              </w:rPr>
              <w:t>Fees</w:t>
            </w:r>
          </w:p>
        </w:tc>
        <w:tc>
          <w:tcPr>
            <w:tcW w:w="128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Commitment Fee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8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&gt; 4.00x</w:t>
            </w:r>
          </w:p>
        </w:tc>
        <w:tc>
          <w:tcPr>
            <w:tcW w:w="6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2.50%</w:t>
            </w:r>
          </w:p>
        </w:tc>
        <w:tc>
          <w:tcPr>
            <w:tcW w:w="1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w:t>
            </w:r>
          </w:p>
        </w:tc>
        <w:tc>
          <w:tcPr>
            <w:tcW w:w="2880" w:type="dxa"/>
            <w:vAlign w:val="bottom"/>
          </w:tcPr>
          <w:p>
            <w:pPr>
              <w:spacing w:after="0"/>
              <w:rPr>
                <w:sz w:val="18"/>
                <w:szCs w:val="18"/>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&gt; 3.50x and &lt; 4.00x</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2.25%</w:t>
            </w:r>
          </w:p>
        </w:tc>
        <w:tc>
          <w:tcPr>
            <w:tcW w:w="1980" w:type="dxa"/>
            <w:vAlign w:val="bottom"/>
            <w:gridSpan w:val="2"/>
          </w:tcPr>
          <w:p>
            <w:pPr>
              <w:jc w:val="right"/>
              <w:ind w:right="640"/>
              <w:spacing w:after="0"/>
              <w:rPr>
                <w:sz w:val="20"/>
                <w:szCs w:val="20"/>
                <w:color w:val="auto"/>
              </w:rPr>
            </w:pPr>
            <w:r>
              <w:rPr>
                <w:rFonts w:ascii="Arial" w:cs="Arial" w:eastAsia="Arial" w:hAnsi="Arial"/>
                <w:sz w:val="18"/>
                <w:szCs w:val="18"/>
                <w:color w:val="auto"/>
              </w:rPr>
              <w:t>3.25%</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8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1"/>
              </w:rPr>
              <w:t>&gt; 3.00x and &lt; 3.50x</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w:t>
            </w:r>
          </w:p>
        </w:tc>
        <w:tc>
          <w:tcPr>
            <w:tcW w:w="1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4</w:t>
            </w:r>
          </w:p>
        </w:tc>
        <w:tc>
          <w:tcPr>
            <w:tcW w:w="2880" w:type="dxa"/>
            <w:vAlign w:val="bottom"/>
          </w:tcPr>
          <w:p>
            <w:pPr>
              <w:spacing w:after="0"/>
              <w:rPr>
                <w:sz w:val="18"/>
                <w:szCs w:val="18"/>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&gt; 2.50x and &lt; 3.00x</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1.75%</w:t>
            </w:r>
          </w:p>
        </w:tc>
        <w:tc>
          <w:tcPr>
            <w:tcW w:w="1980" w:type="dxa"/>
            <w:vAlign w:val="bottom"/>
            <w:gridSpan w:val="2"/>
          </w:tcPr>
          <w:p>
            <w:pPr>
              <w:jc w:val="right"/>
              <w:ind w:right="640"/>
              <w:spacing w:after="0"/>
              <w:rPr>
                <w:sz w:val="20"/>
                <w:szCs w:val="20"/>
                <w:color w:val="auto"/>
              </w:rPr>
            </w:pPr>
            <w:r>
              <w:rPr>
                <w:rFonts w:ascii="Arial" w:cs="Arial" w:eastAsia="Arial" w:hAnsi="Arial"/>
                <w:sz w:val="18"/>
                <w:szCs w:val="18"/>
                <w:color w:val="auto"/>
              </w:rPr>
              <w:t>2.75%</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8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0"/>
              </w:rPr>
              <w:t>&lt; 2.50x</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1.50%</w:t>
            </w:r>
          </w:p>
        </w:tc>
        <w:tc>
          <w:tcPr>
            <w:tcW w:w="1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an Event of Default exists or a Compliance Certificate is not delivered when due in accordance with </w:t>
      </w:r>
      <w:r>
        <w:rPr>
          <w:rFonts w:ascii="Arial" w:cs="Arial" w:eastAsia="Arial" w:hAnsi="Arial"/>
          <w:sz w:val="16"/>
          <w:szCs w:val="16"/>
          <w:u w:val="single" w:color="auto"/>
          <w:color w:val="auto"/>
        </w:rPr>
        <w:t>Section 6.02(b)</w:t>
      </w:r>
      <w:r>
        <w:rPr>
          <w:rFonts w:ascii="Arial" w:cs="Arial" w:eastAsia="Arial" w:hAnsi="Arial"/>
          <w:sz w:val="16"/>
          <w:szCs w:val="16"/>
          <w:color w:val="auto"/>
        </w:rPr>
        <w:t>, then Pricing Level 1 shall apply in respect of the Revolving Credit Facility as of the first Business Day after either an Event of Default exists or the date on which such Compliance Certificate was required to have been delivered, as applicable, and shall remain in effect until the date on which no Event of Default exists and such Compliance Certificate is delivered.</w:t>
      </w:r>
    </w:p>
    <w:p>
      <w:pPr>
        <w:spacing w:after="0" w:line="15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Notwithstanding anything to the contrary contained in this definition, the determination of the Applicable Rate for any period shall be subject to the provisions of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Revolving Credit Percentage</w:t>
      </w:r>
      <w:r>
        <w:rPr>
          <w:rFonts w:ascii="Arial" w:cs="Arial" w:eastAsia="Arial" w:hAnsi="Arial"/>
          <w:sz w:val="18"/>
          <w:szCs w:val="18"/>
          <w:color w:val="auto"/>
        </w:rPr>
        <w:t>” means with respect to any Revolving Credit Lender at any time, such Revolving Credit Lender’s Applicable Percentage in respect of the Revolving Credit Facility at such time.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29" w:name="page30"/>
    <w:bookmarkEnd w:id="29"/>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xml:space="preserve">” means, at any time, (a) with respect to any Facility, a Lender that has a Commitment with respect to such Facility or holds a Loan under such Facility at such time, (b) with respect to the Letter of Credit Sublimit, (i) the L/C Issuers and (ii) if any Letters of Credit have been issued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the Revolving Credit Lenders and (c) with respect to the Swing Line Sublimit, (i) the Swing Line Lender and (ii) if any Swing Line Loans are outstanding pursuant to </w:t>
      </w:r>
      <w:r>
        <w:rPr>
          <w:rFonts w:ascii="Arial" w:cs="Arial" w:eastAsia="Arial" w:hAnsi="Arial"/>
          <w:sz w:val="18"/>
          <w:szCs w:val="18"/>
          <w:u w:val="single" w:color="auto"/>
          <w:color w:val="auto"/>
        </w:rPr>
        <w:t>Section 2.04(a)</w:t>
      </w:r>
      <w:r>
        <w:rPr>
          <w:rFonts w:ascii="Arial" w:cs="Arial" w:eastAsia="Arial" w:hAnsi="Arial"/>
          <w:sz w:val="18"/>
          <w:szCs w:val="18"/>
          <w:color w:val="auto"/>
        </w:rPr>
        <w:t>, the Revolving Credit Lenders.</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collectively, KeyBanc Capital Markets Inc., SunTrust Robinson Humphrey, Inc. and Regions Capital Markets, a division of Regions Bank, in their respective capacities as Joint Lead Arrangers and Joint Bookrunners.</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and accepted by the Administrative Agent, in substantially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or any other form (including electronic documentation generated by use of an electronic platform) approved by the Administrative Agent.</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means, collectively, the Borrower Audited Financial Statements and the Company Audited Financial Statements.</w:t>
      </w:r>
    </w:p>
    <w:p>
      <w:pPr>
        <w:spacing w:after="0" w:line="23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 Period</w:t>
      </w:r>
      <w:r>
        <w:rPr>
          <w:rFonts w:ascii="Arial" w:cs="Arial" w:eastAsia="Arial" w:hAnsi="Arial"/>
          <w:sz w:val="16"/>
          <w:szCs w:val="16"/>
          <w:color w:val="auto"/>
        </w:rPr>
        <w:t xml:space="preserve">” means, (a) in respect of the Revolving Credit Facility, the period commencing on the day after the Closing Date to the earliest of (i) the Maturity Date for the Revolving Credit Facility, (ii) the date of termination of the Revolving Credit Commitments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and</w:t>
      </w:r>
    </w:p>
    <w:p>
      <w:pPr>
        <w:ind w:right="60" w:firstLine="8"/>
        <w:spacing w:after="0" w:line="302" w:lineRule="auto"/>
        <w:tabs>
          <w:tab w:leader="none" w:pos="3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date of termination of the commitment of each Revolving Credit Lender to make Revolving Credit Loans and of the obligation of the L/C Issuers to make L/C Credit Extensions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(b) in respect of the Initial Term Facility, the Closing Date, (c) in respect of the Tranche B Term Facility, the Amendment and Restatement Effective Date, and (d) in respect of any Incremental Term Facility, as determined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w:t>
      </w:r>
    </w:p>
    <w:p>
      <w:pPr>
        <w:spacing w:after="0" w:line="15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shall mean the highest of (i) the rate which the Administrative Agent announces from time to time as its prime lending rate, as in effect from time to time, (ii) the Federal Funds Rate, as in effect from time to time, plus one-half of one percent (0.50%)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and (iii) the Eurodollar Rate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0" w:name="page31"/>
    <w:bookmarkEnd w:id="30"/>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determined on a daily basis for an Interest Period of one (1) month, plus one percent (1.00%)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(any changes in such rates to be effective as of the date of any change in such rate). The Administrative Agent’s prime lending rate is a reference rate and does not necessarily represent the lowest or best rate actually charged to any customer. The Administrative Agent may make commercial loans or other loans at rates of interest at, above, or below the Administrative Agent’s prime lending rate.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Revolving Credit Loan or a Term Loan that bears interest based on the Base Rate.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Audited Financial Statements</w:t>
      </w:r>
      <w:r>
        <w:rPr>
          <w:rFonts w:ascii="Arial" w:cs="Arial" w:eastAsia="Arial" w:hAnsi="Arial"/>
          <w:sz w:val="16"/>
          <w:szCs w:val="16"/>
          <w:color w:val="auto"/>
        </w:rPr>
        <w:t>” means the audited consolidated balance sheet of the Borrower and its Subsidiaries (but not including the Company and its Subsidiaries) for the fiscal years ended December 31, 2012, December 31, 2013 and December 31, 2014, and the related consolidated statements of income or operations, shareholders’ equity and cash flows for such fiscal year of the Borrower and its Subsidiaries, including the notes thereto.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Interim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4.01(a)(ix)</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Pro Forma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4.01(a)(x)</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 a Swing Line Borrowing or a Term Borrowing, as the context may require.</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Distribution</w:t>
      </w:r>
      <w:r>
        <w:rPr>
          <w:rFonts w:ascii="Arial" w:cs="Arial" w:eastAsia="Arial" w:hAnsi="Arial"/>
          <w:sz w:val="18"/>
          <w:szCs w:val="18"/>
          <w:color w:val="auto"/>
        </w:rPr>
        <w:t>” means a payment made, liability incurred or other consideration given by the Borrower or any of its Subsidiaries, for the purchase, acquisition, redemption, repurchase, payment, defeasance, cancellation, termination or retirement of any capital stock or other Equity Interest of the Borrower or such Subsidiary, as applicable, or as a dividend, return of capital or other distribution (other than any stock dividend, stock split or other equity distribution payable only in its common capital stock or other common Equity Interests) in respect of the Borrower’s or such Subsidiary’s (as the case may be) capital stock or other Equity Interest.</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 respect to any Person for any period, any expenditure in respect of the purchase or other acquisition of any fixed or capital asset (excluding normal replacements and maintenance which are properly charged to current operations).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means all leases that have been or should be, in accordance with GAAP, recorded as capitalized leases.</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one or more of the respective L/C Issuers or Swing Line Lender (as applicable) and the Lenders, as collateral for L/C Obligations, Obligations in respect of Swing Line Loans, or obligations of Lenders to fund participations in respect of either thereof (as the context may require), cash or deposit account balances or, if the Administrative Agent, the applicable L/C Issuer or Swing Line Lender shall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31" w:name="page32"/>
    <w:bookmarkEnd w:id="31"/>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 in their sole discretion, other credit support, in each case pursuant to documentation in form and substance satisfactory to (a) the Administrative Agent and (b) the respective L/C Issuer or the Swing Line Lender (as applicable). “</w:t>
      </w:r>
      <w:r>
        <w:rPr>
          <w:rFonts w:ascii="Arial" w:cs="Arial" w:eastAsia="Arial" w:hAnsi="Arial"/>
          <w:sz w:val="18"/>
          <w:szCs w:val="18"/>
          <w:u w:val="single" w:color="auto"/>
          <w:color w:val="auto"/>
        </w:rPr>
        <w:t>Cash 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means any type of Investment permitted pursuant to </w:t>
      </w:r>
      <w:r>
        <w:rPr>
          <w:rFonts w:ascii="Arial" w:cs="Arial" w:eastAsia="Arial" w:hAnsi="Arial"/>
          <w:sz w:val="18"/>
          <w:szCs w:val="18"/>
          <w:u w:val="single" w:color="auto"/>
          <w:color w:val="auto"/>
        </w:rPr>
        <w:t>Section 7.03(a)(ii)</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to provide cash management services, including treasury, depository, overdraft, credit or debit card, electronic funds transfer and other cash management arrangements.</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Person that (a) at the time it enters into a Cash Management Agreement with a Loan Party, is the Administrative Agent, an Affiliate of the Administrative Agent, a Lender or an Affiliate of a Lender or (b) at the time it (or its Affiliate) becomes the Administrative Agent or a Lender, as applicable (including on the Closing Date), is a party to a Cash Management Agreement with a Loan Party, in each case in its capacity as a party to such Cash Management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Cashless Option Lender</w:t>
      </w:r>
      <w:r>
        <w:rPr>
          <w:rFonts w:ascii="Arial" w:cs="Arial" w:eastAsia="Arial" w:hAnsi="Arial"/>
          <w:sz w:val="18"/>
          <w:szCs w:val="18"/>
          <w:color w:val="auto"/>
        </w:rPr>
        <w:t>” has the meaning specified in the Amendment and Restatement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any of the following:</w:t>
      </w:r>
    </w:p>
    <w:p>
      <w:pPr>
        <w:spacing w:after="0" w:line="225" w:lineRule="exact"/>
        <w:rPr>
          <w:sz w:val="20"/>
          <w:szCs w:val="20"/>
          <w:color w:val="auto"/>
        </w:rPr>
      </w:pPr>
    </w:p>
    <w:p>
      <w:pPr>
        <w:ind w:right="180" w:firstLine="464"/>
        <w:spacing w:after="0" w:line="302" w:lineRule="auto"/>
        <w:tabs>
          <w:tab w:leader="none" w:pos="70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acquisition of, or, if earlier, the shareholder or director approval of the acquisition of, ownership or voting control, directly or indirectly, beneficially (within the meaning of Rules 13d-3 and 13d-5 of the Securities Exchange Act of 1934, as then in effect) or of record, on or after the Closing Date, by any Person or group (within the meaning of Sections 13d and 14d of the Securities Exchange Act of 1934, as then in effect), of shares representing more than thirty-five percent (35%) of the aggregate ordinary Voting Power represented by the issued and outstanding capital stock of the Borrower;</w:t>
      </w:r>
    </w:p>
    <w:p>
      <w:pPr>
        <w:spacing w:after="0" w:line="154" w:lineRule="exact"/>
        <w:rPr>
          <w:rFonts w:ascii="Arial" w:cs="Arial" w:eastAsia="Arial" w:hAnsi="Arial"/>
          <w:sz w:val="16"/>
          <w:szCs w:val="16"/>
          <w:color w:val="auto"/>
        </w:rPr>
      </w:pPr>
    </w:p>
    <w:p>
      <w:pPr>
        <w:ind w:right="80" w:firstLine="464"/>
        <w:spacing w:after="0" w:line="255" w:lineRule="auto"/>
        <w:tabs>
          <w:tab w:leader="none" w:pos="7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constituting at the time of such election or nomination at least a majority of that board or equivalent governing body;</w:t>
      </w:r>
    </w:p>
    <w:p>
      <w:pPr>
        <w:spacing w:after="0" w:line="193" w:lineRule="exact"/>
        <w:rPr>
          <w:rFonts w:ascii="Arial" w:cs="Arial" w:eastAsia="Arial" w:hAnsi="Arial"/>
          <w:sz w:val="18"/>
          <w:szCs w:val="18"/>
          <w:color w:val="auto"/>
        </w:rPr>
      </w:pPr>
    </w:p>
    <w:p>
      <w:pPr>
        <w:ind w:left="700" w:hanging="236"/>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Borrower shall cease to own, directly or indirectly, one hundred percent (100%) of the record and beneficial ownership of each other Loan Party;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right="560" w:firstLine="464"/>
        <w:spacing w:after="0" w:line="277" w:lineRule="auto"/>
        <w:tabs>
          <w:tab w:leader="none" w:pos="7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occurrence of a change in control, or other similar provision, as defined in any Material Indebtedness Agreement or under the New Notes Documents.</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2" w:name="page33"/>
    <w:bookmarkEnd w:id="3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first date all the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Acquisition</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Acquisition Agreement</w:t>
      </w:r>
      <w:r>
        <w:rPr>
          <w:rFonts w:ascii="Arial" w:cs="Arial" w:eastAsia="Arial" w:hAnsi="Arial"/>
          <w:sz w:val="18"/>
          <w:szCs w:val="18"/>
          <w:color w:val="auto"/>
        </w:rPr>
        <w:t>” means that certain Stock Purchase Agreement, dated as of August 17, 2015, by and among the Borrower, the Company and the Seller.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Consolidated Net Leverage Ratio</w:t>
      </w:r>
      <w:r>
        <w:rPr>
          <w:rFonts w:ascii="Arial" w:cs="Arial" w:eastAsia="Arial" w:hAnsi="Arial"/>
          <w:sz w:val="18"/>
          <w:szCs w:val="18"/>
          <w:color w:val="auto"/>
        </w:rPr>
        <w:t>” means 4.77:1.00.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w:t>
      </w:r>
      <w:r>
        <w:rPr>
          <w:rFonts w:ascii="Arial" w:cs="Arial" w:eastAsia="Arial" w:hAnsi="Arial"/>
          <w:sz w:val="18"/>
          <w:szCs w:val="18"/>
          <w:u w:val="single" w:color="auto"/>
          <w:color w:val="auto"/>
        </w:rPr>
        <w:t>Collateral</w:t>
      </w:r>
      <w:r>
        <w:rPr>
          <w:rFonts w:ascii="Arial" w:cs="Arial" w:eastAsia="Arial" w:hAnsi="Arial"/>
          <w:sz w:val="18"/>
          <w:szCs w:val="18"/>
          <w:color w:val="auto"/>
        </w:rPr>
        <w:t>” and “</w:t>
      </w:r>
      <w:r>
        <w:rPr>
          <w:rFonts w:ascii="Arial" w:cs="Arial" w:eastAsia="Arial" w:hAnsi="Arial"/>
          <w:sz w:val="18"/>
          <w:szCs w:val="18"/>
          <w:u w:val="single" w:color="auto"/>
          <w:color w:val="auto"/>
        </w:rPr>
        <w:t>Mortgaged Property</w:t>
      </w:r>
      <w:r>
        <w:rPr>
          <w:rFonts w:ascii="Arial" w:cs="Arial" w:eastAsia="Arial" w:hAnsi="Arial"/>
          <w:sz w:val="18"/>
          <w:szCs w:val="18"/>
          <w:color w:val="auto"/>
        </w:rPr>
        <w:t>” or “</w:t>
      </w:r>
      <w:r>
        <w:rPr>
          <w:rFonts w:ascii="Arial" w:cs="Arial" w:eastAsia="Arial" w:hAnsi="Arial"/>
          <w:sz w:val="18"/>
          <w:szCs w:val="18"/>
          <w:u w:val="single" w:color="auto"/>
          <w:color w:val="auto"/>
        </w:rPr>
        <w:t>Trust Property</w:t>
      </w:r>
      <w:r>
        <w:rPr>
          <w:rFonts w:ascii="Arial" w:cs="Arial" w:eastAsia="Arial" w:hAnsi="Arial"/>
          <w:sz w:val="18"/>
          <w:szCs w:val="18"/>
          <w:color w:val="auto"/>
        </w:rPr>
        <w:t>” or other similar term referred to in the Collateral Documents and all of the other property that is or is intended under the terms of the Collateral Documents to be subject to Liens in favor of the Administrative Agent for the benefit of the Secured Parties.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 the Intellectual Property Security Agreements, the Mortgages, each of the mortgages, collateral assignments, Security Joinder Agreements, security agreements, pledge agreements or other similar agreements delivered to the Administrative Agent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and each of the other agreements, instruments or documents that creates or purports to create a Lien in favor of the Administrative Agent for the benefit of the Secured Parties.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Term Commitment or a Revolving Credit Commitment, as the context may require.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Loan Notice</w:t>
      </w:r>
      <w:r>
        <w:rPr>
          <w:rFonts w:ascii="Arial" w:cs="Arial" w:eastAsia="Arial" w:hAnsi="Arial"/>
          <w:sz w:val="17"/>
          <w:szCs w:val="17"/>
          <w:color w:val="auto"/>
        </w:rPr>
        <w:t xml:space="preserve">” means a notice of (a) a Term Borrowing, (b) a Revolving Credit Borrowing, (c) a conversion of Loans from one Type to the other, or (d) a continuation of Eurodollar Rate Loans, pursuant to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which, if in writing,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i w:val="1"/>
          <w:iCs w:val="1"/>
          <w:color w:val="auto"/>
        </w:rPr>
        <w:t>et seq</w:t>
      </w:r>
      <w:r>
        <w:rPr>
          <w:rFonts w:ascii="Arial" w:cs="Arial" w:eastAsia="Arial" w:hAnsi="Arial"/>
          <w:sz w:val="16"/>
          <w:szCs w:val="16"/>
          <w:color w:val="auto"/>
        </w:rPr>
        <w:t>.), as amended from time to time, and any successor statute.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Audited Financial Statements</w:t>
      </w:r>
      <w:r>
        <w:rPr>
          <w:rFonts w:ascii="Arial" w:cs="Arial" w:eastAsia="Arial" w:hAnsi="Arial"/>
          <w:sz w:val="18"/>
          <w:szCs w:val="18"/>
          <w:color w:val="auto"/>
        </w:rPr>
        <w:t>” means the audited consolidated balance sheet of the Company and its Subsidiaries for the fiscal years ended December 31, 2012, December 31, 2013 and December 31, 2014, and the related consolidated statements of income or operations, shareholders’ equity and cash flows for such fiscal year of the Company and its Subsidiaries, including the notes thereto.</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Company Interim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4.01(a)(ix)</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means a material adverse effect on the financial condition, business, properties, or results of operations of the Company and its Subsidiaries, taken as a whole, excluding any change, occurrence, event or effect resulting directly or indirectly from (i) international, national, regional or industry-wide political, economic or business conditions (including financial, banking, securities and capital market conditions and any disruption thereof and adverse changes in the price of precious metals or other natural resources used by the Company and its Subsidiaries in the ordinary and usual course of their business, consistent with past practice), (ii) acts of war (whether or not declared), sabotage or terrorism, military actions or the escalation thereof, hurricanes, earthquakes, floods, tsunamis, tornadoes, mudslides, wild fires or other natural disasters and other force majeure events, (iii) any change, occurrence, event or effect generally applicable to the business of the Company and its Subsidiaries or affecting any of the following industries: precision manufacturing, medical and FDA-compliant devices, electrical controls, transportation or power grid distribution, (iv) actual or proposed changes in the Law (as defined in the Closing Date Acquisition Agreement) or applicable accounting regulations or standards (including GAAP (as defined in the Closing Date Acquisition Agreement)) or interpretations thereof, (v) any changes in the technology used by the Company and its Subsidiaries, their customers or others in any of the following industries: precision manufacturing, medical and FDA-compliant devices, electrical controls, transportation or power grid distribution,</w:t>
      </w:r>
    </w:p>
    <w:p>
      <w:pPr>
        <w:spacing w:after="0" w:line="5" w:lineRule="exact"/>
        <w:rPr>
          <w:sz w:val="20"/>
          <w:szCs w:val="20"/>
          <w:color w:val="auto"/>
        </w:rPr>
      </w:pPr>
    </w:p>
    <w:p>
      <w:pPr>
        <w:ind w:firstLine="8"/>
        <w:spacing w:after="0" w:line="287" w:lineRule="auto"/>
        <w:tabs>
          <w:tab w:leader="none" w:pos="3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any failure by the Company or any of its Subsidiaries to meet any internal or published projections, forecasts or revenue or earnings predictions for any period, (vii) any matter that is set forth in any disclosure schedule to the Closing Date Acquisition Agreement, or (viii) the execution or announcement of the Closing Date Acquisition Agreement or of the Closing (as defined in the Closing Date Acquisition Agreement) or the taking of any action contemplated or required by the Closing Date Acquisition Agreement, or the consummation of the transactions contemplated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not prevent or otherwise affect a determination that the facts giving rise or contributing to any such failure has resulted in or contributed to a Company Material Adverse Effect, except that any change, occurrence, event or effect resulting from the matters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above may constitute a Company Material Adverse Effect, and shall be taken into account in determining whether a Company Material Adverse Effect has occurred or would or could occur to the extent that such change, occurrence, event or effect has a disproportionate impact on the Company and its Subsidiaries as compared to any of the other companies in the industries in which the Company and its Subsidiaries operate.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Consideration</w:t>
      </w:r>
      <w:r>
        <w:rPr>
          <w:rFonts w:ascii="Arial" w:cs="Arial" w:eastAsia="Arial" w:hAnsi="Arial"/>
          <w:sz w:val="18"/>
          <w:szCs w:val="18"/>
          <w:color w:val="auto"/>
        </w:rPr>
        <w:t>” means, in connection with an Acquisition, the aggregate consideration paid or to be paid, including borrowed funds, cash, deferred payments, the issuance of securities or notes, the assumption or incurring of liabilities (direct or contingent), the payment of consulting fees or fees for a covenant not to compete and any other consideration paid or to be paid for such Acquisition.</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Depreciation and Amortization Charges</w:t>
      </w:r>
      <w:r>
        <w:rPr>
          <w:rFonts w:ascii="Arial" w:cs="Arial" w:eastAsia="Arial" w:hAnsi="Arial"/>
          <w:sz w:val="18"/>
          <w:szCs w:val="18"/>
          <w:color w:val="auto"/>
        </w:rPr>
        <w:t>” means, for any period, the aggregate of all depreciation and amortization charges for fixed assets, leasehold improvements and general intangibles (specifically including goodwill) of the Borrower and its Subsidiaries for such period, as determined on a consolidated basis and in accordance with GAAP.</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as determined on a consolidated basis, Consolidated Net Earnings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without duplication, the aggregate amounts deducted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determining such Consolidated Net Earnings in respect of: (i) Consolidated Interest Expense, (ii) Consolidated Income Tax Expense, (iii) Consolidated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Charges, (iv) actual non-recurring non-cash restructuring charges to the extent such amounts together do not exceed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$20,000,000 in the aggregate over all periods, (v) foreign exchange losses as reported in “Other Income” according to GAAP and the negative impact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Consolidated EBITDA resulting from converting foreign currency-based income to Dollar-based income to the extent such amounts together exceed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$15,000,000 for such period, (vi) synergies, cost savings and other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adjustments to actual historical Consolidated EBITDA in connection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Closing Date Acquisition or any Acquisition permitted pursuant to </w:t>
      </w:r>
      <w:r>
        <w:rPr>
          <w:rFonts w:ascii="Arial" w:cs="Arial" w:eastAsia="Arial" w:hAnsi="Arial"/>
          <w:sz w:val="16"/>
          <w:szCs w:val="16"/>
          <w:u w:val="single" w:color="auto"/>
          <w:color w:val="auto"/>
        </w:rPr>
        <w:t>Section 7.03(b)</w:t>
      </w:r>
      <w:r>
        <w:rPr>
          <w:rFonts w:ascii="Arial" w:cs="Arial" w:eastAsia="Arial" w:hAnsi="Arial"/>
          <w:sz w:val="16"/>
          <w:szCs w:val="16"/>
          <w:color w:val="auto"/>
        </w:rPr>
        <w:t xml:space="preserve"> to the extent realized within 12 months of the Closing Date Acquisition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such Acquisition,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synergies, cost savings and other adjustments are (A) directly attributable to the Closing Date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such Acquisition, (B) factually supportable, (C) reasonably identifiable, (D) expected to have a continuing impact on the Borrower and its Subsidiaries and</w:t>
      </w:r>
    </w:p>
    <w:p>
      <w:pPr>
        <w:spacing w:after="0" w:line="32" w:lineRule="exact"/>
        <w:rPr>
          <w:sz w:val="20"/>
          <w:szCs w:val="20"/>
          <w:color w:val="auto"/>
        </w:rPr>
      </w:pPr>
    </w:p>
    <w:p>
      <w:pPr>
        <w:ind w:right="20" w:firstLine="8"/>
        <w:spacing w:after="0" w:line="281" w:lineRule="auto"/>
        <w:tabs>
          <w:tab w:leader="none" w:pos="2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consistent with Regulation S-X of the United States Securities and Exchange Commission and (vii) to the extent deducted in calculating Consolidated Net Earnings for such period, Transaction Costs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without duplication, the aggregate amounts included in determining such Consolidated Net Earnings in respect of: (i) unusual non-cash gains not incurred in the ordinary course of business and (ii) foreign exchange gains as reported in Other Income according to GAAP and the positive impact to Consolidated EBITDA resulting from converting foreign currency-based income to Dollar-based income to the extent such amounts together exceed $15,000,000 for such period. For purposes of this Agreement, Consolidated EBITDA shall be adjusted pursuant to </w:t>
      </w:r>
      <w:r>
        <w:rPr>
          <w:rFonts w:ascii="Arial" w:cs="Arial" w:eastAsia="Arial" w:hAnsi="Arial"/>
          <w:sz w:val="16"/>
          <w:szCs w:val="16"/>
          <w:u w:val="single" w:color="auto"/>
          <w:color w:val="auto"/>
        </w:rPr>
        <w:t>Section 1.03(c)</w:t>
      </w:r>
      <w:r>
        <w:rPr>
          <w:rFonts w:ascii="Arial" w:cs="Arial" w:eastAsia="Arial" w:hAnsi="Arial"/>
          <w:sz w:val="16"/>
          <w:szCs w:val="16"/>
          <w:color w:val="auto"/>
        </w:rPr>
        <w:t>.</w:t>
      </w:r>
    </w:p>
    <w:p>
      <w:pPr>
        <w:spacing w:after="0" w:line="3" w:lineRule="exact"/>
        <w:rPr>
          <w:rFonts w:ascii="Arial" w:cs="Arial" w:eastAsia="Arial" w:hAnsi="Arial"/>
          <w:sz w:val="16"/>
          <w:szCs w:val="16"/>
          <w:color w:val="auto"/>
        </w:rPr>
      </w:pPr>
    </w:p>
    <w:p>
      <w:pPr>
        <w:ind w:right="20"/>
        <w:spacing w:after="0" w:line="292" w:lineRule="auto"/>
        <w:rPr>
          <w:rFonts w:ascii="Arial" w:cs="Arial" w:eastAsia="Arial" w:hAnsi="Arial"/>
          <w:sz w:val="16"/>
          <w:szCs w:val="16"/>
          <w:color w:val="auto"/>
        </w:rPr>
      </w:pPr>
      <w:r>
        <w:rPr>
          <w:rFonts w:ascii="Arial" w:cs="Arial" w:eastAsia="Arial" w:hAnsi="Arial"/>
          <w:sz w:val="16"/>
          <w:szCs w:val="16"/>
          <w:color w:val="auto"/>
        </w:rPr>
        <w:t>Notwithstanding the foregoing or anything to the contrary contained herein, Consolidated EBITDA for each of the fiscal quarters ended December 31, 2014, March 31, 2015 and June 30, 2015 shall be deemed to equal $44,087,000, $43,593,000 and $44,091,000, respectively, Consolidated EBITDA for each of the fiscal months ended July 31, 2015 and August 31, 2015 shall be deemed to equal $12,486,000 and $12,724,000, respectively, and Consolidated EBITDA for the period from September 1, 2015 through the Closing Date shall be determined in a manner consistent with the calculation of Consolidated EBITDA for the fiscal quarters ended December 31, 2014, March 31, 2015 and June 30, 2015 and the fiscal months ended July 31, 2015 and August 31, 2015.</w:t>
      </w:r>
    </w:p>
    <w:p>
      <w:pPr>
        <w:spacing w:after="0" w:line="163" w:lineRule="exact"/>
        <w:rPr>
          <w:sz w:val="20"/>
          <w:szCs w:val="20"/>
          <w:color w:val="auto"/>
        </w:rPr>
      </w:pPr>
    </w:p>
    <w:p>
      <w:pPr>
        <w:ind w:right="8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Funded Indebtedness</w:t>
      </w:r>
      <w:r>
        <w:rPr>
          <w:rFonts w:ascii="Arial" w:cs="Arial" w:eastAsia="Arial" w:hAnsi="Arial"/>
          <w:sz w:val="16"/>
          <w:szCs w:val="16"/>
          <w:color w:val="auto"/>
        </w:rPr>
        <w:t>” means, at any date, all Indebtedness (including, but not limited to, current, long-term and Subordinated Indebtedness, if any) of the Borrower and its Subsidiaries, as determined on a consolidated basis and in accordance with GAAP.</w:t>
      </w:r>
    </w:p>
    <w:p>
      <w:pPr>
        <w:spacing w:after="0" w:line="12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Income Tax Expense</w:t>
      </w:r>
      <w:r>
        <w:rPr>
          <w:rFonts w:ascii="Arial" w:cs="Arial" w:eastAsia="Arial" w:hAnsi="Arial"/>
          <w:sz w:val="18"/>
          <w:szCs w:val="18"/>
          <w:color w:val="auto"/>
        </w:rPr>
        <w:t>” means, for any period, all provisions for taxes based on the gross or net income of the Borrower and its Subsidiaries (including, without limitation, any additions to such taxes, and any penalties and interest with respect thereto), as determined on a consolidated basis and in accordance with GAAP.</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the interest expense of the Borrower and its Subsidiaries for such period, as determined on a consolidated basis and in accordance with GAAP.</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Earnings</w:t>
      </w:r>
      <w:r>
        <w:rPr>
          <w:rFonts w:ascii="Arial" w:cs="Arial" w:eastAsia="Arial" w:hAnsi="Arial"/>
          <w:sz w:val="17"/>
          <w:szCs w:val="17"/>
          <w:color w:val="auto"/>
        </w:rPr>
        <w:t xml:space="preserve">” means, for any period, the net income (or loss) of the Borrower and its Subsidiaries for such period, as determined on a consolidated basis and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Consolidated Net Earnings shall exclude (a) extraordinary gains and extraordinary losses for such period, (b) 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Borrower’s equity in any net loss of any such Subsidiary for such period shall be included in determining Consolidated Net Earnings, and (c) any income (or loss) for such period of any Person if such Person is not a Subsidiary, except that the Borrower’s equity in the net income of any such Person for such period shall be included in Consolidated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35" w:name="page36"/>
    <w:bookmarkEnd w:id="3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Earnings up to the aggregate amount of cash actually distributed by such Person during such period to the Borrower or a Subsidiary as a dividend or other distribution (and in the case of a dividend or other distribution to a Subsidiary, such Subsidiary is not precluded from further distributing such amount to the Borrower as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proviso).</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Leverage Ratio</w:t>
      </w:r>
      <w:r>
        <w:rPr>
          <w:rFonts w:ascii="Arial" w:cs="Arial" w:eastAsia="Arial" w:hAnsi="Arial"/>
          <w:sz w:val="18"/>
          <w:szCs w:val="18"/>
          <w:color w:val="auto"/>
        </w:rPr>
        <w:t xml:space="preserve">” means, as of any date, determined on a consolidated basis, the ratio of (a) Consolidated Funded Indebtedness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equal to the lesser of (x) (1) 100% of the Unrestricted Cash and Cash Equivalents (as of such date) of the Borrower and its Domestic Subsidiaries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50% of the Unrestricted Cash and Cash Equivalents (as of such date) of the Foreign Subsidiaries of the Borrower organized under the laws of a jurisdiction located in Europe, as of such date, and (y) $40,000,000, to (b) Consolidated EBITDA for the period of four consecutive fiscal quarters of the Borrower then ended (in the case of any determination as of the last day of a fiscal quarter) or for the most recently completed four fiscal quarters of the Borrower for which financials are required to be delivered hereunder (in the case of any determination of such ratio on a </w:t>
      </w:r>
      <w:r>
        <w:rPr>
          <w:rFonts w:ascii="Arial" w:cs="Arial" w:eastAsia="Arial" w:hAnsi="Arial"/>
          <w:sz w:val="18"/>
          <w:szCs w:val="18"/>
          <w:i w:val="1"/>
          <w:iCs w:val="1"/>
          <w:color w:val="auto"/>
        </w:rPr>
        <w:t xml:space="preserve">pro forma </w:t>
      </w:r>
      <w:r>
        <w:rPr>
          <w:rFonts w:ascii="Arial" w:cs="Arial" w:eastAsia="Arial" w:hAnsi="Arial"/>
          <w:sz w:val="18"/>
          <w:szCs w:val="18"/>
          <w:color w:val="auto"/>
        </w:rPr>
        <w:t>basis hereunder).</w:t>
      </w:r>
    </w:p>
    <w:p>
      <w:pPr>
        <w:spacing w:after="0" w:line="18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as of any date, determined on a consolidated basis, the ratio of (a) Consolidated Funded Indebtedness (as of such date) to (b) Consolidated EBITDA (for the most recently completed four fiscal quarters of the Borrower for which financials are required to be delivered hereunder).</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Secured Leverage Ratio</w:t>
      </w:r>
      <w:r>
        <w:rPr>
          <w:rFonts w:ascii="Arial" w:cs="Arial" w:eastAsia="Arial" w:hAnsi="Arial"/>
          <w:sz w:val="17"/>
          <w:szCs w:val="17"/>
          <w:color w:val="auto"/>
        </w:rPr>
        <w:t>” means, as of any date, determined on a consolidated basis, the ratio of (a) Consolidated Funded Indebtedness (as of such date) that is secured by Liens on assets or property of the Borrower and the Subsidiaries as of such date to (b) Consolidated EBITDA (for the most recently completed four fiscal quarters of the Borrower for which financials are required to be delivered hereunder).</w:t>
      </w:r>
    </w:p>
    <w:p>
      <w:pPr>
        <w:spacing w:after="0" w:line="166"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Security Agreement</w:t>
      </w:r>
      <w:r>
        <w:rPr>
          <w:rFonts w:ascii="Arial" w:cs="Arial" w:eastAsia="Arial" w:hAnsi="Arial"/>
          <w:sz w:val="18"/>
          <w:szCs w:val="18"/>
          <w:color w:val="auto"/>
        </w:rPr>
        <w:t>” means a copyright security agreement in form and substance satisfactory to the Administrative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Retained Excess Cash Flow Amount</w:t>
      </w:r>
      <w:r>
        <w:rPr>
          <w:rFonts w:ascii="Arial" w:cs="Arial" w:eastAsia="Arial" w:hAnsi="Arial"/>
          <w:sz w:val="18"/>
          <w:szCs w:val="18"/>
          <w:color w:val="auto"/>
        </w:rPr>
        <w:t xml:space="preserve">” means, as of any date of determination, an amount, determined on a cumulative basis equal to the sum of (a) Excess Cash Flow (which shall not be less than zero) for each fiscal year of the Borrower ending on or after December 31, 2016 for which the Borrower has delivered the financial statements required by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and the related Compliance Certificate required by </w:t>
      </w:r>
      <w:r>
        <w:rPr>
          <w:rFonts w:ascii="Arial" w:cs="Arial" w:eastAsia="Arial" w:hAnsi="Arial"/>
          <w:sz w:val="18"/>
          <w:szCs w:val="18"/>
          <w:u w:val="single" w:color="auto"/>
          <w:color w:val="auto"/>
        </w:rPr>
        <w:t>Section 6.02(b) less</w:t>
      </w:r>
      <w:r>
        <w:rPr>
          <w:rFonts w:ascii="Arial" w:cs="Arial" w:eastAsia="Arial" w:hAnsi="Arial"/>
          <w:sz w:val="18"/>
          <w:szCs w:val="18"/>
          <w:color w:val="auto"/>
        </w:rPr>
        <w:t xml:space="preserve"> (b) the ECF Prepayment Amount for each such corresponding fiscal year.</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applicable, (a) the public corporate family rating of the Borrower as determined both Moody’s and S&amp;P, (b) the public corporate credit rating of the Borrower as determined by both Moody’s and S&amp;P, and (c) the senior secured debt rating of the Borrower as determined by both Moody’s and S&amp;P.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36" w:name="page37"/>
    <w:bookmarkEnd w:id="36"/>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when used with respect to Obligations other than Letter of Credit Fees, an interest rate equal to (i)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applicable to Base Rate Loans under the Revolving Credit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Eurodollar Rate Loan, the Default Rate shall be an interest rate equal to the interest rate (including any Applicable Rate) otherwise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and (b) when used with respect to Letter of Credit Fees, a rate equal to the Applicable Rate applicable to Eurodollar Rate Loans under the Revolving Credit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w:t>
      </w:r>
    </w:p>
    <w:p>
      <w:pPr>
        <w:spacing w:after="0" w:line="18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2.15(b)</w:t>
      </w:r>
      <w:r>
        <w:rPr>
          <w:rFonts w:ascii="Arial" w:cs="Arial" w:eastAsia="Arial" w:hAnsi="Arial"/>
          <w:sz w:val="16"/>
          <w:szCs w:val="16"/>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Letters of Credit or Swing Line Loans) within two Business Days of the date when due, (b) has notified the Borrower, the Administrative Agent, the applicable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the Administrative Agent and the Borrower), or</w:t>
      </w:r>
    </w:p>
    <w:p>
      <w:pPr>
        <w:spacing w:after="0" w:line="4" w:lineRule="exact"/>
        <w:rPr>
          <w:sz w:val="20"/>
          <w:szCs w:val="20"/>
          <w:color w:val="auto"/>
        </w:rPr>
      </w:pPr>
    </w:p>
    <w:p>
      <w:pPr>
        <w:ind w:right="20" w:firstLine="8"/>
        <w:spacing w:after="0" w:line="268" w:lineRule="auto"/>
        <w:tabs>
          <w:tab w:leader="none" w:pos="2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has, or has a direct or indirect parent company that has other than via an Undisclosed Administration,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7"/>
          <w:szCs w:val="17"/>
          <w:u w:val="single" w:color="auto"/>
          <w:color w:val="auto"/>
        </w:rPr>
        <w:t>Section 2.15(b)</w:t>
      </w:r>
      <w:r>
        <w:rPr>
          <w:rFonts w:ascii="Arial" w:cs="Arial" w:eastAsia="Arial" w:hAnsi="Arial"/>
          <w:sz w:val="17"/>
          <w:szCs w:val="17"/>
          <w:color w:val="auto"/>
        </w:rPr>
        <w:t>) as of the date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37" w:name="page38"/>
    <w:bookmarkEnd w:id="37"/>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established therefor by the Administrative Agent in a written notice of such determination, which shall be delivered by the Administrative Agent to the Borrower, the L/C Issuers, the Swing Line Lender and each other Lender promptly following such determination.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 Control Agreement</w:t>
      </w:r>
      <w:r>
        <w:rPr>
          <w:rFonts w:ascii="Arial" w:cs="Arial" w:eastAsia="Arial" w:hAnsi="Arial"/>
          <w:sz w:val="18"/>
          <w:szCs w:val="18"/>
          <w:color w:val="auto"/>
        </w:rPr>
        <w:t>” has the meaning assigned thereto in the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any Sanction.</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8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 Interest</w:t>
      </w:r>
      <w:r>
        <w:rPr>
          <w:rFonts w:ascii="Arial" w:cs="Arial" w:eastAsia="Arial" w:hAnsi="Arial"/>
          <w:sz w:val="16"/>
          <w:szCs w:val="16"/>
          <w:color w:val="auto"/>
        </w:rPr>
        <w:t xml:space="preserve">” means, with respect to any Person, any Equity Interest which by its terms (or by the terms of any security into which it is convertible or for which it is exchangeable at the option of the holder) or upon the happening of any event: (a) matures or is mandatorily redeemable (other than redeemable only for Equity Interests of such Person which are not themselves Equity Interests described in this definition) pursuant to a sinking fund obligation or otherwise; (b) is convertible or exchangeable at the option of the holder for Indebtedness or Equity Interests described in this definition (excluding Equity Interests which are convertible or exchangeable solely at the option of the Borrower or a Subsidiary); or (c) is mandatorily redeemable or must be purchased upon the occurrence of certain events or otherwise, in whole or in part; in each case, in the case of the Borrower, on or prior to the ninety-first day following the final maturity date of the then issued Term Loans, as extended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Equity Interests that would not constitute Equity Interests described in this definition but for provisions thereof giving holders thereof the right to require such Person to purchase or redeem such Equity Interests upon the occurrence of an “asset sale” or “change of control” occurring prior to the ninety-first day following the final maturity date of the then-existing Term Loans shall not constitute Disqualified Equity Interests if any such requirement only becomes operative after payment in full of all amounts owing under this Agreement and the other Loan Documents and the termination in full of the Commitments. The amount of any Disqualified Equity Interests that do not have a fixed redemption, repayment or repurchase price will be calculated in accordance with the terms of such Disqualified Equity Interests as if such Disqualified Equity Interests were redeemed, repaid or repurchased on any date on which the amount of such Disqualified Equity Interests is to be determined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Disqualified Equity Interests could not be required to be redeemed, repaid or repurchased at the time of such determination, the redemption, repayment or repurchase price will be the book value of such Disqualified Equity Interests as reflected in the most recent financial statements of such Person.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any political subdivision of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Percentage</w:t>
      </w:r>
      <w:r>
        <w:rPr>
          <w:rFonts w:ascii="Arial" w:cs="Arial" w:eastAsia="Arial" w:hAnsi="Arial"/>
          <w:sz w:val="18"/>
          <w:szCs w:val="18"/>
          <w:color w:val="auto"/>
        </w:rPr>
        <w:t>” means, for any fiscal year ending on or after December 31, 2016:</w:t>
      </w:r>
    </w:p>
    <w:p>
      <w:pPr>
        <w:spacing w:after="0" w:line="225" w:lineRule="exact"/>
        <w:rPr>
          <w:sz w:val="20"/>
          <w:szCs w:val="20"/>
          <w:color w:val="auto"/>
        </w:rPr>
      </w:pPr>
    </w:p>
    <w:p>
      <w:pPr>
        <w:ind w:left="5560" w:right="1700" w:hanging="5096"/>
        <w:spacing w:after="0" w:line="449"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50% if the Consolidated Secured Leverage Ratio as of the last day of such fiscal year is greater or equal to than 3.00 to 1.00; -12-</w:t>
      </w:r>
    </w:p>
    <w:p>
      <w:pPr>
        <w:sectPr>
          <w:pgSz w:w="11900" w:h="16838" w:orient="portrait"/>
          <w:cols w:equalWidth="0" w:num="1">
            <w:col w:w="11380"/>
          </w:cols>
          <w:pgMar w:left="240" w:top="274" w:right="279" w:bottom="1440" w:gutter="0" w:footer="0" w:header="0"/>
        </w:sectPr>
      </w:pPr>
    </w:p>
    <w:bookmarkStart w:id="38" w:name="page39"/>
    <w:bookmarkEnd w:id="38"/>
    <w:p>
      <w:pPr>
        <w:ind w:left="720" w:hanging="256"/>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 if the Consolidated Secured Leverage Ratio as of the last day of such fiscal year is less than 3.00 to 1.00 but greater than or equal to 2.50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 and</w:t>
      </w:r>
    </w:p>
    <w:p>
      <w:pPr>
        <w:spacing w:after="0" w:line="210" w:lineRule="exact"/>
        <w:rPr>
          <w:rFonts w:ascii="Arial" w:cs="Arial" w:eastAsia="Arial" w:hAnsi="Arial"/>
          <w:sz w:val="16"/>
          <w:szCs w:val="16"/>
          <w:color w:val="auto"/>
        </w:rPr>
      </w:pPr>
    </w:p>
    <w:p>
      <w:pPr>
        <w:ind w:left="700" w:hanging="23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0% if the Consolidated Secured Leverage Ratio as of the last day of such fiscal year is less than 2.50 to 1.00.</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Prepayment Amount</w:t>
      </w:r>
      <w:r>
        <w:rPr>
          <w:rFonts w:ascii="Arial" w:cs="Arial" w:eastAsia="Arial" w:hAnsi="Arial"/>
          <w:sz w:val="18"/>
          <w:szCs w:val="18"/>
          <w:color w:val="auto"/>
        </w:rPr>
        <w:t xml:space="preserve">” means for any fiscal year, the product obtained by multiplying (a) Excess Cash Flow for such fiscal year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(b) the applicable ECF Percentage for such fiscal year.</w:t>
      </w:r>
    </w:p>
    <w:p>
      <w:pPr>
        <w:spacing w:after="0" w:line="17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definition, or (c) any financial institution established in an EEA Member Country which is a subsidiary of an institution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w:t>
      </w:r>
    </w:p>
    <w:p>
      <w:pPr>
        <w:ind w:left="260" w:hanging="252"/>
        <w:spacing w:after="0"/>
        <w:tabs>
          <w:tab w:leader="none" w:pos="260" w:val="left"/>
        </w:tabs>
        <w:numPr>
          <w:ilvl w:val="0"/>
          <w:numId w:val="26"/>
        </w:numPr>
        <w:rPr>
          <w:rFonts w:ascii="Arial" w:cs="Arial" w:eastAsia="Arial" w:hAnsi="Arial"/>
          <w:sz w:val="18"/>
          <w:szCs w:val="18"/>
          <w:u w:val="single" w:color="auto"/>
          <w:color w:val="auto"/>
        </w:rPr>
      </w:pPr>
      <w:r>
        <w:rPr>
          <w:rFonts w:ascii="Arial" w:cs="Arial" w:eastAsia="Arial" w:hAnsi="Arial"/>
          <w:sz w:val="18"/>
          <w:szCs w:val="18"/>
          <w:color w:val="auto"/>
        </w:rPr>
        <w:t>of this definition and is subject to consolidated supervision with its parent.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ambient air, indoor air, surface water, groundwater, drinking water, soil, surface and subsurface strata, and natural resources such as wetland, flora and fauna.</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w:t>
      </w:r>
    </w:p>
    <w:p>
      <w:pPr>
        <w:spacing w:after="0" w:line="18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w:t>
      </w:r>
    </w:p>
    <w:p>
      <w:pPr>
        <w:ind w:right="280" w:firstLine="8"/>
        <w:spacing w:after="0" w:line="261"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84" w:lineRule="exact"/>
        <w:rPr>
          <w:sz w:val="20"/>
          <w:szCs w:val="20"/>
          <w:color w:val="auto"/>
        </w:rPr>
      </w:pPr>
    </w:p>
    <w:p>
      <w:pPr>
        <w:jc w:val="center"/>
        <w:ind w:left="320" w:right="38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w:t>
      </w:r>
      <w:r>
        <w:rPr>
          <w:rFonts w:ascii="Arial" w:cs="Arial" w:eastAsia="Arial" w:hAnsi="Arial"/>
          <w:sz w:val="18"/>
          <w:szCs w:val="18"/>
          <w:color w:val="auto"/>
        </w:rPr>
        <w:t>” means any permit, approval, identification number, license or other authorization required under any Environmental Law. -13-</w:t>
      </w:r>
    </w:p>
    <w:p>
      <w:pPr>
        <w:sectPr>
          <w:pgSz w:w="11900" w:h="16838" w:orient="portrait"/>
          <w:cols w:equalWidth="0" w:num="1">
            <w:col w:w="11400"/>
          </w:cols>
          <w:pgMar w:left="240" w:top="274" w:right="259" w:bottom="1440" w:gutter="0" w:footer="0" w:header="0"/>
        </w:sectPr>
      </w:pPr>
    </w:p>
    <w:bookmarkStart w:id="39" w:name="page40"/>
    <w:bookmarkEnd w:id="39"/>
    <w:p>
      <w:pPr>
        <w:ind w:right="24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2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Rate</w:t>
      </w:r>
      <w:r>
        <w:rPr>
          <w:rFonts w:ascii="Arial" w:cs="Arial" w:eastAsia="Arial" w:hAnsi="Arial"/>
          <w:sz w:val="17"/>
          <w:szCs w:val="17"/>
          <w:color w:val="auto"/>
        </w:rPr>
        <w:t xml:space="preserve">” means, with respect to each Interest Period for a Eurodollar Rate Loan or for any calculation of the Base Rate in accordance with clause (iii) of the definition of Base Rate, (i)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London interbank offered rate for deposits in Dollars appearing on Reuters screen page LIBOR 01 (or on any successor or substitute page of such service or any successor to such service, or such other commercially available source providing such quotations as may be designated by the Administrative Agent from time to time) at approximately 11:00 A.M. (London time) two (2) Business Days prior to the first day of such Interest Period, with a maturity equal to such Interest Period, divided by (ii) a percentage equal to 100%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then stated maximum rate of all reserve requirements (including any marginal, emergency, supplemental, special or other reserves and without benefit of credits for proration, exceptions or offsets that may be available from time to time) applicable to any member bank of the Federal Reserve System in respect of Eurocurrency liabilities as defined in Regulation D (or any successor category of liabilities under Regulation 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rate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is not available at any such time for any reason, then the rate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shall instead be the interest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as determined by the Administrative Agent, to be the arithmetic average of the rates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at which deposits in Dollars in an amount equal to the amount of such Eurodollar Loan are offered by major banks in the London interbank market to the Administrative Agent at approximately 11:00 A.M. (London time), two (2) Business Days prior to the first day of such Interest Period for contracts that would be entered into at the commencement of such Interest Period for the same duration as such Interest Period.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40" w:name="page41"/>
    <w:bookmarkEnd w:id="40"/>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the foregoing, in no event shall the Eurodollar Rate be less than, with respect to (i) any Initial Term Loan, 1.00%, (ii) any Tranche B Term Loan, 0.75%, (iii) with respect to any Incremental Term Loan, as determined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and (iv) with respect to any other Loan or Obligations, 0.0%.</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Loan that bears interest at a rate determined by reference to the Eurodollar Rate (other than by reason of clause (iii) of the definition of “Base Rate”).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right="50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Flow</w:t>
      </w:r>
      <w:r>
        <w:rPr>
          <w:rFonts w:ascii="Arial" w:cs="Arial" w:eastAsia="Arial" w:hAnsi="Arial"/>
          <w:sz w:val="16"/>
          <w:szCs w:val="16"/>
          <w:color w:val="auto"/>
        </w:rPr>
        <w:t xml:space="preserve">” means, for any fiscal year of the Borrower, the excess (if any) of (a) Consolidated EBITDA for such fiscal year (determined without giving effect to </w:t>
      </w:r>
      <w:r>
        <w:rPr>
          <w:rFonts w:ascii="Arial" w:cs="Arial" w:eastAsia="Arial" w:hAnsi="Arial"/>
          <w:sz w:val="16"/>
          <w:szCs w:val="16"/>
          <w:u w:val="single" w:color="auto"/>
          <w:color w:val="auto"/>
        </w:rPr>
        <w:t>clause (a)(vi)</w:t>
      </w:r>
      <w:r>
        <w:rPr>
          <w:rFonts w:ascii="Arial" w:cs="Arial" w:eastAsia="Arial" w:hAnsi="Arial"/>
          <w:sz w:val="16"/>
          <w:szCs w:val="16"/>
          <w:color w:val="auto"/>
        </w:rPr>
        <w:t xml:space="preserve"> thereof and any adjustments thereto pursuant to </w:t>
      </w:r>
      <w:r>
        <w:rPr>
          <w:rFonts w:ascii="Arial" w:cs="Arial" w:eastAsia="Arial" w:hAnsi="Arial"/>
          <w:sz w:val="16"/>
          <w:szCs w:val="16"/>
          <w:u w:val="single" w:color="auto"/>
          <w:color w:val="auto"/>
        </w:rPr>
        <w:t>Section 1.03(c)</w:t>
      </w:r>
      <w:r>
        <w:rPr>
          <w:rFonts w:ascii="Arial" w:cs="Arial" w:eastAsia="Arial" w:hAnsi="Arial"/>
          <w:sz w:val="16"/>
          <w:szCs w:val="16"/>
          <w:color w:val="auto"/>
        </w:rPr>
        <w:t xml:space="preserve">)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(for such fiscal year) of</w:t>
      </w:r>
    </w:p>
    <w:p>
      <w:pPr>
        <w:ind w:right="140" w:firstLine="8"/>
        <w:spacing w:after="0" w:line="281" w:lineRule="auto"/>
        <w:tabs>
          <w:tab w:leader="none" w:pos="2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Consolidated Interest Expense actually paid in cash by the Borrower and its Subsidiaries, (ii) scheduled principal repayments, to the extent actually made in cash, of the Term Loans pursuant to </w:t>
      </w:r>
      <w:r>
        <w:rPr>
          <w:rFonts w:ascii="Arial" w:cs="Arial" w:eastAsia="Arial" w:hAnsi="Arial"/>
          <w:sz w:val="16"/>
          <w:szCs w:val="16"/>
          <w:u w:val="single" w:color="auto"/>
          <w:color w:val="auto"/>
        </w:rPr>
        <w:t>Section 2.07</w:t>
      </w:r>
      <w:r>
        <w:rPr>
          <w:rFonts w:ascii="Arial" w:cs="Arial" w:eastAsia="Arial" w:hAnsi="Arial"/>
          <w:sz w:val="16"/>
          <w:szCs w:val="16"/>
          <w:color w:val="auto"/>
        </w:rPr>
        <w:t>, (iii) all Consolidated Income Tax Expense actually paid in cash by the Borrower and its Subsidiaries,</w:t>
      </w:r>
    </w:p>
    <w:p>
      <w:pPr>
        <w:spacing w:after="0" w:line="1" w:lineRule="exact"/>
        <w:rPr>
          <w:rFonts w:ascii="Arial" w:cs="Arial" w:eastAsia="Arial" w:hAnsi="Arial"/>
          <w:sz w:val="16"/>
          <w:szCs w:val="16"/>
          <w:color w:val="auto"/>
        </w:rPr>
      </w:pPr>
    </w:p>
    <w:p>
      <w:pPr>
        <w:ind w:right="380" w:firstLine="8"/>
        <w:spacing w:after="0" w:line="302" w:lineRule="auto"/>
        <w:tabs>
          <w:tab w:leader="none" w:pos="3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Capital Expenditures actually made by the Borrower and its Subsidiaries in cash, and (v) Transaction Costs actually paid by the Borrower and its Subsidiaries in cash;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of </w:t>
      </w:r>
      <w:r>
        <w:rPr>
          <w:rFonts w:ascii="Arial" w:cs="Arial" w:eastAsia="Arial" w:hAnsi="Arial"/>
          <w:sz w:val="16"/>
          <w:szCs w:val="16"/>
          <w:u w:val="single" w:color="auto"/>
          <w:color w:val="auto"/>
        </w:rPr>
        <w:t>clauses (b)(i)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such payment was not made with proceeds of any Indebtedness, Disposition, equity issuance, Extraordinary Receipts or other proceeds that would not be included in calculating Consolidated EBITDA for the applicable fiscal year.</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Accounts</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xml:space="preserve">”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of the Security Agreement and any other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8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41" w:name="page42"/>
    <w:bookmarkEnd w:id="4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by the Borrower under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or (ii) such Lender changes its Lending Office, except in each case to the extent that, pursuant to </w:t>
      </w:r>
      <w:r>
        <w:rPr>
          <w:rFonts w:ascii="Arial" w:cs="Arial" w:eastAsia="Arial" w:hAnsi="Arial"/>
          <w:sz w:val="18"/>
          <w:szCs w:val="18"/>
          <w:u w:val="single" w:color="auto"/>
          <w:color w:val="auto"/>
        </w:rPr>
        <w:t>Section 3.01(a)(ii)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(d) any U.S. Federal withholding Taxes imposed under FATCA.</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Company Indebtedness</w:t>
      </w:r>
      <w:r>
        <w:rPr>
          <w:rFonts w:ascii="Arial" w:cs="Arial" w:eastAsia="Arial" w:hAnsi="Arial"/>
          <w:sz w:val="18"/>
          <w:szCs w:val="18"/>
          <w:color w:val="auto"/>
        </w:rPr>
        <w:t>” means all Indebtedness evidenced by that certain Credit Agreement, dated as of December 22, 2010 (as amended through the Closing Date), by and between the Company, KeyBank National Association, as Administrative Agent, and the other parties thereto and the other loan documents thereunder.</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that certain Credit Agreement dated as of August 29, 2014 (as amended through the Closing Date), among the Borrower, KeyBank National Association, as administrative agent and a syndicate of lenders party thereto.</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Indebtedness</w:t>
      </w:r>
      <w:r>
        <w:rPr>
          <w:rFonts w:ascii="Arial" w:cs="Arial" w:eastAsia="Arial" w:hAnsi="Arial"/>
          <w:sz w:val="18"/>
          <w:szCs w:val="18"/>
          <w:color w:val="auto"/>
        </w:rPr>
        <w:t xml:space="preserve">” means all existing Indebtedness of the Borrower and its Subsidiaries (including, without limitation, the Company and its Subsidiaries), including, without limitation, (a) the Existing KeyBank Indebtedness, (b) the Existing Term Loan Agreement Indebtedness, and (c) the Existing Company Indebtedness, but excluding Indebtedness permitted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KeyBank Indebtedness</w:t>
      </w:r>
      <w:r>
        <w:rPr>
          <w:rFonts w:ascii="Arial" w:cs="Arial" w:eastAsia="Arial" w:hAnsi="Arial"/>
          <w:sz w:val="17"/>
          <w:szCs w:val="17"/>
          <w:color w:val="auto"/>
        </w:rPr>
        <w:t>” means all Indebtedness evidenced by the Existing Credit Agreement and the other loan documents thereunder.</w:t>
      </w:r>
    </w:p>
    <w:p>
      <w:pPr>
        <w:spacing w:after="0" w:line="23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Term Loan Agreement</w:t>
      </w:r>
      <w:r>
        <w:rPr>
          <w:rFonts w:ascii="Arial" w:cs="Arial" w:eastAsia="Arial" w:hAnsi="Arial"/>
          <w:sz w:val="18"/>
          <w:szCs w:val="18"/>
          <w:color w:val="auto"/>
        </w:rPr>
        <w:t>” means that certain Term Loan Agreement dated August 29, 2014 (as amended through the Closing Date), among the Borrower, Bank of America, N.A., as administrative agent and a syndicate of lenders party thereto.</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Term Loan Agreement Indebtedness</w:t>
      </w:r>
      <w:r>
        <w:rPr>
          <w:rFonts w:ascii="Arial" w:cs="Arial" w:eastAsia="Arial" w:hAnsi="Arial"/>
          <w:sz w:val="18"/>
          <w:szCs w:val="18"/>
          <w:color w:val="auto"/>
        </w:rPr>
        <w:t>” means all Indebtedness evidenced by the Existing Term Loan Agreement and the other loan documents thereunder.</w:t>
      </w:r>
    </w:p>
    <w:p>
      <w:pPr>
        <w:spacing w:after="0" w:line="170"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Extraordinary Receipt</w:t>
      </w:r>
      <w:r>
        <w:rPr>
          <w:rFonts w:ascii="Arial" w:cs="Arial" w:eastAsia="Arial" w:hAnsi="Arial"/>
          <w:sz w:val="17"/>
          <w:szCs w:val="17"/>
          <w:color w:val="auto"/>
        </w:rPr>
        <w:t xml:space="preserve">” means any cash received by or paid to or for the account of any Person not in the ordinary course of business, including tax refunds, pension plan reversions, proceeds of insurance (other than proceeds of business interruption insurance to the extent such proceeds constitute compensation for lost earnings), condemnation awards (and payments in lieu thereof), indemnity payments and any purchase price adjustments;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Extraordinary Receipt shall not include cash receipts from proceeds of insurance, condemnation awards (or payments in lieu thereof) or indemnity payments to the extent that such proceeds, awards or payments in respect of loss or damage to equipment, fixed assets or real property are applied (or in respect of which expenditures were previously incurred) to replace or repair the equipment, fixed assets or real property in respect of which such proceeds were received in accordance with the terms of </w:t>
      </w:r>
      <w:r>
        <w:rPr>
          <w:rFonts w:ascii="Arial" w:cs="Arial" w:eastAsia="Arial" w:hAnsi="Arial"/>
          <w:sz w:val="17"/>
          <w:szCs w:val="17"/>
          <w:u w:val="single" w:color="auto"/>
          <w:color w:val="auto"/>
        </w:rPr>
        <w:t>Section 2.05(b)(iv)</w:t>
      </w:r>
      <w:r>
        <w:rPr>
          <w:rFonts w:ascii="Arial" w:cs="Arial" w:eastAsia="Arial" w:hAnsi="Arial"/>
          <w:sz w:val="17"/>
          <w:szCs w:val="17"/>
          <w:color w:val="auto"/>
        </w:rPr>
        <w: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Term Facility or the Revolving Credit Facility, as the context may require.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42" w:name="page43"/>
    <w:bookmarkEnd w:id="42"/>
    <w:p>
      <w:pPr>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xml:space="preserve">” means, for any day,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upwards, if necessary, to the next 1/100 of 1%) equal to the weighted average of the rates on overnight Federal funds transactions with member banks of the Federal Reserve System arranged by Federal funds brokers, as published by the Federal Reserve Bank of New York on the next succeeding Business Day or, if such rate is not so published for any Business Day, the Federal Funds Rate for such day shall be the average (rounded upwards, if necessary, to the next 1/100 of 1%) of the quotations for such day on such transactions received by the Administrative Agent from three Federal funds brokers of recognized standing selected by the Administrative Agent.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w:t>
      </w:r>
      <w:r>
        <w:rPr>
          <w:rFonts w:ascii="Arial" w:cs="Arial" w:eastAsia="Arial" w:hAnsi="Arial"/>
          <w:sz w:val="16"/>
          <w:szCs w:val="16"/>
          <w:color w:val="auto"/>
        </w:rPr>
        <w:t>” means the letter agreement, dated September 28, 2016, among the Borrower, SunTrust Bank and SunTrust Robinson Humphrey, Inc.</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 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Officer</w:t>
      </w:r>
      <w:r>
        <w:rPr>
          <w:rFonts w:ascii="Arial" w:cs="Arial" w:eastAsia="Arial" w:hAnsi="Arial"/>
          <w:sz w:val="16"/>
          <w:szCs w:val="16"/>
          <w:color w:val="auto"/>
        </w:rPr>
        <w:t>” means any of the following officers: chief executive officer, president, chief financial officer, chief administrative officer, treasurer or controller. Unless otherwise qualified, all references to a Financial Officer in this Agreement shall refer to a Financial Officer of the Borrower.</w:t>
      </w:r>
    </w:p>
    <w:p>
      <w:pPr>
        <w:spacing w:after="0" w:line="12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Benefit Plan</w:t>
      </w:r>
      <w:r>
        <w:rPr>
          <w:rFonts w:ascii="Arial" w:cs="Arial" w:eastAsia="Arial" w:hAnsi="Arial"/>
          <w:sz w:val="17"/>
          <w:szCs w:val="17"/>
          <w:color w:val="auto"/>
        </w:rPr>
        <w:t>” means each material plan, fund, program or policy established under the law of a jurisdiction other than the United States (or a state or local government thereof), whether formal or informal, funded or unfunded, insured or uninsured, providing employee benefits, including medical, hospital care, dental, sickness, accident, disability, life insurance, pension, retirement or savings benefits, under which the Borrower or any of its Subsidiaries have any liability with respect to any employee or former employee, but excluding any Foreign Pension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Disposition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2.05(b)(viii)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Excess Cash Flow</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2.05(b)(viii)</w:t>
      </w:r>
      <w:r>
        <w:rPr>
          <w:rFonts w:ascii="Arial" w:cs="Arial" w:eastAsia="Arial" w:hAnsi="Arial"/>
          <w:sz w:val="18"/>
          <w:szCs w:val="18"/>
          <w:color w:val="auto"/>
        </w:rPr>
        <w:t>.</w:t>
      </w:r>
    </w:p>
    <w:p>
      <w:pPr>
        <w:spacing w:after="0" w:line="225"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 if the Borrower is a U.S. Person, a Lender that is not a U.S. Person, and (b) if the Borrower is not a U.S. Person, a Lender that is resident or organized under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66"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Pension Plan</w:t>
      </w:r>
      <w:r>
        <w:rPr>
          <w:rFonts w:ascii="Arial" w:cs="Arial" w:eastAsia="Arial" w:hAnsi="Arial"/>
          <w:sz w:val="17"/>
          <w:szCs w:val="17"/>
          <w:color w:val="auto"/>
        </w:rPr>
        <w:t>” means a pension plan required to be registered under the law of a jurisdiction other than the United States (or a state or local government thereof), that is maintained or contributed to by the Borrower or any of its Subsidiaries for their employees or former employees.</w:t>
      </w:r>
    </w:p>
    <w:p>
      <w:pPr>
        <w:spacing w:after="0" w:line="14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any political subdivision other than any political subdivision of the United States.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(a) with respect to any L/C Issuer, such Defaulting Lender’s Applicable Percentage of the outstanding L/C Obligations with respect to the Letters of Credit issued by such L/C Issuer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43" w:name="page44"/>
    <w:bookmarkEnd w:id="43"/>
    <w:p>
      <w:pPr>
        <w:ind w:right="8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Indemnity Letter</w:t>
      </w:r>
      <w:r>
        <w:rPr>
          <w:rFonts w:ascii="Arial" w:cs="Arial" w:eastAsia="Arial" w:hAnsi="Arial"/>
          <w:sz w:val="18"/>
          <w:szCs w:val="18"/>
          <w:color w:val="auto"/>
        </w:rPr>
        <w:t>” means, a letter agreement, in form and substance reasonably satisfactory to the Administrative Agent, that the Borrower will promptly compensate each Lender for and hold such Lender harmless from any loss, cost or expense incurred by it as a result of Borrower’s failure to borrow any Loan other than a Base Rate Loan on the Closing Date.</w:t>
      </w:r>
    </w:p>
    <w:p>
      <w:pPr>
        <w:spacing w:after="0" w:line="18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7"/>
          <w:szCs w:val="17"/>
          <w:u w:val="single" w:color="auto"/>
          <w:color w:val="auto"/>
        </w:rPr>
        <w:t>Guarantee</w:t>
      </w:r>
      <w:r>
        <w:rPr>
          <w:rFonts w:ascii="Arial" w:cs="Arial" w:eastAsia="Arial" w:hAnsi="Arial"/>
          <w:sz w:val="17"/>
          <w:szCs w:val="17"/>
          <w:color w:val="auto"/>
        </w:rPr>
        <w:t>” as a verb has a corresponding meaning.</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collectively, (a) the Domestic Subsidiaries of the Borrower (other than Inactive Subsidiaries and Immaterial Subsidiaries) listed on </w:t>
      </w:r>
      <w:r>
        <w:rPr>
          <w:rFonts w:ascii="Arial" w:cs="Arial" w:eastAsia="Arial" w:hAnsi="Arial"/>
          <w:sz w:val="18"/>
          <w:szCs w:val="18"/>
          <w:u w:val="single" w:color="auto"/>
          <w:color w:val="auto"/>
        </w:rPr>
        <w:t>Schedule 5.01</w:t>
      </w:r>
      <w:r>
        <w:rPr>
          <w:rFonts w:ascii="Arial" w:cs="Arial" w:eastAsia="Arial" w:hAnsi="Arial"/>
          <w:sz w:val="18"/>
          <w:szCs w:val="18"/>
          <w:color w:val="auto"/>
        </w:rPr>
        <w:t xml:space="preserve"> and each other Subsidiary of the Borrower that shall be required to execute and deliver a Guaranty or guaranty supplement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and (b) with respect to (i) Obligations owing by any Loan Party or any Subsidiary of a Loan Party (other than the Borrower) under any Hedge Agreement or any Cash Management Agreement and (ii) the payment and performance by each Specified Loan Party of its obligations under its Guaranty with respect to all Swap Obligations, the Borrower.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44" w:name="page45"/>
    <w:bookmarkEnd w:id="44"/>
    <w:p>
      <w:pPr>
        <w:ind w:right="16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Guaranty</w:t>
      </w:r>
      <w:r>
        <w:rPr>
          <w:rFonts w:ascii="Arial" w:cs="Arial" w:eastAsia="Arial" w:hAnsi="Arial"/>
          <w:sz w:val="18"/>
          <w:szCs w:val="18"/>
          <w:color w:val="auto"/>
        </w:rPr>
        <w:t>” means, collectively, the Guaranty made by the Guarantor</w:t>
      </w:r>
      <w:r>
        <w:rPr>
          <w:rFonts w:ascii="Arial" w:cs="Arial" w:eastAsia="Arial" w:hAnsi="Arial"/>
          <w:sz w:val="18"/>
          <w:szCs w:val="18"/>
          <w:b w:val="1"/>
          <w:bCs w:val="1"/>
          <w:color w:val="auto"/>
        </w:rPr>
        <w:t>s</w:t>
      </w:r>
      <w:r>
        <w:rPr>
          <w:rFonts w:ascii="Arial" w:cs="Arial" w:eastAsia="Arial" w:hAnsi="Arial"/>
          <w:sz w:val="18"/>
          <w:szCs w:val="18"/>
          <w:color w:val="auto"/>
        </w:rPr>
        <w:t xml:space="preserve"> in favor of the Secured Parties, together with each other guaranty and guaranty supplement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in each case, regulated pursuant to any Environmental Law.</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xml:space="preserve">” means any Person that (a) at the time it enters into a Swap Contract with a Loan Party permitted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is the Administrative Agent, an Affiliate of the Administrative Agent, a Lender or an Affiliate of a Lender or (b) at the time it (or its Affiliate) becomes the Administrative Agent or a Lender, as applicable (including on the Closing Date), is a party to a Swap Contract with a Loan Party, in each case in its capacity as a party to such Swap Contract.</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 delivered under or referred to herein.</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Immaterial Subsidiary</w:t>
      </w:r>
      <w:r>
        <w:rPr>
          <w:rFonts w:ascii="Arial" w:cs="Arial" w:eastAsia="Arial" w:hAnsi="Arial"/>
          <w:sz w:val="17"/>
          <w:szCs w:val="17"/>
          <w:color w:val="auto"/>
        </w:rPr>
        <w:t xml:space="preserve">” means any Subsidiary of the Borrower that, (a) together with its Subsidiaries, (i) contributed less than 2% of the Consolidated EBITDA of the Borrower and its Subsidiaries, taken as a whole, during the most recently-ended four fiscal quarter period (taken as a single period) and (ii) as of any applicable date of determination has assets that constitute less than 2% aggregate net book value of the assets of the Borrower and its Subsidiaries, taken as a whole, (b) does not Guarantee or provide a Lien on its assets or otherwise provide credit support with respect to any Indebtedness of the Borrower or any of the Borrower’s other Subsidiaries, (c) does not own, directly or indirectly, any Equity Interests or Indebtedness of, or own or hold any Lien on any property of, a Loan Party, (d) does not own any other Subsidiaries (other than Inactive Subsidiaries or Immaterial Subsidiaries) and (e) has not been designated to be a Loan Party pursuant to </w:t>
      </w:r>
      <w:r>
        <w:rPr>
          <w:rFonts w:ascii="Arial" w:cs="Arial" w:eastAsia="Arial" w:hAnsi="Arial"/>
          <w:sz w:val="17"/>
          <w:szCs w:val="17"/>
          <w:u w:val="single" w:color="auto"/>
          <w:color w:val="auto"/>
        </w:rPr>
        <w:t>Section 6.12(g)</w:t>
      </w:r>
      <w:r>
        <w:rPr>
          <w:rFonts w:ascii="Arial" w:cs="Arial" w:eastAsia="Arial" w:hAnsi="Arial"/>
          <w:sz w:val="17"/>
          <w:szCs w:val="17"/>
          <w:color w:val="auto"/>
        </w:rPr>
        <w:t xml:space="preserve"> hereof.</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Inactive Subsidiary</w:t>
      </w:r>
      <w:r>
        <w:rPr>
          <w:rFonts w:ascii="Arial" w:cs="Arial" w:eastAsia="Arial" w:hAnsi="Arial"/>
          <w:sz w:val="18"/>
          <w:szCs w:val="18"/>
          <w:color w:val="auto"/>
        </w:rPr>
        <w:t xml:space="preserve">” means any Subsidiary of the Borrower that (a) owns no assets (other than assets of de minimis value), has no Subsidiaries (other than other Inactive Subsidiaries) and conducts no operations, (b) does not Guarantee or provide a Lien on its assets or otherwise provide credit support with respect to any Indebtedness of the Borrower or any of the Borrower’s other Subsidiaries, (c) does not own, directly or indirectly, any Equity Interests or Indebtedness of, or own or hold any Lien on any property of, a Loan Party and (d) has not been designated to be a Loan Party pursuant to </w:t>
      </w:r>
      <w:r>
        <w:rPr>
          <w:rFonts w:ascii="Arial" w:cs="Arial" w:eastAsia="Arial" w:hAnsi="Arial"/>
          <w:sz w:val="18"/>
          <w:szCs w:val="18"/>
          <w:u w:val="single" w:color="auto"/>
          <w:color w:val="auto"/>
        </w:rPr>
        <w:t>Section 6.12(g)</w:t>
      </w:r>
      <w:r>
        <w:rPr>
          <w:rFonts w:ascii="Arial" w:cs="Arial" w:eastAsia="Arial" w:hAnsi="Arial"/>
          <w:sz w:val="18"/>
          <w:szCs w:val="18"/>
          <w:color w:val="auto"/>
        </w:rPr>
        <w:t xml:space="preserve"> hereof.</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Excess Yield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0" w:right="279" w:bottom="1440" w:gutter="0" w:footer="0" w:header="0"/>
        </w:sectPr>
      </w:pPr>
    </w:p>
    <w:bookmarkStart w:id="45" w:name="page46"/>
    <w:bookmarkEnd w:id="45"/>
    <w:p>
      <w:pPr>
        <w:ind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Incremental Term Borrowing</w:t>
      </w:r>
      <w:r>
        <w:rPr>
          <w:rFonts w:ascii="Arial" w:cs="Arial" w:eastAsia="Arial" w:hAnsi="Arial"/>
          <w:sz w:val="17"/>
          <w:szCs w:val="17"/>
          <w:color w:val="auto"/>
        </w:rPr>
        <w:t xml:space="preserve">” means a borrowing made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with respect to Incremental Term Loans consisting of the same Type and, in the case of Eurodollar Rate Loans, having the same Interest Period, made by each of the Term Lenders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right="280" w:firstLine="464"/>
        <w:spacing w:after="0" w:line="277" w:lineRule="auto"/>
        <w:tabs>
          <w:tab w:leader="none" w:pos="70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70" w:lineRule="exact"/>
        <w:rPr>
          <w:rFonts w:ascii="Arial" w:cs="Arial" w:eastAsia="Arial" w:hAnsi="Arial"/>
          <w:sz w:val="18"/>
          <w:szCs w:val="18"/>
          <w:color w:val="auto"/>
        </w:rPr>
      </w:pPr>
    </w:p>
    <w:p>
      <w:pPr>
        <w:ind w:right="460" w:firstLine="464"/>
        <w:spacing w:after="0" w:line="277"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225"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trade accounts payable in the ordinary course of business and current liabilities in the form of expenses that are not the result of the borrowing of money or the extension of credit and that are listed on the financial statements of the Borrower as “other current liabilities”);</w:t>
      </w:r>
    </w:p>
    <w:p>
      <w:pPr>
        <w:spacing w:after="0" w:line="181" w:lineRule="exact"/>
        <w:rPr>
          <w:rFonts w:ascii="Arial" w:cs="Arial" w:eastAsia="Arial" w:hAnsi="Arial"/>
          <w:sz w:val="18"/>
          <w:szCs w:val="18"/>
          <w:color w:val="auto"/>
        </w:rPr>
      </w:pPr>
    </w:p>
    <w:p>
      <w:pPr>
        <w:jc w:val="both"/>
        <w:ind w:right="100" w:firstLine="464"/>
        <w:spacing w:after="0" w:line="264" w:lineRule="auto"/>
        <w:tabs>
          <w:tab w:leader="none" w:pos="70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1" w:lineRule="exact"/>
        <w:rPr>
          <w:rFonts w:ascii="Arial" w:cs="Arial" w:eastAsia="Arial" w:hAnsi="Arial"/>
          <w:sz w:val="18"/>
          <w:szCs w:val="18"/>
          <w:color w:val="auto"/>
        </w:rPr>
      </w:pPr>
    </w:p>
    <w:p>
      <w:pPr>
        <w:ind w:left="680" w:hanging="216"/>
        <w:spacing w:after="0"/>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Attributable Indebtedness in respect of Capitalized Leases and Synthetic Lease Obligations of such Person and all Synthetic Debt of such Person;</w:t>
      </w:r>
    </w:p>
    <w:p>
      <w:pPr>
        <w:spacing w:after="0" w:line="248" w:lineRule="exact"/>
        <w:rPr>
          <w:rFonts w:ascii="Arial" w:cs="Arial" w:eastAsia="Arial" w:hAnsi="Arial"/>
          <w:sz w:val="16"/>
          <w:szCs w:val="16"/>
          <w:color w:val="auto"/>
        </w:rPr>
      </w:pPr>
    </w:p>
    <w:p>
      <w:pPr>
        <w:jc w:val="both"/>
        <w:ind w:right="180" w:firstLine="464"/>
        <w:spacing w:after="0" w:line="264"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dividends;</w:t>
      </w:r>
    </w:p>
    <w:p>
      <w:pPr>
        <w:spacing w:after="0" w:line="181"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obligations of such Person with respect to asset securitization financing programs to the extent that there is recourse against such Person or such Person is liable (contingent or otherwise) under any such program;</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 and</w:t>
      </w:r>
    </w:p>
    <w:p>
      <w:pPr>
        <w:spacing w:after="0" w:line="225" w:lineRule="exact"/>
        <w:rPr>
          <w:rFonts w:ascii="Arial" w:cs="Arial" w:eastAsia="Arial" w:hAnsi="Arial"/>
          <w:sz w:val="18"/>
          <w:szCs w:val="18"/>
          <w:color w:val="auto"/>
        </w:rPr>
      </w:pPr>
    </w:p>
    <w:p>
      <w:pPr>
        <w:ind w:right="360" w:firstLine="464"/>
        <w:spacing w:after="0" w:line="264" w:lineRule="auto"/>
        <w:tabs>
          <w:tab w:leader="none" w:pos="6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Disqualified Equity Interests issued by such Person with the amount of Indebtedness represented by such Disqualified Equity Interests being equal to the greater of its voluntary or involuntary liquidation preference and its maximum fixed repurchase price or, with respect to any Subsidiary, any preferred Equity Interests (but excluding, in each case, accrued dividends, if any).</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46" w:name="page47"/>
    <w:bookmarkEnd w:id="46"/>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8"/>
          <w:szCs w:val="18"/>
          <w:u w:val="single" w:color="auto"/>
          <w:color w:val="auto"/>
        </w:rPr>
        <w:t>(a)</w:t>
      </w:r>
      <w:r>
        <w:rPr>
          <w:rFonts w:ascii="Arial" w:cs="Arial" w:eastAsia="Arial" w:hAnsi="Arial"/>
          <w:sz w:val="18"/>
          <w:szCs w:val="18"/>
          <w:color w:val="auto"/>
        </w:rPr>
        <w:t>, Other Taxes.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Borrowing</w:t>
      </w:r>
      <w:r>
        <w:rPr>
          <w:rFonts w:ascii="Arial" w:cs="Arial" w:eastAsia="Arial" w:hAnsi="Arial"/>
          <w:sz w:val="18"/>
          <w:szCs w:val="18"/>
          <w:color w:val="auto"/>
        </w:rPr>
        <w:t xml:space="preserve">” means a borrowing made on the Closing Date, with respect to Initial Term Loans consisting of the same Type and, in the case of Eurodollar Rate Loans, having the same Interest Period, made by each of the Term Lenders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7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Term Commitment</w:t>
      </w:r>
      <w:r>
        <w:rPr>
          <w:rFonts w:ascii="Arial" w:cs="Arial" w:eastAsia="Arial" w:hAnsi="Arial"/>
          <w:sz w:val="16"/>
          <w:szCs w:val="16"/>
          <w:color w:val="auto"/>
        </w:rPr>
        <w:t xml:space="preserve">” means, as to each Term Lender, its obligation to make Initial Term Loans to the Borrower on the Closing Date with respect to the Initial Term Facility pursuant to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in an aggregate principal amount at any one time outstanding not to exceed the amount set forth opposite such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caption “Term Commitment” or opposite such caption in the Assignment and Assumption pursuant to which such Lender becomes a party hereto, as applicable, as such amount may be adjusted from time to time in accordance with this Agreement.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means an advance made by any Term Lender under the Term Facility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Call Premium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2.05(c)(i)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4.01(a)(iv)</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Eurodollar Rate Loan exceeds three months, the respective dates that fall every three months after the beginning of such Interest Period shall also be Interest Payment Dates; (b) as to any Base Rate Loan, the last Business Day of each March, June, September and December and the Maturity Date of the Facility under which such Loan was made; and (c) as to any Swing Line Loan, the second Business Day after the last day of each March, June, September and December and the Maturity Date of the Revolving Credit Facility.</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one, two, three or six months thereafter (in each case, subject to availability), as selected by the Borrower in its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460" w:firstLine="443"/>
        <w:spacing w:after="0" w:line="264" w:lineRule="auto"/>
        <w:tabs>
          <w:tab w:leader="none" w:pos="111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73" w:lineRule="exact"/>
        <w:rPr>
          <w:rFonts w:ascii="Arial" w:cs="Arial" w:eastAsia="Arial" w:hAnsi="Arial"/>
          <w:sz w:val="18"/>
          <w:szCs w:val="18"/>
          <w:color w:val="auto"/>
        </w:rPr>
      </w:pPr>
    </w:p>
    <w:p>
      <w:pPr>
        <w:ind w:left="460" w:right="20" w:firstLine="443"/>
        <w:spacing w:after="0" w:line="264" w:lineRule="auto"/>
        <w:tabs>
          <w:tab w:leader="none" w:pos="11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3" w:lineRule="exact"/>
        <w:rPr>
          <w:rFonts w:ascii="Arial" w:cs="Arial" w:eastAsia="Arial" w:hAnsi="Arial"/>
          <w:sz w:val="18"/>
          <w:szCs w:val="18"/>
          <w:color w:val="auto"/>
        </w:rPr>
      </w:pPr>
    </w:p>
    <w:p>
      <w:pPr>
        <w:ind w:left="1220" w:hanging="317"/>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47" w:name="page48"/>
    <w:bookmarkEnd w:id="47"/>
    <w:p>
      <w:pPr>
        <w:ind w:right="8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of the following: (a) creating, acquiring or holding any Subsidiary, (b) making or holding any investment in any stocks, bonds or securities of any kind, (c) being or becoming a party to any joint venture or other partnership, (d) making or keeping outstanding any advance or loan to any Person or assumption or acquisition of any debt of another Person, or (e) any Guarantee (other than the Guaranty). For purposes of covenant compliance, the amount of any Investment shall be the amount actually invested, without adjustment for subsequent increases or decreases in the value of such Investment.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Documents</w:t>
      </w:r>
      <w:r>
        <w:rPr>
          <w:rFonts w:ascii="Arial" w:cs="Arial" w:eastAsia="Arial" w:hAnsi="Arial"/>
          <w:sz w:val="17"/>
          <w:szCs w:val="17"/>
          <w:color w:val="auto"/>
        </w:rPr>
        <w:t>” means with respect to any Letter of Credit, the Letter of Credit Application, and any other document, agreement and instrument entered into by an L/C Issuer and the Borrower (or any Subsidiary) or in favor of such L/C Issuer and relating to such Letter of Credit.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KeyBank</w:t>
      </w:r>
      <w:r>
        <w:rPr>
          <w:rFonts w:ascii="Arial" w:cs="Arial" w:eastAsia="Arial" w:hAnsi="Arial"/>
          <w:sz w:val="18"/>
          <w:szCs w:val="18"/>
          <w:color w:val="auto"/>
        </w:rPr>
        <w:t>” means KeyBank National Association.</w:t>
      </w:r>
    </w:p>
    <w:p>
      <w:pPr>
        <w:spacing w:after="0" w:line="225"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Latest Maturity Date</w:t>
      </w:r>
      <w:r>
        <w:rPr>
          <w:rFonts w:ascii="Arial" w:cs="Arial" w:eastAsia="Arial" w:hAnsi="Arial"/>
          <w:sz w:val="17"/>
          <w:szCs w:val="17"/>
          <w:color w:val="auto"/>
        </w:rPr>
        <w:t>” means, at any date of incurrence of any Indebtedness, the latest maturity or expiration date applicable to any Loan or Commitment hereunder at such time, including the latest maturity or expiration of any Initial Term Loan or any Incremental Term Loan or any applicable Commitment in respect thereof, in each case then outstanding and as extended in accordance with this Agreement from time to time.</w:t>
      </w:r>
    </w:p>
    <w:p>
      <w:pPr>
        <w:spacing w:after="0" w:line="166"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Credit Lender, such Lender’s funding of its participation in any L/C Borrowing in accordance with its Applicable Revolving Credit Percentage.</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Revolving Credit Borrowing.</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extension of the expiry date thereof or the increase of the amount thereof.</w:t>
      </w:r>
    </w:p>
    <w:p>
      <w:pPr>
        <w:spacing w:after="0" w:line="17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Issuer</w:t>
      </w:r>
      <w:r>
        <w:rPr>
          <w:rFonts w:ascii="Arial" w:cs="Arial" w:eastAsia="Arial" w:hAnsi="Arial"/>
          <w:sz w:val="16"/>
          <w:szCs w:val="16"/>
          <w:color w:val="auto"/>
        </w:rPr>
        <w:t>” means, individually or collectively as the context may indicate, (a) KeyBank, SunTrust Bank and Regions Bank, in each case, in their respective capacity as issuer of Letters of Credit hereunder, or any successor issuer of Letters of Credit hereunder and (b) any other Revolving Credit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48" w:name="page49"/>
    <w:bookmarkEnd w:id="48"/>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 selected by the Borrower and reasonably acceptable to the Administrative Agent, which consents to its appointment by the Borrower as an issuer of Letters of Credit hereunder and becomes an L/C Issuer hereunder pursuant to a joinder agreement in form and substance reasonably satisfactory to the Administrative Agent and its counsel, in its capacity as an issuer of Letters of Credit hereunder or any successor to such Lender in its capacity as an issuer of Letters of Credit hereunder.</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xml:space="preserve">” means, as at any date of determination, the aggregate amount available to be drawn under all outstanding Letters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 and, as the context requires, includes the Swing Line Lender.</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 providing for the payment of cash upon the honoring of a presentation thereunder.</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an L/C Issuer.</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thirty days prior to the Maturity Date then in effect for the Revolving Credit Facility (or, if such day is not a Business Day, the next preceding Business Day).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225"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in the aggregate, an amount equal to the lesser of (a) $15,000,000 and (b) the Revolving Credit Facility and, with respect to each L/C Issuer, an amount not to exceed $5,000,000 unless otherwise agreed to by such L/C Issuer. The Letter of Credit Sublimit is part of, and not in addition to, the Revolving Credit Facility.</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Term Loan, a Revolving Credit Loan or a Swing Line Loan.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49" w:name="page50"/>
    <w:bookmarkEnd w:id="49"/>
    <w:p>
      <w:pPr>
        <w:ind w:right="1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collectively, (a) this Agreement, (b) the Notes, (c) any agreement creating or perfecting rights in cash collateral pursuant to the provisions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this Agreement, (d) the Collateral Documents, (e) the Guaranty, (f) the Fee Letter, (g) each Issuer Document and (h) the Amendment and Restatement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each Guarantor.</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assets, liabilities (actual or contingent), operations, condition (financial or otherwise) or prospects of the Borrower, (b) the business, assets, liabilities (actual or contingent), operations, condition (financial or otherwise) or prospects of the Borrower and its Subsidiaries, taken as a whole, (c) the ability of any Loan Party to perform its obligations under any Loan Document to which it is a party, or (d) the legality, validity, binding effect or enforceability against any Loan Party of any Loan Document to which it is a party.</w:t>
      </w:r>
    </w:p>
    <w:p>
      <w:pPr>
        <w:spacing w:after="0" w:line="15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 Agreement</w:t>
      </w:r>
      <w:r>
        <w:rPr>
          <w:rFonts w:ascii="Arial" w:cs="Arial" w:eastAsia="Arial" w:hAnsi="Arial"/>
          <w:sz w:val="18"/>
          <w:szCs w:val="18"/>
          <w:color w:val="auto"/>
        </w:rPr>
        <w:t>” means any debt instrument, lease (capital, operating or otherwise), guaranty, contract, commitment, agreement or other arrangement evidencing or entered into in connection with any Indebtedness of the Borrower or any Subsidiary in excess of $30,000,000, including, without limitation, the New Notes Documents.</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xml:space="preserve">” means any real property owned by a Loan Party in fee simple or leasehold real property of a Loan Party that (a) has a fair market value of $7,500,000 or (b) is designated by the Borrower in accordance with </w:t>
      </w:r>
      <w:r>
        <w:rPr>
          <w:rFonts w:ascii="Arial" w:cs="Arial" w:eastAsia="Arial" w:hAnsi="Arial"/>
          <w:sz w:val="18"/>
          <w:szCs w:val="18"/>
          <w:u w:val="single" w:color="auto"/>
          <w:color w:val="auto"/>
        </w:rPr>
        <w:t>Section 6.12(h)</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xml:space="preserve">” means (a) with respect to the Revolving Credit Facility, October 19, 2020, (b) with respect to the Initial Term Facility and the Tranche B Term Facility, October 19, 2022, and (c) with respect to any Incremental Term Facility, as determined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in each case, if such maturity is extended pursuant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such maturity date as determined pursuant to such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if such date is not a Business Day, the Maturity Date shall be the next preceding Business Day. Notwithstanding the foregoing, if more than $25,000,000 in aggregate principal amount of the New Notes remains outstanding (and not refinanced or replaced (including by amendment and extension) with Permitted Notes Refinancing Debt on the date that is 180 days prior to the applicable Maturity Date (such date, the “</w:t>
      </w:r>
      <w:r>
        <w:rPr>
          <w:rFonts w:ascii="Arial" w:cs="Arial" w:eastAsia="Arial" w:hAnsi="Arial"/>
          <w:sz w:val="16"/>
          <w:szCs w:val="16"/>
          <w:u w:val="single" w:color="auto"/>
          <w:color w:val="auto"/>
        </w:rPr>
        <w:t>New Maturity Date</w:t>
      </w:r>
      <w:r>
        <w:rPr>
          <w:rFonts w:ascii="Arial" w:cs="Arial" w:eastAsia="Arial" w:hAnsi="Arial"/>
          <w:sz w:val="16"/>
          <w:szCs w:val="16"/>
          <w:color w:val="auto"/>
        </w:rPr>
        <w:t>”)), the Maturity Date with respect to the Revolving Credit Facility, the Initial Term Facility and any Incremental Term Facility shall be no later than the New Maturity Date. For the purposes of this definition, “</w:t>
      </w:r>
      <w:r>
        <w:rPr>
          <w:rFonts w:ascii="Arial" w:cs="Arial" w:eastAsia="Arial" w:hAnsi="Arial"/>
          <w:sz w:val="16"/>
          <w:szCs w:val="16"/>
          <w:u w:val="single" w:color="auto"/>
          <w:color w:val="auto"/>
        </w:rPr>
        <w:t>Permitted Notes Refinancing Debt</w:t>
      </w:r>
      <w:r>
        <w:rPr>
          <w:rFonts w:ascii="Arial" w:cs="Arial" w:eastAsia="Arial" w:hAnsi="Arial"/>
          <w:sz w:val="16"/>
          <w:szCs w:val="16"/>
          <w:color w:val="auto"/>
        </w:rPr>
        <w:t>” means Indebtedness that (i) is not an obligation of any Subsidiary that is not a Loan Party, (ii) matures no earlier than 91 days after the then Latest Maturity Date at the time such Indebtedness is incurred, (iii) has no interim amortization, (iv) has no mandatory prepayments or offers to purchase that are materially more onerous, taken as a whole, than those contained as of the Closing Date in the New Notes, (v) has no other covenants and events of default that are materially more onerous, taken as a whole, to the Borrower and its Subsidiaries than those contained in the New Notes, (vi) to the extent such Indebtedness has the benefit of any assets of the Borrower or any Subsidiary of the Borrower as collateral, such Lien is on a junior basis to each Facility and (vii) is otherwise permitted to be incurred hereunder.</w:t>
      </w:r>
    </w:p>
    <w:p>
      <w:pPr>
        <w:spacing w:after="0" w:line="17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means, at any time, (i) with respect to Cash Collateral consisting of cash or deposit account balances provided to reduce or eliminate Fronting Exposure during the existence of a Defaulting Lender, an amount equal to 105% of the Fronting Exposure of the applicable L/C Issuer with respect to Letters of Credit issued and outstanding at such time, (ii) with respect to Cash Collateral consisting of cash or deposit account balances provided in accordance with the provisions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50" w:name="page51"/>
    <w:bookmarkEnd w:id="50"/>
    <w:p>
      <w:pPr>
        <w:ind w:right="2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2.16(a)(i)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(a)(iii)</w:t>
      </w:r>
      <w:r>
        <w:rPr>
          <w:rFonts w:ascii="Arial" w:cs="Arial" w:eastAsia="Arial" w:hAnsi="Arial"/>
          <w:sz w:val="18"/>
          <w:szCs w:val="18"/>
          <w:color w:val="auto"/>
        </w:rPr>
        <w:t>, an amount equal to 105% of the Outstanding Amount of all L/C Obligations, and (iii) otherwise, an amount determined by the Administrative Agent and the applicable L/C Issuer in their sole discretion.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Policy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Schedule 6.17</w:t>
      </w:r>
      <w:r>
        <w:rPr>
          <w:rFonts w:ascii="Arial" w:cs="Arial" w:eastAsia="Arial" w:hAnsi="Arial"/>
          <w:sz w:val="18"/>
          <w:szCs w:val="18"/>
          <w:color w:val="auto"/>
        </w:rPr>
        <w:t>.</w:t>
      </w:r>
    </w:p>
    <w:p>
      <w:pPr>
        <w:spacing w:after="0" w:line="225"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Mortgaged Property</w:t>
      </w:r>
      <w:r>
        <w:rPr>
          <w:rFonts w:ascii="Arial" w:cs="Arial" w:eastAsia="Arial" w:hAnsi="Arial"/>
          <w:sz w:val="17"/>
          <w:szCs w:val="17"/>
          <w:color w:val="auto"/>
        </w:rPr>
        <w:t>” means any real property owned in fee simple by any Loan Party or leased by any Loan Party, which real property is or is intended under the terms hereof to be subject to a Lien in favor of the Administrative Agent for the benefit of the Secured Parties.</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means deeds of trust, trust deeds, deeds to secure debt, mortgages, leasehold mortgages and leasehold deeds of trust or other equivalent document (together with related fixture filings and assignments of leases and rents) now or hereafter encumbering any Mortgaged Property of any Loan Party in favor of the Administrative Agent, on behalf of the Secured Parties, as security for any of the Obligations, each of which shall be in form and substance satisfactory to the Administrative Agent.</w:t>
      </w:r>
    </w:p>
    <w:p>
      <w:pPr>
        <w:spacing w:after="0" w:line="18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the Borrower or any ERISA Affiliate) at least two of whom are not under common control, as such a plan is described in Section 4064 of ERISA.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225" w:lineRule="exact"/>
        <w:rPr>
          <w:sz w:val="20"/>
          <w:szCs w:val="20"/>
          <w:color w:val="auto"/>
        </w:rPr>
      </w:pPr>
    </w:p>
    <w:p>
      <w:pPr>
        <w:ind w:firstLine="464"/>
        <w:spacing w:after="0" w:line="285" w:lineRule="auto"/>
        <w:tabs>
          <w:tab w:leader="none" w:pos="701"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with respect to any Disposition by the Borrower or any of its Subsidiaries, or any Extraordinary Receipt received or paid to the account of the Borrower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(B) the reasonable and customary out-of-pocket fees and expenses incurred by the Borrower or such Subsidiary in connection with such transaction (including reasonable and customary fees of attorneys, accountants, consultants and investment advisers, reasonable and customary out-of-pocket costs associated with title insurance policies, surveys, lien and judgment searching, recording documents, and transaction and recording taxes), (C) income taxes reasonably estimated to be actually payable within two years of the date of the relevant transaction as a result of any gain recognized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this </w:t>
      </w:r>
      <w:r>
        <w:rPr>
          <w:rFonts w:ascii="Arial" w:cs="Arial" w:eastAsia="Arial" w:hAnsi="Arial"/>
          <w:sz w:val="16"/>
          <w:szCs w:val="16"/>
          <w:u w:val="single" w:color="auto"/>
          <w:color w:val="auto"/>
        </w:rPr>
        <w:t>subclause (C)</w:t>
      </w:r>
      <w:r>
        <w:rPr>
          <w:rFonts w:ascii="Arial" w:cs="Arial" w:eastAsia="Arial" w:hAnsi="Arial"/>
          <w:sz w:val="16"/>
          <w:szCs w:val="16"/>
          <w:color w:val="auto"/>
        </w:rPr>
        <w:t xml:space="preserve"> exceeds the amount of taxes actually required to be paid in cash in respect of such Disposition, the aggregate amount of such excess shall constitute Net Cash Proceeds and (D) amounts held in any reserve created for escrow, holdback, indemnity or similar obligations of the Borrower or any of its Subsidiaries in connection with such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such amounts held in such reserves shall not exceed 10% of the gross cash proceeds received with respect to such Disposition and (2) such amounts held in such reserves shall constitute Net Cash Proceeds upon release to, or receipt by, the Borrower or any of its Subsidiaries);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cash or Cash Equivalents received in connection with any Disposition or Extraordinary Receipt shall only constitute Net Cash Proceeds under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in any fiscal year to the extent that the aggregate amount of such cash and Cash Equivalents received in such fiscal year exceeds $5,000,000 (and solely to the extent of such excess);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51" w:name="page52"/>
    <w:bookmarkEnd w:id="51"/>
    <w:p>
      <w:pPr>
        <w:ind w:firstLine="464"/>
        <w:spacing w:after="0" w:line="264" w:lineRule="auto"/>
        <w:tabs>
          <w:tab w:leader="none" w:pos="711"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the incurrence or issuance of any Indebtedness by the Borrower or any of its Subsidiaries, the excess of (i) the sum of the cash and Cash Equivalents received in connection with such transaction over (ii) the underwriting discounts and commissions, and other reasonable and customary out-of-pocket expenses, incurred by the Borrower or such Subsidiary in connection therewith.</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Notes</w:t>
      </w:r>
      <w:r>
        <w:rPr>
          <w:rFonts w:ascii="Arial" w:cs="Arial" w:eastAsia="Arial" w:hAnsi="Arial"/>
          <w:sz w:val="18"/>
          <w:szCs w:val="18"/>
          <w:color w:val="auto"/>
        </w:rPr>
        <w:t xml:space="preserve">” means the 10.25% Senior Notes due 2020 issued by the Borrower and any notes issued in connection with any Refinancing Indebtedness thereof to the extent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Notes Documents</w:t>
      </w:r>
      <w:r>
        <w:rPr>
          <w:rFonts w:ascii="Arial" w:cs="Arial" w:eastAsia="Arial" w:hAnsi="Arial"/>
          <w:sz w:val="18"/>
          <w:szCs w:val="18"/>
          <w:color w:val="auto"/>
        </w:rPr>
        <w:t>” means, collectively, (a) the New Notes, (b) the New Notes Indenture and (c) all other material documents entered into by any Loan Party in connection therewith.</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Notes Indenture</w:t>
      </w:r>
      <w:r>
        <w:rPr>
          <w:rFonts w:ascii="Arial" w:cs="Arial" w:eastAsia="Arial" w:hAnsi="Arial"/>
          <w:sz w:val="18"/>
          <w:szCs w:val="18"/>
          <w:color w:val="auto"/>
        </w:rPr>
        <w:t>” means the Indenture dated as of Closing Date, by and between the Borrower and the Notes Trustee, and any other Indenture governing the New Notes.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Notes Trustee</w:t>
      </w:r>
      <w:r>
        <w:rPr>
          <w:rFonts w:ascii="Arial" w:cs="Arial" w:eastAsia="Arial" w:hAnsi="Arial"/>
          <w:sz w:val="18"/>
          <w:szCs w:val="18"/>
          <w:color w:val="auto"/>
        </w:rPr>
        <w:t>” means U.S. Bank National Association, in its capacity as trustee under the New Notes Indenture, and any other trustee under any New Notes Indenture.</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(i) requires the approval of all Lenders or all affected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(ii) has been approved by the Required Lenders.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Term Note or a Revolving Credit Note, as the context may require.</w:t>
      </w:r>
    </w:p>
    <w:p>
      <w:pPr>
        <w:spacing w:after="0" w:line="22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all advances to, and debts, liabilities, obligations, covenants and duties of, any Loan Party arising under any Loan Document or otherwise with respect to any Loan, Letter of Credit,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Obligations shall exclude any Excluded Swap Obligations.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 Out Lender</w:t>
      </w:r>
      <w:r>
        <w:rPr>
          <w:rFonts w:ascii="Arial" w:cs="Arial" w:eastAsia="Arial" w:hAnsi="Arial"/>
          <w:sz w:val="18"/>
          <w:szCs w:val="18"/>
          <w:color w:val="auto"/>
        </w:rPr>
        <w:t>” has the meaning specified in the Amendment and Restatement Agreement.</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Term Loans</w:t>
      </w:r>
      <w:r>
        <w:rPr>
          <w:rFonts w:ascii="Arial" w:cs="Arial" w:eastAsia="Arial" w:hAnsi="Arial"/>
          <w:sz w:val="18"/>
          <w:szCs w:val="18"/>
          <w:color w:val="auto"/>
        </w:rPr>
        <w:t>” shall mean, collectively, the Initial Term Loans and the Incremental Term Loans.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(a) with respect to Term Loans, Revolving Credit Loans and Swing Line Loans on any date, the aggregate outstanding principal amount thereof after giving effect to any borrowings and prepayments or repayments of Term Loans, Revolving Credit Loans and Swing 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Security Agreement</w:t>
      </w:r>
      <w:r>
        <w:rPr>
          <w:rFonts w:ascii="Arial" w:cs="Arial" w:eastAsia="Arial" w:hAnsi="Arial"/>
          <w:sz w:val="18"/>
          <w:szCs w:val="18"/>
          <w:color w:val="auto"/>
        </w:rPr>
        <w:t>” means a patent security agreement or notice of grant of security interest in patents, in each case in form and substance satisfactory to the Administrative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Permitted Foreign Subsidiary and other Loans and Investments</w:t>
      </w:r>
      <w:r>
        <w:rPr>
          <w:rFonts w:ascii="Arial" w:cs="Arial" w:eastAsia="Arial" w:hAnsi="Arial"/>
          <w:sz w:val="18"/>
          <w:szCs w:val="18"/>
          <w:color w:val="auto"/>
        </w:rPr>
        <w:t>” means, collectively:</w:t>
      </w:r>
    </w:p>
    <w:p>
      <w:pPr>
        <w:spacing w:after="0" w:line="225" w:lineRule="exact"/>
        <w:rPr>
          <w:sz w:val="20"/>
          <w:szCs w:val="20"/>
          <w:color w:val="auto"/>
        </w:rPr>
      </w:pPr>
    </w:p>
    <w:p>
      <w:pPr>
        <w:ind w:right="280" w:firstLine="464"/>
        <w:spacing w:after="0" w:line="277" w:lineRule="auto"/>
        <w:tabs>
          <w:tab w:leader="none" w:pos="7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any investment existing as of the Closing Date by the Borrower or any of its Subsidiaries in, and any loan existing as of the Closing Date by the Borrower or any of its Subsidiaries to, a Foreign Subsidiary, as set forth on </w:t>
      </w:r>
      <w:r>
        <w:rPr>
          <w:rFonts w:ascii="Arial" w:cs="Arial" w:eastAsia="Arial" w:hAnsi="Arial"/>
          <w:sz w:val="18"/>
          <w:szCs w:val="18"/>
          <w:u w:val="single" w:color="auto"/>
          <w:color w:val="auto"/>
        </w:rPr>
        <w:t>Schedule 7.03</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jc w:val="both"/>
        <w:ind w:right="100" w:firstLine="464"/>
        <w:spacing w:after="0" w:line="286" w:lineRule="auto"/>
        <w:tabs>
          <w:tab w:leader="none" w:pos="711"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any investment by a Foreign Subsidiary in, or loan from a Foreign Subsidiary to, or Guarantee by a Foreign Subsidiary of Indebtedness of, a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loan or Guarantee or, if applicable, such Investment, is subordinated to the Obligations on terms and conditions satisfactory to the Administrative Agent (unless such subordination requirement is waived by the Administrative Agent in its sole discretion); and</w:t>
      </w:r>
    </w:p>
    <w:p>
      <w:pPr>
        <w:spacing w:after="0" w:line="165" w:lineRule="exact"/>
        <w:rPr>
          <w:rFonts w:ascii="Arial" w:cs="Arial" w:eastAsia="Arial" w:hAnsi="Arial"/>
          <w:sz w:val="17"/>
          <w:szCs w:val="17"/>
          <w:color w:val="auto"/>
        </w:rPr>
      </w:pPr>
    </w:p>
    <w:p>
      <w:pPr>
        <w:ind w:firstLine="464"/>
        <w:spacing w:after="0" w:line="257" w:lineRule="auto"/>
        <w:tabs>
          <w:tab w:leader="none" w:pos="7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 any investment by any Loan Party in, or loan by any Loan Party to, or Guarantee by any Loan Party of the Indebtedness of, a Foreign Subsidiary or (ii) any investment by any Loan Party in the Equity Interest of, or loan, contribution or advance by any Loan Party to, a Person other than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any Investment under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and after giving effect thereto, the aggregate amount of all such investments, loans, Guarantees, contributions and advances made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shall not exceed $30,000,000 during any fiscal year and $60,000,000 during the term of this Agreement.</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Intercompany Note</w:t>
      </w:r>
      <w:r>
        <w:rPr>
          <w:rFonts w:ascii="Arial" w:cs="Arial" w:eastAsia="Arial" w:hAnsi="Arial"/>
          <w:sz w:val="18"/>
          <w:szCs w:val="18"/>
          <w:color w:val="auto"/>
        </w:rPr>
        <w:t>” means any promissory note made by any Subsidiary to the Borrower or a Loan Party, whether now owned or hereafter acquired by the Borrower or such Loan Party.</w:t>
      </w:r>
    </w:p>
    <w:p>
      <w:pPr>
        <w:spacing w:after="0" w:line="17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Precious Metal Consignment Agreements</w:t>
      </w:r>
      <w:r>
        <w:rPr>
          <w:rFonts w:ascii="Arial" w:cs="Arial" w:eastAsia="Arial" w:hAnsi="Arial"/>
          <w:sz w:val="16"/>
          <w:szCs w:val="16"/>
          <w:color w:val="auto"/>
        </w:rPr>
        <w:t>” means, collectively, (a) the Consignment Agreement dated as of July 30, 2009, between Mitsubishi International Corporation and Precision Engineered Products LLC and (b) the Consignment Agreement dated as of January 25, 2010, between Umicore Precious Metals NJ, LLC and Precision Engineered Products LLC, and in each case each other agreement entered into in connection with such consignment agreements, each as may be amended, modified, restated or replaced, in each case, in a manner not adverse to the Lenders, from time to time.</w:t>
      </w:r>
    </w:p>
    <w:p>
      <w:pPr>
        <w:spacing w:after="0" w:line="154"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Leverage Test</w:t>
      </w:r>
      <w:r>
        <w:rPr>
          <w:rFonts w:ascii="Arial" w:cs="Arial" w:eastAsia="Arial" w:hAnsi="Arial"/>
          <w:sz w:val="16"/>
          <w:szCs w:val="16"/>
          <w:color w:val="auto"/>
        </w:rPr>
        <w:t xml:space="preserve">” means, as of any date of determination, with respect to any Specified Transaction,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Consolidated Net Leverage Ratio that is equal to or less than (i) for the period from the Closing Date through December 31, 2016, 5.00 to 1.00, (ii) for the period from January 1, 2017 through December 31, 2017, 4.50 to 1.00 and (iii) any time after January 1, 2018, 4.00 to 1.00, in each case, determined based on the financial information received for the fiscal quarter (or fiscal year, as applicable) most recently ended prior to such date for which financial statements have been delivered to the Administrative Agent pursuant to </w:t>
      </w:r>
      <w:r>
        <w:rPr>
          <w:rFonts w:ascii="Arial" w:cs="Arial" w:eastAsia="Arial" w:hAnsi="Arial"/>
          <w:sz w:val="16"/>
          <w:szCs w:val="16"/>
          <w:u w:val="single" w:color="auto"/>
          <w:color w:val="auto"/>
        </w:rPr>
        <w:t>Section 4.01(a)(x)</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6.01(b)</w:t>
      </w:r>
      <w:r>
        <w:rPr>
          <w:rFonts w:ascii="Arial" w:cs="Arial" w:eastAsia="Arial" w:hAnsi="Arial"/>
          <w:sz w:val="16"/>
          <w:szCs w:val="16"/>
          <w:color w:val="auto"/>
        </w:rPr>
        <w:t>, as applicable, after giving effect to such Specified Transaction and any other Specified Transaction consummated after the date of such financial statements and on or prior to the date of such Specified Transaction.</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274" w:right="319"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Receivables Transaction</w:t>
      </w:r>
      <w:r>
        <w:rPr>
          <w:rFonts w:ascii="Arial" w:cs="Arial" w:eastAsia="Arial" w:hAnsi="Arial"/>
          <w:sz w:val="16"/>
          <w:szCs w:val="16"/>
          <w:color w:val="auto"/>
        </w:rPr>
        <w:t xml:space="preserve">” means any transaction or series of transactions entered into by Borrower or any Subsidiary pursuant to which Borrower or such Subsidiary sells, contributes, conveys or otherwise transfers to, or grants a security interest in for the benefit of, any other Person (other than Borrower or a Subsidiary), any Receivables (whether now existing or arising in the future) of Borrower or such Subsidiary, and any related assets, including, without limitation, all collateral securing such Receivables, all contracts and all guarantees or other obligations in respect of such Receivables, proceeds of such Receivables and other assets (including contract rights) which are customarily transferred or in respect of which security interests are customarily granted in connection with asset securitization transactions involving Receivables;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Qualified Receivables Transactions shall be made at fair market value (including after giving effect to any Receivables Fees);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all such Qualified Receivables Transactions shall not (x) be Guaranteed by Borrower or any Subsidiary (excluding Guarantees of obligations (other than the principal of, and interest on, Indebtedness) pursuant to representations, warranties, covenants, indemnities and performance Guarantees that are reasonably customary in an accounts receivables financings), (y) be recourse to or obligate Borrower or any Subsidiary in any way other than pursuant to representations, warranties, covenants, indemnities and performance Guarantees that are reasonably customary in accounts receivables financings, or (z) subject any property or asset of Borrower or any Subsidiary, directly or indirectly, contingently or otherwise, to the satisfaction thereof, other than pursuant to representations, warranties, covenants, indemnities and performance Guarantees reasonably customary in accounts receivables financings and other than any interest in the Receivables (whether in the form of an equity interest in such Receivables payable primarily from such Receivables) retained or acquired by Borrower or any Subsidiaries and (b) the fair market value of all Receivables sold, contributed conveyed or otherwise transferred, and all Receivables in which a security interest is granted by the Borrower or any Subsidiary, shall not exceed $20,000,000 in the aggregate for all Qualified Receivables Transactions during the term of this Agreement.</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Requirements</w:t>
      </w:r>
      <w:r>
        <w:rPr>
          <w:rFonts w:ascii="Arial" w:cs="Arial" w:eastAsia="Arial" w:hAnsi="Arial"/>
          <w:sz w:val="18"/>
          <w:szCs w:val="18"/>
          <w:color w:val="auto"/>
        </w:rPr>
        <w:t xml:space="preserve">” means, with respect to any Material Real Property, the documentation and other items of the type specified in Section 1 of </w:t>
      </w:r>
      <w:r>
        <w:rPr>
          <w:rFonts w:ascii="Arial" w:cs="Arial" w:eastAsia="Arial" w:hAnsi="Arial"/>
          <w:sz w:val="18"/>
          <w:szCs w:val="18"/>
          <w:u w:val="single" w:color="auto"/>
          <w:color w:val="auto"/>
        </w:rPr>
        <w:t>Schedule 6.17</w:t>
      </w:r>
      <w:r>
        <w:rPr>
          <w:rFonts w:ascii="Arial" w:cs="Arial" w:eastAsia="Arial" w:hAnsi="Arial"/>
          <w:sz w:val="18"/>
          <w:szCs w:val="18"/>
          <w:color w:val="auto"/>
        </w:rPr>
        <w:t>.</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w:t>
      </w:r>
      <w:r>
        <w:rPr>
          <w:rFonts w:ascii="Arial" w:cs="Arial" w:eastAsia="Arial" w:hAnsi="Arial"/>
          <w:sz w:val="18"/>
          <w:szCs w:val="18"/>
          <w:color w:val="auto"/>
        </w:rPr>
        <w:t>” means any Indebtedness and other payment obligations owed to Borrower or any Subsidiary, whether constituting an account, chattel paper, payment intangible, instrument or general intangible, in each case arising in connection with (a) the sale of goods or the rendering of service or (b) the lease, license, rental or use of equipment, facilities or software, including the obligation to pay any finance charges, fees and other charges with respect thereto.</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and expenses (including reasonable fees and expenses of legal counsel) paid to a Person (other than Borrower or a Subsidiary) in connection with, any Qualified Receivables Transaction.</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or any other recipient of any payment to be made by or on account of any obligation of any Loan Party hereunder.</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w:t>
      </w:r>
      <w:r>
        <w:rPr>
          <w:rFonts w:ascii="Arial" w:cs="Arial" w:eastAsia="Arial" w:hAnsi="Arial"/>
          <w:sz w:val="18"/>
          <w:szCs w:val="18"/>
          <w:color w:val="auto"/>
        </w:rPr>
        <w:t>” means, in respect of any security or Indebtedness, to refinance, extend, renew, refund, repay, prepay, redeem, defease or retire, or to issue a security or Indebtedness in exchange or replacement for, such security or Indebtedness in whole or in part. “</w:t>
      </w:r>
      <w:r>
        <w:rPr>
          <w:rFonts w:ascii="Arial" w:cs="Arial" w:eastAsia="Arial" w:hAnsi="Arial"/>
          <w:sz w:val="18"/>
          <w:szCs w:val="18"/>
          <w:u w:val="single" w:color="auto"/>
          <w:color w:val="auto"/>
        </w:rPr>
        <w:t>Refinanced</w:t>
      </w:r>
      <w:r>
        <w:rPr>
          <w:rFonts w:ascii="Arial" w:cs="Arial" w:eastAsia="Arial" w:hAnsi="Arial"/>
          <w:sz w:val="18"/>
          <w:szCs w:val="18"/>
          <w:color w:val="auto"/>
        </w:rPr>
        <w:t>” and “</w:t>
      </w:r>
      <w:r>
        <w:rPr>
          <w:rFonts w:ascii="Arial" w:cs="Arial" w:eastAsia="Arial" w:hAnsi="Arial"/>
          <w:sz w:val="18"/>
          <w:szCs w:val="18"/>
          <w:u w:val="single" w:color="auto"/>
          <w:color w:val="auto"/>
        </w:rPr>
        <w:t>Refinancing</w:t>
      </w:r>
      <w:r>
        <w:rPr>
          <w:rFonts w:ascii="Arial" w:cs="Arial" w:eastAsia="Arial" w:hAnsi="Arial"/>
          <w:sz w:val="18"/>
          <w:szCs w:val="18"/>
          <w:color w:val="auto"/>
        </w:rPr>
        <w:t>” shall have correlative meanings.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55" w:name="page56"/>
    <w:bookmarkEnd w:id="55"/>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Refinancing Indebtedness</w:t>
      </w:r>
      <w:r>
        <w:rPr>
          <w:rFonts w:ascii="Arial" w:cs="Arial" w:eastAsia="Arial" w:hAnsi="Arial"/>
          <w:sz w:val="16"/>
          <w:szCs w:val="16"/>
          <w:color w:val="auto"/>
        </w:rPr>
        <w:t>” means any Refinancing, modification, replacement, restatement, refunding, deferral, extension, substitution, supplement, reissuance or resale of existing or future Indebtedness (other than intercompany Indebtedness), including any additional Indebtedness incurred to pay interest or premiums required by the instruments governing such existing or future Indebtedness as in effect at the time of issuance thereof (“</w:t>
      </w:r>
      <w:r>
        <w:rPr>
          <w:rFonts w:ascii="Arial" w:cs="Arial" w:eastAsia="Arial" w:hAnsi="Arial"/>
          <w:sz w:val="16"/>
          <w:szCs w:val="16"/>
          <w:u w:val="single" w:color="auto"/>
          <w:color w:val="auto"/>
        </w:rPr>
        <w:t>Required Premiums</w:t>
      </w:r>
      <w:r>
        <w:rPr>
          <w:rFonts w:ascii="Arial" w:cs="Arial" w:eastAsia="Arial" w:hAnsi="Arial"/>
          <w:sz w:val="16"/>
          <w:szCs w:val="16"/>
          <w:color w:val="auto"/>
        </w:rPr>
        <w:t xml:space="preserve">”) and fees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Refinancing, modification, replacement, restatement, refunding, deferral, extension, substitution, supplement, reissuance or resale shall not: (i) directly or indirectly result in an increase in the aggregate principal amount of such Indebtedness, except to the extent such increase is a result of a simultaneous incurrence of additional Indebtedness to pay Required Premiums and related fees and expenses; or (ii) result in Indebtedness with a weighted average life to maturity at the time of such Refinancing, modification, replacement, restatement, refunding, deferral, extension, substitution, supplement, reissuance or resale that is less than the weighted average life to maturity at such time of the Indebtedness being Refinanced, modified, replaced, renewed, restated, refunded, deferred, extended, substituted, supplemented, reissued or resold; or (iii) if the Indebtedness being Refinanced, modified, replaced, restated, refunded, deferred, extended, substituted, supplemented, reissued or resold is subordinated in right of payment or Lien priority to the Obligations or the Guarantees thereof, such Refinancing Indebtedness is subordinated in right of payment or Lien priority to the Obligations or the Guarantees thereof or Liens thereof, as applicable, on terms at least as favorable to the Lenders as those contained in the documentation governing the Indebtedness being Refinanced, modified, replaced, restated, refunded, deferred, extended, substituted, supplemented, reissued or resold.</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Documents</w:t>
      </w:r>
      <w:r>
        <w:rPr>
          <w:rFonts w:ascii="Arial" w:cs="Arial" w:eastAsia="Arial" w:hAnsi="Arial"/>
          <w:sz w:val="18"/>
          <w:szCs w:val="18"/>
          <w:color w:val="auto"/>
        </w:rPr>
        <w:t>” means, collectively, (a) the Closing Date Acquisition Agreement and (b) all other material documents entered into by any Loan Party in connection with the Closing Date Acquisition.</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discharge, deposit, disposal, leaking, pumping, pouring, dumping, emptying, injection or leaching into the Environment, or into, from or through any building, structure or facility.</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30 day notice period has been waived.</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Repricing Event</w:t>
      </w:r>
      <w:r>
        <w:rPr>
          <w:rFonts w:ascii="Arial" w:cs="Arial" w:eastAsia="Arial" w:hAnsi="Arial"/>
          <w:sz w:val="17"/>
          <w:szCs w:val="17"/>
          <w:color w:val="auto"/>
        </w:rPr>
        <w:t xml:space="preserve">” means (a) any prepayment or repayment of the initial Loans (or any portion thereof) with the proceeds of, or any conversion of initial Loans into, any new or replacement Indebtedness bearing interest with an “effective yield” (taking into account, for example, upfront fees, interest rate spreads, interest rate benchmark floors and original issue discount, but excluding the effect of any arrangement, structuring, syndication or other fees payable in connection therewith that are not shared with all lenders or holders of the initial Loans or such new or replacement Indebtedness, as the case may be) less than the “effective yield” applicable to all or a portion of the initial Loans subject to such prepayment or repayment (as such comparative yields are determined by the Administrative Agent) or (b) any amendment to this Agreement which reduces the “effective yield” (determined in accordance with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applicable to all or a portion of the initial Loans.</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Term Loans or Revolving Credit Loans, a Committed Loan Notice, (b) with respect to an L/C Credit Extension, a Letter of Credit Application, and (c) with respect to a Swing Line Loan, a Swing Line Loan Notice.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56" w:name="page57"/>
    <w:bookmarkEnd w:id="56"/>
    <w:p>
      <w:pPr>
        <w:ind w:right="12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holding more than 50% of the sum of the (a) Total Outstandings (with the aggregate amount of each Revolving Credit Lender’s risk participation and funded participation in L/C Obligations and Swing Line Loans being deemed “held” by such Revolving Credit Lender for purposes of this definition) and (b) aggregate unused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unused Revolving Credit Commitment of, and the portion of the Total Revolving Credit Outstandings and the Term Facility held or deemed held by, any Defaulting Lender shall be excluded for purposes of making a determination of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at such time there are three or fewer unaffiliated Lenders (other than Defaulting Lenders), Required Lenders shall also require not fewer than two unaffiliated Lenders (other than Defaulting Lenders).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means, as of any date of determination, Revolving Credit Lenders holding more than 50% of the sum of the (a) Total Revolving Credit Outstandings (with the aggregate amount of each Revolving Credit Lender’s risk participation and funded participation in L/C Obligations and Swing Line Loans being deemed “held” by such Revolving Credit Lender for purposes of this definition) and (b) aggregate unused Revolving Credit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unused Revolving Credit Commitment of, and the portion of the Total Revolving Credit Outstandings held or deemed held by, any Defaulting Lender shall be excluded for purposes of making a determination of Required Revolving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at such time there are three or fewer unaffiliated Revolving Credit Lenders (other than Defaulting Lenders), Required Revolving Lenders shall also require not fewer than two unaffiliated Lenders (other than Defaulting Lenders).</w:t>
      </w:r>
    </w:p>
    <w:p>
      <w:pPr>
        <w:spacing w:after="0" w:line="18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Term Lenders</w:t>
      </w:r>
      <w:r>
        <w:rPr>
          <w:rFonts w:ascii="Arial" w:cs="Arial" w:eastAsia="Arial" w:hAnsi="Arial"/>
          <w:sz w:val="18"/>
          <w:szCs w:val="18"/>
          <w:color w:val="auto"/>
        </w:rPr>
        <w:t xml:space="preserve">” means, as of any date of determination, Term Lenders holding more than 50% of the sum of the (a) Term Loans outstanding on such date and (b) the aggregate unused Term Commitments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portion of the Term Facility held by any Defaulting Lender shall be excluded for purposes of making a determination of Required Term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at such time there are three or fewer unaffiliated Term Lenders (other than Defaulting Lenders), Required Term Lenders shall also require not fewer than two unaffiliated Lenders (other than Defaulting Lenders).</w:t>
      </w:r>
    </w:p>
    <w:p>
      <w:pPr>
        <w:spacing w:after="0" w:line="18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the chief executive officer, president, chief financial officer, treasurer, assistant treasurer or controller of a Loan Party, solely for purposes of the delivery of incumbency certificates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secretary or any assistant secretary of a Loan Party and, solely for the purposes of notices given to </w:t>
      </w:r>
      <w:r>
        <w:rPr>
          <w:rFonts w:ascii="Arial" w:cs="Arial" w:eastAsia="Arial" w:hAnsi="Arial"/>
          <w:sz w:val="17"/>
          <w:szCs w:val="17"/>
          <w:u w:val="single" w:color="auto"/>
          <w:color w:val="auto"/>
        </w:rPr>
        <w:t>Article II</w:t>
      </w:r>
      <w:r>
        <w:rPr>
          <w:rFonts w:ascii="Arial" w:cs="Arial" w:eastAsia="Arial" w:hAnsi="Arial"/>
          <w:sz w:val="17"/>
          <w:szCs w:val="17"/>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8"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with respect to the Borrower or any of its Subsidiaries, (a) any Capital Distribution and (b) any amount paid by the Borrower or any of its Subsidiaries in repayment, redemption, retirement or repurchase, directly or indirectly, of any Subordinated Indebtedness or the Indebtedness evidenced by the New Notes.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w:t>
      </w:r>
      <w:r>
        <w:rPr>
          <w:rFonts w:ascii="Arial" w:cs="Arial" w:eastAsia="Arial" w:hAnsi="Arial"/>
          <w:sz w:val="18"/>
          <w:szCs w:val="18"/>
          <w:color w:val="auto"/>
        </w:rPr>
        <w:t xml:space="preserve">” means a borrowing consisting of simultaneous Revolving Credit Loans of the same Type and, in the case of Eurodollar Rate Loans, having the same Interest Period made by each of the Revolving Credit Lenders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274" w:right="319" w:bottom="1440" w:gutter="0" w:footer="0" w:header="0"/>
        </w:sectPr>
      </w:pPr>
    </w:p>
    <w:bookmarkStart w:id="57" w:name="page58"/>
    <w:bookmarkEnd w:id="57"/>
    <w:p>
      <w:pPr>
        <w:ind w:right="2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Revolving Credit Commitments</w:t>
      </w:r>
      <w:r>
        <w:rPr>
          <w:rFonts w:ascii="Arial" w:cs="Arial" w:eastAsia="Arial" w:hAnsi="Arial"/>
          <w:sz w:val="18"/>
          <w:szCs w:val="18"/>
          <w:color w:val="auto"/>
        </w:rPr>
        <w:t xml:space="preserve">” means, as to each Revolving Credit Lender, its obligation to (a) make Revolving Credit Loans to the Borrower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“Revolving Credit Commitment” or opposite such caption in the Assignment and Assumption pursuant to which such Lender becomes a party hereto, as applicable, as such amount may be adjusted from time to time in accordance with this Agreement.</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Lender at any time, the aggregate principal amount at such time of its outstanding Revolving Credit Loans and such Lender’s participation in L/C Obligations and Swing Line Loans at such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Facility</w:t>
      </w:r>
      <w:r>
        <w:rPr>
          <w:rFonts w:ascii="Arial" w:cs="Arial" w:eastAsia="Arial" w:hAnsi="Arial"/>
          <w:sz w:val="16"/>
          <w:szCs w:val="16"/>
          <w:color w:val="auto"/>
        </w:rPr>
        <w:t>” means, at any time, the aggregate amount of the Revolving Credit Lenders’ Revolving Credit Commitments at such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the Amendment and Restatement Effective Date, the Revolving Credit Facility is $133,000,000.</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Increase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2.14(d)(ii)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means, at any time, any Lender that has a Revolving Credit Commitment at such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Note</w:t>
      </w:r>
      <w:r>
        <w:rPr>
          <w:rFonts w:ascii="Arial" w:cs="Arial" w:eastAsia="Arial" w:hAnsi="Arial"/>
          <w:sz w:val="16"/>
          <w:szCs w:val="16"/>
          <w:color w:val="auto"/>
        </w:rPr>
        <w:t xml:space="preserve">” means a promissory note made by the Borrower in favor of a Revolving Credit Lender (and its registered assigns) evidencing Revolving Credit Loans or Swing Line Loans, as the case may be, made by such Revolving Credit Lender, substantially in the form of </w:t>
      </w:r>
      <w:r>
        <w:rPr>
          <w:rFonts w:ascii="Arial" w:cs="Arial" w:eastAsia="Arial" w:hAnsi="Arial"/>
          <w:sz w:val="16"/>
          <w:szCs w:val="16"/>
          <w:u w:val="single" w:color="auto"/>
          <w:color w:val="auto"/>
        </w:rPr>
        <w:t>Exhibit C-2</w:t>
      </w:r>
      <w:r>
        <w:rPr>
          <w:rFonts w:ascii="Arial" w:cs="Arial" w:eastAsia="Arial" w:hAnsi="Arial"/>
          <w:sz w:val="16"/>
          <w:szCs w:val="16"/>
          <w:color w:val="auto"/>
        </w:rPr>
        <w:t>.</w:t>
      </w:r>
    </w:p>
    <w:p>
      <w:pPr>
        <w:spacing w:after="0" w:line="12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that is entered into by and between any Loan Party and any Cash Management Bank.</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Swap Contract permitted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that is entered into by and between any Loan Party and any Hedge Bank.</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L/C Issuers, the Hedge Banks, the Cash Management Banks,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and the other Persons the Obligations owing to which are or are purported to be secured by the Collateral under the terms of the Collateral Documents.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58" w:name="page59"/>
    <w:bookmarkEnd w:id="5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Securities Account Control Agreement</w:t>
      </w:r>
      <w:r>
        <w:rPr>
          <w:rFonts w:ascii="Arial" w:cs="Arial" w:eastAsia="Arial" w:hAnsi="Arial"/>
          <w:sz w:val="18"/>
          <w:szCs w:val="18"/>
          <w:color w:val="auto"/>
        </w:rPr>
        <w:t>” has the meaning assigned thereto in the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Joinder Agreement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Sold Account</w:t>
      </w:r>
      <w:r>
        <w:rPr>
          <w:rFonts w:ascii="Arial" w:cs="Arial" w:eastAsia="Arial" w:hAnsi="Arial"/>
          <w:sz w:val="17"/>
          <w:szCs w:val="17"/>
          <w:color w:val="auto"/>
        </w:rPr>
        <w:t>” means an Account which Borrower or a Subsidiary has sold to, or otherwise has granted a Lien on or in favor of, the purchaser pursuant to a Qualified Receivables Transaction, for which such Credit Party has received the purchase price for such Account.</w:t>
      </w:r>
    </w:p>
    <w:p>
      <w:pPr>
        <w:spacing w:after="0" w:line="14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66"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Loan Party</w:t>
      </w:r>
      <w:r>
        <w:rPr>
          <w:rFonts w:ascii="Arial" w:cs="Arial" w:eastAsia="Arial" w:hAnsi="Arial"/>
          <w:sz w:val="16"/>
          <w:szCs w:val="16"/>
          <w:color w:val="auto"/>
        </w:rPr>
        <w:t xml:space="preserve">” means any Loan Party that is not an “eligible contract participant” under the Commodity Exchange Act (determined prior to giving effect to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of the Security Agreement and any other “keepwell, support or other agreement” for the benefit of such Loan Party).</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Purchase Agreement Representations</w:t>
      </w:r>
      <w:r>
        <w:rPr>
          <w:rFonts w:ascii="Arial" w:cs="Arial" w:eastAsia="Arial" w:hAnsi="Arial"/>
          <w:sz w:val="18"/>
          <w:szCs w:val="18"/>
          <w:color w:val="auto"/>
        </w:rPr>
        <w:t>” means the representations and warranties made by, or with respect to, the Company and its Subsidiaries in the Closing Date Acquisition Agreement as are material to the interests of the Lenders (in their capacities as such), but only to the extent that the Borrower (or any of its Affiliates) have the right to terminate the Borrower’s obligations under the Closing Date Acquisition Agreement (or decline or otherwise refuse to consummate the Closing Date Acquisition pursuant to the Closing Date Acquisition Agreement) as a result of a breach of any such representation and warranty in the Closing Date Acquisition Agreement or any such representation and warranty not being accurate (in each case, determined without regard to any notice requirement).</w:t>
      </w:r>
    </w:p>
    <w:p>
      <w:pPr>
        <w:spacing w:after="0" w:line="19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Representations</w:t>
      </w:r>
      <w:r>
        <w:rPr>
          <w:rFonts w:ascii="Arial" w:cs="Arial" w:eastAsia="Arial" w:hAnsi="Arial"/>
          <w:sz w:val="17"/>
          <w:szCs w:val="17"/>
          <w:color w:val="auto"/>
        </w:rPr>
        <w:t xml:space="preserve">” means the representations and warranties set forth in </w:t>
      </w:r>
      <w:r>
        <w:rPr>
          <w:rFonts w:ascii="Arial" w:cs="Arial" w:eastAsia="Arial" w:hAnsi="Arial"/>
          <w:sz w:val="17"/>
          <w:szCs w:val="17"/>
          <w:u w:val="single" w:color="auto"/>
          <w:color w:val="auto"/>
        </w:rPr>
        <w:t>Sections 5.01</w:t>
      </w:r>
      <w:r>
        <w:rPr>
          <w:rFonts w:ascii="Arial" w:cs="Arial" w:eastAsia="Arial" w:hAnsi="Arial"/>
          <w:sz w:val="17"/>
          <w:szCs w:val="17"/>
          <w:color w:val="auto"/>
        </w:rPr>
        <w:t xml:space="preserve">, </w:t>
      </w:r>
      <w:r>
        <w:rPr>
          <w:rFonts w:ascii="Arial" w:cs="Arial" w:eastAsia="Arial" w:hAnsi="Arial"/>
          <w:sz w:val="17"/>
          <w:szCs w:val="17"/>
          <w:u w:val="single" w:color="auto"/>
          <w:color w:val="auto"/>
        </w:rPr>
        <w:t>5.02</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thereof), </w:t>
      </w:r>
      <w:r>
        <w:rPr>
          <w:rFonts w:ascii="Arial" w:cs="Arial" w:eastAsia="Arial" w:hAnsi="Arial"/>
          <w:sz w:val="17"/>
          <w:szCs w:val="17"/>
          <w:u w:val="single" w:color="auto"/>
          <w:color w:val="auto"/>
        </w:rPr>
        <w:t>5.06</w:t>
      </w:r>
      <w:r>
        <w:rPr>
          <w:rFonts w:ascii="Arial" w:cs="Arial" w:eastAsia="Arial" w:hAnsi="Arial"/>
          <w:sz w:val="17"/>
          <w:szCs w:val="17"/>
          <w:color w:val="auto"/>
        </w:rPr>
        <w:t xml:space="preserve"> (subject to the last sentence of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with respect to the perfection of liens), </w:t>
      </w:r>
      <w:r>
        <w:rPr>
          <w:rFonts w:ascii="Arial" w:cs="Arial" w:eastAsia="Arial" w:hAnsi="Arial"/>
          <w:sz w:val="17"/>
          <w:szCs w:val="17"/>
          <w:u w:val="single" w:color="auto"/>
          <w:color w:val="auto"/>
        </w:rPr>
        <w:t>5.13</w:t>
      </w:r>
      <w:r>
        <w:rPr>
          <w:rFonts w:ascii="Arial" w:cs="Arial" w:eastAsia="Arial" w:hAnsi="Arial"/>
          <w:sz w:val="17"/>
          <w:szCs w:val="17"/>
          <w:color w:val="auto"/>
        </w:rPr>
        <w:t xml:space="preserve"> (determined for this purpose for the Borrower and its Subsidiaries on a consolidated basis as of the Closing Date and after giving effect to the Transactions), </w:t>
      </w:r>
      <w:r>
        <w:rPr>
          <w:rFonts w:ascii="Arial" w:cs="Arial" w:eastAsia="Arial" w:hAnsi="Arial"/>
          <w:sz w:val="17"/>
          <w:szCs w:val="17"/>
          <w:u w:val="single" w:color="auto"/>
          <w:color w:val="auto"/>
        </w:rPr>
        <w:t>5.15</w:t>
      </w:r>
      <w:r>
        <w:rPr>
          <w:rFonts w:ascii="Arial" w:cs="Arial" w:eastAsia="Arial" w:hAnsi="Arial"/>
          <w:sz w:val="17"/>
          <w:szCs w:val="17"/>
          <w:color w:val="auto"/>
        </w:rPr>
        <w:t xml:space="preserve">, </w:t>
      </w:r>
      <w:r>
        <w:rPr>
          <w:rFonts w:ascii="Arial" w:cs="Arial" w:eastAsia="Arial" w:hAnsi="Arial"/>
          <w:sz w:val="17"/>
          <w:szCs w:val="17"/>
          <w:u w:val="single" w:color="auto"/>
          <w:color w:val="auto"/>
        </w:rPr>
        <w:t>5.21</w:t>
      </w:r>
      <w:r>
        <w:rPr>
          <w:rFonts w:ascii="Arial" w:cs="Arial" w:eastAsia="Arial" w:hAnsi="Arial"/>
          <w:sz w:val="17"/>
          <w:szCs w:val="17"/>
          <w:color w:val="auto"/>
        </w:rPr>
        <w:t xml:space="preserve">, </w:t>
      </w:r>
      <w:r>
        <w:rPr>
          <w:rFonts w:ascii="Arial" w:cs="Arial" w:eastAsia="Arial" w:hAnsi="Arial"/>
          <w:sz w:val="17"/>
          <w:szCs w:val="17"/>
          <w:u w:val="single" w:color="auto"/>
          <w:color w:val="auto"/>
        </w:rPr>
        <w:t>5.22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5.26</w:t>
      </w:r>
      <w:r>
        <w:rPr>
          <w:rFonts w:ascii="Arial" w:cs="Arial" w:eastAsia="Arial" w:hAnsi="Arial"/>
          <w:sz w:val="17"/>
          <w:szCs w:val="17"/>
          <w:color w:val="auto"/>
        </w:rPr>
        <w:t>.</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any Acquisition, Investment or Restricted Payment (in each case, whether or not consummated and including any such transaction consummated prior to the Closing Date) and/or (ii) equity issuances, issuances of Indebtedness (including the incurrence of Incremental Loans) or other Refinancings, repayments, financings and amendments or other modifications or waivers of debt instruments or documents, mergers, Investments (other than Investments in cash or Cash Equivalents), Restricted Payments or dispositions outside of the ordinary course of business permitted by the Loan Documents.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59" w:name="page60"/>
    <w:bookmarkEnd w:id="59"/>
    <w:p>
      <w:pPr>
        <w:ind w:right="80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Subordinated</w:t>
      </w:r>
      <w:r>
        <w:rPr>
          <w:rFonts w:ascii="Arial" w:cs="Arial" w:eastAsia="Arial" w:hAnsi="Arial"/>
          <w:sz w:val="17"/>
          <w:szCs w:val="17"/>
          <w:color w:val="auto"/>
        </w:rPr>
        <w:t>” means, as applied to Indebtedness, Indebtedness that shall have been subordinated in favor of the prior payment in full of the Obligations pursuant to documentation in form and substance reasonably satisfactory to the Administrative Agent.</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8"/>
          <w:szCs w:val="18"/>
          <w:u w:val="single" w:color="auto"/>
          <w:color w:val="auto"/>
        </w:rPr>
        <w:t>Subsidiary</w:t>
      </w:r>
      <w:r>
        <w:rPr>
          <w:rFonts w:ascii="Arial" w:cs="Arial" w:eastAsia="Arial" w:hAnsi="Arial"/>
          <w:sz w:val="18"/>
          <w:szCs w:val="18"/>
          <w:color w:val="auto"/>
        </w:rPr>
        <w:t>” or to “</w:t>
      </w:r>
      <w:r>
        <w:rPr>
          <w:rFonts w:ascii="Arial" w:cs="Arial" w:eastAsia="Arial" w:hAnsi="Arial"/>
          <w:sz w:val="18"/>
          <w:szCs w:val="18"/>
          <w:u w:val="single" w:color="auto"/>
          <w:color w:val="auto"/>
        </w:rPr>
        <w:t>Subsidiaries</w:t>
      </w:r>
      <w:r>
        <w:rPr>
          <w:rFonts w:ascii="Arial" w:cs="Arial" w:eastAsia="Arial" w:hAnsi="Arial"/>
          <w:sz w:val="18"/>
          <w:szCs w:val="18"/>
          <w:color w:val="auto"/>
        </w:rPr>
        <w:t>” shall refer to a Subsidiary or Subsidiaries of the Borrower.</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including any such obligations or liabilities under any Master Agreement.</w:t>
      </w:r>
    </w:p>
    <w:p>
      <w:pPr>
        <w:spacing w:after="0" w:line="18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7"/>
          <w:szCs w:val="17"/>
          <w:u w:val="single" w:color="auto"/>
          <w:color w:val="auto"/>
        </w:rPr>
        <w:t>clause (a)</w:t>
      </w:r>
      <w:r>
        <w:rPr>
          <w:rFonts w:ascii="Arial" w:cs="Arial" w:eastAsia="Arial" w:hAnsi="Arial"/>
          <w:sz w:val="17"/>
          <w:szCs w:val="17"/>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Regions Bank, in its capacity as provider of Swing Line Loans, or any successor swing line lender 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Swing Line Borrowing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may be approved by the Swing Line Lender and the Administrative Agent, appropriately completed and signed by a Responsible Officer of the Borrower.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60" w:name="page61"/>
    <w:bookmarkEnd w:id="60"/>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$10,000,000 and (b) the Revolving Credit Facility. The Swing Line Sublimit is part of, and not in addition to, the Revolving Credit Facility.</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Debt</w:t>
      </w:r>
      <w:r>
        <w:rPr>
          <w:rFonts w:ascii="Arial" w:cs="Arial" w:eastAsia="Arial" w:hAnsi="Arial"/>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w:t>
      </w:r>
      <w:r>
        <w:rPr>
          <w:rFonts w:ascii="Arial" w:cs="Arial" w:eastAsia="Arial" w:hAnsi="Arial"/>
          <w:sz w:val="18"/>
          <w:szCs w:val="18"/>
          <w:u w:val="single" w:color="auto"/>
          <w:color w:val="auto"/>
        </w:rPr>
        <w:t>Indebtedness</w:t>
      </w:r>
      <w:r>
        <w:rPr>
          <w:rFonts w:ascii="Arial" w:cs="Arial" w:eastAsia="Arial" w:hAnsi="Arial"/>
          <w:sz w:val="18"/>
          <w:szCs w:val="18"/>
          <w:color w:val="auto"/>
        </w:rPr>
        <w:t>” or as a liability on the consolidated balance sheet of such Person and its Subsidiaries in accordance with GAAP.</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right="80" w:firstLine="8"/>
        <w:spacing w:after="0" w:line="255"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9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Borrowings</w:t>
      </w:r>
      <w:r>
        <w:rPr>
          <w:rFonts w:ascii="Arial" w:cs="Arial" w:eastAsia="Arial" w:hAnsi="Arial"/>
          <w:sz w:val="18"/>
          <w:szCs w:val="18"/>
          <w:color w:val="auto"/>
        </w:rPr>
        <w:t>” means, collectively, Initial Term Borrowings, Incremental Term Borrowings and Tranche B Term Borrowings.</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Commitment</w:t>
      </w:r>
      <w:r>
        <w:rPr>
          <w:rFonts w:ascii="Arial" w:cs="Arial" w:eastAsia="Arial" w:hAnsi="Arial"/>
          <w:sz w:val="16"/>
          <w:szCs w:val="16"/>
          <w:color w:val="auto"/>
        </w:rPr>
        <w:t xml:space="preserve">” means, (a) as to each Term Lender, its obligation to (i) make Initial Term Loans to the Borrower on the Closing Date with respect to the Term Facility pursuant to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and (ii) make Incremental Term Loans to the Borrower pursuant to </w:t>
      </w:r>
      <w:r>
        <w:rPr>
          <w:rFonts w:ascii="Arial" w:cs="Arial" w:eastAsia="Arial" w:hAnsi="Arial"/>
          <w:sz w:val="16"/>
          <w:szCs w:val="16"/>
          <w:u w:val="single" w:color="auto"/>
          <w:color w:val="auto"/>
        </w:rPr>
        <w:t>Section 2.14(a)</w:t>
      </w:r>
      <w:r>
        <w:rPr>
          <w:rFonts w:ascii="Arial" w:cs="Arial" w:eastAsia="Arial" w:hAnsi="Arial"/>
          <w:sz w:val="16"/>
          <w:szCs w:val="16"/>
          <w:color w:val="auto"/>
        </w:rPr>
        <w:t xml:space="preserve">, each in an aggregate principal amount not to exceed the amount set forth opposite such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caption “Term Commitment”, and (b) as to each Tranche B Term Lender, its obligation to make Tranche B Term Loans on the Amendment and Restatement Effective Date pursuant to </w:t>
      </w:r>
      <w:r>
        <w:rPr>
          <w:rFonts w:ascii="Arial" w:cs="Arial" w:eastAsia="Arial" w:hAnsi="Arial"/>
          <w:sz w:val="16"/>
          <w:szCs w:val="16"/>
          <w:u w:val="single" w:color="auto"/>
          <w:color w:val="auto"/>
        </w:rPr>
        <w:t>Section 2.01(c)</w:t>
      </w:r>
      <w:r>
        <w:rPr>
          <w:rFonts w:ascii="Arial" w:cs="Arial" w:eastAsia="Arial" w:hAnsi="Arial"/>
          <w:sz w:val="16"/>
          <w:szCs w:val="16"/>
          <w:color w:val="auto"/>
        </w:rPr>
        <w:t xml:space="preserve"> in the amount of its Tranche B Term Loan Commitment or, in the case of clause (a) or (b), as set forth in the Assignment and Assumption pursuant to which such Lender becomes a party hereto, as applicable, as such amount may be adjusted from time to time in accordance with this Agreement.</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w:t>
      </w:r>
      <w:r>
        <w:rPr>
          <w:rFonts w:ascii="Arial" w:cs="Arial" w:eastAsia="Arial" w:hAnsi="Arial"/>
          <w:sz w:val="18"/>
          <w:szCs w:val="18"/>
          <w:color w:val="auto"/>
        </w:rPr>
        <w:t xml:space="preserve">” means, at any time, the </w:t>
      </w:r>
      <w:r>
        <w:rPr>
          <w:rFonts w:ascii="Arial" w:cs="Arial" w:eastAsia="Arial" w:hAnsi="Arial"/>
          <w:sz w:val="18"/>
          <w:szCs w:val="18"/>
          <w:u w:val="single" w:color="auto"/>
          <w:color w:val="auto"/>
        </w:rPr>
        <w:t>sum</w:t>
      </w:r>
      <w:r>
        <w:rPr>
          <w:rFonts w:ascii="Arial" w:cs="Arial" w:eastAsia="Arial" w:hAnsi="Arial"/>
          <w:sz w:val="18"/>
          <w:szCs w:val="18"/>
          <w:color w:val="auto"/>
        </w:rPr>
        <w:t xml:space="preserve"> of (a) the aggregate amount of the unused Term Commitments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principal amount of the Term Loans of all Term Lenders outstanding at such time. As of the Amendment and Restatement Effective Date, the Term Facility is $545,000,000.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at any time, any Lender that either has an unused Term Commitment or holds Term Loans at such time, or both.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means, collectively, the Initial Term Loans, the Incremental Term Loans, and the Tranche B Term Loans, as applicable.</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Note</w:t>
      </w:r>
      <w:r>
        <w:rPr>
          <w:rFonts w:ascii="Arial" w:cs="Arial" w:eastAsia="Arial" w:hAnsi="Arial"/>
          <w:sz w:val="18"/>
          <w:szCs w:val="18"/>
          <w:color w:val="auto"/>
        </w:rPr>
        <w:t xml:space="preserve">” means a promissory note made by the Borrower in favor of a Term Lender (and its registered assigns) evidencing Term Loans made by such Term Lender,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Credit Exposure</w:t>
      </w:r>
      <w:r>
        <w:rPr>
          <w:rFonts w:ascii="Arial" w:cs="Arial" w:eastAsia="Arial" w:hAnsi="Arial"/>
          <w:sz w:val="16"/>
          <w:szCs w:val="16"/>
          <w:color w:val="auto"/>
        </w:rPr>
        <w:t>” means, as to any Lender at any time, the Total Revolving Exposure and Total Term Loan Exposure of such Lender at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61" w:name="page62"/>
    <w:bookmarkEnd w:id="61"/>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Total Revolving Exposure</w:t>
      </w:r>
      <w:r>
        <w:rPr>
          <w:rFonts w:ascii="Arial" w:cs="Arial" w:eastAsia="Arial" w:hAnsi="Arial"/>
          <w:sz w:val="18"/>
          <w:szCs w:val="18"/>
          <w:color w:val="auto"/>
        </w:rPr>
        <w:t>” means, as to any Revolving Credit Lender at any time, the unused Revolving Credit Commitments and Revolving Credit Exposure of such Lender at such time.</w:t>
      </w:r>
    </w:p>
    <w:p>
      <w:pPr>
        <w:spacing w:after="0" w:line="17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Outstandings</w:t>
      </w:r>
      <w:r>
        <w:rPr>
          <w:rFonts w:ascii="Arial" w:cs="Arial" w:eastAsia="Arial" w:hAnsi="Arial"/>
          <w:sz w:val="18"/>
          <w:szCs w:val="18"/>
          <w:color w:val="auto"/>
        </w:rPr>
        <w:t>” means the aggregate Outstanding Amount of all Revolving Credit Loans, Swing Line Loans and L/C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and all L/C Obligations.</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Term Loan Exposure</w:t>
      </w:r>
      <w:r>
        <w:rPr>
          <w:rFonts w:ascii="Arial" w:cs="Arial" w:eastAsia="Arial" w:hAnsi="Arial"/>
          <w:sz w:val="18"/>
          <w:szCs w:val="18"/>
          <w:color w:val="auto"/>
        </w:rPr>
        <w:t>” means, as to any Term Lender at any time, the unused Term Commitments and the aggregate principal amount of the outstanding Term Loans of such Term Lender at such time.</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Security Agreement</w:t>
      </w:r>
      <w:r>
        <w:rPr>
          <w:rFonts w:ascii="Arial" w:cs="Arial" w:eastAsia="Arial" w:hAnsi="Arial"/>
          <w:sz w:val="18"/>
          <w:szCs w:val="18"/>
          <w:color w:val="auto"/>
        </w:rPr>
        <w:t>” means a trademark security agreement or notice of grant of security interest in trademarks, in each case in form and substance satisfactory to the Administrative Agent.</w:t>
      </w:r>
    </w:p>
    <w:p>
      <w:pPr>
        <w:spacing w:after="0" w:line="170"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Borrowings</w:t>
      </w:r>
      <w:r>
        <w:rPr>
          <w:rFonts w:ascii="Arial" w:cs="Arial" w:eastAsia="Arial" w:hAnsi="Arial"/>
          <w:sz w:val="18"/>
          <w:szCs w:val="18"/>
          <w:color w:val="auto"/>
        </w:rPr>
        <w:t>” means a borrowing made on the Amendment and Restatement Effective Date with respect to Tranche B Term Loans consisting of the same Type and, in the case of Eurodollar Rate Loans, having the same Interest Period, made by Tranche B Term Lenders pursuant to the Amendment and Restatement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Tranche B Term Facility</w:t>
      </w:r>
      <w:r>
        <w:rPr>
          <w:rFonts w:ascii="Arial" w:cs="Arial" w:eastAsia="Arial" w:hAnsi="Arial"/>
          <w:sz w:val="16"/>
          <w:szCs w:val="16"/>
          <w:color w:val="auto"/>
        </w:rPr>
        <w:t>” means, at any time, the aggregate amount of the Tranche B Term Lenders’ Tranche B Term Loan Commitments at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Tranche B Term Lender</w:t>
      </w:r>
      <w:r>
        <w:rPr>
          <w:rFonts w:ascii="Arial" w:cs="Arial" w:eastAsia="Arial" w:hAnsi="Arial"/>
          <w:sz w:val="16"/>
          <w:szCs w:val="16"/>
          <w:color w:val="auto"/>
        </w:rPr>
        <w:t>” means, collectively, (i) on the Amendment and Restatement Effective Date, each Cashless Option Lender, and the Additional Tranche B Term Lender and (ii) after the Amendment and Restatement Effective Date, each Lender with an outstanding Tranche B Term Loan.</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Loan</w:t>
      </w:r>
      <w:r>
        <w:rPr>
          <w:rFonts w:ascii="Arial" w:cs="Arial" w:eastAsia="Arial" w:hAnsi="Arial"/>
          <w:sz w:val="18"/>
          <w:szCs w:val="18"/>
          <w:color w:val="auto"/>
        </w:rPr>
        <w:t xml:space="preserve">” means, collectively, (i) the making of Tranche B Term Loans by exchanging Original Term Loans for a like principal amount of Tranche B Term Loans pursuant to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and (ii) each Additional Tranche B Term Loan made pursuant to </w:t>
      </w:r>
      <w:r>
        <w:rPr>
          <w:rFonts w:ascii="Arial" w:cs="Arial" w:eastAsia="Arial" w:hAnsi="Arial"/>
          <w:sz w:val="18"/>
          <w:szCs w:val="18"/>
          <w:u w:val="single" w:color="auto"/>
          <w:color w:val="auto"/>
        </w:rPr>
        <w:t>Section 2.01(c)</w:t>
      </w:r>
      <w:r>
        <w:rPr>
          <w:rFonts w:ascii="Arial" w:cs="Arial" w:eastAsia="Arial" w:hAnsi="Arial"/>
          <w:sz w:val="18"/>
          <w:szCs w:val="18"/>
          <w:color w:val="auto"/>
        </w:rPr>
        <w:t>, in each case on the Amendment and Restatement Effective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Loan Call Premium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2.05(c)(ii)</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Loan Commitment</w:t>
      </w:r>
      <w:r>
        <w:rPr>
          <w:rFonts w:ascii="Arial" w:cs="Arial" w:eastAsia="Arial" w:hAnsi="Arial"/>
          <w:sz w:val="18"/>
          <w:szCs w:val="18"/>
          <w:color w:val="auto"/>
        </w:rPr>
        <w:t>” means the Additional Tranche B Term Loan Commitment and the Tranche B Term Loan Exchange Commitments. After giving effect to the Amendment and Restatement Agreement, on the Amendment and Restatement Effective Date, the aggregate amount of the Tranche B Term Loan Commitments shall be $545,000,000.</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Loan Exchange Commitment</w:t>
      </w:r>
      <w:r>
        <w:rPr>
          <w:rFonts w:ascii="Arial" w:cs="Arial" w:eastAsia="Arial" w:hAnsi="Arial"/>
          <w:sz w:val="18"/>
          <w:szCs w:val="18"/>
          <w:color w:val="auto"/>
        </w:rPr>
        <w:t>” means the agreement of a Cashless Option Lender to exchange its Original Term Loans for an equal aggregate principal amount of Tranche B Term Loans on the Amendment and Restatement Effective Date.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(a) the consummation of the Closing Date Acquisition, (b) the entering into by the Loan Parties and their applicable Subsidiaries of the Loan Documents, the New Notes Documents and the Related Documents to which they are or are intended to be a party, (c) the refinancing of the Existing Indebtedness and the termination of all commitments with respect thereto and (d) the payment of the fees and expenses incurred in connection with the consummation of the foregoing.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62" w:name="page63"/>
    <w:bookmarkEnd w:id="62"/>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xml:space="preserve">” means all customary and reasonable transaction fees, charges and other similar amounts related to the Transactions or any Acquisitions completed during the term of this Agreement in accordance with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(including, without limitation, any financing fees, merger and acquisition fees, legal fees and expenses, due diligence fees or any other fees and expenses in connection therewith), in each case to the extent paid within six (6) months of the Closing Date or the closing date of such Acquisition, as applicable.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Eurodollar Rate Loan.</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International Chamber of Commerce (“ICC”) Publication No. 600 (or such later version thereof as may be in effect at the time of issuance).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Undisclosed Administration</w:t>
      </w:r>
      <w:r>
        <w:rPr>
          <w:rFonts w:ascii="Arial" w:cs="Arial" w:eastAsia="Arial" w:hAnsi="Arial"/>
          <w:sz w:val="18"/>
          <w:szCs w:val="18"/>
          <w:color w:val="auto"/>
        </w:rPr>
        <w:t>” means in relation to a Lender or a Person that directly or indirectly controls such Lender, the appointment of an administrator, provisional liquidator, conservator, receiver, trustee, custodian or other similar official by a supervisory authority or regulator under or based on the law in the country where such Lender or Person, as the case may be, is subject to home jurisdiction supervision if applicable law requires that such appointment is not to be publicly disclosed.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 and Cash Equivalents</w:t>
      </w:r>
      <w:r>
        <w:rPr>
          <w:rFonts w:ascii="Arial" w:cs="Arial" w:eastAsia="Arial" w:hAnsi="Arial"/>
          <w:sz w:val="18"/>
          <w:szCs w:val="18"/>
          <w:color w:val="auto"/>
        </w:rPr>
        <w:t>” means, with respect to the Borrower and its Subsidiaries, cash or Cash Equivalents of the Borrower and its Subsidiaries that do not appear, or would not be required to appear, as “restricted” on the financial statements of the Borrower and its Subsidiaries (unless related to the Loan Documents or the Liens created thereunder).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3.01(e)(ii)(B)(3)</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Power</w:t>
      </w:r>
      <w:r>
        <w:rPr>
          <w:rFonts w:ascii="Arial" w:cs="Arial" w:eastAsia="Arial" w:hAnsi="Arial"/>
          <w:sz w:val="18"/>
          <w:szCs w:val="18"/>
          <w:color w:val="auto"/>
        </w:rPr>
        <w:t>” means, with respect to any Person, the exclusive ability to control, through the ownership of shares of capital stock, partnership interests, membership interests or otherwise, the election of members of the board of directors or other similar governing body of such Person.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Yield</w:t>
      </w:r>
      <w:r>
        <w:rPr>
          <w:rFonts w:ascii="Arial" w:cs="Arial" w:eastAsia="Arial" w:hAnsi="Arial"/>
          <w:sz w:val="18"/>
          <w:szCs w:val="18"/>
          <w:color w:val="auto"/>
        </w:rPr>
        <w:t>” means, with respect to any Loan, on any date of determination, the weighted average yield to maturity, in each case, based on the interest rate applicable to such Loan 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63" w:name="page64"/>
    <w:bookmarkEnd w:id="63"/>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date and giving effect to interest rate floors, upfront fees, original issue discount or similar yield related discounts or deductions payable with respect to such Loans (but, excluding, for the avoidance of doubt, any customary arranging, underwriting or similar fees not paid to all Lenders) based on (i) an assumed four-year average life for the applicable Loans or (ii) if the stated maturity of the applicable Loans is less than four years, the actual life of such Loans.</w:t>
      </w:r>
    </w:p>
    <w:p>
      <w:pPr>
        <w:spacing w:after="0" w:line="14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w:t>
      </w:r>
      <w:r>
        <w:rPr>
          <w:rFonts w:ascii="Arial" w:cs="Arial" w:eastAsia="Arial" w:hAnsi="Arial"/>
          <w:sz w:val="18"/>
          <w:szCs w:val="18"/>
          <w:color w:val="auto"/>
        </w:rPr>
        <w:t>” means, with respect to a Subsidiary, that all of the Equity Interests of such Subsidiary are, directly or indirectly, owned or controlled by the Borrower and/or one or more of its Wholly-Owned Subsidiaries (except for directors’ qualifying shares or other shares required by applicable Laws to be owned by a Person other than the Borrower and/or one or more of its Wholly-Owned Subsidiaries).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Other Interpretive Provisions</w:t>
      </w:r>
      <w:r>
        <w:rPr>
          <w:rFonts w:ascii="Arial" w:cs="Arial" w:eastAsia="Arial" w:hAnsi="Arial"/>
          <w:sz w:val="16"/>
          <w:szCs w:val="16"/>
          <w:color w:val="auto"/>
        </w:rPr>
        <w:t>. With reference to this Agreement and each other Loan Document, unless otherwise specified herein or in such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 Document:</w:t>
      </w:r>
    </w:p>
    <w:p>
      <w:pPr>
        <w:spacing w:after="0" w:line="211" w:lineRule="exact"/>
        <w:rPr>
          <w:sz w:val="20"/>
          <w:szCs w:val="20"/>
          <w:color w:val="auto"/>
        </w:rPr>
      </w:pPr>
    </w:p>
    <w:p>
      <w:pPr>
        <w:ind w:right="40" w:firstLine="464"/>
        <w:spacing w:after="0" w:line="268" w:lineRule="auto"/>
        <w:tabs>
          <w:tab w:leader="none" w:pos="70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rule or regulation shall include all statutory and regulatory provisions consolidating, amending, replacing or interpreting such law, rule or regulation and any reference to any law, rule or regulation shall, unless otherwise specified, refer to such law, rule or regulation as amended, modified or supplemented from time to time, and (vi) the words “</w:t>
      </w:r>
      <w:r>
        <w:rPr>
          <w:rFonts w:ascii="Arial" w:cs="Arial" w:eastAsia="Arial" w:hAnsi="Arial"/>
          <w:sz w:val="17"/>
          <w:szCs w:val="17"/>
          <w:u w:val="single" w:color="auto"/>
          <w:color w:val="auto"/>
        </w:rPr>
        <w:t>asset</w:t>
      </w:r>
      <w:r>
        <w:rPr>
          <w:rFonts w:ascii="Arial" w:cs="Arial" w:eastAsia="Arial" w:hAnsi="Arial"/>
          <w:sz w:val="17"/>
          <w:szCs w:val="17"/>
          <w:color w:val="auto"/>
        </w:rPr>
        <w:t>” and “</w:t>
      </w:r>
      <w:r>
        <w:rPr>
          <w:rFonts w:ascii="Arial" w:cs="Arial" w:eastAsia="Arial" w:hAnsi="Arial"/>
          <w:sz w:val="17"/>
          <w:szCs w:val="17"/>
          <w:u w:val="single" w:color="auto"/>
          <w:color w:val="auto"/>
        </w:rPr>
        <w:t>property</w:t>
      </w:r>
      <w:r>
        <w:rPr>
          <w:rFonts w:ascii="Arial" w:cs="Arial" w:eastAsia="Arial" w:hAnsi="Arial"/>
          <w:sz w:val="17"/>
          <w:szCs w:val="17"/>
          <w:color w:val="auto"/>
        </w:rPr>
        <w:t>” shall be construed to have the same meaning and effect and to refer to any and all tangible and intangible assets and properties, including cash, securities, accounts and contract rights.</w:t>
      </w:r>
    </w:p>
    <w:p>
      <w:pPr>
        <w:spacing w:after="0" w:line="185" w:lineRule="exact"/>
        <w:rPr>
          <w:rFonts w:ascii="Arial" w:cs="Arial" w:eastAsia="Arial" w:hAnsi="Arial"/>
          <w:sz w:val="17"/>
          <w:szCs w:val="17"/>
          <w:color w:val="auto"/>
        </w:rPr>
      </w:pPr>
    </w:p>
    <w:p>
      <w:pPr>
        <w:ind w:right="220" w:firstLine="464"/>
        <w:spacing w:after="0" w:line="277" w:lineRule="auto"/>
        <w:tabs>
          <w:tab w:leader="none" w:pos="7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40" w:firstLine="464"/>
        <w:spacing w:after="0" w:line="277" w:lineRule="auto"/>
        <w:tabs>
          <w:tab w:leader="none" w:pos="7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1.03 </w:t>
      </w:r>
      <w:r>
        <w:rPr>
          <w:rFonts w:ascii="Arial" w:cs="Arial" w:eastAsia="Arial" w:hAnsi="Arial"/>
          <w:sz w:val="18"/>
          <w:szCs w:val="18"/>
          <w:u w:val="single" w:color="auto"/>
          <w:color w:val="auto"/>
        </w:rPr>
        <w:t>Accounting Terms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93" w:lineRule="auto"/>
        <w:tabs>
          <w:tab w:leader="none" w:pos="701"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64" w:lineRule="exact"/>
        <w:rPr>
          <w:rFonts w:ascii="Arial" w:cs="Arial" w:eastAsia="Arial" w:hAnsi="Arial"/>
          <w:sz w:val="16"/>
          <w:szCs w:val="16"/>
          <w:color w:val="auto"/>
        </w:rPr>
      </w:pPr>
    </w:p>
    <w:p>
      <w:pPr>
        <w:ind w:right="20" w:firstLine="464"/>
        <w:spacing w:after="0" w:line="255" w:lineRule="auto"/>
        <w:tabs>
          <w:tab w:leader="none" w:pos="71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9" w:lineRule="exact"/>
        <w:rPr>
          <w:rFonts w:ascii="Arial" w:cs="Arial" w:eastAsia="Arial" w:hAnsi="Arial"/>
          <w:sz w:val="18"/>
          <w:szCs w:val="18"/>
          <w:color w:val="auto"/>
        </w:rPr>
      </w:pPr>
    </w:p>
    <w:p>
      <w:pPr>
        <w:ind w:right="160" w:firstLine="464"/>
        <w:spacing w:after="0" w:line="255" w:lineRule="auto"/>
        <w:tabs>
          <w:tab w:leader="none" w:pos="70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Pro Forma Effect</w:t>
      </w:r>
      <w:r>
        <w:rPr>
          <w:rFonts w:ascii="Arial" w:cs="Arial" w:eastAsia="Arial" w:hAnsi="Arial"/>
          <w:sz w:val="18"/>
          <w:szCs w:val="18"/>
          <w:color w:val="auto"/>
        </w:rPr>
        <w:t xml:space="preserve">. Notwithstanding the above, the parties hereto acknowledge and agree that, for purposes of all financial calculations (other than with respect to Excess Cash Flow), if the Borrower or any Subsidiary has made any Acquisition permitted by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or any Disposition outside the ordinary course of business permitted by </w:t>
      </w:r>
      <w:r>
        <w:rPr>
          <w:rFonts w:ascii="Arial" w:cs="Arial" w:eastAsia="Arial" w:hAnsi="Arial"/>
          <w:sz w:val="18"/>
          <w:szCs w:val="18"/>
          <w:u w:val="single" w:color="auto"/>
          <w:color w:val="auto"/>
        </w:rPr>
        <w:t>Section 7.05(b)</w:t>
      </w:r>
      <w:r>
        <w:rPr>
          <w:rFonts w:ascii="Arial" w:cs="Arial" w:eastAsia="Arial" w:hAnsi="Arial"/>
          <w:sz w:val="18"/>
          <w:szCs w:val="18"/>
          <w:color w:val="auto"/>
        </w:rPr>
        <w:t xml:space="preserve"> during the relevant period for determining compliance with such covenants, such calculations shall be made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as if such Acquisition or Disposition had occurred on the first day of such period, but in the case of an Acquisition, only so long as the results of the business being acquired are supported by financial statements or other financial data reasonably acceptable to the Administrative Agent.</w:t>
      </w:r>
    </w:p>
    <w:p>
      <w:pPr>
        <w:spacing w:after="0" w:line="193"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Times of Day; Rates</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Currency Equivalents Generally</w:t>
      </w:r>
      <w:r>
        <w:rPr>
          <w:rFonts w:ascii="Arial" w:cs="Arial" w:eastAsia="Arial" w:hAnsi="Arial"/>
          <w:sz w:val="18"/>
          <w:szCs w:val="18"/>
          <w:color w:val="auto"/>
        </w:rPr>
        <w:t xml:space="preserve">. Any amount specified in this Agreement (other than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65" w:name="page66"/>
    <w:bookmarkEnd w:id="65"/>
    <w:p>
      <w:pPr>
        <w:ind w:right="20"/>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1.06</w:t>
      </w:r>
      <w:r>
        <w:rPr>
          <w:rFonts w:ascii="Arial" w:cs="Arial" w:eastAsia="Arial" w:hAnsi="Arial"/>
          <w:sz w:val="18"/>
          <w:szCs w:val="18"/>
          <w:color w:val="auto"/>
        </w:rPr>
        <w:t>, the “</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8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Letter of Credit Amounts</w:t>
      </w:r>
      <w:r>
        <w:rPr>
          <w:rFonts w:ascii="Arial" w:cs="Arial" w:eastAsia="Arial" w:hAnsi="Arial"/>
          <w:sz w:val="16"/>
          <w:szCs w:val="16"/>
          <w:color w:val="auto"/>
        </w:rPr>
        <w:t xml:space="preserve">. Unless otherwise specified herein, the amount of a Letter of Credit at any time shall be deemed to be the stated amount of such Letter of Credit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COMMITMENTS AND BORROWINGS</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The Loans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Term Borrowings</w:t>
      </w:r>
      <w:r>
        <w:rPr>
          <w:rFonts w:ascii="Arial" w:cs="Arial" w:eastAsia="Arial" w:hAnsi="Arial"/>
          <w:sz w:val="18"/>
          <w:szCs w:val="18"/>
          <w:color w:val="auto"/>
        </w:rPr>
        <w:t xml:space="preserve">. Subject to the terms and conditions set forth herein, each Term Lender severally agrees to make a single loan to the Borrower on the Closing Date in an amount not to exceed such Term Lender’s Term Commitment then in effect. The Initial Term Borrowings shall consist of Initial Term Loans made simultaneously by the Term Lenders in accordance with their respective Applicable Percentage of the Term Commitments. Amounts borrowed under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and repaid or prepaid may not be reborrowed. The Initial Term Loans made pursuant to the Initial Term Borrowings under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shall constitute a single Term Facility. Term Loans may be Base Rate Loans or Eurodollar Rate Loans, as further provided herein.</w:t>
      </w:r>
    </w:p>
    <w:p>
      <w:pPr>
        <w:spacing w:after="0" w:line="193" w:lineRule="exact"/>
        <w:rPr>
          <w:sz w:val="20"/>
          <w:szCs w:val="20"/>
          <w:color w:val="auto"/>
        </w:rPr>
      </w:pPr>
    </w:p>
    <w:p>
      <w:pPr>
        <w:ind w:right="40" w:firstLine="464"/>
        <w:spacing w:after="0" w:line="291" w:lineRule="auto"/>
        <w:tabs>
          <w:tab w:leader="none" w:pos="71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Revolving Credit Borrowings</w:t>
      </w:r>
      <w:r>
        <w:rPr>
          <w:rFonts w:ascii="Arial" w:cs="Arial" w:eastAsia="Arial" w:hAnsi="Arial"/>
          <w:sz w:val="16"/>
          <w:szCs w:val="16"/>
          <w:color w:val="auto"/>
        </w:rPr>
        <w:t>. Subject to the terms and conditions set forth herein, each Revolving Credit Lender severally agrees to make loans (each such loan, a “</w:t>
      </w:r>
      <w:r>
        <w:rPr>
          <w:rFonts w:ascii="Arial" w:cs="Arial" w:eastAsia="Arial" w:hAnsi="Arial"/>
          <w:sz w:val="16"/>
          <w:szCs w:val="16"/>
          <w:u w:val="single" w:color="auto"/>
          <w:color w:val="auto"/>
        </w:rPr>
        <w:t>Revolving Credit Loan</w:t>
      </w:r>
      <w:r>
        <w:rPr>
          <w:rFonts w:ascii="Arial" w:cs="Arial" w:eastAsia="Arial" w:hAnsi="Arial"/>
          <w:sz w:val="16"/>
          <w:szCs w:val="16"/>
          <w:color w:val="auto"/>
        </w:rPr>
        <w:t xml:space="preserve">”) to the Borrower from time to time, on any Business Day during the Availability Period for the Revolving Credit Facility, in an aggregate amount not to exceed at any time outstanding the amount of such Lender’s Revolving Credit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Revolving Credit Borrowing, (i) the Total Revolving Credit Outstandings shall not exceed the Revolving Credit Facility, and (ii) the Revolving Credit Exposure of any Revolving Credit Lender shall not exceed such Revolving Credit Lender’s Revolving Credit Commitment. Within the limits of each Revolving Credit Lender’s Revolving Credit Commitment, and subject to the other terms and conditions hereof, the Borrower may borrow, prepay and reborrow Revolving Credit Loans. Revolving Credit Loans may be Base Rate Loans or Eurodollar Rate Loans, as further provided herein.</w:t>
      </w:r>
    </w:p>
    <w:p>
      <w:pPr>
        <w:spacing w:after="0" w:line="167" w:lineRule="exact"/>
        <w:rPr>
          <w:rFonts w:ascii="Arial" w:cs="Arial" w:eastAsia="Arial" w:hAnsi="Arial"/>
          <w:sz w:val="16"/>
          <w:szCs w:val="16"/>
          <w:color w:val="auto"/>
        </w:rPr>
      </w:pPr>
    </w:p>
    <w:p>
      <w:pPr>
        <w:ind w:right="40" w:firstLine="464"/>
        <w:spacing w:after="0" w:line="302" w:lineRule="auto"/>
        <w:tabs>
          <w:tab w:leader="none" w:pos="70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Tranche B Borrowings</w:t>
      </w:r>
      <w:r>
        <w:rPr>
          <w:rFonts w:ascii="Arial" w:cs="Arial" w:eastAsia="Arial" w:hAnsi="Arial"/>
          <w:sz w:val="16"/>
          <w:szCs w:val="16"/>
          <w:color w:val="auto"/>
        </w:rPr>
        <w:t>. On the Amendment and Restatement Effective Date, (i) each Cashless Option Lender agrees, severally, and not jointly, to exchange its Original Term Loans for a like principal amount of Tranche B Term Loans, subject to allocation by the 2016 Amendment Arranger, and (ii) the Additional Tranche B Term Lender agrees to make additional Tranche B Term Loans (the “</w:t>
      </w:r>
      <w:r>
        <w:rPr>
          <w:rFonts w:ascii="Arial" w:cs="Arial" w:eastAsia="Arial" w:hAnsi="Arial"/>
          <w:sz w:val="16"/>
          <w:szCs w:val="16"/>
          <w:u w:val="single" w:color="auto"/>
          <w:color w:val="auto"/>
        </w:rPr>
        <w:t>Additional Tranche B Term Loans</w:t>
      </w:r>
      <w:r>
        <w:rPr>
          <w:rFonts w:ascii="Arial" w:cs="Arial" w:eastAsia="Arial" w:hAnsi="Arial"/>
          <w:sz w:val="16"/>
          <w:szCs w:val="16"/>
          <w:color w:val="auto"/>
        </w:rPr>
        <w:t>”) to the Borrower in a principal amount in an amount equal to its Additional Tranche B Term Loan Commitment on the Amendment and Restatement Effective Date.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w:t>
      </w:r>
    </w:p>
    <w:p>
      <w:pPr>
        <w:spacing w:after="0" w:line="117" w:lineRule="exact"/>
        <w:rPr>
          <w:sz w:val="20"/>
          <w:szCs w:val="20"/>
          <w:color w:val="auto"/>
        </w:rPr>
      </w:pPr>
    </w:p>
    <w:p>
      <w:pPr>
        <w:ind w:right="240" w:firstLine="464"/>
        <w:spacing w:after="0" w:line="342" w:lineRule="auto"/>
        <w:tabs>
          <w:tab w:leader="none" w:pos="701"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Term Borrowing, each Revolving Credit Borrowing, each conversion of Term Loans or Revolving Credit Loans from one Type to the other, and each continuation of Eurodollar Rate Loans shall be made upon the Borrower’s irrevocable notice to the Administrative Agent, which may be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66" w:name="page67"/>
    <w:bookmarkEnd w:id="6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given by (A) telephone, or (B) a Committed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telephone notice must be confirmed promptly by delivery to the Administrative Agent of a Committed Loan Notice. Each such telephone notice and Committed Loan Notice must be received by the Administrative Agent not later than 11:00 a.m. (i) three Business Days prior to the requested date of any Borrowing of, conversion to or continuation of Eurodollar Rate Loans or of any conversion of Eurodollar Rate Loans to Base Rate Loans, and (ii) on the requested date of any Borrowing of Base Rate Loans. Each Borrowing of, conversion to or continuation of Eurodollar Rate Loans shall be in a minimum principal amount of $1,000,000 or a whole multiple of $500,000 in excess thereof. Except as provided in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2.04(c)</w:t>
      </w:r>
      <w:r>
        <w:rPr>
          <w:rFonts w:ascii="Arial" w:cs="Arial" w:eastAsia="Arial" w:hAnsi="Arial"/>
          <w:sz w:val="16"/>
          <w:szCs w:val="16"/>
          <w:color w:val="auto"/>
        </w:rPr>
        <w:t>, each Borrowing of or conversion to Base Rate Loans shall be in a minimum principal amount of $500,000 or a whole multiple of $100,000 in excess thereof. Each such telephone notice and Committed Loan Notice shall specify (i) whether the Borrower is requesting a Term Borrowing, a Revolving Credit Borrowing, a conversion of Term Loans or Revolving Credit Loans from one Type to the other, or a continuation of Eurodollar Rate Loans, (ii) the requested date of the Borrowing, conversion or continuation, as the case may be (which shall be a Business Day), (iii) the principal amount of Loans to be borrowed, converted or continued, (iv) the Type of Term Loans or Revolving Credit Loans to be borrowed or to which existing Loans are to be converted, and (v) if applicable, the duration of the Interest Period with respect thereto. If the Borrower fails to specify a Type of Loan in a Committed Loan Notice or if the Borrower fails to give a timely notice requesting a conversion or continuation, then the applicable Term Loans or Revolving Credit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 Notwithstanding anything to the contrary herein, a Swing Line Loan may not be converted to a Eurodollar Rate Loan.</w:t>
      </w:r>
    </w:p>
    <w:p>
      <w:pPr>
        <w:spacing w:after="0" w:line="178" w:lineRule="exact"/>
        <w:rPr>
          <w:sz w:val="20"/>
          <w:szCs w:val="20"/>
          <w:color w:val="auto"/>
        </w:rPr>
      </w:pPr>
    </w:p>
    <w:p>
      <w:pPr>
        <w:ind w:right="60" w:firstLine="464"/>
        <w:spacing w:after="0" w:line="269" w:lineRule="auto"/>
        <w:tabs>
          <w:tab w:leader="none" w:pos="711"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Following receipt of a Committed Loan Notice, the Administrative Agent shall promptly notify each Lender of the amount of its Applicable Percentage under the applicable Facility of the applicable Term Loans or Revolving Credit Loans,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In the case of a Term Borrowing or a Revolving Credit Borrowing, each Appropriate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if such Borrowing is the initial Credit Extension,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Administrative Agent shall make all funds so received available to the Borrower in like funds as received by the Administrative Agent either by (i) crediting the account of the Borrower on the books of SunTrust Bank, if any, with the amount of such funds or (ii) wire transfer of such funds, in each case in accordance with instructions provided to (and reasonably acceptable to) the Administrative Agent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on the date a Committed Loan Notice with respect to a Revolving Credit Borrowing is given by the Borrower, there are L/C Borrowings outstanding, then the proceeds of such Revolving Credit Borrowing,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shall be applied to the payment in full of any such L/C Borrowings, and </w:t>
      </w:r>
      <w:r>
        <w:rPr>
          <w:rFonts w:ascii="Arial" w:cs="Arial" w:eastAsia="Arial" w:hAnsi="Arial"/>
          <w:sz w:val="17"/>
          <w:szCs w:val="17"/>
          <w:u w:val="single" w:color="auto"/>
          <w:color w:val="auto"/>
        </w:rPr>
        <w:t>second</w:t>
      </w:r>
      <w:r>
        <w:rPr>
          <w:rFonts w:ascii="Arial" w:cs="Arial" w:eastAsia="Arial" w:hAnsi="Arial"/>
          <w:sz w:val="17"/>
          <w:szCs w:val="17"/>
          <w:color w:val="auto"/>
        </w:rPr>
        <w:t>, shall be made available to the Borrower as provided above.</w:t>
      </w:r>
    </w:p>
    <w:p>
      <w:pPr>
        <w:spacing w:after="0" w:line="179" w:lineRule="exact"/>
        <w:rPr>
          <w:rFonts w:ascii="Arial" w:cs="Arial" w:eastAsia="Arial" w:hAnsi="Arial"/>
          <w:sz w:val="17"/>
          <w:szCs w:val="17"/>
          <w:color w:val="auto"/>
        </w:rPr>
      </w:pPr>
    </w:p>
    <w:p>
      <w:pPr>
        <w:jc w:val="both"/>
        <w:ind w:right="440" w:firstLine="464"/>
        <w:spacing w:after="0" w:line="264" w:lineRule="auto"/>
        <w:tabs>
          <w:tab w:leader="none" w:pos="701"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181" w:lineRule="exact"/>
        <w:rPr>
          <w:rFonts w:ascii="Arial" w:cs="Arial" w:eastAsia="Arial" w:hAnsi="Arial"/>
          <w:sz w:val="18"/>
          <w:szCs w:val="18"/>
          <w:color w:val="auto"/>
        </w:rPr>
      </w:pPr>
    </w:p>
    <w:p>
      <w:pPr>
        <w:ind w:right="260" w:firstLine="464"/>
        <w:spacing w:after="0" w:line="277"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Eurodollar Rate Loans upon determination of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67" w:name="page68"/>
    <w:bookmarkEnd w:id="67"/>
    <w:p>
      <w:pPr>
        <w:ind w:right="5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rate. At any time that Base Rate Loans are outstanding, the Administrative Agent shall notify the Borrower and the Lenders of any change in SunTrust Bank’s prime rate used in determining the Base Rate promptly following the public announcement of such change.</w:t>
      </w:r>
    </w:p>
    <w:p>
      <w:pPr>
        <w:spacing w:after="0" w:line="147" w:lineRule="exact"/>
        <w:rPr>
          <w:sz w:val="20"/>
          <w:szCs w:val="20"/>
          <w:color w:val="auto"/>
        </w:rPr>
      </w:pPr>
    </w:p>
    <w:p>
      <w:pPr>
        <w:ind w:right="140" w:firstLine="464"/>
        <w:spacing w:after="0" w:line="277" w:lineRule="auto"/>
        <w:tabs>
          <w:tab w:leader="none" w:pos="70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ten (10) Interest Periods in effect in respect of the Facilities.</w:t>
      </w:r>
    </w:p>
    <w:p>
      <w:pPr>
        <w:spacing w:after="0" w:line="170" w:lineRule="exact"/>
        <w:rPr>
          <w:rFonts w:ascii="Arial" w:cs="Arial" w:eastAsia="Arial" w:hAnsi="Arial"/>
          <w:sz w:val="18"/>
          <w:szCs w:val="18"/>
          <w:color w:val="auto"/>
        </w:rPr>
      </w:pPr>
    </w:p>
    <w:p>
      <w:pPr>
        <w:ind w:right="40" w:firstLine="464"/>
        <w:spacing w:after="0" w:line="342" w:lineRule="auto"/>
        <w:tabs>
          <w:tab w:leader="none" w:pos="681"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Anything in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to the contrary notwithstanding, the Borrower may not select the Eurodollar Rate for the initial Borrowing unless the Borrower delivers a Funding Indemnity Letter to the Administrative Agent no later than 11:00 a.m. three (3) Business Days prior to the Closing Date.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6" w:lineRule="auto"/>
        <w:tabs>
          <w:tab w:leader="none" w:pos="701"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The Letter of Credit Commitment</w:t>
      </w:r>
      <w:r>
        <w:rPr>
          <w:rFonts w:ascii="Arial" w:cs="Arial" w:eastAsia="Arial" w:hAnsi="Arial"/>
          <w:sz w:val="16"/>
          <w:szCs w:val="16"/>
          <w:color w:val="auto"/>
        </w:rPr>
        <w:t xml:space="preserve">. Subject to the terms and conditions set forth herein, (A) each L/C Issuer agrees, in reliance upon the agreements of the Revolving Credit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(1) from time to time on any Business Day during the period from the Closing Date until the Letter of Credit Expiration Date, to issue Letters of Credit for the account of the Borrower or its Subsidiaries, and to amend or extend Letters of Credit previously issued by it, in accordance with </w:t>
      </w:r>
      <w:r>
        <w:rPr>
          <w:rFonts w:ascii="Arial" w:cs="Arial" w:eastAsia="Arial" w:hAnsi="Arial"/>
          <w:sz w:val="16"/>
          <w:szCs w:val="16"/>
          <w:u w:val="single" w:color="auto"/>
          <w:color w:val="auto"/>
        </w:rPr>
        <w:t>Section 2.03(b)</w:t>
      </w:r>
      <w:r>
        <w:rPr>
          <w:rFonts w:ascii="Arial" w:cs="Arial" w:eastAsia="Arial" w:hAnsi="Arial"/>
          <w:sz w:val="16"/>
          <w:szCs w:val="16"/>
          <w:color w:val="auto"/>
        </w:rPr>
        <w:t xml:space="preserve">, and (2) to honor drawings under the Letters of Credit; and (B) the Revolving Credit Lenders severally agree to participate in Letters of Credit issued for the account of the Borrower or its Subsidiaries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 (w) the Total Revolving Credit Outstandings shall not exceed the aggregate Revolving Credit Commitments of the Revolving Credit Lenders, (x) the Revolving Credit Exposure of any Revolving Credit Lender shall not exceed such Revolving Credit Lender’s Revolving Credit Commitment, (y) the face amount of all outstanding Letters of Credit issued by an L/C Issuer shall not exceed the Letter of Credit Sublimit of such L/C Issuer,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66" w:lineRule="exact"/>
        <w:rPr>
          <w:rFonts w:ascii="Arial" w:cs="Arial" w:eastAsia="Arial" w:hAnsi="Arial"/>
          <w:sz w:val="16"/>
          <w:szCs w:val="16"/>
          <w:color w:val="auto"/>
        </w:rPr>
      </w:pPr>
    </w:p>
    <w:p>
      <w:pPr>
        <w:ind w:left="1120" w:hanging="217"/>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 L/C Issuer shall issue any Letter of Credit if:</w:t>
      </w:r>
    </w:p>
    <w:p>
      <w:pPr>
        <w:spacing w:after="0" w:line="117" w:lineRule="exact"/>
        <w:rPr>
          <w:rFonts w:ascii="Arial" w:cs="Arial" w:eastAsia="Arial" w:hAnsi="Arial"/>
          <w:sz w:val="18"/>
          <w:szCs w:val="18"/>
          <w:color w:val="auto"/>
        </w:rPr>
      </w:pPr>
    </w:p>
    <w:p>
      <w:pPr>
        <w:ind w:left="920" w:right="40" w:firstLine="421"/>
        <w:spacing w:after="0" w:line="342" w:lineRule="auto"/>
        <w:tabs>
          <w:tab w:leader="none" w:pos="1635" w:val="left"/>
        </w:tabs>
        <w:numPr>
          <w:ilvl w:val="2"/>
          <w:numId w:val="4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2.03(b)(iii)</w:t>
      </w:r>
      <w:r>
        <w:rPr>
          <w:rFonts w:ascii="Arial" w:cs="Arial" w:eastAsia="Arial" w:hAnsi="Arial"/>
          <w:sz w:val="16"/>
          <w:szCs w:val="16"/>
          <w:color w:val="auto"/>
        </w:rPr>
        <w:t>, the expiry date of the requested Letter of Credit would occur more than twelve months after the date of issuance or last extension, unless the applicable L/C Issuer and the Required Revolving Lenders have approved such expiry date; or</w:t>
      </w:r>
    </w:p>
    <w:p>
      <w:pPr>
        <w:spacing w:after="0" w:line="15" w:lineRule="exact"/>
        <w:rPr>
          <w:rFonts w:ascii="Arial" w:cs="Arial" w:eastAsia="Arial" w:hAnsi="Arial"/>
          <w:sz w:val="16"/>
          <w:szCs w:val="16"/>
          <w:color w:val="auto"/>
        </w:rPr>
      </w:pPr>
    </w:p>
    <w:p>
      <w:pPr>
        <w:ind w:left="920" w:firstLine="421"/>
        <w:spacing w:after="0" w:line="277" w:lineRule="auto"/>
        <w:tabs>
          <w:tab w:leader="none" w:pos="1625"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expiry date of the requested Letter of Credit would occur after the Letter of Credit Expiration Date, unless all the Revolving Credit Lenders and the applicable L/C Issuer have approved such expiry date.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 L/C Issuer shall be under any obligation to issue any Letter of Credit if:</w:t>
      </w:r>
    </w:p>
    <w:p>
      <w:pPr>
        <w:spacing w:after="0" w:line="117" w:lineRule="exact"/>
        <w:rPr>
          <w:rFonts w:ascii="Arial" w:cs="Arial" w:eastAsia="Arial" w:hAnsi="Arial"/>
          <w:sz w:val="18"/>
          <w:szCs w:val="18"/>
          <w:color w:val="auto"/>
        </w:rPr>
      </w:pPr>
    </w:p>
    <w:p>
      <w:pPr>
        <w:ind w:left="920" w:right="280" w:firstLine="421"/>
        <w:spacing w:after="0" w:line="277" w:lineRule="auto"/>
        <w:tabs>
          <w:tab w:leader="none" w:pos="1635"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such L/C Issuer from issuing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274" w:right="359" w:bottom="1440" w:gutter="0" w:footer="0" w:header="0"/>
        </w:sectPr>
      </w:pPr>
    </w:p>
    <w:bookmarkStart w:id="68" w:name="page69"/>
    <w:bookmarkEnd w:id="68"/>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85" w:lineRule="exact"/>
        <w:rPr>
          <w:sz w:val="20"/>
          <w:szCs w:val="20"/>
          <w:color w:val="auto"/>
        </w:rPr>
      </w:pPr>
    </w:p>
    <w:p>
      <w:pPr>
        <w:ind w:left="1160" w:hanging="279"/>
        <w:spacing w:after="0"/>
        <w:tabs>
          <w:tab w:leader="none" w:pos="11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issuance of such Letter of Credit would violate one or more policies of such L/C Issuer applicable to letters of credit generally;</w:t>
      </w:r>
    </w:p>
    <w:p>
      <w:pPr>
        <w:spacing w:after="0" w:line="128" w:lineRule="exact"/>
        <w:rPr>
          <w:rFonts w:ascii="Arial" w:cs="Arial" w:eastAsia="Arial" w:hAnsi="Arial"/>
          <w:sz w:val="17"/>
          <w:szCs w:val="17"/>
          <w:color w:val="auto"/>
        </w:rPr>
      </w:pPr>
    </w:p>
    <w:p>
      <w:pPr>
        <w:ind w:left="460" w:right="500" w:firstLine="421"/>
        <w:spacing w:after="0" w:line="277" w:lineRule="auto"/>
        <w:tabs>
          <w:tab w:leader="none" w:pos="1165"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applicable L/C Issuer, such Letter of Credit is in an initial stated amount less than $500,000;</w:t>
      </w:r>
    </w:p>
    <w:p>
      <w:pPr>
        <w:spacing w:after="0" w:line="62" w:lineRule="exact"/>
        <w:rPr>
          <w:rFonts w:ascii="Arial" w:cs="Arial" w:eastAsia="Arial" w:hAnsi="Arial"/>
          <w:sz w:val="18"/>
          <w:szCs w:val="18"/>
          <w:color w:val="auto"/>
        </w:rPr>
      </w:pPr>
    </w:p>
    <w:p>
      <w:pPr>
        <w:ind w:left="1180" w:hanging="299"/>
        <w:spacing w:after="0"/>
        <w:tabs>
          <w:tab w:leader="none" w:pos="11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such Letter of Credit is to be denominated in a currency other than Dollars;</w:t>
      </w:r>
    </w:p>
    <w:p>
      <w:pPr>
        <w:spacing w:after="0" w:line="117" w:lineRule="exact"/>
        <w:rPr>
          <w:rFonts w:ascii="Arial" w:cs="Arial" w:eastAsia="Arial" w:hAnsi="Arial"/>
          <w:sz w:val="18"/>
          <w:szCs w:val="18"/>
          <w:color w:val="auto"/>
        </w:rPr>
      </w:pPr>
    </w:p>
    <w:p>
      <w:pPr>
        <w:ind w:left="460" w:firstLine="421"/>
        <w:spacing w:after="0" w:line="257" w:lineRule="auto"/>
        <w:tabs>
          <w:tab w:leader="none" w:pos="1155"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any Revolving Credit Lender is at that time a Defaulting Lender, unless such L/C Issuer has entered into arrangements, including the delivery of Cash Collateral, satisfactory to such L/C Issuer (in its sole discretion) with the Borrower or such Lender to eliminate such L/C Issuer’s actual or potential Fronting Exposure (after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 or</w:t>
      </w:r>
    </w:p>
    <w:p>
      <w:pPr>
        <w:spacing w:after="0" w:line="80" w:lineRule="exact"/>
        <w:rPr>
          <w:rFonts w:ascii="Arial" w:cs="Arial" w:eastAsia="Arial" w:hAnsi="Arial"/>
          <w:sz w:val="18"/>
          <w:szCs w:val="18"/>
          <w:color w:val="auto"/>
        </w:rPr>
      </w:pPr>
    </w:p>
    <w:p>
      <w:pPr>
        <w:ind w:left="1140" w:hanging="259"/>
        <w:spacing w:after="0"/>
        <w:tabs>
          <w:tab w:leader="none" w:pos="11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such Letter of Credit contains any provisions for automatic reinstatement of the stated amount after any drawing thereunder.</w:t>
      </w:r>
    </w:p>
    <w:p>
      <w:pPr>
        <w:spacing w:after="0" w:line="128" w:lineRule="exact"/>
        <w:rPr>
          <w:rFonts w:ascii="Arial" w:cs="Arial" w:eastAsia="Arial" w:hAnsi="Arial"/>
          <w:sz w:val="17"/>
          <w:szCs w:val="17"/>
          <w:color w:val="auto"/>
        </w:rPr>
      </w:pPr>
    </w:p>
    <w:p>
      <w:pPr>
        <w:ind w:right="260" w:firstLine="443"/>
        <w:spacing w:after="0" w:line="277" w:lineRule="auto"/>
        <w:tabs>
          <w:tab w:leader="none" w:pos="7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L/C Issuer shall amend any Letter of Credit if such L/C Issuer would not be permitted at such time to issue such Letter of Credit in its amended form under the terms hereof.</w:t>
      </w:r>
    </w:p>
    <w:p>
      <w:pPr>
        <w:spacing w:after="0" w:line="62" w:lineRule="exact"/>
        <w:rPr>
          <w:rFonts w:ascii="Arial" w:cs="Arial" w:eastAsia="Arial" w:hAnsi="Arial"/>
          <w:sz w:val="18"/>
          <w:szCs w:val="18"/>
          <w:color w:val="auto"/>
        </w:rPr>
      </w:pPr>
    </w:p>
    <w:p>
      <w:pPr>
        <w:ind w:right="240" w:firstLine="443"/>
        <w:spacing w:after="0" w:line="264" w:lineRule="auto"/>
        <w:tabs>
          <w:tab w:leader="none" w:pos="7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L/C Issuer shall be under any obligation to amend any Letter of Credit if (A) such L/C Issuer would have no obligation at such time to issue the Letter of Credit in its amended form under the terms hereof, or (B) the beneficiary of such Letter of Credit does not accept the proposed amendment to such Letter of Credit.</w:t>
      </w:r>
    </w:p>
    <w:p>
      <w:pPr>
        <w:spacing w:after="0" w:line="73" w:lineRule="exact"/>
        <w:rPr>
          <w:rFonts w:ascii="Arial" w:cs="Arial" w:eastAsia="Arial" w:hAnsi="Arial"/>
          <w:sz w:val="18"/>
          <w:szCs w:val="18"/>
          <w:color w:val="auto"/>
        </w:rPr>
      </w:pPr>
    </w:p>
    <w:p>
      <w:pPr>
        <w:ind w:right="20" w:firstLine="443"/>
        <w:spacing w:after="0" w:line="276" w:lineRule="auto"/>
        <w:tabs>
          <w:tab w:leader="none" w:pos="693"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Each L/C Issuer shall act on behalf of the Revolving Credit Lenders with respect to any Letters of Credit issued by it and the documents associated therewith, and each L/C Issuer shall have all of the benefits and immunities (A) provided to the Administrative Agent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included the L/C Issuers with respect to such acts or omissions, and (B) as additionally provided herein with respect to each L/C Issuer.</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20"/>
          </w:cols>
          <w:pgMar w:left="700" w:top="274" w:right="279" w:bottom="1440" w:gutter="0" w:footer="0" w:header="0"/>
        </w:sectPr>
      </w:pPr>
    </w:p>
    <w:bookmarkStart w:id="69" w:name="page70"/>
    <w:bookmarkEnd w:id="69"/>
    <w:p>
      <w:pPr>
        <w:ind w:left="260" w:hanging="256"/>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Procedures for Issuance and Amendment of Letters of Credit; Auto-Extension 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3"/>
        <w:spacing w:after="0" w:line="283" w:lineRule="auto"/>
        <w:tabs>
          <w:tab w:leader="none" w:pos="653" w:val="left"/>
        </w:tabs>
        <w:numPr>
          <w:ilvl w:val="1"/>
          <w:numId w:val="45"/>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Borrower delivered to the applicable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applicable L/C Issuer, by personal delivery or by any other means acceptable to the applicable L/C Issuer. Such Letter of Credit Application must be received by such L/C Issuer and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such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(H) the name of the Person for whose account such requested Letter of Credit is to be issued; and (I) such other matters as such L/C Issuer may require. In the case of a request for an amendment of any outstanding Letter of Credit, such Letter of Credit Application shall specify in form and detail satisfactory to such L/C Issuer (1) the Letter of Credit to be amended;</w:t>
      </w:r>
    </w:p>
    <w:p>
      <w:pPr>
        <w:spacing w:after="0" w:line="3" w:lineRule="exact"/>
        <w:rPr>
          <w:rFonts w:ascii="Arial" w:cs="Arial" w:eastAsia="Arial" w:hAnsi="Arial"/>
          <w:sz w:val="16"/>
          <w:szCs w:val="16"/>
          <w:color w:val="auto"/>
        </w:rPr>
      </w:pPr>
    </w:p>
    <w:p>
      <w:pPr>
        <w:ind w:right="160"/>
        <w:spacing w:after="0" w:line="254" w:lineRule="auto"/>
        <w:rPr>
          <w:rFonts w:ascii="Arial" w:cs="Arial" w:eastAsia="Arial" w:hAnsi="Arial"/>
          <w:sz w:val="16"/>
          <w:szCs w:val="16"/>
          <w:color w:val="auto"/>
        </w:rPr>
      </w:pPr>
      <w:r>
        <w:rPr>
          <w:rFonts w:ascii="Arial" w:cs="Arial" w:eastAsia="Arial" w:hAnsi="Arial"/>
          <w:sz w:val="18"/>
          <w:szCs w:val="18"/>
          <w:color w:val="auto"/>
        </w:rPr>
        <w:t>(2) the proposed date of amendment thereof (which shall be a Business Day); (3) the nature of the proposed amendment; and (4) such other matters as such L/C Issuer may require. Additionally, the Borrower shall furnish to such L/C Issuer and the Administrative Agent such other documents and information pertaining to such requested Letter of Credit issuance or amendment, including any Issuer Documents, as such L/C Issuer or the Administrative Agent may require.</w:t>
      </w:r>
    </w:p>
    <w:p>
      <w:pPr>
        <w:spacing w:after="0" w:line="81" w:lineRule="exact"/>
        <w:rPr>
          <w:rFonts w:ascii="Arial" w:cs="Arial" w:eastAsia="Arial" w:hAnsi="Arial"/>
          <w:sz w:val="16"/>
          <w:szCs w:val="16"/>
          <w:color w:val="auto"/>
        </w:rPr>
      </w:pPr>
    </w:p>
    <w:p>
      <w:pPr>
        <w:ind w:right="20" w:firstLine="443"/>
        <w:spacing w:after="0" w:line="270" w:lineRule="auto"/>
        <w:tabs>
          <w:tab w:leader="none" w:pos="703"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Promptly after receipt of any Letter of Credit Application, the applicable L/C Issuer will confirm with the Administrative Agent (by telephone or in writing) that the Administrative Agent has received a copy of such Letter of Credit Application from the Borrower and, if not, such L/C Issuer will provide the Administrative Agent with a copy thereof. Unless the applicable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not then be satisfied, then, subject to the terms and conditions hereof, such L/C Issuer shall, on the requested date, issue a Letter of Credit for the account of the Borrower (or the applicable Subsidiary) or enter into the applicable amendment, as the case may be, in each case in accordance with such L/C Issuer’s usual and customary business practices. Immediately upon the issuance of each Letter of Credit, each Revolving Credit Lender shall be deemed to, and hereby irrevocably and unconditionally agrees to, purchase from such L/C Issuer a risk participation in such Letter of Credit in an amount equal to the product of such Revolving Credit Lender’s Applicable Revolving Credit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Letter of Credit.</w:t>
      </w:r>
    </w:p>
    <w:p>
      <w:pPr>
        <w:spacing w:after="0" w:line="69" w:lineRule="exact"/>
        <w:rPr>
          <w:rFonts w:ascii="Arial" w:cs="Arial" w:eastAsia="Arial" w:hAnsi="Arial"/>
          <w:sz w:val="17"/>
          <w:szCs w:val="17"/>
          <w:color w:val="auto"/>
        </w:rPr>
      </w:pPr>
    </w:p>
    <w:p>
      <w:pPr>
        <w:ind w:right="100" w:firstLine="443"/>
        <w:spacing w:after="0" w:line="264" w:lineRule="auto"/>
        <w:tabs>
          <w:tab w:leader="none" w:pos="753"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the Borrower so requests in any applicable Letter of Credit Application, the applicable L/C Issuer may, in its discretion, agree to issue a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such L/C Issuer to prevent any such extension at</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700" w:top="274" w:right="239" w:bottom="1440" w:gutter="0" w:footer="0" w:header="0"/>
        </w:sectPr>
      </w:pPr>
    </w:p>
    <w:bookmarkStart w:id="70" w:name="page71"/>
    <w:bookmarkEnd w:id="7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applicable L/C Issuer, the Borrower shall not be required to make a specific request to such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seven Business Days before the Non-Extension Notice Date (1) from the Administrative Agent that the Required Revolving Lenders have elected not to permit such extension or (2) from the Administrative Agent, any Revolving Credit Lender or the Borrower that one or more of the applicable conditions specified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then satisfied, and in each such case directing such L/C Issuer not to permit such extension.</w:t>
      </w:r>
    </w:p>
    <w:p>
      <w:pPr>
        <w:spacing w:after="0" w:line="65" w:lineRule="exact"/>
        <w:rPr>
          <w:sz w:val="20"/>
          <w:szCs w:val="20"/>
          <w:color w:val="auto"/>
        </w:rPr>
      </w:pPr>
    </w:p>
    <w:p>
      <w:pPr>
        <w:ind w:right="40" w:firstLine="443"/>
        <w:spacing w:after="0" w:line="264" w:lineRule="auto"/>
        <w:tabs>
          <w:tab w:leader="none" w:pos="743"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w:t>
      </w:r>
    </w:p>
    <w:p>
      <w:pPr>
        <w:spacing w:after="0" w:line="289" w:lineRule="exact"/>
        <w:rPr>
          <w:rFonts w:ascii="Arial" w:cs="Arial" w:eastAsia="Arial" w:hAnsi="Arial"/>
          <w:sz w:val="18"/>
          <w:szCs w:val="18"/>
          <w:color w:val="auto"/>
        </w:rPr>
      </w:pPr>
    </w:p>
    <w:p>
      <w:pPr>
        <w:ind w:left="240" w:hanging="236"/>
        <w:spacing w:after="0"/>
        <w:tabs>
          <w:tab w:leader="none" w:pos="2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60" w:firstLine="443"/>
        <w:spacing w:after="0" w:line="269" w:lineRule="auto"/>
        <w:tabs>
          <w:tab w:leader="none" w:pos="653" w:val="left"/>
        </w:tabs>
        <w:numPr>
          <w:ilvl w:val="1"/>
          <w:numId w:val="47"/>
        </w:numPr>
        <w:rPr>
          <w:rFonts w:ascii="Arial" w:cs="Arial" w:eastAsia="Arial" w:hAnsi="Arial"/>
          <w:sz w:val="17"/>
          <w:szCs w:val="17"/>
          <w:color w:val="auto"/>
        </w:rPr>
      </w:pPr>
      <w:r>
        <w:rPr>
          <w:rFonts w:ascii="Arial" w:cs="Arial" w:eastAsia="Arial" w:hAnsi="Arial"/>
          <w:sz w:val="17"/>
          <w:szCs w:val="17"/>
          <w:color w:val="auto"/>
        </w:rPr>
        <w:t>Upon receipt from the beneficiary of any Letter of Credit of any notice of a drawing under such Letter of Credit, the applicable L/C Issuer shall notify the Borrower and the Administrative Agent thereof. Not later than 11:00 a.m. on the date of any payment by the applicable L/C Issuer under a Letter of Credit (each such date, an “</w:t>
      </w:r>
      <w:r>
        <w:rPr>
          <w:rFonts w:ascii="Arial" w:cs="Arial" w:eastAsia="Arial" w:hAnsi="Arial"/>
          <w:sz w:val="17"/>
          <w:szCs w:val="17"/>
          <w:u w:val="single" w:color="auto"/>
          <w:color w:val="auto"/>
        </w:rPr>
        <w:t>Honor Date</w:t>
      </w:r>
      <w:r>
        <w:rPr>
          <w:rFonts w:ascii="Arial" w:cs="Arial" w:eastAsia="Arial" w:hAnsi="Arial"/>
          <w:sz w:val="17"/>
          <w:szCs w:val="17"/>
          <w:color w:val="auto"/>
        </w:rPr>
        <w:t>”), the Borrower shall reimburse such L/C Issuer through the Administrative Agent in an amount equal to the amount of such drawing. If the Borrower fails to so reimburse such L/C Issuer by such time, the Administrative Agent shall promptly notify each Revolving Credit Lender of the Honor Date, the amount of the unreimbursed drawing (the “</w:t>
      </w:r>
      <w:r>
        <w:rPr>
          <w:rFonts w:ascii="Arial" w:cs="Arial" w:eastAsia="Arial" w:hAnsi="Arial"/>
          <w:sz w:val="17"/>
          <w:szCs w:val="17"/>
          <w:u w:val="single" w:color="auto"/>
          <w:color w:val="auto"/>
        </w:rPr>
        <w:t>Unreimbursed Amount</w:t>
      </w:r>
      <w:r>
        <w:rPr>
          <w:rFonts w:ascii="Arial" w:cs="Arial" w:eastAsia="Arial" w:hAnsi="Arial"/>
          <w:sz w:val="17"/>
          <w:szCs w:val="17"/>
          <w:color w:val="auto"/>
        </w:rPr>
        <w:t xml:space="preserve">”), and the amount of such Revolving Credit Lender’s Applicable Revolving Credit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for the principal amount of Base Rate Loans, but subject to the amount of the unutilized portion of the Revolving Credit Commitments and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(other than the delivery of a Committed Loan Notice). Any notice given by the applicable L/C Issuer or the Administrative Agent pursuant to this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71" w:lineRule="exact"/>
        <w:rPr>
          <w:rFonts w:ascii="Arial" w:cs="Arial" w:eastAsia="Arial" w:hAnsi="Arial"/>
          <w:sz w:val="17"/>
          <w:szCs w:val="17"/>
          <w:color w:val="auto"/>
        </w:rPr>
      </w:pPr>
    </w:p>
    <w:p>
      <w:pPr>
        <w:ind w:right="40" w:firstLine="443"/>
        <w:spacing w:after="0" w:line="259" w:lineRule="auto"/>
        <w:tabs>
          <w:tab w:leader="none" w:pos="703"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Each Revolving Credit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available (and the Administrative Agent may apply Cash Collateral provided for this purpose) for the account of the applicable L/C Issuer at the Administrative Agent’s Office in an amount equal to its Applicable Revolving Credit Percentage of the Unreimbursed Amount not later than 1:00 p.m. on the Business Day specified in such notice by the Administrative Agent, whereupon, subject to the provisions of </w:t>
      </w:r>
      <w:r>
        <w:rPr>
          <w:rFonts w:ascii="Arial" w:cs="Arial" w:eastAsia="Arial" w:hAnsi="Arial"/>
          <w:sz w:val="18"/>
          <w:szCs w:val="18"/>
          <w:u w:val="single" w:color="auto"/>
          <w:color w:val="auto"/>
        </w:rPr>
        <w:t>Section 2.03(c)(iii)</w:t>
      </w:r>
      <w:r>
        <w:rPr>
          <w:rFonts w:ascii="Arial" w:cs="Arial" w:eastAsia="Arial" w:hAnsi="Arial"/>
          <w:sz w:val="18"/>
          <w:szCs w:val="18"/>
          <w:color w:val="auto"/>
        </w:rPr>
        <w:t>, each</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700" w:top="274" w:right="239" w:bottom="1440" w:gutter="0" w:footer="0" w:header="0"/>
        </w:sectPr>
      </w:pPr>
    </w:p>
    <w:bookmarkStart w:id="71" w:name="page72"/>
    <w:bookmarkEnd w:id="71"/>
    <w:p>
      <w:pPr>
        <w:ind w:right="7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Revolving Credit Lender that so makes funds available shall be deemed to have made a Base Rate Loan to the Borrower in such amount. The Administrative Agent shall remit the funds so received to the applicable L/C Issuer.</w:t>
      </w:r>
    </w:p>
    <w:p>
      <w:pPr>
        <w:spacing w:after="0" w:line="62" w:lineRule="exact"/>
        <w:rPr>
          <w:sz w:val="20"/>
          <w:szCs w:val="20"/>
          <w:color w:val="auto"/>
        </w:rPr>
      </w:pPr>
    </w:p>
    <w:p>
      <w:pPr>
        <w:ind w:firstLine="443"/>
        <w:spacing w:after="0" w:line="293" w:lineRule="auto"/>
        <w:tabs>
          <w:tab w:leader="none" w:pos="753"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With respect to any Unreimbursed Amount that is not fully refinanced by a Revolving Credit Borrowing of Base Rate Loans because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cannot be satisfied or for any other reason, the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applicable L/C Issuer pursuant to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right="80" w:firstLine="443"/>
        <w:spacing w:after="0" w:line="264" w:lineRule="auto"/>
        <w:tabs>
          <w:tab w:leader="none" w:pos="7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Until each Revolving Credit Lender funds its Revolving Credit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applicable L/C Issuer for any amount drawn under any Letter of Credit, interest in respect of such Lender’s Applicable Revolving Credit Percentage of such amount shall be solely for the account of such L/C Issuer.</w:t>
      </w:r>
    </w:p>
    <w:p>
      <w:pPr>
        <w:spacing w:after="0" w:line="73" w:lineRule="exact"/>
        <w:rPr>
          <w:rFonts w:ascii="Arial" w:cs="Arial" w:eastAsia="Arial" w:hAnsi="Arial"/>
          <w:sz w:val="18"/>
          <w:szCs w:val="18"/>
          <w:color w:val="auto"/>
        </w:rPr>
      </w:pPr>
    </w:p>
    <w:p>
      <w:pPr>
        <w:ind w:right="60" w:firstLine="443"/>
        <w:spacing w:after="0" w:line="290" w:lineRule="auto"/>
        <w:tabs>
          <w:tab w:leader="none" w:pos="693"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Each Revolving Credit Lender’s obligation to make Revolving Credit Loans or L/C Advances to reimburse the applicable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such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Revolving Credit Lender’s obligation to make Revolving Credit Loans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delivery by the Borrower of a Committed Loan Notice). No such making of an L/C Advance shall relieve or otherwise impair the obligation of the Borrower to reimburse the L/C Issuer for the amount of any payment made by the applicable L/C Issuer under any Letter of Credit, together with interest as provided herein.</w:t>
      </w:r>
    </w:p>
    <w:p>
      <w:pPr>
        <w:spacing w:after="0" w:line="58" w:lineRule="exact"/>
        <w:rPr>
          <w:rFonts w:ascii="Arial" w:cs="Arial" w:eastAsia="Arial" w:hAnsi="Arial"/>
          <w:sz w:val="16"/>
          <w:szCs w:val="16"/>
          <w:color w:val="auto"/>
        </w:rPr>
      </w:pPr>
    </w:p>
    <w:p>
      <w:pPr>
        <w:ind w:firstLine="443"/>
        <w:spacing w:after="0" w:line="288" w:lineRule="auto"/>
        <w:tabs>
          <w:tab w:leader="none" w:pos="7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If any Revolving Credit Lender fails to make available to the Administrative Agent for the account of the applicable L/C Issuer any amount required to be paid by such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 compensation, plus any administrative, processing or similar fees customarily charged by such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 be. A certificate of the applicable L/C Issuer submitted to any Revolving Credit Lender (through the Administrative Agent) with respect to any amounts owing under this </w:t>
      </w:r>
      <w:r>
        <w:rPr>
          <w:rFonts w:ascii="Arial" w:cs="Arial" w:eastAsia="Arial" w:hAnsi="Arial"/>
          <w:sz w:val="16"/>
          <w:szCs w:val="16"/>
          <w:u w:val="single" w:color="auto"/>
          <w:color w:val="auto"/>
        </w:rPr>
        <w:t>Section 2.03(c)(vi)</w:t>
      </w:r>
      <w:r>
        <w:rPr>
          <w:rFonts w:ascii="Arial" w:cs="Arial" w:eastAsia="Arial" w:hAnsi="Arial"/>
          <w:sz w:val="16"/>
          <w:szCs w:val="16"/>
          <w:color w:val="auto"/>
        </w:rPr>
        <w:t xml:space="preserve"> shall be conclusive absent manifest error.</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700" w:top="274" w:right="239" w:bottom="1440" w:gutter="0" w:footer="0" w:header="0"/>
        </w:sectPr>
      </w:pPr>
    </w:p>
    <w:bookmarkStart w:id="72" w:name="page73"/>
    <w:bookmarkEnd w:id="72"/>
    <w:p>
      <w:pPr>
        <w:ind w:left="700" w:hanging="25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43"/>
        <w:spacing w:after="0" w:line="276" w:lineRule="auto"/>
        <w:tabs>
          <w:tab w:leader="none" w:pos="1093"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At any time after the applicable L/C Issuer has made a payment under any Letter of Credit and has received from any Revolving Credit Lender such Lender’s L/C Advance in respect of such payment in accordance with </w:t>
      </w:r>
      <w:r>
        <w:rPr>
          <w:rFonts w:ascii="Arial" w:cs="Arial" w:eastAsia="Arial" w:hAnsi="Arial"/>
          <w:sz w:val="17"/>
          <w:szCs w:val="17"/>
          <w:u w:val="single" w:color="auto"/>
          <w:color w:val="auto"/>
        </w:rPr>
        <w:t>Section 2.03(c)</w:t>
      </w:r>
      <w:r>
        <w:rPr>
          <w:rFonts w:ascii="Arial" w:cs="Arial" w:eastAsia="Arial" w:hAnsi="Arial"/>
          <w:sz w:val="17"/>
          <w:szCs w:val="17"/>
          <w:color w:val="auto"/>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Revolving Credit Percentage thereof in the same funds as those received by the Administrative Agent.</w:t>
      </w:r>
    </w:p>
    <w:p>
      <w:pPr>
        <w:spacing w:after="0" w:line="64" w:lineRule="exact"/>
        <w:rPr>
          <w:rFonts w:ascii="Arial" w:cs="Arial" w:eastAsia="Arial" w:hAnsi="Arial"/>
          <w:sz w:val="17"/>
          <w:szCs w:val="17"/>
          <w:color w:val="auto"/>
        </w:rPr>
      </w:pPr>
    </w:p>
    <w:p>
      <w:pPr>
        <w:ind w:left="440" w:right="80" w:firstLine="443"/>
        <w:spacing w:after="0" w:line="273" w:lineRule="auto"/>
        <w:tabs>
          <w:tab w:leader="none" w:pos="1143"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If any payment received by the Administrative Agent for the account of the applicable L/C Issuer pursuant to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is required to be returned under any of the circumstances described in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(including pursuant to any settlement entered into by such L/C Issuer in its discretion), each Revolving Credit Lender shall pay to the Administrative Agent for the account of such L/C Issuer its Applicable Revolving Credit Percentage thereof on demand of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78" w:lineRule="exact"/>
        <w:rPr>
          <w:rFonts w:ascii="Arial" w:cs="Arial" w:eastAsia="Arial" w:hAnsi="Arial"/>
          <w:sz w:val="17"/>
          <w:szCs w:val="17"/>
          <w:color w:val="auto"/>
        </w:rPr>
      </w:pPr>
    </w:p>
    <w:p>
      <w:pPr>
        <w:ind w:left="-20" w:right="20" w:firstLine="464"/>
        <w:spacing w:after="0" w:line="264" w:lineRule="auto"/>
        <w:tabs>
          <w:tab w:leader="none" w:pos="68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73" w:lineRule="exact"/>
        <w:rPr>
          <w:rFonts w:ascii="Arial" w:cs="Arial" w:eastAsia="Arial" w:hAnsi="Arial"/>
          <w:sz w:val="18"/>
          <w:szCs w:val="18"/>
          <w:color w:val="auto"/>
        </w:rPr>
      </w:pPr>
    </w:p>
    <w:p>
      <w:pPr>
        <w:ind w:left="1100" w:hanging="217"/>
        <w:spacing w:after="0"/>
        <w:tabs>
          <w:tab w:leader="none" w:pos="11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rFonts w:ascii="Arial" w:cs="Arial" w:eastAsia="Arial" w:hAnsi="Arial"/>
          <w:sz w:val="18"/>
          <w:szCs w:val="18"/>
          <w:color w:val="auto"/>
        </w:rPr>
      </w:pPr>
    </w:p>
    <w:p>
      <w:pPr>
        <w:ind w:left="440" w:right="40" w:firstLine="443"/>
        <w:spacing w:after="0" w:line="259" w:lineRule="auto"/>
        <w:tabs>
          <w:tab w:leader="none" w:pos="1143"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78" w:lineRule="exact"/>
        <w:rPr>
          <w:rFonts w:ascii="Arial" w:cs="Arial" w:eastAsia="Arial" w:hAnsi="Arial"/>
          <w:sz w:val="18"/>
          <w:szCs w:val="18"/>
          <w:color w:val="auto"/>
        </w:rPr>
      </w:pPr>
    </w:p>
    <w:p>
      <w:pPr>
        <w:ind w:left="440" w:firstLine="443"/>
        <w:spacing w:after="0" w:line="264" w:lineRule="auto"/>
        <w:tabs>
          <w:tab w:leader="none" w:pos="119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3" w:lineRule="exact"/>
        <w:rPr>
          <w:rFonts w:ascii="Arial" w:cs="Arial" w:eastAsia="Arial" w:hAnsi="Arial"/>
          <w:sz w:val="18"/>
          <w:szCs w:val="18"/>
          <w:color w:val="auto"/>
        </w:rPr>
      </w:pPr>
    </w:p>
    <w:p>
      <w:pPr>
        <w:ind w:left="440" w:right="120" w:firstLine="443"/>
        <w:spacing w:after="0" w:line="277" w:lineRule="auto"/>
        <w:tabs>
          <w:tab w:leader="none" w:pos="1183" w:val="left"/>
        </w:tabs>
        <w:numPr>
          <w:ilvl w:val="1"/>
          <w:numId w:val="49"/>
        </w:numPr>
        <w:rPr>
          <w:rFonts w:ascii="Arial" w:cs="Arial" w:eastAsia="Arial" w:hAnsi="Arial"/>
          <w:sz w:val="18"/>
          <w:szCs w:val="18"/>
          <w:color w:val="auto"/>
        </w:rPr>
      </w:pPr>
      <w:r>
        <w:rPr>
          <w:rFonts w:ascii="Arial" w:cs="Arial" w:eastAsia="Arial" w:hAnsi="Arial"/>
          <w:sz w:val="18"/>
          <w:szCs w:val="18"/>
          <w:color w:val="auto"/>
        </w:rPr>
        <w:t>waiver by the applicable L/C Issuer of any requirement that exists for such L/C Issuer’s protection and not the protection of the Borrower or any waiver by such L/C Issuer which does not in fact materially prejudice the Borrower;</w:t>
      </w:r>
    </w:p>
    <w:p>
      <w:pPr>
        <w:spacing w:after="0" w:line="62" w:lineRule="exact"/>
        <w:rPr>
          <w:rFonts w:ascii="Arial" w:cs="Arial" w:eastAsia="Arial" w:hAnsi="Arial"/>
          <w:sz w:val="18"/>
          <w:szCs w:val="18"/>
          <w:color w:val="auto"/>
        </w:rPr>
      </w:pPr>
    </w:p>
    <w:p>
      <w:pPr>
        <w:ind w:left="1140" w:hanging="257"/>
        <w:spacing w:after="0"/>
        <w:tabs>
          <w:tab w:leader="none" w:pos="11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honor of a demand for payment presented electronically, even if such Letter of Credit requires that demand be in the form of a draft;</w:t>
      </w:r>
    </w:p>
    <w:p>
      <w:pPr>
        <w:spacing w:after="0" w:line="128" w:lineRule="exact"/>
        <w:rPr>
          <w:rFonts w:ascii="Arial" w:cs="Arial" w:eastAsia="Arial" w:hAnsi="Arial"/>
          <w:sz w:val="17"/>
          <w:szCs w:val="17"/>
          <w:color w:val="auto"/>
        </w:rPr>
      </w:pPr>
    </w:p>
    <w:p>
      <w:pPr>
        <w:ind w:left="440" w:right="60" w:firstLine="443"/>
        <w:spacing w:after="0" w:line="264" w:lineRule="auto"/>
        <w:tabs>
          <w:tab w:leader="none" w:pos="118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payment made by the applicable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60" w:top="274" w:right="239" w:bottom="1440" w:gutter="0" w:footer="0" w:header="0"/>
        </w:sectPr>
      </w:pPr>
    </w:p>
    <w:bookmarkStart w:id="73" w:name="page74"/>
    <w:bookmarkEnd w:id="73"/>
    <w:p>
      <w:pPr>
        <w:ind w:left="460" w:right="160" w:firstLine="443"/>
        <w:spacing w:after="0" w:line="302" w:lineRule="auto"/>
        <w:tabs>
          <w:tab w:leader="none" w:pos="1253" w:val="left"/>
        </w:tabs>
        <w:numPr>
          <w:ilvl w:val="0"/>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payment by the applicable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46" w:lineRule="exact"/>
        <w:rPr>
          <w:rFonts w:ascii="Arial" w:cs="Arial" w:eastAsia="Arial" w:hAnsi="Arial"/>
          <w:sz w:val="16"/>
          <w:szCs w:val="16"/>
          <w:color w:val="auto"/>
        </w:rPr>
      </w:pPr>
    </w:p>
    <w:p>
      <w:pPr>
        <w:ind w:left="460" w:right="380" w:firstLine="443"/>
        <w:spacing w:after="0" w:line="277" w:lineRule="auto"/>
        <w:tabs>
          <w:tab w:leader="none" w:pos="130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any of its Subsidiaries.</w:t>
      </w:r>
    </w:p>
    <w:p>
      <w:pPr>
        <w:spacing w:after="0" w:line="170"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applicable L/C Issuer. The Borrower shall be conclusively deemed to have waived any such claim against the applicable L/C Issuer and its correspondents unless such notice is given as aforesaid.</w:t>
      </w:r>
    </w:p>
    <w:p>
      <w:pPr>
        <w:spacing w:after="0" w:line="147" w:lineRule="exact"/>
        <w:rPr>
          <w:sz w:val="20"/>
          <w:szCs w:val="20"/>
          <w:color w:val="auto"/>
        </w:rPr>
      </w:pPr>
    </w:p>
    <w:p>
      <w:pPr>
        <w:ind w:firstLine="464"/>
        <w:spacing w:after="0" w:line="285" w:lineRule="auto"/>
        <w:tabs>
          <w:tab w:leader="none" w:pos="681"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xml:space="preserve">. Each Lender and the Borrower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applicable L/C Issuer, the Administrative Agent, any of their respective Related Parties nor any correspondent, participant or assignee of such L/C Issuer shall be liable to any Lender for (i) any action taken or omitted in connection herewith at the request or with the approval of the Revolving Credit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Borrower’s pursuing such rights and remedies as it may have against the beneficiary or transferee at law or under any other agreement. None of the applicable L/C Issuer, the Administrative Agent, any of their respective Related Parties nor any correspondent, participant or assignee of such L/C Issuer shall be liable or responsible for any of the matters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Borrower may have a claim against such L/C Issuer, and such L/C Issuer may be liable to the Borrower, to the extent, but only to the extent, of any direct, as opposed to consequential or exemplary, damages suffered by the Borrower which the Borrower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the applicable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Each L/C Issuer may send a Letter of Credit or conduct any communication to or from the beneficiary via the Society for Worldwide Interbank Financial Telecommunication (“</w:t>
      </w:r>
      <w:r>
        <w:rPr>
          <w:rFonts w:ascii="Arial" w:cs="Arial" w:eastAsia="Arial" w:hAnsi="Arial"/>
          <w:sz w:val="16"/>
          <w:szCs w:val="16"/>
          <w:u w:val="single" w:color="auto"/>
          <w:color w:val="auto"/>
        </w:rPr>
        <w:t>SWIFT</w:t>
      </w:r>
      <w:r>
        <w:rPr>
          <w:rFonts w:ascii="Arial" w:cs="Arial" w:eastAsia="Arial" w:hAnsi="Arial"/>
          <w:sz w:val="16"/>
          <w:szCs w:val="16"/>
          <w:color w:val="auto"/>
        </w:rPr>
        <w:t>”) message or overnight courier, or any other commercially reasonable means of communicating with a beneficiary.</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74" w:name="page75"/>
    <w:bookmarkEnd w:id="74"/>
    <w:p>
      <w:pPr>
        <w:ind w:right="20" w:firstLine="464"/>
        <w:spacing w:after="0" w:line="291" w:lineRule="auto"/>
        <w:tabs>
          <w:tab w:leader="none" w:pos="711"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Applicability of ISP and UCP</w:t>
      </w:r>
      <w:r>
        <w:rPr>
          <w:rFonts w:ascii="Arial" w:cs="Arial" w:eastAsia="Arial" w:hAnsi="Arial"/>
          <w:sz w:val="16"/>
          <w:szCs w:val="16"/>
          <w:color w:val="auto"/>
        </w:rPr>
        <w:t>. Unless otherwise expressly agreed by the applicable L/C Issuer and the Borrower when a Letter of Credit is issued, the rules of the ISP or UCP shall apply to each standby Letter of Credit. Notwithstanding the foregoing, no L/C Issuer shall be responsible to the Borrower for, and no L/C Issuer’s rights and remedies against the Borrower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67" w:lineRule="exact"/>
        <w:rPr>
          <w:rFonts w:ascii="Arial" w:cs="Arial" w:eastAsia="Arial" w:hAnsi="Arial"/>
          <w:sz w:val="16"/>
          <w:szCs w:val="16"/>
          <w:color w:val="auto"/>
        </w:rPr>
      </w:pPr>
    </w:p>
    <w:p>
      <w:pPr>
        <w:ind w:right="40" w:firstLine="464"/>
        <w:spacing w:after="0" w:line="284" w:lineRule="auto"/>
        <w:tabs>
          <w:tab w:leader="none" w:pos="711"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Borrower shall pay to the Administrative Agent for the account of each Revolving Credit Lender in accordance with its Applicable Revolving Credit Percentage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for each Letter of Credit equal to the Applicable Rate for a Eurodollar Rate Loan under the Revolving Credit Facility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w:t>
      </w:r>
    </w:p>
    <w:p>
      <w:pPr>
        <w:spacing w:after="0" w:line="4" w:lineRule="exact"/>
        <w:rPr>
          <w:rFonts w:ascii="Arial" w:cs="Arial" w:eastAsia="Arial" w:hAnsi="Arial"/>
          <w:sz w:val="16"/>
          <w:szCs w:val="16"/>
          <w:color w:val="auto"/>
        </w:rPr>
      </w:pPr>
    </w:p>
    <w:p>
      <w:pPr>
        <w:ind w:firstLine="8"/>
        <w:spacing w:after="0" w:line="254" w:lineRule="auto"/>
        <w:tabs>
          <w:tab w:leader="none" w:pos="2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Revolving Lenders, while any Event of Default exists, all Letter of Credit Fees shall accrue at the Default Rate.</w:t>
      </w:r>
    </w:p>
    <w:p>
      <w:pPr>
        <w:spacing w:after="0" w:line="189" w:lineRule="exact"/>
        <w:rPr>
          <w:rFonts w:ascii="Arial" w:cs="Arial" w:eastAsia="Arial" w:hAnsi="Arial"/>
          <w:sz w:val="18"/>
          <w:szCs w:val="18"/>
          <w:color w:val="auto"/>
        </w:rPr>
      </w:pPr>
    </w:p>
    <w:p>
      <w:pPr>
        <w:ind w:right="20" w:firstLine="464"/>
        <w:spacing w:after="0" w:line="270" w:lineRule="auto"/>
        <w:tabs>
          <w:tab w:leader="none" w:pos="671"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Fronting Fee and Documentary and Processing Charges Payable to L/C Issuer</w:t>
      </w:r>
      <w:r>
        <w:rPr>
          <w:rFonts w:ascii="Arial" w:cs="Arial" w:eastAsia="Arial" w:hAnsi="Arial"/>
          <w:sz w:val="17"/>
          <w:szCs w:val="17"/>
          <w:color w:val="auto"/>
        </w:rPr>
        <w:t xml:space="preserve">. The Borrower shall pay directly to the applicable L/C Issuer for its own account a fronting fee with respect to each Letter of Credit, at per annum rate equal to 12.5 basis points, computed on the daily amount available to be drawn under such Letter of Credit on a quarterly basis in arrears. Such fronting fee shall be due and payable on the first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81" w:lineRule="exact"/>
        <w:rPr>
          <w:rFonts w:ascii="Arial" w:cs="Arial" w:eastAsia="Arial" w:hAnsi="Arial"/>
          <w:sz w:val="17"/>
          <w:szCs w:val="17"/>
          <w:color w:val="auto"/>
        </w:rPr>
      </w:pPr>
    </w:p>
    <w:p>
      <w:pPr>
        <w:ind w:left="680" w:hanging="216"/>
        <w:spacing w:after="0"/>
        <w:tabs>
          <w:tab w:leader="none" w:pos="680"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Conflict with Issuer Documents</w:t>
      </w:r>
      <w:r>
        <w:rPr>
          <w:rFonts w:ascii="Arial" w:cs="Arial" w:eastAsia="Arial" w:hAnsi="Arial"/>
          <w:sz w:val="16"/>
          <w:szCs w:val="16"/>
          <w:color w:val="auto"/>
        </w:rPr>
        <w:t>. In the event of any conflict between the terms hereof and the terms of any Issuer Document, the terms hereof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210" w:lineRule="exact"/>
        <w:rPr>
          <w:rFonts w:ascii="Arial" w:cs="Arial" w:eastAsia="Arial" w:hAnsi="Arial"/>
          <w:sz w:val="16"/>
          <w:szCs w:val="16"/>
          <w:color w:val="auto"/>
        </w:rPr>
      </w:pPr>
    </w:p>
    <w:p>
      <w:pPr>
        <w:ind w:right="60" w:firstLine="464"/>
        <w:spacing w:after="0" w:line="342" w:lineRule="auto"/>
        <w:tabs>
          <w:tab w:leader="none" w:pos="711"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Letters of Credit Issued for Subsidiaries</w:t>
      </w:r>
      <w:r>
        <w:rPr>
          <w:rFonts w:ascii="Arial" w:cs="Arial" w:eastAsia="Arial" w:hAnsi="Arial"/>
          <w:sz w:val="16"/>
          <w:szCs w:val="16"/>
          <w:color w:val="auto"/>
        </w:rPr>
        <w:t>. Notwithstanding that a Letter of Credit issued or outstanding hereunder is in support of any obligations of, or is for the account of, a Subsidiary, the Borrower shall be obligated to reimburse the applicable L/C Issuer hereunder for any and all drawings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75" w:name="page76"/>
    <w:bookmarkEnd w:id="75"/>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70" w:lineRule="exact"/>
        <w:rPr>
          <w:sz w:val="20"/>
          <w:szCs w:val="20"/>
          <w:color w:val="auto"/>
        </w:rPr>
      </w:pPr>
    </w:p>
    <w:p>
      <w:pPr>
        <w:ind w:right="80" w:firstLine="464"/>
        <w:spacing w:after="0" w:line="276" w:lineRule="auto"/>
        <w:tabs>
          <w:tab w:leader="none" w:pos="671"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Additional L/C Issuers</w:t>
      </w:r>
      <w:r>
        <w:rPr>
          <w:rFonts w:ascii="Arial" w:cs="Arial" w:eastAsia="Arial" w:hAnsi="Arial"/>
          <w:sz w:val="17"/>
          <w:szCs w:val="17"/>
          <w:color w:val="auto"/>
        </w:rPr>
        <w:t xml:space="preserve">. In addition to KeyBank, SunTrust Bank and Regions Bank, the Borrower may from time to time, with notice to the Revolving Credit Lenders and the consent of the Administrative Agent (such consent not to be unreasonably withheld or delayed) and the applicable Revolving Credit Lender being so appointed, appoint additional Revolving Credit Lenders to be L/C Issuers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total number of L/C Issuers at any time shall not exceed three Revolving Credit Lenders. Upon the appointment of a Revolving Credit Lender as an L/C Issuer hereunder such Person shall become vested with all of the rights, powers, privileges and duties of an L/C Issuer hereunder.</w:t>
      </w:r>
    </w:p>
    <w:p>
      <w:pPr>
        <w:spacing w:after="0" w:line="172" w:lineRule="exact"/>
        <w:rPr>
          <w:rFonts w:ascii="Arial" w:cs="Arial" w:eastAsia="Arial" w:hAnsi="Arial"/>
          <w:sz w:val="17"/>
          <w:szCs w:val="17"/>
          <w:color w:val="auto"/>
        </w:rPr>
      </w:pPr>
    </w:p>
    <w:p>
      <w:pPr>
        <w:ind w:right="120" w:firstLine="464"/>
        <w:spacing w:after="0" w:line="289" w:lineRule="auto"/>
        <w:tabs>
          <w:tab w:leader="none" w:pos="76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Removal of L/C Issuers</w:t>
      </w:r>
      <w:r>
        <w:rPr>
          <w:rFonts w:ascii="Arial" w:cs="Arial" w:eastAsia="Arial" w:hAnsi="Arial"/>
          <w:sz w:val="16"/>
          <w:szCs w:val="16"/>
          <w:color w:val="auto"/>
        </w:rPr>
        <w:t xml:space="preserve">. The Borrower may at any time remove any Revolving Credit Lender from its role as an L/C Issuer hereunder upon not less than 30 days prior notice to such L/C Issuer (or such shorter period of time as may be acceptable to such L/C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removed L/C Issuer shall retain all the rights, powers, privileges and duties of an L/C Issuer hereunder with respect to all Letters of Credit outstanding as of the effective date of its removal as L/C Issuer and all L/C Obligations with respect thereto (including the right to require the Revolving Credit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Without limiting the foregoing, upon the removal of a Revolving Credit Lender as an L/C Issuer hereunder, the Borrower may, or at the request of such removed L/C Issuer the Borrower shall use commercially reasonable efforts to, arrange for one or more of the other L/C Issuers to issue Letters of Credit hereunder in substitution for the Letters of Credit, if any, issued by such removed L/C Issuer and outstanding at the time of such removal, or make other arrangements satisfactory to the removed L/C Issuer to effectively cause another L/C Issuer to assume the obligations of the removed L/C Issuer with respect to any such Letters of Credit.</w:t>
      </w:r>
    </w:p>
    <w:p>
      <w:pPr>
        <w:spacing w:after="0" w:line="166" w:lineRule="exact"/>
        <w:rPr>
          <w:rFonts w:ascii="Arial" w:cs="Arial" w:eastAsia="Arial" w:hAnsi="Arial"/>
          <w:sz w:val="16"/>
          <w:szCs w:val="16"/>
          <w:color w:val="auto"/>
        </w:rPr>
      </w:pPr>
    </w:p>
    <w:p>
      <w:pPr>
        <w:ind w:firstLine="464"/>
        <w:spacing w:after="0" w:line="270" w:lineRule="auto"/>
        <w:tabs>
          <w:tab w:leader="none" w:pos="711"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Reporting of Letter of Credit Information</w:t>
      </w:r>
      <w:r>
        <w:rPr>
          <w:rFonts w:ascii="Arial" w:cs="Arial" w:eastAsia="Arial" w:hAnsi="Arial"/>
          <w:sz w:val="17"/>
          <w:szCs w:val="17"/>
          <w:color w:val="auto"/>
        </w:rPr>
        <w:t xml:space="preserve">. At any time that any Revolving Credit Lender other than the Person serving as the Administrative Agent is an L/C Issuer, then (i) on the last Business Day of each calendar month, (ii) on each date that a Letter of Credit is amended, terminated or otherwise expires, (iii) on each date that an L/C Credit Extension occurs with respect to any Letter of Credit, and (iv) upon the request of the Administrative Agent, each L/C Issuer (or, in the case of </w:t>
      </w:r>
      <w:r>
        <w:rPr>
          <w:rFonts w:ascii="Arial" w:cs="Arial" w:eastAsia="Arial" w:hAnsi="Arial"/>
          <w:sz w:val="17"/>
          <w:szCs w:val="17"/>
          <w:u w:val="single" w:color="auto"/>
          <w:color w:val="auto"/>
        </w:rPr>
        <w:t>part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the applicable L/C Issuer) shall deliver to the Administrative Agent a report setting forth in form and detail reasonably satisfactory to the Administrative Agent information (including, without limitation, any reimbursement, Cash Collateral or termination in respect of Letters of Credit issued by such L/C Issuer) with respect to each Letter of Credit issued by such L/C Issuer that is outstanding hereunder, including any auto-renewal or termination of auto-renewal provisions in such Letter of Credit. No failure on the part of any L/C Issuer to provide such information pursuant to this </w:t>
      </w:r>
      <w:r>
        <w:rPr>
          <w:rFonts w:ascii="Arial" w:cs="Arial" w:eastAsia="Arial" w:hAnsi="Arial"/>
          <w:sz w:val="17"/>
          <w:szCs w:val="17"/>
          <w:u w:val="single" w:color="auto"/>
          <w:color w:val="auto"/>
        </w:rPr>
        <w:t>Section 2.03(n)</w:t>
      </w:r>
      <w:r>
        <w:rPr>
          <w:rFonts w:ascii="Arial" w:cs="Arial" w:eastAsia="Arial" w:hAnsi="Arial"/>
          <w:sz w:val="17"/>
          <w:szCs w:val="17"/>
          <w:color w:val="auto"/>
        </w:rPr>
        <w:t xml:space="preserve"> shall limit the obligation of the Borrower or any Revolving Credit Lender hereunder with respect to its reimbursement and participation obligations, respectively, pursuant to this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18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Swing Line Loans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The Swing Line</w:t>
      </w:r>
      <w:r>
        <w:rPr>
          <w:rFonts w:ascii="Arial" w:cs="Arial" w:eastAsia="Arial" w:hAnsi="Arial"/>
          <w:sz w:val="18"/>
          <w:szCs w:val="18"/>
          <w:color w:val="auto"/>
        </w:rPr>
        <w:t xml:space="preserve">. Subject to the terms and conditions set forth herein, the Swing Line Lender, in reliance upon the agreements of the other Lenders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shall make loans (each such loan, a “</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to the Borrower from time to time on any Business Day during the Availability Period in an aggregate amount not to exceed at any time outstanding the amount of the Swing Line Sublimit, notwithstanding the fact that such Swing Line Loans, when aggregated with the Applicable Revolving Credit Percentage of the Outstanding Amount of Revolving Credit Loans and L/C Obligations of the Lender acting as Swing Line Lender, may exceed the amount of such Lender’s Revolving Credit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after giving effect to any Swing Line Loan, (i) the Total Revolving Credit Outstandings shall not exceed the Revolving Credit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Facility at such time, and (ii) the Revolving Credit Exposure of any Revolving Credit Lender shall not exceed such Lender’s Revolving Credit Commitment,</w:t>
      </w:r>
    </w:p>
    <w:p>
      <w:pPr>
        <w:spacing w:after="0" w:line="46" w:lineRule="exact"/>
        <w:rPr>
          <w:sz w:val="20"/>
          <w:szCs w:val="20"/>
          <w:color w:val="auto"/>
        </w:rPr>
      </w:pPr>
    </w:p>
    <w:p>
      <w:pPr>
        <w:ind w:right="20" w:firstLine="8"/>
        <w:spacing w:after="0" w:line="269" w:lineRule="auto"/>
        <w:tabs>
          <w:tab w:leader="none" w:pos="255"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the Borrower shall not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Each Swing Line Loan shall bear interest only at a rate based on the Base Rate.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Swing Line Loan.</w:t>
      </w:r>
    </w:p>
    <w:p>
      <w:pPr>
        <w:spacing w:after="0" w:line="180" w:lineRule="exact"/>
        <w:rPr>
          <w:rFonts w:ascii="Arial" w:cs="Arial" w:eastAsia="Arial" w:hAnsi="Arial"/>
          <w:sz w:val="17"/>
          <w:szCs w:val="17"/>
          <w:color w:val="auto"/>
        </w:rPr>
      </w:pPr>
    </w:p>
    <w:p>
      <w:pPr>
        <w:ind w:firstLine="464"/>
        <w:spacing w:after="0" w:line="283" w:lineRule="auto"/>
        <w:tabs>
          <w:tab w:leader="none" w:pos="711"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xml:space="preserve">. Each Swing Line Borrowing shall be made upon the Borrower’s irrevocable notice to the Swing Line Lender and the Administrative Agent, which may be given by telephone. Each such notice must be received by the Swing Line Lender and the Administrative Agent not later than 1:00 p.m. on the requested borrowing date, and shall specify (i) the amount to be borrowed, which shall be a minimum of $100,000, and (ii) the requested borrowing date, which shall be a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Revolving Credit Exposure shall be less than Fifty Million Dollars ($50,000,000), no Swing Line Loan Notice shall be required to the extent that funding of Swing Loans is administered through an automated cash management system with the Swing Line Lender. Each such telephonic notice must be confirmed promptly by delivery to the Swing Line Lender and the Administrative Agent of a written Swing Line Loan Notice, appropriately completed and signed by a Responsible Officer of the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w:t>
      </w:r>
    </w:p>
    <w:p>
      <w:pPr>
        <w:spacing w:after="0" w:line="4" w:lineRule="exact"/>
        <w:rPr>
          <w:rFonts w:ascii="Arial" w:cs="Arial" w:eastAsia="Arial" w:hAnsi="Arial"/>
          <w:sz w:val="16"/>
          <w:szCs w:val="16"/>
          <w:color w:val="auto"/>
        </w:rPr>
      </w:pPr>
    </w:p>
    <w:p>
      <w:pPr>
        <w:ind w:right="14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(A) directing the Swing Line Lender not to make such Swing Line Loan as a result of the limitations set forth in the first proviso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or (B) that one or more of the applicable conditions specified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Borrower.</w:t>
      </w:r>
    </w:p>
    <w:p>
      <w:pPr>
        <w:spacing w:after="0" w:line="297" w:lineRule="exact"/>
        <w:rPr>
          <w:rFonts w:ascii="Arial" w:cs="Arial" w:eastAsia="Arial" w:hAnsi="Arial"/>
          <w:sz w:val="16"/>
          <w:szCs w:val="16"/>
          <w:color w:val="auto"/>
        </w:rPr>
      </w:pPr>
    </w:p>
    <w:p>
      <w:pPr>
        <w:ind w:left="700" w:hanging="236"/>
        <w:spacing w:after="0"/>
        <w:tabs>
          <w:tab w:leader="none" w:pos="70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firstLine="443"/>
        <w:spacing w:after="0" w:line="253" w:lineRule="auto"/>
        <w:tabs>
          <w:tab w:leader="none" w:pos="1113" w:val="left"/>
        </w:tabs>
        <w:numPr>
          <w:ilvl w:val="2"/>
          <w:numId w:val="55"/>
        </w:numPr>
        <w:rPr>
          <w:rFonts w:ascii="Arial" w:cs="Arial" w:eastAsia="Arial" w:hAnsi="Arial"/>
          <w:sz w:val="18"/>
          <w:szCs w:val="18"/>
          <w:color w:val="auto"/>
        </w:rPr>
      </w:pPr>
      <w:r>
        <w:rPr>
          <w:rFonts w:ascii="Arial" w:cs="Arial" w:eastAsia="Arial" w:hAnsi="Arial"/>
          <w:sz w:val="18"/>
          <w:szCs w:val="18"/>
          <w:color w:val="auto"/>
        </w:rPr>
        <w:t xml:space="preserve">The Swing Line Lender at any time in its sole and absolute discretion may request, on behalf of the Borrower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without regard to the minimum and multiples specified therein for the principal amount of Base Rate Loans, but subject to the unutilized portion of the Revolving Credit Facility and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The Swing Line Lender shall furnish the Borrower with a copy of the applicable Committed Loan Notice promptly after delivering such notice to the Administrative Agent. Each Revolving Credit Lender shall make an amount equal to its Applicable Revolving Credit Percentage of the amount specified in such Committed Loan Notice available to the Administrative Agent in immediately available funds (and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77" w:name="page78"/>
    <w:bookmarkEnd w:id="77"/>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Administrative Agent may apply Cash Collateral available with respect to the applicable Swing Line Loan) for the account of the Swing Line Lender at the Administrative Agent’s Office not later than 1:00 p.m. on the day specified in such Committed Loan Notice, whereupon, subject to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each Revolving Credit Lender that so makes funds available shall be deemed to have made a Base Rate Loan to the Borrower in such amount. The Administrative Agent shall remit the funds so received to the Swing Line Lender.</w:t>
      </w:r>
    </w:p>
    <w:p>
      <w:pPr>
        <w:spacing w:after="0" w:line="79" w:lineRule="exact"/>
        <w:rPr>
          <w:sz w:val="20"/>
          <w:szCs w:val="20"/>
          <w:color w:val="auto"/>
        </w:rPr>
      </w:pPr>
    </w:p>
    <w:p>
      <w:pPr>
        <w:ind w:firstLine="443"/>
        <w:spacing w:after="0" w:line="302" w:lineRule="auto"/>
        <w:tabs>
          <w:tab w:leader="none" w:pos="703"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Revolving Credit Borrowing in accordance with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shall be deemed payment in respect of such participation.</w:t>
      </w:r>
    </w:p>
    <w:p>
      <w:pPr>
        <w:spacing w:after="0" w:line="46" w:lineRule="exact"/>
        <w:rPr>
          <w:rFonts w:ascii="Arial" w:cs="Arial" w:eastAsia="Arial" w:hAnsi="Arial"/>
          <w:sz w:val="16"/>
          <w:szCs w:val="16"/>
          <w:color w:val="auto"/>
        </w:rPr>
      </w:pPr>
    </w:p>
    <w:p>
      <w:pPr>
        <w:ind w:right="40" w:firstLine="443"/>
        <w:spacing w:after="0" w:line="270" w:lineRule="auto"/>
        <w:tabs>
          <w:tab w:leader="none" w:pos="753"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shall be conclusive absent manifest error.</w:t>
      </w:r>
    </w:p>
    <w:p>
      <w:pPr>
        <w:spacing w:after="0" w:line="69" w:lineRule="exact"/>
        <w:rPr>
          <w:rFonts w:ascii="Arial" w:cs="Arial" w:eastAsia="Arial" w:hAnsi="Arial"/>
          <w:sz w:val="17"/>
          <w:szCs w:val="17"/>
          <w:color w:val="auto"/>
        </w:rPr>
      </w:pPr>
    </w:p>
    <w:p>
      <w:pPr>
        <w:ind w:right="40" w:firstLine="443"/>
        <w:spacing w:after="0" w:line="272" w:lineRule="auto"/>
        <w:tabs>
          <w:tab w:leader="none" w:pos="743"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Each Revolving Credit Lender’s obligation to make Revolving Credit Loans or to purchase and fund risk participations in Swing Line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Revolving Credit Lender’s obligation to make Revolving Credit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No such funding of risk participations shall relieve or otherwise impair the obligation of the Borrower to repay Swing Line Loans, together with interest as provided herein.</w:t>
      </w:r>
    </w:p>
    <w:p>
      <w:pPr>
        <w:spacing w:after="0" w:line="285" w:lineRule="exact"/>
        <w:rPr>
          <w:rFonts w:ascii="Arial" w:cs="Arial" w:eastAsia="Arial" w:hAnsi="Arial"/>
          <w:sz w:val="17"/>
          <w:szCs w:val="17"/>
          <w:color w:val="auto"/>
        </w:rPr>
      </w:pPr>
    </w:p>
    <w:p>
      <w:pPr>
        <w:ind w:left="260" w:hanging="256"/>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443"/>
        <w:spacing w:after="0" w:line="264" w:lineRule="auto"/>
        <w:tabs>
          <w:tab w:leader="none" w:pos="653" w:val="left"/>
        </w:tabs>
        <w:numPr>
          <w:ilvl w:val="1"/>
          <w:numId w:val="57"/>
        </w:numPr>
        <w:rPr>
          <w:rFonts w:ascii="Arial" w:cs="Arial" w:eastAsia="Arial" w:hAnsi="Arial"/>
          <w:sz w:val="18"/>
          <w:szCs w:val="18"/>
          <w:color w:val="auto"/>
        </w:rPr>
      </w:pPr>
      <w:r>
        <w:rPr>
          <w:rFonts w:ascii="Arial" w:cs="Arial" w:eastAsia="Arial" w:hAnsi="Arial"/>
          <w:sz w:val="18"/>
          <w:szCs w:val="18"/>
          <w:color w:val="auto"/>
        </w:rPr>
        <w:t>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700" w:top="274" w:right="239" w:bottom="1440" w:gutter="0" w:footer="0" w:header="0"/>
        </w:sectPr>
      </w:pPr>
    </w:p>
    <w:bookmarkStart w:id="78" w:name="page79"/>
    <w:bookmarkEnd w:id="78"/>
    <w:p>
      <w:pPr>
        <w:ind w:left="460" w:right="20" w:firstLine="443"/>
        <w:spacing w:after="0" w:line="273" w:lineRule="auto"/>
        <w:tabs>
          <w:tab w:leader="none" w:pos="1163" w:val="left"/>
        </w:tabs>
        <w:numPr>
          <w:ilvl w:val="1"/>
          <w:numId w:val="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178" w:lineRule="exact"/>
        <w:rPr>
          <w:rFonts w:ascii="Arial" w:cs="Arial" w:eastAsia="Arial" w:hAnsi="Arial"/>
          <w:sz w:val="17"/>
          <w:szCs w:val="17"/>
          <w:color w:val="auto"/>
        </w:rPr>
      </w:pPr>
    </w:p>
    <w:p>
      <w:pPr>
        <w:ind w:right="60" w:firstLine="464"/>
        <w:spacing w:after="0" w:line="259" w:lineRule="auto"/>
        <w:tabs>
          <w:tab w:leader="none" w:pos="70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Swing Line Lender shall be responsible for invoicing the Borrower for interest on the Swing Line Loans. Until each Revolving Credit Lender funds its Base Rate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186" w:lineRule="exact"/>
        <w:rPr>
          <w:rFonts w:ascii="Arial" w:cs="Arial" w:eastAsia="Arial" w:hAnsi="Arial"/>
          <w:sz w:val="18"/>
          <w:szCs w:val="18"/>
          <w:color w:val="auto"/>
        </w:rPr>
      </w:pPr>
    </w:p>
    <w:p>
      <w:pPr>
        <w:ind w:right="560" w:firstLine="464"/>
        <w:spacing w:after="0" w:line="277" w:lineRule="auto"/>
        <w:tabs>
          <w:tab w:leader="none" w:pos="68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Borrower shall make all payments of principal and interest in respect of the Swing Line Loans directly to the Swing Line Lender.</w:t>
      </w:r>
    </w:p>
    <w:p>
      <w:pPr>
        <w:spacing w:after="0" w:line="278" w:lineRule="exact"/>
        <w:rPr>
          <w:rFonts w:ascii="Arial" w:cs="Arial" w:eastAsia="Arial" w:hAnsi="Arial"/>
          <w:sz w:val="18"/>
          <w:szCs w:val="18"/>
          <w:color w:val="auto"/>
        </w:rPr>
      </w:pPr>
    </w:p>
    <w:p>
      <w:pPr>
        <w:ind w:left="720" w:hanging="256"/>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Notices and Reporting of Swing Line Loan Information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60" w:firstLine="443"/>
        <w:spacing w:after="0" w:line="264" w:lineRule="auto"/>
        <w:tabs>
          <w:tab w:leader="none" w:pos="1113"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Promptly after receipt of any Swing Line Loan Notice or notice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hereof, the Swing Line Lender will confirm with the Administrative Agent (by telephone or in writing) that the Administrative Agent has received a copy of such notice from the Borrower and, if not, the Swing Line Lender will provide the Administrative Agent with a copy thereof.</w:t>
      </w:r>
    </w:p>
    <w:p>
      <w:pPr>
        <w:spacing w:after="0" w:line="73" w:lineRule="exact"/>
        <w:rPr>
          <w:sz w:val="20"/>
          <w:szCs w:val="20"/>
          <w:color w:val="auto"/>
        </w:rPr>
      </w:pPr>
    </w:p>
    <w:p>
      <w:pPr>
        <w:ind w:left="1160" w:hanging="257"/>
        <w:spacing w:after="0"/>
        <w:tabs>
          <w:tab w:leader="none" w:pos="11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If at any time that any Revolving Credit Lender other than the Person serving as the Administrative Agent is the Swing Line Lender, then</w:t>
      </w:r>
    </w:p>
    <w:p>
      <w:pPr>
        <w:spacing w:after="0" w:line="34" w:lineRule="exact"/>
        <w:rPr>
          <w:rFonts w:ascii="Arial" w:cs="Arial" w:eastAsia="Arial" w:hAnsi="Arial"/>
          <w:sz w:val="17"/>
          <w:szCs w:val="17"/>
          <w:color w:val="auto"/>
        </w:rPr>
      </w:pPr>
    </w:p>
    <w:p>
      <w:pPr>
        <w:ind w:left="460" w:firstLine="4"/>
        <w:spacing w:after="0" w:line="269" w:lineRule="auto"/>
        <w:tabs>
          <w:tab w:leader="none" w:pos="755"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on the first Business Day of each calendar month, (B) on each date that a Swing Line Loan is issued, continued or converted, and (C) promptly upon the request of the Administrative Agent, the Swing Line Lender shall deliver (or in the case of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use commercially reasonable efforts to deliver) to the Administrative Agent a report setting forth in form and detail reasonably satisfactory to the Administrative Agent information (including, without limitation, any reimbursement, Cash Collateral, conversion, extension or repayment in respect of Swing Line Loans issued by the Swing Line Lender) with respect to each Swing Line Loan issued by the Swing Line Lender that is outstanding hereunder. No failure on the part of the Swing Line Lender to provide such information pursuant to this </w:t>
      </w:r>
      <w:r>
        <w:rPr>
          <w:rFonts w:ascii="Arial" w:cs="Arial" w:eastAsia="Arial" w:hAnsi="Arial"/>
          <w:sz w:val="17"/>
          <w:szCs w:val="17"/>
          <w:u w:val="single" w:color="auto"/>
          <w:color w:val="auto"/>
        </w:rPr>
        <w:t>Section 2.04(g)</w:t>
      </w:r>
      <w:r>
        <w:rPr>
          <w:rFonts w:ascii="Arial" w:cs="Arial" w:eastAsia="Arial" w:hAnsi="Arial"/>
          <w:sz w:val="17"/>
          <w:szCs w:val="17"/>
          <w:color w:val="auto"/>
        </w:rPr>
        <w:t xml:space="preserve"> shall limit the obligation of the Borrower or any Lender hereunder with respect to its reimbursement and participation obligations, respectively, pursuant to this </w:t>
      </w:r>
      <w:r>
        <w:rPr>
          <w:rFonts w:ascii="Arial" w:cs="Arial" w:eastAsia="Arial" w:hAnsi="Arial"/>
          <w:sz w:val="17"/>
          <w:szCs w:val="17"/>
          <w:u w:val="single" w:color="auto"/>
          <w:color w:val="auto"/>
        </w:rPr>
        <w:t>Section 2.04</w:t>
      </w:r>
      <w:r>
        <w:rPr>
          <w:rFonts w:ascii="Arial" w:cs="Arial" w:eastAsia="Arial" w:hAnsi="Arial"/>
          <w:sz w:val="17"/>
          <w:szCs w:val="17"/>
          <w:color w:val="auto"/>
        </w:rPr>
        <w:t>.</w:t>
      </w:r>
    </w:p>
    <w:p>
      <w:pPr>
        <w:spacing w:after="0" w:line="181" w:lineRule="exact"/>
        <w:rPr>
          <w:sz w:val="20"/>
          <w:szCs w:val="20"/>
          <w:color w:val="auto"/>
        </w:rPr>
      </w:pPr>
    </w:p>
    <w:p>
      <w:pPr>
        <w:ind w:firstLine="464"/>
        <w:spacing w:after="0" w:line="291" w:lineRule="auto"/>
        <w:tabs>
          <w:tab w:leader="none" w:pos="711"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Removal of Swing Line Lender</w:t>
      </w:r>
      <w:r>
        <w:rPr>
          <w:rFonts w:ascii="Arial" w:cs="Arial" w:eastAsia="Arial" w:hAnsi="Arial"/>
          <w:sz w:val="16"/>
          <w:szCs w:val="16"/>
          <w:color w:val="auto"/>
        </w:rPr>
        <w:t xml:space="preserve">. The Borrower may at any time remove any Revolving Credit Lender from its role as Swing Line Lender hereunder upon not less than 30 days prior notice to the Swing Line Lender and the Administrative Agent (or such shorter period of time as may be acceptable to the Swing Line Lender and the Administrative Agent) so long as prior to the removal of such Revolving Credit Lender from its role as Swing Line Lender, (x) the Borrower appoints another Revolving Credit Lender to serve as successor Swing Line Lender, (y) such Revolving Credit Lender accepts its appointment to serve as Successor Swing Line Lender, and (z) such successor Swing Line Lender is reasonably acceptable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Swing Line Lender shall retain all the rights, powers, privileges and duties of a Swing Line Lender hereunder with respect to all Swing Loans outstanding as of the effective date of its removal as the Swing Line Lender (including the right to require the Revolving Credit Lenders to make Base Rate Loans).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2.05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117" w:lineRule="exact"/>
        <w:rPr>
          <w:sz w:val="20"/>
          <w:szCs w:val="20"/>
          <w:color w:val="auto"/>
        </w:rPr>
      </w:pPr>
    </w:p>
    <w:p>
      <w:pPr>
        <w:ind w:left="240" w:hanging="236"/>
        <w:spacing w:after="0"/>
        <w:tabs>
          <w:tab w:leader="none" w:pos="2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443"/>
        <w:spacing w:after="0" w:line="285" w:lineRule="auto"/>
        <w:tabs>
          <w:tab w:leader="none" w:pos="653"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2.05(c)</w:t>
      </w:r>
      <w:r>
        <w:rPr>
          <w:rFonts w:ascii="Arial" w:cs="Arial" w:eastAsia="Arial" w:hAnsi="Arial"/>
          <w:sz w:val="16"/>
          <w:szCs w:val="16"/>
          <w:color w:val="auto"/>
        </w:rPr>
        <w:t xml:space="preserve">, the Borrower may, upon notice to the Administrative Agent, at any time or from time to time after the date that is ten (10) Business Days after the Closing Date, voluntarily prepay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notice must be in a form acceptable to the Administrative Agent (including any form on an electronic platform or electronic transmission system as shall be approved by the Administrative Agent) appropriately completed and signed by a Responsible Officer and be received by the Administrative Agent not later than 11:00 a.m. (1) three Business Days prior to any date of prepayment of Eurodollar Rate Loans and (2) on the date of prepayment of Base Rate Loans; (B) any prepayment of Eurodollar Rate Loans shall be in a principal amount of $1,000,000 or a whole multiple of $500,000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prepayment of a Loan shall be accompanied by all accrued interest on the amount prepaid, together with, in the case of a Eurodollar Rate Loan,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Each prepayment of the outstanding Term Loans pursuant to this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shall be applied to the principal repayment installments thereof as directed by the Borrower, and subject to </w:t>
      </w:r>
      <w:r>
        <w:rPr>
          <w:rFonts w:ascii="Arial" w:cs="Arial" w:eastAsia="Arial" w:hAnsi="Arial"/>
          <w:sz w:val="16"/>
          <w:szCs w:val="16"/>
          <w:u w:val="single" w:color="auto"/>
          <w:color w:val="auto"/>
        </w:rPr>
        <w:t>Section 2.15</w:t>
      </w:r>
      <w:r>
        <w:rPr>
          <w:rFonts w:ascii="Arial" w:cs="Arial" w:eastAsia="Arial" w:hAnsi="Arial"/>
          <w:sz w:val="16"/>
          <w:szCs w:val="16"/>
          <w:color w:val="auto"/>
        </w:rPr>
        <w:t>, each such prepayment shall be paid to the Lenders in accordance with their respective Applicable Percentages in respect of each of the relevant Facility.</w:t>
      </w:r>
    </w:p>
    <w:p>
      <w:pPr>
        <w:spacing w:after="0" w:line="69" w:lineRule="exact"/>
        <w:rPr>
          <w:rFonts w:ascii="Arial" w:cs="Arial" w:eastAsia="Arial" w:hAnsi="Arial"/>
          <w:sz w:val="16"/>
          <w:szCs w:val="16"/>
          <w:color w:val="auto"/>
        </w:rPr>
      </w:pPr>
    </w:p>
    <w:p>
      <w:pPr>
        <w:ind w:right="120" w:firstLine="443"/>
        <w:spacing w:after="0" w:line="255" w:lineRule="auto"/>
        <w:tabs>
          <w:tab w:leader="none" w:pos="703"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The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notice must be received by the Swing Line Lender and the Administrative Agent not later than 1:00 p.m. on the date of the prepayment, and (B) any such prepayment shall be in a minimum principal amount of $100,000;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with respect to a repayment of a Swing Loan that is administered through an automated cash management system with the Swing Line Lender, no prepayment notice shall be required.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297" w:lineRule="exact"/>
        <w:rPr>
          <w:rFonts w:ascii="Arial" w:cs="Arial" w:eastAsia="Arial" w:hAnsi="Arial"/>
          <w:sz w:val="18"/>
          <w:szCs w:val="18"/>
          <w:color w:val="auto"/>
        </w:rPr>
      </w:pPr>
    </w:p>
    <w:p>
      <w:pPr>
        <w:ind w:left="260" w:hanging="256"/>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40" w:firstLine="443"/>
        <w:spacing w:after="0" w:line="291" w:lineRule="auto"/>
        <w:tabs>
          <w:tab w:leader="none" w:pos="653"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Commencing with the fiscal year ending December 31, 2016, within the later of (x) five Business Days after financial statements have been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and the related Compliance Certificate has been delivered pursuant to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and (y) ninety-five</w:t>
      </w:r>
    </w:p>
    <w:p>
      <w:pPr>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(95) days after the end of such fiscal year, the Borrower shall prepay an aggregate principal amount of Loans equal to the excess (if any) of (A) the ECF Percentage of Excess Cash Flow for the fiscal year covered by such financial statements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aggregate principal amount of Term Loans prepaid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and the aggregate principal amount of optional prepayments of Revolving Credit Loans during such fiscal year (solely to the extent such</w:t>
      </w:r>
    </w:p>
    <w:p>
      <w:pPr>
        <w:spacing w:after="0" w:line="1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0"/>
          </w:cols>
          <w:pgMar w:left="700" w:top="274" w:right="239" w:bottom="1440" w:gutter="0" w:footer="0" w:header="0"/>
        </w:sectPr>
      </w:pPr>
    </w:p>
    <w:bookmarkStart w:id="80" w:name="page81"/>
    <w:bookmarkEnd w:id="80"/>
    <w:p>
      <w:pPr>
        <w:ind w:right="1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prepayments are accompanied by a concurrent equivalent permanent reduction in the Revolving Credit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prepayments were not made with proceeds of any Indebtedness, Disposition, equity issuance, Extraordinary Receipts or other proceeds that would not be included in calculating Consolidated EBITDA for the applicable fiscal year (such prepayments to be applied as set forth in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below).</w:t>
      </w:r>
    </w:p>
    <w:p>
      <w:pPr>
        <w:spacing w:after="0" w:line="39" w:lineRule="exact"/>
        <w:rPr>
          <w:sz w:val="20"/>
          <w:szCs w:val="20"/>
          <w:color w:val="auto"/>
        </w:rPr>
      </w:pPr>
    </w:p>
    <w:p>
      <w:pPr>
        <w:ind w:right="20" w:firstLine="443"/>
        <w:spacing w:after="0" w:line="287" w:lineRule="auto"/>
        <w:tabs>
          <w:tab w:leader="none" w:pos="703"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If the Borrower or any of its Subsidiaries Disposes of any property (other than any Disposition of any property permitted by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thereof) which results in the realization by such Person of Net Cash Proceeds, the Borrower shall prepay an aggregate principal amount of Loans equal to 100% of such Net Cash Proceeds within ten (10) Business Days of receipt thereof by such Person (such prepayments to be applied as set forth in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Net Cash Proceeds realized under a Disposition described in this </w:t>
      </w:r>
      <w:r>
        <w:rPr>
          <w:rFonts w:ascii="Arial" w:cs="Arial" w:eastAsia="Arial" w:hAnsi="Arial"/>
          <w:sz w:val="16"/>
          <w:szCs w:val="16"/>
          <w:u w:val="single" w:color="auto"/>
          <w:color w:val="auto"/>
        </w:rPr>
        <w:t>Section 2.05(b)(ii)</w:t>
      </w:r>
      <w:r>
        <w:rPr>
          <w:rFonts w:ascii="Arial" w:cs="Arial" w:eastAsia="Arial" w:hAnsi="Arial"/>
          <w:sz w:val="16"/>
          <w:szCs w:val="16"/>
          <w:color w:val="auto"/>
        </w:rPr>
        <w:t xml:space="preserve">, at the election of the Borrower (as notified by the Borrower to the Administrative Agent on or prior to the date of such Disposition), and so long as no Default shall have occurred and be continuing, the Borrower or such Subsidiary may reinvest all or any portion of such Net Cash Proceeds in operating assets so long as within 365 days after the receipt of such Net Cash Proceeds, such reinvestment shall have been consummated (as certified by the Borrower in writing to the Administrative Agent) and if such Net Cash Proceeds are not so reinvested within such 365-day period but such Net Cash Proceeds are subject to a definitive agreement within such 365-day period to reinvest such Net Cash Proceeds in accordance with this </w:t>
      </w:r>
      <w:r>
        <w:rPr>
          <w:rFonts w:ascii="Arial" w:cs="Arial" w:eastAsia="Arial" w:hAnsi="Arial"/>
          <w:sz w:val="16"/>
          <w:szCs w:val="16"/>
          <w:u w:val="single" w:color="auto"/>
          <w:color w:val="auto"/>
        </w:rPr>
        <w:t>Section 2.05(b)(ii)</w:t>
      </w:r>
      <w:r>
        <w:rPr>
          <w:rFonts w:ascii="Arial" w:cs="Arial" w:eastAsia="Arial" w:hAnsi="Arial"/>
          <w:sz w:val="16"/>
          <w:szCs w:val="16"/>
          <w:color w:val="auto"/>
        </w:rPr>
        <w:t xml:space="preserve"> then the Borrower or such Subsidiary shall have an additional 180 days after the end of the such initial 365-day period to reinvest such Net Cash Proceeds in accordance with this </w:t>
      </w:r>
      <w:r>
        <w:rPr>
          <w:rFonts w:ascii="Arial" w:cs="Arial" w:eastAsia="Arial" w:hAnsi="Arial"/>
          <w:sz w:val="16"/>
          <w:szCs w:val="16"/>
          <w:u w:val="single" w:color="auto"/>
          <w:color w:val="auto"/>
        </w:rPr>
        <w:t>Section 2.05(b)(ii)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Net Cash Proceeds not subject to such definitive agreement or so reinvested shall be promptly applied to the prepayment of the Loans as set forth in this </w:t>
      </w:r>
      <w:r>
        <w:rPr>
          <w:rFonts w:ascii="Arial" w:cs="Arial" w:eastAsia="Arial" w:hAnsi="Arial"/>
          <w:sz w:val="16"/>
          <w:szCs w:val="16"/>
          <w:u w:val="single" w:color="auto"/>
          <w:color w:val="auto"/>
        </w:rPr>
        <w:t>Section 2.05(b)(ii)</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firstLine="443"/>
        <w:spacing w:after="0" w:line="259" w:lineRule="auto"/>
        <w:tabs>
          <w:tab w:leader="none" w:pos="753"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Upon the incurrence or issuance by the Borrower or any of its Subsidiaries of any Indebtedness (other than Indebtedness expressly permitted to be incurred or issued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the Borrower shall prepay an aggregate principal amount of Loans equal to 100% of all Net Cash Proceeds received therefrom within five (5) Business Days of receipt thereof by the Borrower or such Subsidiary (such prepayments to be applied as set forth in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below).</w:t>
      </w:r>
    </w:p>
    <w:p>
      <w:pPr>
        <w:spacing w:after="0" w:line="78" w:lineRule="exact"/>
        <w:rPr>
          <w:rFonts w:ascii="Arial" w:cs="Arial" w:eastAsia="Arial" w:hAnsi="Arial"/>
          <w:sz w:val="18"/>
          <w:szCs w:val="18"/>
          <w:color w:val="auto"/>
        </w:rPr>
      </w:pPr>
    </w:p>
    <w:p>
      <w:pPr>
        <w:ind w:right="80" w:firstLine="443"/>
        <w:spacing w:after="0" w:line="283" w:lineRule="auto"/>
        <w:tabs>
          <w:tab w:leader="none" w:pos="743"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Upon any Extraordinary Receipt received by or paid to or for the account of the Borrower or any of its Subsidiaries, and not otherwise included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the Borrower shall prepay an aggregate principal amount of Loans equal to 100% of all Net Cash Proceeds received therefrom within ten (10) Business Days of receipt thereof by the Borrower or such Subsidiary (such prepayments to be applied as set forth in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proceeds of insurance, condemnation awards (or payments in lieu thereof) or indemnity payments, at the election of the Borrower (as notified by the Borrower to the Administrative Agent on or prior to the date of receipt of such insurance proceeds, condemnation awards or indemnity payments), and so long as no Default shall have occurred and be continuing, the Borrower or such Subsidiary may apply within 365 days after the receipt of such cash proceeds to replace or repair the equipment, fixed assets or real property in respect of which such cash proceeds were received and if such Net Cash Proceeds are not so reinvested within such 365-day period but such Net Cash Proceeds are subject to a definitive agreement within such 365-day period to reinvest such Net Cash Proceeds in accordance with this </w:t>
      </w:r>
      <w:r>
        <w:rPr>
          <w:rFonts w:ascii="Arial" w:cs="Arial" w:eastAsia="Arial" w:hAnsi="Arial"/>
          <w:sz w:val="16"/>
          <w:szCs w:val="16"/>
          <w:u w:val="single" w:color="auto"/>
          <w:color w:val="auto"/>
        </w:rPr>
        <w:t>Section 2.05(b)</w:t>
      </w:r>
    </w:p>
    <w:p>
      <w:pPr>
        <w:spacing w:after="0" w:line="6" w:lineRule="exact"/>
        <w:rPr>
          <w:rFonts w:ascii="Arial" w:cs="Arial" w:eastAsia="Arial" w:hAnsi="Arial"/>
          <w:sz w:val="16"/>
          <w:szCs w:val="16"/>
          <w:color w:val="auto"/>
        </w:rPr>
      </w:pPr>
    </w:p>
    <w:p>
      <w:pPr>
        <w:ind w:right="20" w:firstLine="4"/>
        <w:spacing w:after="0" w:line="255" w:lineRule="auto"/>
        <w:tabs>
          <w:tab w:leader="none" w:pos="305" w:val="left"/>
        </w:tabs>
        <w:numPr>
          <w:ilvl w:val="0"/>
          <w:numId w:val="65"/>
        </w:numPr>
        <w:rPr>
          <w:rFonts w:ascii="Arial" w:cs="Arial" w:eastAsia="Arial" w:hAnsi="Arial"/>
          <w:sz w:val="18"/>
          <w:szCs w:val="18"/>
          <w:u w:val="single" w:color="auto"/>
          <w:color w:val="auto"/>
        </w:rPr>
      </w:pPr>
      <w:r>
        <w:rPr>
          <w:rFonts w:ascii="Arial" w:cs="Arial" w:eastAsia="Arial" w:hAnsi="Arial"/>
          <w:sz w:val="18"/>
          <w:szCs w:val="18"/>
          <w:color w:val="auto"/>
        </w:rPr>
        <w:t xml:space="preserve">then the Borrower or such Subsidiary shall have an additional 180 days after the end of the such initial 365-day period to reinvest such Net Cash Proceeds in accordance with this </w:t>
      </w:r>
      <w:r>
        <w:rPr>
          <w:rFonts w:ascii="Arial" w:cs="Arial" w:eastAsia="Arial" w:hAnsi="Arial"/>
          <w:sz w:val="18"/>
          <w:szCs w:val="18"/>
          <w:u w:val="single" w:color="auto"/>
          <w:color w:val="auto"/>
        </w:rPr>
        <w:t>Section 2.05(b)(iv)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cash proceeds not so applied shall be promptly applied to the prepayment of the Loans as set forth in this </w:t>
      </w:r>
      <w:r>
        <w:rPr>
          <w:rFonts w:ascii="Arial" w:cs="Arial" w:eastAsia="Arial" w:hAnsi="Arial"/>
          <w:sz w:val="18"/>
          <w:szCs w:val="18"/>
          <w:u w:val="single" w:color="auto"/>
          <w:color w:val="auto"/>
        </w:rPr>
        <w:t>Section 2.05(b)(iv)</w:t>
      </w:r>
      <w:r>
        <w:rPr>
          <w:rFonts w:ascii="Arial" w:cs="Arial" w:eastAsia="Arial" w:hAnsi="Arial"/>
          <w:sz w:val="18"/>
          <w:szCs w:val="18"/>
          <w:color w:val="auto"/>
        </w:rPr>
        <w:t>.</w:t>
      </w:r>
    </w:p>
    <w:p>
      <w:pPr>
        <w:spacing w:after="0" w:line="1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700" w:top="274" w:right="239" w:bottom="1440" w:gutter="0" w:footer="0" w:header="0"/>
        </w:sectPr>
      </w:pPr>
    </w:p>
    <w:bookmarkStart w:id="81" w:name="page82"/>
    <w:bookmarkEnd w:id="81"/>
    <w:p>
      <w:pPr>
        <w:ind w:firstLine="443"/>
        <w:spacing w:after="0" w:line="272" w:lineRule="auto"/>
        <w:tabs>
          <w:tab w:leader="none" w:pos="693" w:val="left"/>
        </w:tabs>
        <w:numPr>
          <w:ilvl w:val="0"/>
          <w:numId w:val="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prepayment of Loans pursuant to the foregoing provisions of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shall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in direct order of maturity to the next four principal repayment installments of the Term Facility (and, to the extent provided in the definitive loan documentation therefor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of any Incremental Term Loans) and, </w:t>
      </w:r>
      <w:r>
        <w:rPr>
          <w:rFonts w:ascii="Arial" w:cs="Arial" w:eastAsia="Arial" w:hAnsi="Arial"/>
          <w:sz w:val="17"/>
          <w:szCs w:val="17"/>
          <w:u w:val="single" w:color="auto"/>
          <w:color w:val="auto"/>
        </w:rPr>
        <w:t>thereafter</w:t>
      </w:r>
      <w:r>
        <w:rPr>
          <w:rFonts w:ascii="Arial" w:cs="Arial" w:eastAsia="Arial" w:hAnsi="Arial"/>
          <w:sz w:val="17"/>
          <w:szCs w:val="17"/>
          <w:color w:val="auto"/>
        </w:rPr>
        <w:t xml:space="preserve">, to the remaining scheduled principal installments of the Term Facility (and, to the extent provided in the definitive loan documentation therefor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of any Incremental Term Loans)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and,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upon payment in full of all Term Loans, to the Revolving Credit Facility (without permanent reduction of the Revolving Credit Commitments) in the manner set forth in </w:t>
      </w:r>
      <w:r>
        <w:rPr>
          <w:rFonts w:ascii="Arial" w:cs="Arial" w:eastAsia="Arial" w:hAnsi="Arial"/>
          <w:sz w:val="17"/>
          <w:szCs w:val="17"/>
          <w:u w:val="single" w:color="auto"/>
          <w:color w:val="auto"/>
        </w:rPr>
        <w:t>clause (vii)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2.15</w:t>
      </w:r>
      <w:r>
        <w:rPr>
          <w:rFonts w:ascii="Arial" w:cs="Arial" w:eastAsia="Arial" w:hAnsi="Arial"/>
          <w:sz w:val="17"/>
          <w:szCs w:val="17"/>
          <w:color w:val="auto"/>
        </w:rPr>
        <w:t>, such prepayments shall be paid to the Lenders in accordance with their respective Applicable Percentages in respect of the relevant Facilities.</w:t>
      </w:r>
    </w:p>
    <w:p>
      <w:pPr>
        <w:spacing w:after="0" w:line="69" w:lineRule="exact"/>
        <w:rPr>
          <w:rFonts w:ascii="Arial" w:cs="Arial" w:eastAsia="Arial" w:hAnsi="Arial"/>
          <w:sz w:val="17"/>
          <w:szCs w:val="17"/>
          <w:color w:val="auto"/>
        </w:rPr>
      </w:pPr>
    </w:p>
    <w:p>
      <w:pPr>
        <w:ind w:right="40" w:firstLine="443"/>
        <w:spacing w:after="0" w:line="264" w:lineRule="auto"/>
        <w:tabs>
          <w:tab w:leader="none" w:pos="743"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for any reason the Total Revolving Credit Outstandings at any time exceed the Revolving Credit Facility at such time, the Borrower shall immediately prepay Revolving Credit Loans, Swing Line Loans and L/C Borrowings and/or Cash Collateralize the L/C Obligations (other than the L/C Borrowings) in an aggregate amount equal to such excess.</w:t>
      </w:r>
    </w:p>
    <w:p>
      <w:pPr>
        <w:spacing w:after="0" w:line="73" w:lineRule="exact"/>
        <w:rPr>
          <w:rFonts w:ascii="Arial" w:cs="Arial" w:eastAsia="Arial" w:hAnsi="Arial"/>
          <w:sz w:val="18"/>
          <w:szCs w:val="18"/>
          <w:color w:val="auto"/>
        </w:rPr>
      </w:pPr>
    </w:p>
    <w:p>
      <w:pPr>
        <w:ind w:right="60" w:firstLine="443"/>
        <w:spacing w:after="0" w:line="290" w:lineRule="auto"/>
        <w:tabs>
          <w:tab w:leader="none" w:pos="793"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Except as otherwise provided in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prepayments of the Revolving Credit Facility made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first, shall be applied ratably to the L/C Borrowings and the Swing Line Loans, second, shall be applied ratably to the outstanding Revolving Credit Loans, and, third, shall be used to Cash Collateralize the remaining L/C Obligations in full; and, in the case of prepayments of the Revolving Credit Facility required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the amount remaining, if any, after the prepayment in full of all L/C Borrowings, Swing Line Loans and Revolving Credit Loans outstanding at such time and the Cash Collateralization of the remaining L/C Obligations in full may be retained by the Borrower for use in the ordinary course of its business. Upon the drawing of any Letter of Credit that has been Cash Collateralized, the funds held as Cash Collateral shall be applied (without any further action by or notice to or from the Borrower or any other Loan Party or any Defaulting Lender that has provided Cash Collateral) to reimburse the applicable L/C Issuer or the applicable Revolving Credit Lenders, as applicable.</w:t>
      </w:r>
    </w:p>
    <w:p>
      <w:pPr>
        <w:spacing w:after="0" w:line="58" w:lineRule="exact"/>
        <w:rPr>
          <w:rFonts w:ascii="Arial" w:cs="Arial" w:eastAsia="Arial" w:hAnsi="Arial"/>
          <w:sz w:val="16"/>
          <w:szCs w:val="16"/>
          <w:color w:val="auto"/>
        </w:rPr>
      </w:pPr>
    </w:p>
    <w:p>
      <w:pPr>
        <w:ind w:firstLine="443"/>
        <w:spacing w:after="0" w:line="288" w:lineRule="auto"/>
        <w:tabs>
          <w:tab w:leader="none" w:pos="843"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any mandatory prepayments arising under </w:t>
      </w:r>
      <w:r>
        <w:rPr>
          <w:rFonts w:ascii="Arial" w:cs="Arial" w:eastAsia="Arial" w:hAnsi="Arial"/>
          <w:sz w:val="16"/>
          <w:szCs w:val="16"/>
          <w:u w:val="single" w:color="auto"/>
          <w:color w:val="auto"/>
        </w:rPr>
        <w:t>Section 2.05(b)(ii)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from the receipt of Net Cash Proceeds from any Disposition or Extraordinary Receipts by any Foreign Subsidiary (each, a “</w:t>
      </w:r>
      <w:r>
        <w:rPr>
          <w:rFonts w:ascii="Arial" w:cs="Arial" w:eastAsia="Arial" w:hAnsi="Arial"/>
          <w:sz w:val="16"/>
          <w:szCs w:val="16"/>
          <w:u w:val="single" w:color="auto"/>
          <w:color w:val="auto"/>
        </w:rPr>
        <w:t>Foreign Disposition</w:t>
      </w:r>
      <w:r>
        <w:rPr>
          <w:rFonts w:ascii="Arial" w:cs="Arial" w:eastAsia="Arial" w:hAnsi="Arial"/>
          <w:sz w:val="16"/>
          <w:szCs w:val="16"/>
          <w:color w:val="auto"/>
        </w:rPr>
        <w:t xml:space="preserve">”) or arising under </w:t>
      </w:r>
      <w:r>
        <w:rPr>
          <w:rFonts w:ascii="Arial" w:cs="Arial" w:eastAsia="Arial" w:hAnsi="Arial"/>
          <w:sz w:val="16"/>
          <w:szCs w:val="16"/>
          <w:u w:val="single" w:color="auto"/>
          <w:color w:val="auto"/>
        </w:rPr>
        <w:t>Section 2.05(b)(i)</w:t>
      </w:r>
      <w:r>
        <w:rPr>
          <w:rFonts w:ascii="Arial" w:cs="Arial" w:eastAsia="Arial" w:hAnsi="Arial"/>
          <w:sz w:val="16"/>
          <w:szCs w:val="16"/>
          <w:color w:val="auto"/>
        </w:rPr>
        <w:t xml:space="preserve"> from Excess Cash Flow directly attributable to Foreign Subsidiaries (“</w:t>
      </w:r>
      <w:r>
        <w:rPr>
          <w:rFonts w:ascii="Arial" w:cs="Arial" w:eastAsia="Arial" w:hAnsi="Arial"/>
          <w:sz w:val="16"/>
          <w:szCs w:val="16"/>
          <w:u w:val="single" w:color="auto"/>
          <w:color w:val="auto"/>
        </w:rPr>
        <w:t>Foreign Excess Cash Flow</w:t>
      </w:r>
      <w:r>
        <w:rPr>
          <w:rFonts w:ascii="Arial" w:cs="Arial" w:eastAsia="Arial" w:hAnsi="Arial"/>
          <w:sz w:val="16"/>
          <w:szCs w:val="16"/>
          <w:color w:val="auto"/>
        </w:rPr>
        <w:t xml:space="preserve">”) shall not be required to the extent that the repatriation of such Net Cash Proceeds or Foreign Excess Cash Flow would (A) give rise to a material adverse tax consequence or (B) be prohibited or delayed by any requirement of applicable Laws. The Borrower hereby agreeing to use commercially reasonable efforts to cause the applicable Foreign Subsidiary to promptly file any required forms, obtain any necessary consents and take all similar actions reasonably required by the applicable local Laws to permit such repatriation;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repatriation of any such affected Net Cash Proceeds or Foreign Excess Cash Flow is later permitted under applicable Laws and can be accomplished without material adverse tax consequences, such repatriation shall be effected as promptly as practicable and such repatriated Net Cash Proceeds or Foreign Excess Cash Flow, as applicable, will be promptly after such repatriation applied to the repayment of the Loans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to the extent provided herein.</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700" w:top="274" w:right="239" w:bottom="1440" w:gutter="0" w:footer="0" w:header="0"/>
        </w:sectPr>
      </w:pPr>
    </w:p>
    <w:bookmarkStart w:id="82" w:name="page83"/>
    <w:bookmarkEnd w:id="82"/>
    <w:p>
      <w:pPr>
        <w:ind w:left="660" w:hanging="23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Call Premium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40" w:firstLine="443"/>
        <w:spacing w:after="0" w:line="273" w:lineRule="auto"/>
        <w:tabs>
          <w:tab w:leader="none" w:pos="1073" w:val="left"/>
        </w:tabs>
        <w:numPr>
          <w:ilvl w:val="1"/>
          <w:numId w:val="67"/>
        </w:numPr>
        <w:rPr>
          <w:rFonts w:ascii="Arial" w:cs="Arial" w:eastAsia="Arial" w:hAnsi="Arial"/>
          <w:sz w:val="17"/>
          <w:szCs w:val="17"/>
          <w:color w:val="auto"/>
        </w:rPr>
      </w:pPr>
      <w:r>
        <w:rPr>
          <w:rFonts w:ascii="Arial" w:cs="Arial" w:eastAsia="Arial" w:hAnsi="Arial"/>
          <w:sz w:val="17"/>
          <w:szCs w:val="17"/>
          <w:color w:val="auto"/>
        </w:rPr>
        <w:t>In the event that, on or prior to the date that is six months after the Closing Date, a Repricing Event occurs with respect to the Initial Term Loans, the Borrower will pay a premium (an “</w:t>
      </w:r>
      <w:r>
        <w:rPr>
          <w:rFonts w:ascii="Arial" w:cs="Arial" w:eastAsia="Arial" w:hAnsi="Arial"/>
          <w:sz w:val="17"/>
          <w:szCs w:val="17"/>
          <w:u w:val="single" w:color="auto"/>
          <w:color w:val="auto"/>
        </w:rPr>
        <w:t>Initial Term Loan Call Premium</w:t>
      </w:r>
      <w:r>
        <w:rPr>
          <w:rFonts w:ascii="Arial" w:cs="Arial" w:eastAsia="Arial" w:hAnsi="Arial"/>
          <w:sz w:val="17"/>
          <w:szCs w:val="17"/>
          <w:color w:val="auto"/>
        </w:rPr>
        <w:t xml:space="preserve">”), for the ratable account of each Lender that holds Initial Term Loans, in an amount equal to 1.00% of the aggregate principal amount of the Initial Term Loans subject to such Repricing Event (it being understood that any such Initial Term Loan Call Premium with respect to a Repricing Event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Repricing Event shall be paid to each Non-Consenting Lender that is replaced in such Repricing Event pursuant to </w:t>
      </w:r>
      <w:r>
        <w:rPr>
          <w:rFonts w:ascii="Arial" w:cs="Arial" w:eastAsia="Arial" w:hAnsi="Arial"/>
          <w:sz w:val="17"/>
          <w:szCs w:val="17"/>
          <w:u w:val="single" w:color="auto"/>
          <w:color w:val="auto"/>
        </w:rPr>
        <w:t>Section 10.13</w:t>
      </w:r>
      <w:r>
        <w:rPr>
          <w:rFonts w:ascii="Arial" w:cs="Arial" w:eastAsia="Arial" w:hAnsi="Arial"/>
          <w:sz w:val="17"/>
          <w:szCs w:val="17"/>
          <w:color w:val="auto"/>
        </w:rPr>
        <w:t>). Such Initial Term Loan Call Premium shall be due and payable within three (3) Business Days of the date of the effectiveness of such Repricing Event.</w:t>
      </w:r>
    </w:p>
    <w:p>
      <w:pPr>
        <w:spacing w:after="0" w:line="70" w:lineRule="exact"/>
        <w:rPr>
          <w:rFonts w:ascii="Arial" w:cs="Arial" w:eastAsia="Arial" w:hAnsi="Arial"/>
          <w:sz w:val="17"/>
          <w:szCs w:val="17"/>
          <w:color w:val="auto"/>
        </w:rPr>
      </w:pPr>
    </w:p>
    <w:p>
      <w:pPr>
        <w:ind w:left="420" w:right="60" w:firstLine="443"/>
        <w:spacing w:after="0" w:line="293" w:lineRule="auto"/>
        <w:tabs>
          <w:tab w:leader="none" w:pos="1123" w:val="left"/>
        </w:tabs>
        <w:numPr>
          <w:ilvl w:val="1"/>
          <w:numId w:val="67"/>
        </w:numPr>
        <w:rPr>
          <w:rFonts w:ascii="Arial" w:cs="Arial" w:eastAsia="Arial" w:hAnsi="Arial"/>
          <w:sz w:val="16"/>
          <w:szCs w:val="16"/>
          <w:color w:val="auto"/>
        </w:rPr>
      </w:pPr>
      <w:r>
        <w:rPr>
          <w:rFonts w:ascii="Arial" w:cs="Arial" w:eastAsia="Arial" w:hAnsi="Arial"/>
          <w:sz w:val="16"/>
          <w:szCs w:val="16"/>
          <w:color w:val="auto"/>
        </w:rPr>
        <w:t>In the event that, on or prior to the date that is six months after the Amendment and Restatement Effective Date, a Repricing Event occurs with respect to the Tranche B Term Loans, the Borrower will pay a premium (a “</w:t>
      </w:r>
      <w:r>
        <w:rPr>
          <w:rFonts w:ascii="Arial" w:cs="Arial" w:eastAsia="Arial" w:hAnsi="Arial"/>
          <w:sz w:val="16"/>
          <w:szCs w:val="16"/>
          <w:u w:val="single" w:color="auto"/>
          <w:color w:val="auto"/>
        </w:rPr>
        <w:t>Tranche B Term Loan Call Premium</w:t>
      </w:r>
      <w:r>
        <w:rPr>
          <w:rFonts w:ascii="Arial" w:cs="Arial" w:eastAsia="Arial" w:hAnsi="Arial"/>
          <w:sz w:val="16"/>
          <w:szCs w:val="16"/>
          <w:color w:val="auto"/>
        </w:rPr>
        <w:t xml:space="preserve">”), for the ratable account of each Lender that holds Tranche B Term Loans, in an amount equal to 1.00% of the aggregate principal amount of the Tranche B Term Loans subject to such Repricing Event (it being understood that any such Tranche B Term Loan Call Premium with respect to a Repricing Event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Repricing Event shall be paid to each Non-Consenting Lender that is replaced in such Repricing Event pursuant to </w:t>
      </w:r>
      <w:r>
        <w:rPr>
          <w:rFonts w:ascii="Arial" w:cs="Arial" w:eastAsia="Arial" w:hAnsi="Arial"/>
          <w:sz w:val="16"/>
          <w:szCs w:val="16"/>
          <w:u w:val="single" w:color="auto"/>
          <w:color w:val="auto"/>
        </w:rPr>
        <w:t>Section 10.13</w:t>
      </w:r>
      <w:r>
        <w:rPr>
          <w:rFonts w:ascii="Arial" w:cs="Arial" w:eastAsia="Arial" w:hAnsi="Arial"/>
          <w:sz w:val="16"/>
          <w:szCs w:val="16"/>
          <w:color w:val="auto"/>
        </w:rPr>
        <w:t>). Such Tranche B Term Loan Call Premium shall be due and payable within three (3) Business Days of the date of the effectiveness of such Repricing Event.</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Termination or Reduction of Commitments</w:t>
      </w:r>
      <w:r>
        <w:rPr>
          <w:rFonts w:ascii="Arial" w:cs="Arial" w:eastAsia="Arial" w:hAnsi="Arial"/>
          <w:sz w:val="18"/>
          <w:szCs w:val="18"/>
          <w:color w:val="auto"/>
        </w:rPr>
        <w:t>.</w:t>
      </w:r>
    </w:p>
    <w:p>
      <w:pPr>
        <w:spacing w:after="0" w:line="117" w:lineRule="exact"/>
        <w:rPr>
          <w:sz w:val="20"/>
          <w:szCs w:val="20"/>
          <w:color w:val="auto"/>
        </w:rPr>
      </w:pPr>
    </w:p>
    <w:p>
      <w:pPr>
        <w:ind w:left="-40" w:firstLine="464"/>
        <w:spacing w:after="0" w:line="290" w:lineRule="auto"/>
        <w:tabs>
          <w:tab w:leader="none" w:pos="661"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The Borrower may, upon notice to the Administrative Agent, terminate the Revolving Credit Facility, the Letter of Credit Sublimit or the Swing Line Sublimit, or from time to time permanently reduce the Revolving Credit Facility, the Letter of Credit Sublimit or the Swing Line Sublimit;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notice shall be received by the Administrative Agent not later than 11:00 a.m. five Business Days prior to the date of termination or reduction, (ii) any such partial reduction shall be in an aggregate amount of $5,000,000 or any whole multiple of $1,000,000 in excess thereof and (iii) the Borrower shall not terminate or reduce (A) the Revolving Credit Facility if, after giving effect thereto and to any 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Letter of Credit Sublimit.</w:t>
      </w:r>
    </w:p>
    <w:p>
      <w:pPr>
        <w:spacing w:after="0" w:line="274" w:lineRule="exact"/>
        <w:rPr>
          <w:rFonts w:ascii="Arial" w:cs="Arial" w:eastAsia="Arial" w:hAnsi="Arial"/>
          <w:sz w:val="16"/>
          <w:szCs w:val="16"/>
          <w:color w:val="auto"/>
        </w:rPr>
      </w:pPr>
    </w:p>
    <w:p>
      <w:pPr>
        <w:ind w:left="680" w:hanging="256"/>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100" w:firstLine="443"/>
        <w:spacing w:after="0" w:line="308" w:lineRule="auto"/>
        <w:tabs>
          <w:tab w:leader="none" w:pos="1073" w:val="left"/>
        </w:tabs>
        <w:numPr>
          <w:ilvl w:val="1"/>
          <w:numId w:val="68"/>
        </w:numPr>
        <w:rPr>
          <w:rFonts w:ascii="Arial" w:cs="Arial" w:eastAsia="Arial" w:hAnsi="Arial"/>
          <w:sz w:val="17"/>
          <w:szCs w:val="17"/>
          <w:color w:val="auto"/>
        </w:rPr>
      </w:pPr>
      <w:r>
        <w:rPr>
          <w:rFonts w:ascii="Arial" w:cs="Arial" w:eastAsia="Arial" w:hAnsi="Arial"/>
          <w:sz w:val="17"/>
          <w:szCs w:val="17"/>
          <w:color w:val="auto"/>
        </w:rPr>
        <w:t xml:space="preserve">The aggregate Initial Term Commitments shall be automatically and permanently reduced by the amount of the Term Borrowing made on the Closing Date and by the amount of any Term Borrowing made after the Closing Date, in each case pursuant to </w:t>
      </w:r>
      <w:r>
        <w:rPr>
          <w:rFonts w:ascii="Arial" w:cs="Arial" w:eastAsia="Arial" w:hAnsi="Arial"/>
          <w:sz w:val="17"/>
          <w:szCs w:val="17"/>
          <w:u w:val="single" w:color="auto"/>
          <w:color w:val="auto"/>
        </w:rPr>
        <w:t>Section 2.01(a)</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1120" w:hanging="257"/>
        <w:spacing w:after="0"/>
        <w:tabs>
          <w:tab w:leader="none" w:pos="11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unused Term Commitments shall be automatically and permanently reduced to zero on the last day of the applicable Availability Period.</w:t>
      </w:r>
    </w:p>
    <w:p>
      <w:pPr>
        <w:spacing w:after="0" w:line="140" w:lineRule="exact"/>
        <w:rPr>
          <w:rFonts w:ascii="Arial" w:cs="Arial" w:eastAsia="Arial" w:hAnsi="Arial"/>
          <w:sz w:val="16"/>
          <w:szCs w:val="16"/>
          <w:color w:val="auto"/>
        </w:rPr>
      </w:pPr>
    </w:p>
    <w:p>
      <w:pPr>
        <w:ind w:left="420" w:right="60" w:firstLine="443"/>
        <w:spacing w:after="0" w:line="277" w:lineRule="auto"/>
        <w:tabs>
          <w:tab w:leader="none" w:pos="1173"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Revolving Credit Commitment of each Revolving Credit Lender shall automatically and permanently reduce to $0 on the Maturity Date of the Revolving Credit Facility.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80" w:top="274" w:right="259" w:bottom="1440" w:gutter="0" w:footer="0" w:header="0"/>
        </w:sectPr>
      </w:pPr>
    </w:p>
    <w:bookmarkStart w:id="83" w:name="page84"/>
    <w:bookmarkEnd w:id="83"/>
    <w:p>
      <w:pPr>
        <w:ind w:left="460" w:firstLine="443"/>
        <w:spacing w:after="0" w:line="264" w:lineRule="auto"/>
        <w:tabs>
          <w:tab w:leader="none" w:pos="1203" w:val="left"/>
        </w:tabs>
        <w:numPr>
          <w:ilvl w:val="1"/>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after giving effect to any reduction or termination of Revolving Credit Commitments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the Letter of Credit Sublimit or the Swing Line Sublimit exceeds the Revolving Credit Facility at such time, the Letter of Credit Sublimit or the Swing Line Sublimit, as the case may be, shall be automatically reduced by the amount of such excess.</w:t>
      </w:r>
    </w:p>
    <w:p>
      <w:pPr>
        <w:spacing w:after="0" w:line="289" w:lineRule="exact"/>
        <w:rPr>
          <w:rFonts w:ascii="Arial" w:cs="Arial" w:eastAsia="Arial" w:hAnsi="Arial"/>
          <w:sz w:val="18"/>
          <w:szCs w:val="18"/>
          <w:color w:val="auto"/>
        </w:rPr>
      </w:pPr>
    </w:p>
    <w:p>
      <w:pPr>
        <w:ind w:left="700" w:hanging="23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Application of Commitment Reductions; Payment of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0" w:firstLine="443"/>
        <w:spacing w:after="0" w:line="257" w:lineRule="auto"/>
        <w:tabs>
          <w:tab w:leader="none" w:pos="1113"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the Lenders of any termination or reduction of the Letter of Credit Sublimit, Swing Line Sublimit or the Revolving Credit Commitment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Upon any reduction of the Revolving Credit Commitments, the Revolving Credit Commitment of each Revolving Credit Lender shall be reduced by such Lender’s Applicable Revolving Credit Percentage of such reduction amount. All fees in respect of the Revolving Credit Facility accrued until the effective date of any termination of the Revolving Credit Facility shall be paid on the effective date of such termination.</w:t>
      </w:r>
    </w:p>
    <w:p>
      <w:pPr>
        <w:spacing w:after="0" w:line="80" w:lineRule="exact"/>
        <w:rPr>
          <w:rFonts w:ascii="Arial" w:cs="Arial" w:eastAsia="Arial" w:hAnsi="Arial"/>
          <w:sz w:val="18"/>
          <w:szCs w:val="18"/>
          <w:color w:val="auto"/>
        </w:rPr>
      </w:pPr>
    </w:p>
    <w:p>
      <w:pPr>
        <w:ind w:left="460" w:right="60" w:firstLine="443"/>
        <w:spacing w:after="0" w:line="264" w:lineRule="auto"/>
        <w:tabs>
          <w:tab w:leader="none" w:pos="1163"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the Lenders of any termination or reduction of the unused portion of the aggregate Term Commitments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Upon any reduction of the unused portion of the aggregate Term Commitments, the Term Commitment of each Term Lender shall be reduced by such Lender’s ratable portion of such reduction amount.</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Repayment of Loans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Term Loans</w:t>
      </w:r>
      <w:r>
        <w:rPr>
          <w:rFonts w:ascii="Arial" w:cs="Arial" w:eastAsia="Arial" w:hAnsi="Arial"/>
          <w:sz w:val="18"/>
          <w:szCs w:val="18"/>
          <w:color w:val="auto"/>
        </w:rPr>
        <w:t xml:space="preserve">. The Borrower shall repay to the Term Lenders the aggregate principal amount of all Initial Term Loans outstanding on the following dates in an amount equal to the percentage set forth opposite such date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aggregate initial principal amount of the Initial Term Loans actually made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(which amounts shall be reduced as a result of the application of prepayments in accordance with the order of priority set forth in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Fiscal Quarter Ending</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1"/>
              </w:rPr>
              <w:t>Repayment Percentage</w:t>
            </w:r>
          </w:p>
        </w:tc>
      </w:tr>
      <w:tr>
        <w:trPr>
          <w:trHeight w:val="20"/>
        </w:trPr>
        <w:tc>
          <w:tcPr>
            <w:tcW w:w="1380" w:type="dxa"/>
            <w:vAlign w:val="bottom"/>
            <w:tcBorders>
              <w:bottom w:val="single" w:sz="8" w:color="CCEEFF"/>
            </w:tcBorders>
            <w:shd w:val="clear" w:color="auto" w:fill="000000"/>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03"/>
        </w:trPr>
        <w:tc>
          <w:tcPr>
            <w:tcW w:w="5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31, 2015</w:t>
            </w:r>
          </w:p>
        </w:tc>
        <w:tc>
          <w:tcPr>
            <w:tcW w:w="19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0.25%</w:t>
            </w:r>
          </w:p>
        </w:tc>
      </w:tr>
      <w:tr>
        <w:trPr>
          <w:trHeight w:val="202"/>
        </w:trPr>
        <w:tc>
          <w:tcPr>
            <w:tcW w:w="5800" w:type="dxa"/>
            <w:vAlign w:val="bottom"/>
            <w:gridSpan w:val="2"/>
          </w:tcPr>
          <w:p>
            <w:pPr>
              <w:spacing w:after="0" w:line="201" w:lineRule="exact"/>
              <w:rPr>
                <w:sz w:val="20"/>
                <w:szCs w:val="20"/>
                <w:color w:val="auto"/>
              </w:rPr>
            </w:pPr>
            <w:r>
              <w:rPr>
                <w:rFonts w:ascii="Arial" w:cs="Arial" w:eastAsia="Arial" w:hAnsi="Arial"/>
                <w:sz w:val="18"/>
                <w:szCs w:val="18"/>
                <w:color w:val="auto"/>
              </w:rPr>
              <w:t>March 31, 2016</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0"/>
              </w:rPr>
              <w:t>0.25%</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June 30, 2016</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0.25%</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September 30, 2016</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0.25%</w:t>
            </w: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0.25%</w:t>
            </w:r>
          </w:p>
        </w:tc>
      </w:tr>
      <w:tr>
        <w:trPr>
          <w:trHeight w:val="215"/>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2017</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2017</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44"/>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02"/>
        </w:trPr>
        <w:tc>
          <w:tcPr>
            <w:tcW w:w="5800" w:type="dxa"/>
            <w:vAlign w:val="bottom"/>
            <w:gridSpan w:val="2"/>
          </w:tcPr>
          <w:p>
            <w:pPr>
              <w:spacing w:after="0" w:line="201" w:lineRule="exact"/>
              <w:rPr>
                <w:sz w:val="20"/>
                <w:szCs w:val="20"/>
                <w:color w:val="auto"/>
              </w:rPr>
            </w:pPr>
            <w:r>
              <w:rPr>
                <w:rFonts w:ascii="Arial" w:cs="Arial" w:eastAsia="Arial" w:hAnsi="Arial"/>
                <w:sz w:val="18"/>
                <w:szCs w:val="18"/>
                <w:color w:val="auto"/>
              </w:rPr>
              <w:t>March 31, 2018</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0"/>
              </w:rPr>
              <w:t>0.25%</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June 30, 2018</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0.25%</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0.25%</w:t>
            </w: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0.25%</w:t>
            </w:r>
          </w:p>
        </w:tc>
      </w:tr>
      <w:tr>
        <w:trPr>
          <w:trHeight w:val="215"/>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2019</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2019</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44"/>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02"/>
        </w:trPr>
        <w:tc>
          <w:tcPr>
            <w:tcW w:w="5800" w:type="dxa"/>
            <w:vAlign w:val="bottom"/>
            <w:gridSpan w:val="2"/>
          </w:tcPr>
          <w:p>
            <w:pPr>
              <w:spacing w:after="0" w:line="201" w:lineRule="exact"/>
              <w:rPr>
                <w:sz w:val="20"/>
                <w:szCs w:val="20"/>
                <w:color w:val="auto"/>
              </w:rPr>
            </w:pPr>
            <w:r>
              <w:rPr>
                <w:rFonts w:ascii="Arial" w:cs="Arial" w:eastAsia="Arial" w:hAnsi="Arial"/>
                <w:sz w:val="18"/>
                <w:szCs w:val="18"/>
                <w:color w:val="auto"/>
              </w:rPr>
              <w:t>March 31, 2020</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0"/>
              </w:rPr>
              <w:t>0.25%</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0.25%</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September 30, 2020</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0.25%</w:t>
            </w: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0.25%</w:t>
            </w:r>
          </w:p>
        </w:tc>
      </w:tr>
      <w:tr>
        <w:trPr>
          <w:trHeight w:val="215"/>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2021</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2021</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44"/>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02"/>
        </w:trPr>
        <w:tc>
          <w:tcPr>
            <w:tcW w:w="5800" w:type="dxa"/>
            <w:vAlign w:val="bottom"/>
            <w:gridSpan w:val="2"/>
          </w:tcPr>
          <w:p>
            <w:pPr>
              <w:spacing w:after="0" w:line="201" w:lineRule="exact"/>
              <w:rPr>
                <w:sz w:val="20"/>
                <w:szCs w:val="20"/>
                <w:color w:val="auto"/>
              </w:rPr>
            </w:pPr>
            <w:r>
              <w:rPr>
                <w:rFonts w:ascii="Arial" w:cs="Arial" w:eastAsia="Arial" w:hAnsi="Arial"/>
                <w:sz w:val="18"/>
                <w:szCs w:val="18"/>
                <w:color w:val="auto"/>
              </w:rPr>
              <w:t>March 31, 2022</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0"/>
              </w:rPr>
              <w:t>0.25%</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June 30, 2022</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0.25%</w:t>
            </w: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September 30, 2022</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0.25%</w:t>
            </w:r>
          </w:p>
        </w:tc>
      </w:tr>
      <w:tr>
        <w:trPr>
          <w:trHeight w:val="215"/>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Maturity Date with respect to the Initial Term Loans</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All outstanding principal</w:t>
            </w:r>
          </w:p>
        </w:tc>
      </w:tr>
      <w:tr>
        <w:trPr>
          <w:trHeight w:val="216"/>
        </w:trPr>
        <w:tc>
          <w:tcPr>
            <w:tcW w:w="13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amount of the Initial</w:t>
            </w:r>
          </w:p>
        </w:tc>
      </w:tr>
      <w:tr>
        <w:trPr>
          <w:trHeight w:val="230"/>
        </w:trPr>
        <w:tc>
          <w:tcPr>
            <w:tcW w:w="1380" w:type="dxa"/>
            <w:vAlign w:val="bottom"/>
            <w:shd w:val="clear" w:color="auto" w:fill="CCEEFF"/>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Term Loans</w:t>
            </w:r>
          </w:p>
        </w:tc>
      </w:tr>
      <w:tr>
        <w:trPr>
          <w:trHeight w:val="365"/>
        </w:trPr>
        <w:tc>
          <w:tcPr>
            <w:tcW w:w="5800" w:type="dxa"/>
            <w:vAlign w:val="bottom"/>
            <w:gridSpan w:val="2"/>
          </w:tcPr>
          <w:p>
            <w:pPr>
              <w:ind w:left="3720"/>
              <w:spacing w:after="0"/>
              <w:rPr>
                <w:sz w:val="20"/>
                <w:szCs w:val="20"/>
                <w:color w:val="auto"/>
              </w:rPr>
            </w:pPr>
            <w:r>
              <w:rPr>
                <w:rFonts w:ascii="Arial" w:cs="Arial" w:eastAsia="Arial" w:hAnsi="Arial"/>
                <w:sz w:val="18"/>
                <w:szCs w:val="18"/>
                <w:color w:val="auto"/>
              </w:rPr>
              <w:t>-58-</w:t>
            </w:r>
          </w:p>
        </w:tc>
        <w:tc>
          <w:tcPr>
            <w:tcW w:w="1960" w:type="dxa"/>
            <w:vAlign w:val="bottom"/>
          </w:tcPr>
          <w:p>
            <w:pPr>
              <w:spacing w:after="0"/>
              <w:rPr>
                <w:sz w:val="24"/>
                <w:szCs w:val="24"/>
                <w:color w:val="auto"/>
              </w:rPr>
            </w:pPr>
          </w:p>
        </w:tc>
      </w:tr>
    </w:tbl>
    <w:p>
      <w:pPr>
        <w:sectPr>
          <w:pgSz w:w="11900" w:h="16838" w:orient="portrait"/>
          <w:cols w:equalWidth="0" w:num="1">
            <w:col w:w="11340"/>
          </w:cols>
          <w:pgMar w:left="240" w:top="274" w:right="319" w:bottom="1440" w:gutter="0" w:footer="0" w:header="0"/>
        </w:sectPr>
      </w:pPr>
    </w:p>
    <w:bookmarkStart w:id="84" w:name="page85"/>
    <w:bookmarkEnd w:id="84"/>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any Incremental Term Loans are made, the Borrower shall repay such Incremental Term Loans on the dates and in the amounts set forth documentation entered into in connection with such Incremental Term Loans, with all outstanding principal amounts of such Incremental Term Loans being made on the applicable Maturity Date thereof.</w:t>
      </w:r>
    </w:p>
    <w:p>
      <w:pPr>
        <w:spacing w:after="0" w:line="181" w:lineRule="exact"/>
        <w:rPr>
          <w:sz w:val="20"/>
          <w:szCs w:val="20"/>
          <w:color w:val="auto"/>
        </w:rPr>
      </w:pPr>
    </w:p>
    <w:p>
      <w:pPr>
        <w:ind w:firstLine="464"/>
        <w:spacing w:after="0" w:line="308" w:lineRule="auto"/>
        <w:tabs>
          <w:tab w:leader="none" w:pos="711"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Revolving Credit Loans</w:t>
      </w:r>
      <w:r>
        <w:rPr>
          <w:rFonts w:ascii="Arial" w:cs="Arial" w:eastAsia="Arial" w:hAnsi="Arial"/>
          <w:sz w:val="17"/>
          <w:szCs w:val="17"/>
          <w:color w:val="auto"/>
        </w:rPr>
        <w:t>. The Borrower shall repay to the Administrative Agent for the ratable account of the applicable Revolving Credit Lenders on the Maturity Date for the Revolving Credit Facility the aggregate principal amount of all Revolving Credit Loans outstanding on such date.</w:t>
      </w:r>
    </w:p>
    <w:p>
      <w:pPr>
        <w:spacing w:after="0" w:line="146" w:lineRule="exact"/>
        <w:rPr>
          <w:rFonts w:ascii="Arial" w:cs="Arial" w:eastAsia="Arial" w:hAnsi="Arial"/>
          <w:sz w:val="17"/>
          <w:szCs w:val="17"/>
          <w:color w:val="auto"/>
        </w:rPr>
      </w:pPr>
    </w:p>
    <w:p>
      <w:pPr>
        <w:ind w:left="700" w:hanging="236"/>
        <w:spacing w:after="0"/>
        <w:tabs>
          <w:tab w:leader="none" w:pos="700"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Swing Line Loans</w:t>
      </w:r>
      <w:r>
        <w:rPr>
          <w:rFonts w:ascii="Arial" w:cs="Arial" w:eastAsia="Arial" w:hAnsi="Arial"/>
          <w:sz w:val="16"/>
          <w:szCs w:val="16"/>
          <w:color w:val="auto"/>
        </w:rPr>
        <w:t>. The Borrower shall repay each Swing Line Loan on the earlier to occur of (i) the date seven days after such Loan is made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Maturity Date for the Revolving Credit Facility.</w:t>
      </w:r>
    </w:p>
    <w:p>
      <w:pPr>
        <w:spacing w:after="0" w:line="210" w:lineRule="exact"/>
        <w:rPr>
          <w:rFonts w:ascii="Arial" w:cs="Arial" w:eastAsia="Arial" w:hAnsi="Arial"/>
          <w:sz w:val="18"/>
          <w:szCs w:val="18"/>
          <w:color w:val="auto"/>
        </w:rPr>
      </w:pPr>
    </w:p>
    <w:p>
      <w:pPr>
        <w:ind w:right="260" w:firstLine="464"/>
        <w:spacing w:after="0" w:line="264" w:lineRule="auto"/>
        <w:tabs>
          <w:tab w:leader="none" w:pos="711"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Tranche B Term Loans</w:t>
      </w:r>
      <w:r>
        <w:rPr>
          <w:rFonts w:ascii="Arial" w:cs="Arial" w:eastAsia="Arial" w:hAnsi="Arial"/>
          <w:sz w:val="18"/>
          <w:szCs w:val="18"/>
          <w:color w:val="auto"/>
        </w:rPr>
        <w:t xml:space="preserve">. The Borrower shall repay to the Tranche B Term Lenders the aggregate principal amount of all Tranche B Term Loans outstanding on the following dates in an amount equal to the amount set forth opposite such date (which amounts shall be reduced as a result of the application of prepayments in accordance with the order of priority set forth in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Fiscal Quarter Ending</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2"/>
          </w:tcPr>
          <w:p>
            <w:pPr>
              <w:ind w:left="240"/>
              <w:spacing w:after="0"/>
              <w:rPr>
                <w:sz w:val="20"/>
                <w:szCs w:val="20"/>
                <w:color w:val="auto"/>
              </w:rPr>
            </w:pPr>
            <w:r>
              <w:rPr>
                <w:rFonts w:ascii="Arial" w:cs="Arial" w:eastAsia="Arial" w:hAnsi="Arial"/>
                <w:sz w:val="14"/>
                <w:szCs w:val="14"/>
                <w:b w:val="1"/>
                <w:bCs w:val="1"/>
                <w:color w:val="auto"/>
              </w:rPr>
              <w:t>Repayment Amount</w:t>
            </w:r>
          </w:p>
        </w:tc>
      </w:tr>
      <w:tr>
        <w:trPr>
          <w:trHeight w:val="20"/>
        </w:trPr>
        <w:tc>
          <w:tcPr>
            <w:tcW w:w="1380" w:type="dxa"/>
            <w:vAlign w:val="bottom"/>
            <w:tcBorders>
              <w:bottom w:val="single" w:sz="8" w:color="CCEEFF"/>
            </w:tcBorders>
            <w:shd w:val="clear" w:color="auto" w:fill="000000"/>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5"/>
        </w:trPr>
        <w:tc>
          <w:tcPr>
            <w:tcW w:w="4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September 30, 2016</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1,437,500</w:t>
            </w:r>
          </w:p>
        </w:tc>
        <w:tc>
          <w:tcPr>
            <w:tcW w:w="100" w:type="dxa"/>
            <w:vAlign w:val="bottom"/>
            <w:shd w:val="clear" w:color="auto" w:fill="CCEEFF"/>
          </w:tcPr>
          <w:p>
            <w:pPr>
              <w:spacing w:after="0"/>
              <w:rPr>
                <w:sz w:val="15"/>
                <w:szCs w:val="15"/>
                <w:color w:val="auto"/>
              </w:rPr>
            </w:pPr>
          </w:p>
        </w:tc>
      </w:tr>
      <w:tr>
        <w:trPr>
          <w:trHeight w:val="257"/>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shd w:val="clear" w:color="auto" w:fill="CCEEFF"/>
          </w:tcPr>
          <w:p>
            <w:pPr>
              <w:spacing w:after="0"/>
              <w:rPr>
                <w:sz w:val="22"/>
                <w:szCs w:val="22"/>
                <w:color w:val="auto"/>
              </w:rPr>
            </w:pPr>
          </w:p>
        </w:tc>
      </w:tr>
      <w:tr>
        <w:trPr>
          <w:trHeight w:val="202"/>
        </w:trPr>
        <w:tc>
          <w:tcPr>
            <w:tcW w:w="4880" w:type="dxa"/>
            <w:vAlign w:val="bottom"/>
            <w:gridSpan w:val="2"/>
          </w:tcPr>
          <w:p>
            <w:pPr>
              <w:spacing w:after="0" w:line="201" w:lineRule="exact"/>
              <w:rPr>
                <w:sz w:val="20"/>
                <w:szCs w:val="20"/>
                <w:color w:val="auto"/>
              </w:rPr>
            </w:pPr>
            <w:r>
              <w:rPr>
                <w:rFonts w:ascii="Arial" w:cs="Arial" w:eastAsia="Arial" w:hAnsi="Arial"/>
                <w:sz w:val="18"/>
                <w:szCs w:val="18"/>
                <w:color w:val="auto"/>
              </w:rPr>
              <w:t>March 31, 2017</w:t>
            </w: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201" w:lineRule="exact"/>
              <w:rPr>
                <w:sz w:val="20"/>
                <w:szCs w:val="20"/>
                <w:color w:val="auto"/>
              </w:rPr>
            </w:pPr>
            <w:r>
              <w:rPr>
                <w:rFonts w:ascii="Arial" w:cs="Arial" w:eastAsia="Arial" w:hAnsi="Arial"/>
                <w:sz w:val="18"/>
                <w:szCs w:val="18"/>
                <w:color w:val="auto"/>
              </w:rPr>
              <w:t>1,437,500</w:t>
            </w:r>
          </w:p>
        </w:tc>
        <w:tc>
          <w:tcPr>
            <w:tcW w:w="100" w:type="dxa"/>
            <w:vAlign w:val="bottom"/>
          </w:tcPr>
          <w:p>
            <w:pPr>
              <w:spacing w:after="0"/>
              <w:rPr>
                <w:sz w:val="17"/>
                <w:szCs w:val="17"/>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June 30, 2017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tcPr>
          <w:p>
            <w:pPr>
              <w:spacing w:after="0"/>
              <w:rPr>
                <w:sz w:val="18"/>
                <w:szCs w:val="18"/>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September 30, 2017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tcPr>
          <w:p>
            <w:pPr>
              <w:spacing w:after="0"/>
              <w:rPr>
                <w:sz w:val="18"/>
                <w:szCs w:val="18"/>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tcPr>
          <w:p>
            <w:pPr>
              <w:spacing w:after="0"/>
              <w:rPr>
                <w:sz w:val="20"/>
                <w:szCs w:val="20"/>
                <w:color w:val="auto"/>
              </w:rPr>
            </w:pPr>
          </w:p>
        </w:tc>
      </w:tr>
      <w:tr>
        <w:trPr>
          <w:trHeight w:val="215"/>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shd w:val="clear" w:color="auto" w:fill="CCEEFF"/>
          </w:tcPr>
          <w:p>
            <w:pPr>
              <w:spacing w:after="0"/>
              <w:rPr>
                <w:sz w:val="18"/>
                <w:szCs w:val="18"/>
                <w:color w:val="auto"/>
              </w:rPr>
            </w:pPr>
          </w:p>
        </w:tc>
      </w:tr>
      <w:tr>
        <w:trPr>
          <w:trHeight w:val="244"/>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shd w:val="clear" w:color="auto" w:fill="CCEEFF"/>
          </w:tcPr>
          <w:p>
            <w:pPr>
              <w:spacing w:after="0"/>
              <w:rPr>
                <w:sz w:val="21"/>
                <w:szCs w:val="21"/>
                <w:color w:val="auto"/>
              </w:rPr>
            </w:pPr>
          </w:p>
        </w:tc>
      </w:tr>
      <w:tr>
        <w:trPr>
          <w:trHeight w:val="202"/>
        </w:trPr>
        <w:tc>
          <w:tcPr>
            <w:tcW w:w="4880" w:type="dxa"/>
            <w:vAlign w:val="bottom"/>
            <w:gridSpan w:val="2"/>
          </w:tcPr>
          <w:p>
            <w:pPr>
              <w:spacing w:after="0" w:line="201" w:lineRule="exact"/>
              <w:rPr>
                <w:sz w:val="20"/>
                <w:szCs w:val="20"/>
                <w:color w:val="auto"/>
              </w:rPr>
            </w:pPr>
            <w:r>
              <w:rPr>
                <w:rFonts w:ascii="Arial" w:cs="Arial" w:eastAsia="Arial" w:hAnsi="Arial"/>
                <w:sz w:val="18"/>
                <w:szCs w:val="18"/>
                <w:color w:val="auto"/>
              </w:rPr>
              <w:t>March 31, 2019</w:t>
            </w: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201" w:lineRule="exact"/>
              <w:rPr>
                <w:sz w:val="20"/>
                <w:szCs w:val="20"/>
                <w:color w:val="auto"/>
              </w:rPr>
            </w:pPr>
            <w:r>
              <w:rPr>
                <w:rFonts w:ascii="Arial" w:cs="Arial" w:eastAsia="Arial" w:hAnsi="Arial"/>
                <w:sz w:val="18"/>
                <w:szCs w:val="18"/>
                <w:color w:val="auto"/>
              </w:rPr>
              <w:t>1,437,500</w:t>
            </w:r>
          </w:p>
        </w:tc>
        <w:tc>
          <w:tcPr>
            <w:tcW w:w="100" w:type="dxa"/>
            <w:vAlign w:val="bottom"/>
          </w:tcPr>
          <w:p>
            <w:pPr>
              <w:spacing w:after="0"/>
              <w:rPr>
                <w:sz w:val="17"/>
                <w:szCs w:val="17"/>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June 30, 2019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tcPr>
          <w:p>
            <w:pPr>
              <w:spacing w:after="0"/>
              <w:rPr>
                <w:sz w:val="18"/>
                <w:szCs w:val="18"/>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September 30, 2019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tcPr>
          <w:p>
            <w:pPr>
              <w:spacing w:after="0"/>
              <w:rPr>
                <w:sz w:val="18"/>
                <w:szCs w:val="18"/>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tcPr>
          <w:p>
            <w:pPr>
              <w:spacing w:after="0"/>
              <w:rPr>
                <w:sz w:val="20"/>
                <w:szCs w:val="20"/>
                <w:color w:val="auto"/>
              </w:rPr>
            </w:pPr>
          </w:p>
        </w:tc>
      </w:tr>
      <w:tr>
        <w:trPr>
          <w:trHeight w:val="215"/>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shd w:val="clear" w:color="auto" w:fill="CCEEFF"/>
          </w:tcPr>
          <w:p>
            <w:pPr>
              <w:spacing w:after="0"/>
              <w:rPr>
                <w:sz w:val="18"/>
                <w:szCs w:val="18"/>
                <w:color w:val="auto"/>
              </w:rPr>
            </w:pPr>
          </w:p>
        </w:tc>
      </w:tr>
      <w:tr>
        <w:trPr>
          <w:trHeight w:val="244"/>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shd w:val="clear" w:color="auto" w:fill="CCEEFF"/>
          </w:tcPr>
          <w:p>
            <w:pPr>
              <w:spacing w:after="0"/>
              <w:rPr>
                <w:sz w:val="21"/>
                <w:szCs w:val="21"/>
                <w:color w:val="auto"/>
              </w:rPr>
            </w:pPr>
          </w:p>
        </w:tc>
      </w:tr>
      <w:tr>
        <w:trPr>
          <w:trHeight w:val="202"/>
        </w:trPr>
        <w:tc>
          <w:tcPr>
            <w:tcW w:w="4880" w:type="dxa"/>
            <w:vAlign w:val="bottom"/>
            <w:gridSpan w:val="2"/>
          </w:tcPr>
          <w:p>
            <w:pPr>
              <w:spacing w:after="0" w:line="201" w:lineRule="exact"/>
              <w:rPr>
                <w:sz w:val="20"/>
                <w:szCs w:val="20"/>
                <w:color w:val="auto"/>
              </w:rPr>
            </w:pPr>
            <w:r>
              <w:rPr>
                <w:rFonts w:ascii="Arial" w:cs="Arial" w:eastAsia="Arial" w:hAnsi="Arial"/>
                <w:sz w:val="18"/>
                <w:szCs w:val="18"/>
                <w:color w:val="auto"/>
              </w:rPr>
              <w:t>March 31, 2021</w:t>
            </w: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201" w:lineRule="exact"/>
              <w:rPr>
                <w:sz w:val="20"/>
                <w:szCs w:val="20"/>
                <w:color w:val="auto"/>
              </w:rPr>
            </w:pPr>
            <w:r>
              <w:rPr>
                <w:rFonts w:ascii="Arial" w:cs="Arial" w:eastAsia="Arial" w:hAnsi="Arial"/>
                <w:sz w:val="18"/>
                <w:szCs w:val="18"/>
                <w:color w:val="auto"/>
              </w:rPr>
              <w:t>1,437,500</w:t>
            </w:r>
          </w:p>
        </w:tc>
        <w:tc>
          <w:tcPr>
            <w:tcW w:w="100" w:type="dxa"/>
            <w:vAlign w:val="bottom"/>
          </w:tcPr>
          <w:p>
            <w:pPr>
              <w:spacing w:after="0"/>
              <w:rPr>
                <w:sz w:val="17"/>
                <w:szCs w:val="17"/>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June 30, 2021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tcPr>
          <w:p>
            <w:pPr>
              <w:spacing w:after="0"/>
              <w:rPr>
                <w:sz w:val="18"/>
                <w:szCs w:val="18"/>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September 30, 2021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tcPr>
          <w:p>
            <w:pPr>
              <w:spacing w:after="0"/>
              <w:rPr>
                <w:sz w:val="18"/>
                <w:szCs w:val="18"/>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December 31, 2021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tcPr>
          <w:p>
            <w:pPr>
              <w:spacing w:after="0"/>
              <w:rPr>
                <w:sz w:val="20"/>
                <w:szCs w:val="20"/>
                <w:color w:val="auto"/>
              </w:rPr>
            </w:pPr>
          </w:p>
        </w:tc>
      </w:tr>
      <w:tr>
        <w:trPr>
          <w:trHeight w:val="215"/>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shd w:val="clear" w:color="auto" w:fill="CCEEFF"/>
          </w:tcPr>
          <w:p>
            <w:pPr>
              <w:spacing w:after="0"/>
              <w:rPr>
                <w:sz w:val="18"/>
                <w:szCs w:val="18"/>
                <w:color w:val="auto"/>
              </w:rPr>
            </w:pPr>
          </w:p>
        </w:tc>
      </w:tr>
      <w:tr>
        <w:trPr>
          <w:trHeight w:val="244"/>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w:t>
            </w:r>
          </w:p>
        </w:tc>
        <w:tc>
          <w:tcPr>
            <w:tcW w:w="100" w:type="dxa"/>
            <w:vAlign w:val="bottom"/>
            <w:shd w:val="clear" w:color="auto" w:fill="CCEEFF"/>
          </w:tcPr>
          <w:p>
            <w:pPr>
              <w:spacing w:after="0"/>
              <w:rPr>
                <w:sz w:val="21"/>
                <w:szCs w:val="21"/>
                <w:color w:val="auto"/>
              </w:rPr>
            </w:pPr>
          </w:p>
        </w:tc>
      </w:tr>
      <w:tr>
        <w:trPr>
          <w:trHeight w:val="202"/>
        </w:trPr>
        <w:tc>
          <w:tcPr>
            <w:tcW w:w="4880" w:type="dxa"/>
            <w:vAlign w:val="bottom"/>
            <w:gridSpan w:val="2"/>
          </w:tcPr>
          <w:p>
            <w:pPr>
              <w:spacing w:after="0" w:line="201" w:lineRule="exact"/>
              <w:rPr>
                <w:sz w:val="20"/>
                <w:szCs w:val="20"/>
                <w:color w:val="auto"/>
              </w:rPr>
            </w:pPr>
            <w:r>
              <w:rPr>
                <w:rFonts w:ascii="Arial" w:cs="Arial" w:eastAsia="Arial" w:hAnsi="Arial"/>
                <w:sz w:val="18"/>
                <w:szCs w:val="18"/>
                <w:color w:val="auto"/>
              </w:rPr>
              <w:t>Maturity Date with respect to the Initial Term Loans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4"/>
              </w:rPr>
              <w:t>All outstanding principal</w:t>
            </w:r>
          </w:p>
        </w:tc>
      </w:tr>
      <w:tr>
        <w:trPr>
          <w:trHeight w:val="216"/>
        </w:trPr>
        <w:tc>
          <w:tcPr>
            <w:tcW w:w="13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amount of the Initial</w:t>
            </w:r>
          </w:p>
        </w:tc>
      </w:tr>
      <w:tr>
        <w:trPr>
          <w:trHeight w:val="230"/>
        </w:trPr>
        <w:tc>
          <w:tcPr>
            <w:tcW w:w="13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Term Loans</w:t>
            </w:r>
          </w:p>
        </w:tc>
      </w:tr>
      <w:tr>
        <w:trPr>
          <w:trHeight w:val="365"/>
        </w:trPr>
        <w:tc>
          <w:tcPr>
            <w:tcW w:w="4880" w:type="dxa"/>
            <w:vAlign w:val="bottom"/>
            <w:gridSpan w:val="2"/>
          </w:tcPr>
          <w:p>
            <w:pPr>
              <w:ind w:left="3720"/>
              <w:spacing w:after="0"/>
              <w:rPr>
                <w:sz w:val="20"/>
                <w:szCs w:val="20"/>
                <w:color w:val="auto"/>
              </w:rPr>
            </w:pPr>
            <w:r>
              <w:rPr>
                <w:rFonts w:ascii="Arial" w:cs="Arial" w:eastAsia="Arial" w:hAnsi="Arial"/>
                <w:sz w:val="18"/>
                <w:szCs w:val="18"/>
                <w:color w:val="auto"/>
              </w:rPr>
              <w:t>-59-</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60"/>
          </w:cols>
          <w:pgMar w:left="240" w:top="274" w:right="399" w:bottom="1440" w:gutter="0" w:footer="0" w:header="0"/>
        </w:sectPr>
      </w:pPr>
    </w:p>
    <w:bookmarkStart w:id="85" w:name="page86"/>
    <w:bookmarkEnd w:id="85"/>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2.08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17" w:lineRule="exact"/>
        <w:rPr>
          <w:sz w:val="20"/>
          <w:szCs w:val="20"/>
          <w:color w:val="auto"/>
        </w:rPr>
      </w:pPr>
    </w:p>
    <w:p>
      <w:pPr>
        <w:ind w:left="-100" w:right="40" w:firstLine="464"/>
        <w:spacing w:after="0" w:line="297" w:lineRule="auto"/>
        <w:tabs>
          <w:tab w:leader="none" w:pos="601"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(i) each Eurodollar Rate Loan under a Facility shall bear interest on the outstanding principal amount thereof for each Interest Period at a rate per annum equal to the Eurodollar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such Facility; (ii) each Base Rate Loan under a Facility shall bear interest on the outstanding principal amount thereof from the applicable borrowing date at a rate per annum equal to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such Facility; and (iii) each Swing Line Loan shall bear interest on the outstanding principal amount thereof from the applicable borrowing date at a rate per annum equal to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the Revolving Credit Facility.</w:t>
      </w:r>
    </w:p>
    <w:p>
      <w:pPr>
        <w:spacing w:after="0" w:line="158" w:lineRule="exact"/>
        <w:rPr>
          <w:rFonts w:ascii="Arial" w:cs="Arial" w:eastAsia="Arial" w:hAnsi="Arial"/>
          <w:sz w:val="16"/>
          <w:szCs w:val="16"/>
          <w:color w:val="auto"/>
        </w:rPr>
      </w:pPr>
    </w:p>
    <w:p>
      <w:pPr>
        <w:ind w:left="-100" w:firstLine="464"/>
        <w:spacing w:after="0" w:line="264" w:lineRule="auto"/>
        <w:tabs>
          <w:tab w:leader="none" w:pos="6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73" w:lineRule="exact"/>
        <w:rPr>
          <w:rFonts w:ascii="Arial" w:cs="Arial" w:eastAsia="Arial" w:hAnsi="Arial"/>
          <w:sz w:val="18"/>
          <w:szCs w:val="18"/>
          <w:color w:val="auto"/>
        </w:rPr>
      </w:pPr>
    </w:p>
    <w:p>
      <w:pPr>
        <w:ind w:left="360" w:right="320" w:firstLine="443"/>
        <w:spacing w:after="0" w:line="342" w:lineRule="auto"/>
        <w:tabs>
          <w:tab w:leader="none" w:pos="1063"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While any Event of Default exists and is continuing under </w:t>
      </w:r>
      <w:r>
        <w:rPr>
          <w:rFonts w:ascii="Arial" w:cs="Arial" w:eastAsia="Arial" w:hAnsi="Arial"/>
          <w:sz w:val="16"/>
          <w:szCs w:val="16"/>
          <w:u w:val="single" w:color="auto"/>
          <w:color w:val="auto"/>
        </w:rPr>
        <w:t>Section 8.01(j)</w:t>
      </w:r>
      <w:r>
        <w:rPr>
          <w:rFonts w:ascii="Arial" w:cs="Arial" w:eastAsia="Arial" w:hAnsi="Arial"/>
          <w:sz w:val="16"/>
          <w:szCs w:val="16"/>
          <w:color w:val="auto"/>
        </w:rPr>
        <w:t>, the Borrower shall pay interest on all outstanding Obligations hereunder at a fluctuating interest rate per annum at all times equal to the Default Rate to the fullest extent permitted by applicable Laws.</w:t>
      </w:r>
    </w:p>
    <w:p>
      <w:pPr>
        <w:spacing w:after="0" w:line="15" w:lineRule="exact"/>
        <w:rPr>
          <w:rFonts w:ascii="Arial" w:cs="Arial" w:eastAsia="Arial" w:hAnsi="Arial"/>
          <w:sz w:val="16"/>
          <w:szCs w:val="16"/>
          <w:color w:val="auto"/>
        </w:rPr>
      </w:pPr>
    </w:p>
    <w:p>
      <w:pPr>
        <w:ind w:left="1120" w:hanging="317"/>
        <w:spacing w:after="0"/>
        <w:tabs>
          <w:tab w:leader="none" w:pos="11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Upon the request of the Required Lenders, while any Event of Default exists (other than to the extent set forth in </w:t>
      </w:r>
      <w:r>
        <w:rPr>
          <w:rFonts w:ascii="Arial" w:cs="Arial" w:eastAsia="Arial" w:hAnsi="Arial"/>
          <w:sz w:val="16"/>
          <w:szCs w:val="16"/>
          <w:u w:val="single" w:color="auto"/>
          <w:color w:val="auto"/>
        </w:rPr>
        <w:t>Sections 2.08(b)(i)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p>
    <w:p>
      <w:pPr>
        <w:spacing w:after="0" w:line="46" w:lineRule="exact"/>
        <w:rPr>
          <w:rFonts w:ascii="Arial" w:cs="Arial" w:eastAsia="Arial" w:hAnsi="Arial"/>
          <w:sz w:val="16"/>
          <w:szCs w:val="16"/>
          <w:color w:val="auto"/>
        </w:rPr>
      </w:pPr>
    </w:p>
    <w:p>
      <w:pPr>
        <w:ind w:left="360" w:right="80" w:firstLine="4"/>
        <w:spacing w:after="0" w:line="261" w:lineRule="auto"/>
        <w:tabs>
          <w:tab w:leader="none" w:pos="625" w:val="left"/>
        </w:tabs>
        <w:numPr>
          <w:ilvl w:val="0"/>
          <w:numId w:val="74"/>
        </w:numPr>
        <w:rPr>
          <w:rFonts w:ascii="Arial" w:cs="Arial" w:eastAsia="Arial" w:hAnsi="Arial"/>
          <w:sz w:val="18"/>
          <w:szCs w:val="18"/>
          <w:u w:val="single" w:color="auto"/>
          <w:color w:val="auto"/>
        </w:rPr>
      </w:pPr>
      <w:r>
        <w:rPr>
          <w:rFonts w:ascii="Arial" w:cs="Arial" w:eastAsia="Arial" w:hAnsi="Arial"/>
          <w:sz w:val="18"/>
          <w:szCs w:val="18"/>
          <w:color w:val="auto"/>
        </w:rPr>
        <w:t>above), the Borrower shall pay interest on the principal amount of all outstanding Obligations hereunder at a fluctuating interest rate per annum at all times equal to the Default Rate to the fullest extent permitted by applicable Laws.</w:t>
      </w:r>
    </w:p>
    <w:p>
      <w:pPr>
        <w:spacing w:after="0" w:line="75" w:lineRule="exact"/>
        <w:rPr>
          <w:rFonts w:ascii="Arial" w:cs="Arial" w:eastAsia="Arial" w:hAnsi="Arial"/>
          <w:sz w:val="18"/>
          <w:szCs w:val="18"/>
          <w:u w:val="single" w:color="auto"/>
          <w:color w:val="auto"/>
        </w:rPr>
      </w:pPr>
    </w:p>
    <w:p>
      <w:pPr>
        <w:ind w:left="360" w:right="60" w:firstLine="443"/>
        <w:spacing w:after="0" w:line="264" w:lineRule="auto"/>
        <w:tabs>
          <w:tab w:leader="none" w:pos="1103" w:val="left"/>
        </w:tabs>
        <w:numPr>
          <w:ilvl w:val="1"/>
          <w:numId w:val="74"/>
        </w:numPr>
        <w:rPr>
          <w:rFonts w:ascii="Arial" w:cs="Arial" w:eastAsia="Arial" w:hAnsi="Arial"/>
          <w:sz w:val="18"/>
          <w:szCs w:val="18"/>
          <w:color w:val="auto"/>
        </w:rPr>
      </w:pPr>
      <w:r>
        <w:rPr>
          <w:rFonts w:ascii="Arial" w:cs="Arial" w:eastAsia="Arial" w:hAnsi="Arial"/>
          <w:sz w:val="18"/>
          <w:szCs w:val="18"/>
          <w:color w:val="auto"/>
        </w:rPr>
        <w:t>While a Financial Covenant Event of Default exists, the Borrower shall pay interest on the principal amount of all outstanding Total Revolving Credit Obligations hereunder at a fluctuating interest rate per annum at all times equal to the Default Rate to the fullest extent permitted by applicable Laws.</w:t>
      </w:r>
    </w:p>
    <w:p>
      <w:pPr>
        <w:spacing w:after="0" w:line="73" w:lineRule="exact"/>
        <w:rPr>
          <w:rFonts w:ascii="Arial" w:cs="Arial" w:eastAsia="Arial" w:hAnsi="Arial"/>
          <w:sz w:val="18"/>
          <w:szCs w:val="18"/>
          <w:color w:val="auto"/>
        </w:rPr>
      </w:pPr>
    </w:p>
    <w:p>
      <w:pPr>
        <w:ind w:left="1060" w:hanging="257"/>
        <w:spacing w:after="0"/>
        <w:tabs>
          <w:tab w:leader="none" w:pos="10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Accrued and unpaid interest on past due amounts (including interest on past due interest) shall be due and payable upon demand.</w:t>
      </w:r>
    </w:p>
    <w:p>
      <w:pPr>
        <w:spacing w:after="0" w:line="236" w:lineRule="exact"/>
        <w:rPr>
          <w:rFonts w:ascii="Arial" w:cs="Arial" w:eastAsia="Arial" w:hAnsi="Arial"/>
          <w:sz w:val="17"/>
          <w:szCs w:val="17"/>
          <w:color w:val="auto"/>
        </w:rPr>
      </w:pPr>
    </w:p>
    <w:p>
      <w:pPr>
        <w:ind w:left="-100" w:right="480" w:firstLine="464"/>
        <w:spacing w:after="0" w:line="264" w:lineRule="auto"/>
        <w:tabs>
          <w:tab w:leader="none" w:pos="601"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40" w:top="274" w:right="339"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2.09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In addition to certain fees described in </w:t>
      </w:r>
      <w:r>
        <w:rPr>
          <w:rFonts w:ascii="Arial" w:cs="Arial" w:eastAsia="Arial" w:hAnsi="Arial"/>
          <w:sz w:val="18"/>
          <w:szCs w:val="18"/>
          <w:u w:val="single" w:color="auto"/>
          <w:color w:val="auto"/>
        </w:rPr>
        <w:t>Sections 2.03(h)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0" w:lineRule="auto"/>
        <w:tabs>
          <w:tab w:leader="none" w:pos="701"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The Borrower shall pay to the Administrative Agent for the account of each Revolving Credit Lender in accordance with its Applicable Revolving Credit Percentage, a commitment fee (the “</w:t>
      </w: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equal to the Applicable Fee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actual daily amount by which the Revolving Credit Facility exceeds the </w:t>
      </w:r>
      <w:r>
        <w:rPr>
          <w:rFonts w:ascii="Arial" w:cs="Arial" w:eastAsia="Arial" w:hAnsi="Arial"/>
          <w:sz w:val="17"/>
          <w:szCs w:val="17"/>
          <w:u w:val="single" w:color="auto"/>
          <w:color w:val="auto"/>
        </w:rPr>
        <w:t>sum</w:t>
      </w:r>
      <w:r>
        <w:rPr>
          <w:rFonts w:ascii="Arial" w:cs="Arial" w:eastAsia="Arial" w:hAnsi="Arial"/>
          <w:sz w:val="17"/>
          <w:szCs w:val="17"/>
          <w:color w:val="auto"/>
        </w:rPr>
        <w:t xml:space="preserve"> of (i) the Outstanding Amount of Revolving Credit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Outstanding Amount of L/C Obligations, subject to adjustment as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For the avoidance of doubt, the Outstanding Amount of Swing Line Loans shall not be counted towards or considered usage of the Aggregate Commitments for purposes of determining the Commitment Fee. The Commitment Fee shall accrue at all times during the relevant Availability Period, including at any time during which one or more of the conditions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met, and shall be due and payable quarterly in arrears on the first Business Day after the end of each March, June, September and December, commencing with the first such date to occur after the Closing Date, and on the last day of the Availability Period for the Revolving Credit Facility. The Commitment Fee shall be calculated quarterly in arrears, and if there is any change in the Applicable Fee Rate during any quarter, the actual daily amount shall be computed and multiplied by the Applicable Fee Rate separately for each period during such quarter that such Applicable Fee Rate was in effect.</w:t>
      </w:r>
    </w:p>
    <w:p>
      <w:pPr>
        <w:spacing w:after="0" w:line="177" w:lineRule="exact"/>
        <w:rPr>
          <w:rFonts w:ascii="Arial" w:cs="Arial" w:eastAsia="Arial" w:hAnsi="Arial"/>
          <w:sz w:val="17"/>
          <w:szCs w:val="17"/>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60" w:firstLine="443"/>
        <w:spacing w:after="0" w:line="308" w:lineRule="auto"/>
        <w:tabs>
          <w:tab w:leader="none" w:pos="1113"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Borrower shall pay to the Arrangers and the Administrative Agent for their own respective accounts fees in the amounts and at the times specified in the Fee Letter. Such fees shall be fully earned when paid and shall not be refundable for any reason whatsoever.</w:t>
      </w:r>
    </w:p>
    <w:p>
      <w:pPr>
        <w:spacing w:after="0" w:line="38" w:lineRule="exact"/>
        <w:rPr>
          <w:rFonts w:ascii="Arial" w:cs="Arial" w:eastAsia="Arial" w:hAnsi="Arial"/>
          <w:sz w:val="17"/>
          <w:szCs w:val="17"/>
          <w:color w:val="auto"/>
        </w:rPr>
      </w:pPr>
    </w:p>
    <w:p>
      <w:pPr>
        <w:ind w:left="460" w:right="480" w:firstLine="443"/>
        <w:spacing w:after="0" w:line="277" w:lineRule="auto"/>
        <w:tabs>
          <w:tab w:leader="none" w:pos="1163"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Borrower shall pay to the Lenders such fees as shall have been separately agreed upon in writing in the amounts and at the times so specified. All such fees shall be fully earned when paid and shall not be refundable for any reason whatsoever.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Computation of Interest and Fees; Retroactive Adjustments of Applicable Rate</w:t>
      </w:r>
      <w:r>
        <w:rPr>
          <w:rFonts w:ascii="Arial" w:cs="Arial" w:eastAsia="Arial" w:hAnsi="Arial"/>
          <w:sz w:val="18"/>
          <w:szCs w:val="18"/>
          <w:color w:val="auto"/>
        </w:rPr>
        <w:t>.</w:t>
      </w:r>
    </w:p>
    <w:p>
      <w:pPr>
        <w:spacing w:after="0" w:line="117" w:lineRule="exact"/>
        <w:rPr>
          <w:sz w:val="20"/>
          <w:szCs w:val="20"/>
          <w:color w:val="auto"/>
        </w:rPr>
      </w:pPr>
    </w:p>
    <w:p>
      <w:pPr>
        <w:ind w:right="120" w:firstLine="464"/>
        <w:spacing w:after="0" w:line="291" w:lineRule="auto"/>
        <w:tabs>
          <w:tab w:leader="none" w:pos="701"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w:t>
      </w: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360-day year and actual days elapsed (which results in more fees or interest, as applicable, being paid than if computed on the basis of a 365 or 366-day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191" w:lineRule="exact"/>
        <w:rPr>
          <w:rFonts w:ascii="Arial" w:cs="Arial" w:eastAsia="Arial" w:hAnsi="Arial"/>
          <w:sz w:val="16"/>
          <w:szCs w:val="16"/>
          <w:color w:val="auto"/>
        </w:rPr>
      </w:pPr>
    </w:p>
    <w:p>
      <w:pPr>
        <w:ind w:right="60" w:firstLine="464"/>
        <w:spacing w:after="0" w:line="270" w:lineRule="auto"/>
        <w:tabs>
          <w:tab w:leader="none" w:pos="711"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If, as a result of any restatement of or other adjustment to the financial statements of the Borrower or for any other reason, the Borrower or the Lenders determine that (i) the Consolidated Leverage Ratio as calculated by the Borrower as of any applicable date was inaccurate and (ii) a proper calculation of the Consolidated Leverage Ratio would have resulted in higher pricing for such period, the Borrower shall immediately and retroactively be obligated to pay to the Administrative Agent for the account of the applicable Lenders or the applicable L/C Issuers,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Arial" w:cs="Arial" w:eastAsia="Arial" w:hAnsi="Arial"/>
          <w:sz w:val="17"/>
          <w:szCs w:val="17"/>
          <w:u w:val="single" w:color="auto"/>
          <w:color w:val="auto"/>
        </w:rPr>
        <w:t>Section 2.03(c)(iii)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2.03(i)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2.08(b)</w:t>
      </w:r>
      <w:r>
        <w:rPr>
          <w:rFonts w:ascii="Arial" w:cs="Arial" w:eastAsia="Arial" w:hAnsi="Arial"/>
          <w:sz w:val="17"/>
          <w:szCs w:val="17"/>
          <w:color w:val="auto"/>
        </w:rPr>
        <w:t xml:space="preserve"> or under </w:t>
      </w:r>
      <w:r>
        <w:rPr>
          <w:rFonts w:ascii="Arial" w:cs="Arial" w:eastAsia="Arial" w:hAnsi="Arial"/>
          <w:sz w:val="17"/>
          <w:szCs w:val="17"/>
          <w:u w:val="single" w:color="auto"/>
          <w:color w:val="auto"/>
        </w:rPr>
        <w:t>Article VIII</w:t>
      </w:r>
      <w:r>
        <w:rPr>
          <w:rFonts w:ascii="Arial" w:cs="Arial" w:eastAsia="Arial" w:hAnsi="Arial"/>
          <w:sz w:val="17"/>
          <w:szCs w:val="17"/>
          <w:color w:val="auto"/>
        </w:rPr>
        <w:t>. The Borrower’s obligations under this paragraph shall survive the termination of the Aggregate Commitments and the repayment of all other Obligations hereunder.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87" w:name="page88"/>
    <w:bookmarkEnd w:id="87"/>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2.11 </w:t>
      </w:r>
      <w:r>
        <w:rPr>
          <w:rFonts w:ascii="Arial" w:cs="Arial" w:eastAsia="Arial" w:hAnsi="Arial"/>
          <w:sz w:val="18"/>
          <w:szCs w:val="18"/>
          <w:u w:val="single" w:color="auto"/>
          <w:color w:val="auto"/>
        </w:rPr>
        <w:t>Evidence of Debt</w:t>
      </w:r>
      <w:r>
        <w:rPr>
          <w:rFonts w:ascii="Arial" w:cs="Arial" w:eastAsia="Arial" w:hAnsi="Arial"/>
          <w:sz w:val="18"/>
          <w:szCs w:val="18"/>
          <w:color w:val="auto"/>
        </w:rPr>
        <w:t>.</w:t>
      </w:r>
    </w:p>
    <w:p>
      <w:pPr>
        <w:spacing w:after="0" w:line="117" w:lineRule="exact"/>
        <w:rPr>
          <w:sz w:val="20"/>
          <w:szCs w:val="20"/>
          <w:color w:val="auto"/>
        </w:rPr>
      </w:pPr>
    </w:p>
    <w:p>
      <w:pPr>
        <w:ind w:left="-40" w:firstLine="464"/>
        <w:spacing w:after="0" w:line="270" w:lineRule="auto"/>
        <w:tabs>
          <w:tab w:leader="none" w:pos="66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81" w:lineRule="exact"/>
        <w:rPr>
          <w:rFonts w:ascii="Arial" w:cs="Arial" w:eastAsia="Arial" w:hAnsi="Arial"/>
          <w:sz w:val="17"/>
          <w:szCs w:val="17"/>
          <w:color w:val="auto"/>
        </w:rPr>
      </w:pPr>
    </w:p>
    <w:p>
      <w:pPr>
        <w:ind w:left="-40" w:right="20" w:firstLine="464"/>
        <w:spacing w:after="0" w:line="279" w:lineRule="auto"/>
        <w:tabs>
          <w:tab w:leader="none" w:pos="671"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In addition to the accounts and records referred to in </w:t>
      </w:r>
      <w:r>
        <w:rPr>
          <w:rFonts w:ascii="Arial" w:cs="Arial" w:eastAsia="Arial" w:hAnsi="Arial"/>
          <w:sz w:val="17"/>
          <w:szCs w:val="17"/>
          <w:u w:val="single" w:color="auto"/>
          <w:color w:val="auto"/>
        </w:rPr>
        <w:t>Section 2.11(a)</w:t>
      </w:r>
      <w:r>
        <w:rPr>
          <w:rFonts w:ascii="Arial" w:cs="Arial" w:eastAsia="Arial" w:hAnsi="Arial"/>
          <w:sz w:val="17"/>
          <w:szCs w:val="17"/>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117" w:lineRule="exact"/>
        <w:rPr>
          <w:sz w:val="20"/>
          <w:szCs w:val="20"/>
          <w:color w:val="auto"/>
        </w:rPr>
      </w:pPr>
    </w:p>
    <w:p>
      <w:pPr>
        <w:ind w:left="-40" w:firstLine="464"/>
        <w:spacing w:after="0" w:line="290" w:lineRule="auto"/>
        <w:tabs>
          <w:tab w:leader="none" w:pos="661"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66" w:lineRule="exact"/>
        <w:rPr>
          <w:rFonts w:ascii="Arial" w:cs="Arial" w:eastAsia="Arial" w:hAnsi="Arial"/>
          <w:sz w:val="16"/>
          <w:szCs w:val="16"/>
          <w:color w:val="auto"/>
        </w:rPr>
      </w:pPr>
    </w:p>
    <w:p>
      <w:pPr>
        <w:ind w:left="-40" w:right="60" w:firstLine="464"/>
        <w:spacing w:after="0" w:line="273" w:lineRule="auto"/>
        <w:tabs>
          <w:tab w:leader="none" w:pos="671"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Funding by Lenders; Presumption by Administrative Agent</w:t>
      </w:r>
      <w:r>
        <w:rPr>
          <w:rFonts w:ascii="Arial" w:cs="Arial" w:eastAsia="Arial" w:hAnsi="Arial"/>
          <w:sz w:val="17"/>
          <w:szCs w:val="17"/>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(or, in the case of a Borrowing of Base Rate Loans, that such Lender has made such share available in accordance with and at the time required by </w:t>
      </w:r>
      <w:r>
        <w:rPr>
          <w:rFonts w:ascii="Arial" w:cs="Arial" w:eastAsia="Arial" w:hAnsi="Arial"/>
          <w:sz w:val="17"/>
          <w:szCs w:val="17"/>
          <w:u w:val="single" w:color="auto"/>
          <w:color w:val="auto"/>
        </w:rPr>
        <w:t>Section 2.02</w:t>
      </w:r>
      <w:r>
        <w:rPr>
          <w:rFonts w:ascii="Arial" w:cs="Arial" w:eastAsia="Arial" w:hAnsi="Arial"/>
          <w:sz w:val="17"/>
          <w:szCs w:val="17"/>
          <w:color w:val="auto"/>
        </w:rPr>
        <w:t>) and may, in reliance upon such assumption, make available to the Borrower a corresponding amount. In such event, if a Lender has not in fact made its share of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80" w:top="274" w:right="259" w:bottom="1440" w:gutter="0" w:footer="0" w:header="0"/>
        </w:sectPr>
      </w:pPr>
    </w:p>
    <w:bookmarkStart w:id="88" w:name="page89"/>
    <w:bookmarkEnd w:id="88"/>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w:t>
      </w:r>
    </w:p>
    <w:p>
      <w:pPr>
        <w:spacing w:after="0" w:line="2" w:lineRule="exact"/>
        <w:rPr>
          <w:sz w:val="20"/>
          <w:szCs w:val="20"/>
          <w:color w:val="auto"/>
        </w:rPr>
      </w:pPr>
    </w:p>
    <w:p>
      <w:pPr>
        <w:ind w:firstLine="8"/>
        <w:spacing w:after="0" w:line="271" w:lineRule="auto"/>
        <w:tabs>
          <w:tab w:leader="none" w:pos="285"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70" w:lineRule="exact"/>
        <w:rPr>
          <w:rFonts w:ascii="Arial" w:cs="Arial" w:eastAsia="Arial" w:hAnsi="Arial"/>
          <w:sz w:val="17"/>
          <w:szCs w:val="17"/>
          <w:color w:val="auto"/>
        </w:rPr>
      </w:pPr>
    </w:p>
    <w:p>
      <w:pPr>
        <w:ind w:left="460" w:firstLine="443"/>
        <w:spacing w:after="0" w:line="270" w:lineRule="auto"/>
        <w:tabs>
          <w:tab w:leader="none" w:pos="1163"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Payments by Borrower; Presumptions by Administrative Agent</w:t>
      </w:r>
      <w:r>
        <w:rPr>
          <w:rFonts w:ascii="Arial" w:cs="Arial" w:eastAsia="Arial" w:hAnsi="Arial"/>
          <w:sz w:val="17"/>
          <w:szCs w:val="17"/>
          <w:color w:val="auto"/>
        </w:rPr>
        <w:t>. Unless the Administrative Agent shall have received notice from the Borrower prior to the time at which any payment is due to the Administrative Agent for the account of the Lenders or the L/C Issuers hereunder that the Borrower will not make such payment, the Administrative Agent may assume that the Borrower has made such payment on such date in accordance herewith and may, in reliance upon such assumption, distribute to the Appropriate Lenders or the applicable L/C Issuer, as the case may be, the amount due. In such event, if the Borrower has not in fact made such payment, then each of the Appropriate Lenders or the applicable L/C Issuer, as the case may be, severally agrees to repay to the Administrative Agent forthwith on demand the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A notice of the Administrative Agent to any Lender or the Borrower with respect to any amount owing under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shall be conclusive, absent manifest error.</w:t>
      </w:r>
    </w:p>
    <w:p>
      <w:pPr>
        <w:spacing w:after="0" w:line="170" w:lineRule="exact"/>
        <w:rPr>
          <w:sz w:val="20"/>
          <w:szCs w:val="20"/>
          <w:color w:val="auto"/>
        </w:rPr>
      </w:pPr>
    </w:p>
    <w:p>
      <w:pPr>
        <w:ind w:right="60" w:firstLine="464"/>
        <w:spacing w:after="0" w:line="279" w:lineRule="auto"/>
        <w:tabs>
          <w:tab w:leader="none" w:pos="701"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the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auto"/>
        </w:rPr>
      </w:pPr>
    </w:p>
    <w:p>
      <w:pPr>
        <w:ind w:right="40" w:firstLine="464"/>
        <w:spacing w:after="0" w:line="257" w:lineRule="auto"/>
        <w:tabs>
          <w:tab w:leader="none" w:pos="711"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Loans and to make Term Loans and Revolving Credit Loans, to fund participations in Letters of Credit and Swing Line Loans and to make payments pursuant to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89" w:name="page90"/>
    <w:bookmarkEnd w:id="89"/>
    <w:p>
      <w:pPr>
        <w:ind w:right="320" w:firstLine="464"/>
        <w:spacing w:after="0" w:line="308" w:lineRule="auto"/>
        <w:tabs>
          <w:tab w:leader="none" w:pos="701"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6" w:lineRule="exact"/>
        <w:rPr>
          <w:rFonts w:ascii="Arial" w:cs="Arial" w:eastAsia="Arial" w:hAnsi="Arial"/>
          <w:sz w:val="17"/>
          <w:szCs w:val="17"/>
          <w:color w:val="auto"/>
        </w:rPr>
      </w:pPr>
    </w:p>
    <w:p>
      <w:pPr>
        <w:ind w:right="60" w:firstLine="464"/>
        <w:spacing w:after="0" w:line="257" w:lineRule="auto"/>
        <w:tabs>
          <w:tab w:leader="none" w:pos="68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Insufficient Funds</w:t>
      </w:r>
      <w:r>
        <w:rPr>
          <w:rFonts w:ascii="Arial" w:cs="Arial" w:eastAsia="Arial" w:hAnsi="Arial"/>
          <w:sz w:val="18"/>
          <w:szCs w:val="18"/>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8"/>
          <w:szCs w:val="18"/>
          <w:u w:val="single" w:color="auto"/>
          <w:color w:val="auto"/>
        </w:rPr>
        <w:t>second</w:t>
      </w:r>
      <w:r>
        <w:rPr>
          <w:rFonts w:ascii="Arial" w:cs="Arial" w:eastAsia="Arial" w:hAnsi="Arial"/>
          <w:sz w:val="18"/>
          <w:szCs w:val="18"/>
          <w:color w:val="auto"/>
        </w:rPr>
        <w:t>, toward payment of principal and L/C Borrowings then due hereunder, ratably among the parties entitled thereto in accordance with the amounts of principal and L/C Borrowings then due to such parties.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 xml:space="preserve"> If any Lender shall, by exercising any right of setoff or counterclaim or otherwise, obtain payment in respect of</w:t>
      </w:r>
    </w:p>
    <w:p>
      <w:pPr>
        <w:spacing w:after="0" w:line="46" w:lineRule="exact"/>
        <w:rPr>
          <w:sz w:val="20"/>
          <w:szCs w:val="20"/>
          <w:color w:val="auto"/>
        </w:rPr>
      </w:pPr>
    </w:p>
    <w:p>
      <w:pPr>
        <w:ind w:firstLine="8"/>
        <w:spacing w:after="0" w:line="267" w:lineRule="auto"/>
        <w:tabs>
          <w:tab w:leader="none" w:pos="245"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Parties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77" w:lineRule="exact"/>
        <w:rPr>
          <w:rFonts w:ascii="Arial" w:cs="Arial" w:eastAsia="Arial" w:hAnsi="Arial"/>
          <w:sz w:val="17"/>
          <w:szCs w:val="17"/>
          <w:color w:val="auto"/>
        </w:rPr>
      </w:pPr>
    </w:p>
    <w:p>
      <w:pPr>
        <w:ind w:left="460" w:right="540" w:firstLine="443"/>
        <w:spacing w:after="0" w:line="342" w:lineRule="auto"/>
        <w:tabs>
          <w:tab w:leader="none" w:pos="1113" w:val="left"/>
        </w:tabs>
        <w:numPr>
          <w:ilvl w:val="1"/>
          <w:numId w:val="83"/>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5" w:lineRule="exact"/>
        <w:rPr>
          <w:rFonts w:ascii="Arial" w:cs="Arial" w:eastAsia="Arial" w:hAnsi="Arial"/>
          <w:sz w:val="16"/>
          <w:szCs w:val="16"/>
          <w:color w:val="auto"/>
        </w:rPr>
      </w:pPr>
    </w:p>
    <w:p>
      <w:pPr>
        <w:ind w:left="460" w:firstLine="443"/>
        <w:spacing w:after="0" w:line="276" w:lineRule="auto"/>
        <w:tabs>
          <w:tab w:leader="none" w:pos="1163"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the provisions of this Section shall not be construed to apply to (x) any payment made by or on behalf of the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7"/>
          <w:szCs w:val="17"/>
          <w:u w:val="single" w:color="auto"/>
          <w:color w:val="auto"/>
        </w:rPr>
        <w:t>Section 2.16</w:t>
      </w:r>
      <w:r>
        <w:rPr>
          <w:rFonts w:ascii="Arial" w:cs="Arial" w:eastAsia="Arial" w:hAnsi="Arial"/>
          <w:sz w:val="17"/>
          <w:szCs w:val="17"/>
          <w:color w:val="auto"/>
        </w:rPr>
        <w:t>, or (z) any payment obtained by a Lender as consideration for the assignment of or sale of a participation in any of its Loans or subparticipations in L/C Obligations or Swing Line Loans to any assignee or participant, other than an assignment to the Borrower or any Affiliate thereof (as to which the provisions of this Section shall apply).</w:t>
      </w:r>
    </w:p>
    <w:p>
      <w:pPr>
        <w:spacing w:after="0" w:line="17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Laws,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2.14 </w:t>
      </w:r>
      <w:r>
        <w:rPr>
          <w:rFonts w:ascii="Arial" w:cs="Arial" w:eastAsia="Arial" w:hAnsi="Arial"/>
          <w:sz w:val="18"/>
          <w:szCs w:val="18"/>
          <w:u w:val="single" w:color="auto"/>
          <w:color w:val="auto"/>
        </w:rPr>
        <w:t>Increase in Commitments</w:t>
      </w:r>
      <w:r>
        <w:rPr>
          <w:rFonts w:ascii="Arial" w:cs="Arial" w:eastAsia="Arial" w:hAnsi="Arial"/>
          <w:sz w:val="18"/>
          <w:szCs w:val="18"/>
          <w:color w:val="auto"/>
        </w:rPr>
        <w:t>.</w:t>
      </w:r>
    </w:p>
    <w:p>
      <w:pPr>
        <w:spacing w:after="0" w:line="117" w:lineRule="exact"/>
        <w:rPr>
          <w:sz w:val="20"/>
          <w:szCs w:val="20"/>
          <w:color w:val="auto"/>
        </w:rPr>
      </w:pPr>
    </w:p>
    <w:p>
      <w:pPr>
        <w:ind w:left="-20" w:firstLine="464"/>
        <w:spacing w:after="0" w:line="286" w:lineRule="auto"/>
        <w:tabs>
          <w:tab w:leader="none" w:pos="681"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Request</w:t>
      </w:r>
      <w:r>
        <w:rPr>
          <w:rFonts w:ascii="Arial" w:cs="Arial" w:eastAsia="Arial" w:hAnsi="Arial"/>
          <w:sz w:val="17"/>
          <w:szCs w:val="17"/>
          <w:color w:val="auto"/>
        </w:rPr>
        <w:t>. The Borrower may, from time to time, request by notice to the Administrative Agent (x) one or more increases in the Revolving Credit Facility (each, a “</w:t>
      </w:r>
      <w:r>
        <w:rPr>
          <w:rFonts w:ascii="Arial" w:cs="Arial" w:eastAsia="Arial" w:hAnsi="Arial"/>
          <w:sz w:val="17"/>
          <w:szCs w:val="17"/>
          <w:u w:val="single" w:color="auto"/>
          <w:color w:val="auto"/>
        </w:rPr>
        <w:t>Revolving Credit Increase</w:t>
      </w:r>
      <w:r>
        <w:rPr>
          <w:rFonts w:ascii="Arial" w:cs="Arial" w:eastAsia="Arial" w:hAnsi="Arial"/>
          <w:sz w:val="17"/>
          <w:szCs w:val="17"/>
          <w:color w:val="auto"/>
        </w:rPr>
        <w:t>”) or (y) one or more term loan tranches to be made available to the Borrower (each, an “</w:t>
      </w:r>
      <w:r>
        <w:rPr>
          <w:rFonts w:ascii="Arial" w:cs="Arial" w:eastAsia="Arial" w:hAnsi="Arial"/>
          <w:sz w:val="17"/>
          <w:szCs w:val="17"/>
          <w:u w:val="single" w:color="auto"/>
          <w:color w:val="auto"/>
        </w:rPr>
        <w:t>Incremental Term Loan</w:t>
      </w:r>
      <w:r>
        <w:rPr>
          <w:rFonts w:ascii="Arial" w:cs="Arial" w:eastAsia="Arial" w:hAnsi="Arial"/>
          <w:sz w:val="17"/>
          <w:szCs w:val="17"/>
          <w:color w:val="auto"/>
        </w:rPr>
        <w:t>”; each Incremental Term Loan and each Revolving Credit Increase, collectively, referred to as the “</w:t>
      </w:r>
      <w:r>
        <w:rPr>
          <w:rFonts w:ascii="Arial" w:cs="Arial" w:eastAsia="Arial" w:hAnsi="Arial"/>
          <w:sz w:val="17"/>
          <w:szCs w:val="17"/>
          <w:u w:val="single" w:color="auto"/>
          <w:color w:val="auto"/>
        </w:rPr>
        <w:t>Incremental Increases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57" w:lineRule="exact"/>
        <w:rPr>
          <w:rFonts w:ascii="Arial" w:cs="Arial" w:eastAsia="Arial" w:hAnsi="Arial"/>
          <w:sz w:val="17"/>
          <w:szCs w:val="17"/>
          <w:color w:val="auto"/>
        </w:rPr>
      </w:pPr>
    </w:p>
    <w:p>
      <w:pPr>
        <w:ind w:left="440" w:right="440" w:firstLine="443"/>
        <w:spacing w:after="0" w:line="277" w:lineRule="auto"/>
        <w:tabs>
          <w:tab w:leader="none" w:pos="1093"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principal amount for all such Incremental Increases in the aggregate since the Closing Date (including the then requested Incremental Increase) shall not exceed $100,000,000;</w:t>
      </w:r>
    </w:p>
    <w:p>
      <w:pPr>
        <w:spacing w:after="0" w:line="62" w:lineRule="exact"/>
        <w:rPr>
          <w:rFonts w:ascii="Arial" w:cs="Arial" w:eastAsia="Arial" w:hAnsi="Arial"/>
          <w:sz w:val="18"/>
          <w:szCs w:val="18"/>
          <w:color w:val="auto"/>
        </w:rPr>
      </w:pPr>
    </w:p>
    <w:p>
      <w:pPr>
        <w:ind w:left="1140" w:hanging="257"/>
        <w:spacing w:after="0"/>
        <w:tabs>
          <w:tab w:leader="none" w:pos="1140" w:val="left"/>
        </w:tabs>
        <w:numPr>
          <w:ilvl w:val="1"/>
          <w:numId w:val="84"/>
        </w:numPr>
        <w:rPr>
          <w:rFonts w:ascii="Arial" w:cs="Arial" w:eastAsia="Arial" w:hAnsi="Arial"/>
          <w:sz w:val="17"/>
          <w:szCs w:val="17"/>
          <w:color w:val="auto"/>
        </w:rPr>
      </w:pPr>
      <w:r>
        <w:rPr>
          <w:rFonts w:ascii="Arial" w:cs="Arial" w:eastAsia="Arial" w:hAnsi="Arial"/>
          <w:sz w:val="17"/>
          <w:szCs w:val="17"/>
          <w:color w:val="auto"/>
        </w:rPr>
        <w:t>unless the Administrative Agent otherwise agrees, any such request for an Incremental Increase shall be in a minimum amount of</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$25,000,000 (or a lesser amount in the event such amount represents all remaining availability under this Section);</w:t>
      </w:r>
    </w:p>
    <w:p>
      <w:pPr>
        <w:spacing w:after="0" w:line="103" w:lineRule="exact"/>
        <w:rPr>
          <w:sz w:val="20"/>
          <w:szCs w:val="20"/>
          <w:color w:val="auto"/>
        </w:rPr>
      </w:pPr>
    </w:p>
    <w:p>
      <w:pPr>
        <w:ind w:left="440" w:right="280" w:firstLine="443"/>
        <w:spacing w:after="0" w:line="264" w:lineRule="auto"/>
        <w:tabs>
          <w:tab w:leader="none" w:pos="1193"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Revolving Credit Increase shall (A) increase the Letter of Credit Sublimit without the consent of each L/C Issuer (or, if such increase applies only to certain L/C Issuers pursuant to their agreement, such L/C Issuers) or (B) increase the Swing Line Sublimit without the consent of the Swing Line Lender;</w:t>
      </w:r>
    </w:p>
    <w:p>
      <w:pPr>
        <w:spacing w:after="0" w:line="73" w:lineRule="exact"/>
        <w:rPr>
          <w:rFonts w:ascii="Arial" w:cs="Arial" w:eastAsia="Arial" w:hAnsi="Arial"/>
          <w:sz w:val="18"/>
          <w:szCs w:val="18"/>
          <w:color w:val="auto"/>
        </w:rPr>
      </w:pPr>
    </w:p>
    <w:p>
      <w:pPr>
        <w:ind w:left="440" w:right="20" w:firstLine="443"/>
        <w:spacing w:after="0" w:line="277" w:lineRule="auto"/>
        <w:tabs>
          <w:tab w:leader="none" w:pos="1183"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Incremental Term Loan shall mature earlier than the Latest Maturity Date then in effect or have a shorter weighted average life to maturity than the remaining weighted average life to maturity of any then-existing series of Term Loans;</w:t>
      </w:r>
    </w:p>
    <w:p>
      <w:pPr>
        <w:spacing w:after="0" w:line="62" w:lineRule="exact"/>
        <w:rPr>
          <w:rFonts w:ascii="Arial" w:cs="Arial" w:eastAsia="Arial" w:hAnsi="Arial"/>
          <w:sz w:val="18"/>
          <w:szCs w:val="18"/>
          <w:color w:val="auto"/>
        </w:rPr>
      </w:pPr>
    </w:p>
    <w:p>
      <w:pPr>
        <w:ind w:left="440" w:right="80" w:firstLine="443"/>
        <w:spacing w:after="0" w:line="269" w:lineRule="auto"/>
        <w:tabs>
          <w:tab w:leader="none" w:pos="1133"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each Incremental Term Loan shall (A)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prepayment, voting and/or security with the then-existing Term Loans, including sharing in mandatory prepayments under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with the then-existing Term Loans (unless agreed to be paid on a basis less than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with the then-existing Term Loans by the Lenders providing such Incremental Term Loans) and (B) shall have an Applicable Rate or pricing grid as determined by the Lenders providing such Incremental Term Loans and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Weighted Average Yield applicable to the Incremental Term Loans made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exceeds the Weighted Average Yield for any then-existing Term Loans by more than 50 basis points per annum (such amount in excess of 50 basis points, hereafter referred to as the “</w:t>
      </w:r>
      <w:r>
        <w:rPr>
          <w:rFonts w:ascii="Arial" w:cs="Arial" w:eastAsia="Arial" w:hAnsi="Arial"/>
          <w:sz w:val="17"/>
          <w:szCs w:val="17"/>
          <w:u w:val="single" w:color="auto"/>
          <w:color w:val="auto"/>
        </w:rPr>
        <w:t>Incremental Excess Yield</w:t>
      </w:r>
      <w:r>
        <w:rPr>
          <w:rFonts w:ascii="Arial" w:cs="Arial" w:eastAsia="Arial" w:hAnsi="Arial"/>
          <w:sz w:val="17"/>
          <w:szCs w:val="17"/>
          <w:color w:val="auto"/>
        </w:rPr>
        <w:t xml:space="preserve">”), then the Weighted Average Yield with respect to any applicable then-existing Term Loans shall be increased by the Incremental Excess Yield (it being understood that any increase in the Weighted Average Yield of any then-existing Term Loans, may (A) take the form of upfront fees or original issue discount, with such upfront fees or original issue discount being equated to interest margins in a manner determined by the Administrative Agent and consistent with generally accepted financial practice based on an assumed four-year life to maturity or (B) be accomplished by a combination of an increase in the weighted average interest rates, interest rate floors and/or upfront fees or original issue discount) of such Incremental Term Loans made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left="440" w:right="560" w:firstLine="443"/>
        <w:spacing w:after="0" w:line="277" w:lineRule="auto"/>
        <w:tabs>
          <w:tab w:leader="none" w:pos="1183" w:val="left"/>
        </w:tabs>
        <w:numPr>
          <w:ilvl w:val="0"/>
          <w:numId w:val="85"/>
        </w:numPr>
        <w:rPr>
          <w:rFonts w:ascii="Arial" w:cs="Arial" w:eastAsia="Arial" w:hAnsi="Arial"/>
          <w:sz w:val="18"/>
          <w:szCs w:val="18"/>
          <w:color w:val="auto"/>
        </w:rPr>
      </w:pPr>
      <w:r>
        <w:rPr>
          <w:rFonts w:ascii="Arial" w:cs="Arial" w:eastAsia="Arial" w:hAnsi="Arial"/>
          <w:sz w:val="18"/>
          <w:szCs w:val="18"/>
          <w:color w:val="auto"/>
        </w:rPr>
        <w:t>both before and immediately after giving effect to such Incremental Increase, as of the Increase Effective Date, no Default or Event of Default shall exist and be continuing;</w:t>
      </w:r>
    </w:p>
    <w:p>
      <w:pPr>
        <w:spacing w:after="0" w:line="62" w:lineRule="exact"/>
        <w:rPr>
          <w:rFonts w:ascii="Arial" w:cs="Arial" w:eastAsia="Arial" w:hAnsi="Arial"/>
          <w:sz w:val="18"/>
          <w:szCs w:val="18"/>
          <w:color w:val="auto"/>
        </w:rPr>
      </w:pPr>
    </w:p>
    <w:p>
      <w:pPr>
        <w:ind w:left="440" w:right="240" w:firstLine="443"/>
        <w:spacing w:after="0" w:line="259" w:lineRule="auto"/>
        <w:tabs>
          <w:tab w:leader="none" w:pos="1233"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immediately after giving effect to such Incremental Increase, as of the Increase Effective Date, the Borrower shall be in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compliance (after giving effect to the incurrence of such Incremental Increase and the use of proceeds thereof, but disregarding any cash constituting proceeds of such Incremental Increase solely for purposes of determining the Consolidated Net Leverage Ratio in connection with this </w:t>
      </w:r>
      <w:r>
        <w:rPr>
          <w:rFonts w:ascii="Arial" w:cs="Arial" w:eastAsia="Arial" w:hAnsi="Arial"/>
          <w:sz w:val="18"/>
          <w:szCs w:val="18"/>
          <w:u w:val="single" w:color="auto"/>
          <w:color w:val="auto"/>
        </w:rPr>
        <w:t>clause (vii)</w:t>
      </w:r>
      <w:r>
        <w:rPr>
          <w:rFonts w:ascii="Arial" w:cs="Arial" w:eastAsia="Arial" w:hAnsi="Arial"/>
          <w:sz w:val="18"/>
          <w:szCs w:val="18"/>
          <w:color w:val="auto"/>
        </w:rPr>
        <w:t xml:space="preserve"> (assuming, in the case of 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60" w:top="274" w:right="239" w:bottom="1440" w:gutter="0" w:footer="0" w:header="0"/>
        </w:sectPr>
      </w:pPr>
    </w:p>
    <w:bookmarkStart w:id="91" w:name="page92"/>
    <w:bookmarkEnd w:id="91"/>
    <w:p>
      <w:pPr>
        <w:ind w:left="44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Revolving Credit Increase, that such new Revolving Credit Commitments are fully drawn)) with (x) in the case of a Revolving Credit Increase, the financial covenant contained in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(regardless of whether or not compliance with such ratio was in fact required as of the end of such fiscal quarter pursuant to </w:t>
      </w:r>
      <w:r>
        <w:rPr>
          <w:rFonts w:ascii="Arial" w:cs="Arial" w:eastAsia="Arial" w:hAnsi="Arial"/>
          <w:sz w:val="18"/>
          <w:szCs w:val="18"/>
          <w:u w:val="single" w:color="auto"/>
          <w:color w:val="auto"/>
        </w:rPr>
        <w:t>Section 7.14</w:t>
      </w:r>
      <w:r>
        <w:rPr>
          <w:rFonts w:ascii="Arial" w:cs="Arial" w:eastAsia="Arial" w:hAnsi="Arial"/>
          <w:sz w:val="18"/>
          <w:szCs w:val="18"/>
          <w:color w:val="auto"/>
        </w:rPr>
        <w:t>) and (y) in the case of any Incremental Term Loan, the Consolidated Net Leverage Ratio shall not exceed the Closing Date Consolidated Net Leverage Ratio;</w:t>
      </w:r>
    </w:p>
    <w:p>
      <w:pPr>
        <w:spacing w:after="0" w:line="79" w:lineRule="exact"/>
        <w:rPr>
          <w:sz w:val="20"/>
          <w:szCs w:val="20"/>
          <w:color w:val="auto"/>
        </w:rPr>
      </w:pPr>
    </w:p>
    <w:p>
      <w:pPr>
        <w:ind w:left="440" w:right="40" w:firstLine="443"/>
        <w:spacing w:after="0" w:line="291" w:lineRule="auto"/>
        <w:tabs>
          <w:tab w:leader="none" w:pos="1283"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Borrower and each other Loan Party contained in Article V or any other Loan Document, or which are contained in any document furnished at any time under or in connection herewith or therewith, shall be true and correct in all material respects (or, with respect to representations and warranties modified by a materiality or Material Adverse Effect standard, in all respects) on and as of the Increase Effective Date, except to the extent that such representations and warranties specifically refer to an earlier date, in which case they are true and correct in all material respects (or, with respect to representations and warranties modified by a materiality or Material Adverse Effect standard, in all respects) as of such earlier date, and except that for purposes of this </w:t>
      </w:r>
      <w:r>
        <w:rPr>
          <w:rFonts w:ascii="Arial" w:cs="Arial" w:eastAsia="Arial" w:hAnsi="Arial"/>
          <w:sz w:val="16"/>
          <w:szCs w:val="16"/>
          <w:u w:val="single" w:color="auto"/>
          <w:color w:val="auto"/>
        </w:rPr>
        <w:t>clause (a)(viii)</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Sections 5.05(a)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respectively;</w:t>
      </w:r>
    </w:p>
    <w:p>
      <w:pPr>
        <w:spacing w:after="0" w:line="59" w:lineRule="exact"/>
        <w:rPr>
          <w:rFonts w:ascii="Arial" w:cs="Arial" w:eastAsia="Arial" w:hAnsi="Arial"/>
          <w:sz w:val="16"/>
          <w:szCs w:val="16"/>
          <w:color w:val="auto"/>
        </w:rPr>
      </w:pPr>
    </w:p>
    <w:p>
      <w:pPr>
        <w:ind w:left="440" w:right="140" w:firstLine="443"/>
        <w:spacing w:after="0" w:line="257" w:lineRule="auto"/>
        <w:tabs>
          <w:tab w:leader="none" w:pos="1183" w:val="left"/>
        </w:tabs>
        <w:numPr>
          <w:ilvl w:val="1"/>
          <w:numId w:val="86"/>
        </w:numPr>
        <w:rPr>
          <w:rFonts w:ascii="Arial" w:cs="Arial" w:eastAsia="Arial" w:hAnsi="Arial"/>
          <w:sz w:val="18"/>
          <w:szCs w:val="18"/>
          <w:color w:val="auto"/>
        </w:rPr>
      </w:pPr>
      <w:r>
        <w:rPr>
          <w:rFonts w:ascii="Arial" w:cs="Arial" w:eastAsia="Arial" w:hAnsi="Arial"/>
          <w:sz w:val="18"/>
          <w:szCs w:val="18"/>
          <w:color w:val="auto"/>
        </w:rPr>
        <w:t>except as provided above, all other terms and conditions applicable to any Incremental Term Loans, to the extent not consistent with the terms and conditions applicable to the Initial Term Loans, shall be reasonably satisfactory to the Administrative Agent, the applicable Lenders providing such Incremental Term Loan and the Borrower (it being understood that if any terms taken as a whole are adverse to the interests of the existing Lenders, as reasonably determined by the Administrative Agent, then that shall constitute a reasonable basis for the Administrative Agent not to be satisfied with such terms); and</w:t>
      </w:r>
    </w:p>
    <w:p>
      <w:pPr>
        <w:spacing w:after="0" w:line="80" w:lineRule="exact"/>
        <w:rPr>
          <w:rFonts w:ascii="Arial" w:cs="Arial" w:eastAsia="Arial" w:hAnsi="Arial"/>
          <w:sz w:val="18"/>
          <w:szCs w:val="18"/>
          <w:color w:val="auto"/>
        </w:rPr>
      </w:pPr>
    </w:p>
    <w:p>
      <w:pPr>
        <w:ind w:left="440" w:firstLine="443"/>
        <w:spacing w:after="0" w:line="277" w:lineRule="auto"/>
        <w:tabs>
          <w:tab w:leader="none" w:pos="1133"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each Incremental Increase shall constitute Obligations hereunder and shall be guaranteed and secured pursuant to the Guarantee and Collateral Agreement and the other Collateral Documents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other Obligations hereunder.</w:t>
      </w:r>
    </w:p>
    <w:p>
      <w:pPr>
        <w:spacing w:after="0" w:line="170" w:lineRule="exact"/>
        <w:rPr>
          <w:rFonts w:ascii="Arial" w:cs="Arial" w:eastAsia="Arial" w:hAnsi="Arial"/>
          <w:sz w:val="18"/>
          <w:szCs w:val="18"/>
          <w:color w:val="auto"/>
        </w:rPr>
      </w:pPr>
    </w:p>
    <w:p>
      <w:pPr>
        <w:ind w:left="-20" w:right="20" w:firstLine="464"/>
        <w:spacing w:after="0" w:line="268" w:lineRule="auto"/>
        <w:tabs>
          <w:tab w:leader="none" w:pos="691"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Process for Increase</w:t>
      </w:r>
      <w:r>
        <w:rPr>
          <w:rFonts w:ascii="Arial" w:cs="Arial" w:eastAsia="Arial" w:hAnsi="Arial"/>
          <w:sz w:val="17"/>
          <w:szCs w:val="17"/>
          <w:color w:val="auto"/>
        </w:rPr>
        <w:t xml:space="preserve">. Incremental Increases may be (but shall not be required to be) provided by any existing Lender, in each case on terms permitted in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and otherwise on terms reasonably acceptable to the Borrower and the Administrative Agent, or by any other Person that qualifies as an Eligible Assignee (each such other Person, an “</w:t>
      </w:r>
      <w:r>
        <w:rPr>
          <w:rFonts w:ascii="Arial" w:cs="Arial" w:eastAsia="Arial" w:hAnsi="Arial"/>
          <w:sz w:val="17"/>
          <w:szCs w:val="17"/>
          <w:u w:val="single" w:color="auto"/>
          <w:color w:val="auto"/>
        </w:rPr>
        <w:t>Additional Lender</w:t>
      </w:r>
      <w:r>
        <w:rPr>
          <w:rFonts w:ascii="Arial" w:cs="Arial" w:eastAsia="Arial" w:hAnsi="Arial"/>
          <w:sz w:val="17"/>
          <w:szCs w:val="17"/>
          <w:color w:val="auto"/>
        </w:rPr>
        <w:t xml:space="preserve">”) pursuant to a joinder agreement in form and substance reasonably satisfactory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Administrative Agent shall have consented (in each case, such consent not to be unreasonably withheld, delayed or conditioned) to each proposed Additional Lender providing such Incremental Increase to the extent the Administrative Agent would be required to consent to an assignment to such Additional Lender pursuant to </w:t>
      </w:r>
      <w:r>
        <w:rPr>
          <w:rFonts w:ascii="Arial" w:cs="Arial" w:eastAsia="Arial" w:hAnsi="Arial"/>
          <w:sz w:val="17"/>
          <w:szCs w:val="17"/>
          <w:u w:val="single" w:color="auto"/>
          <w:color w:val="auto"/>
        </w:rPr>
        <w:t>Section 10.06(b)(iii)</w:t>
      </w:r>
      <w:r>
        <w:rPr>
          <w:rFonts w:ascii="Arial" w:cs="Arial" w:eastAsia="Arial" w:hAnsi="Arial"/>
          <w:sz w:val="17"/>
          <w:szCs w:val="17"/>
          <w:color w:val="auto"/>
        </w:rPr>
        <w:t xml:space="preserve"> and (ii) in the case of any Revolving Credit Increase, the L/C Issuer and the Swing Line Lender shall have consented (in each case, such consent not to be unreasonably withheld, delayed or conditioned) to each such Lender or proposed Additional Lender providing such Revolving Credit Increase if such consent by the L/C Issuer or the Swing Line Lender, as the case may be, would be required under </w:t>
      </w:r>
      <w:r>
        <w:rPr>
          <w:rFonts w:ascii="Arial" w:cs="Arial" w:eastAsia="Arial" w:hAnsi="Arial"/>
          <w:sz w:val="17"/>
          <w:szCs w:val="17"/>
          <w:u w:val="single" w:color="auto"/>
          <w:color w:val="auto"/>
        </w:rPr>
        <w:t>Section 10.06(b)(iii)</w:t>
      </w:r>
      <w:r>
        <w:rPr>
          <w:rFonts w:ascii="Arial" w:cs="Arial" w:eastAsia="Arial" w:hAnsi="Arial"/>
          <w:sz w:val="17"/>
          <w:szCs w:val="17"/>
          <w:color w:val="auto"/>
        </w:rPr>
        <w:t xml:space="preserve"> for an assignment of Revolving Credit Loans or Revolving Credit Commitments to such Lender or proposed Additional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Borrower shall not be required to offer or accept commitments from existing Lenders for any Incremental Increase. No Lender shall have any obligation to increase its Revolving Credit Commitment, increase its Term Commitment or Term Loans or participate in any Incremental Term Loan, as the case may be, and no consent of any Lender, other than the Lenders agreeing to provide any portion of an Incremental Increase, shall be required to effectuate such Incremental Increase.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60" w:top="274" w:right="239" w:bottom="1440" w:gutter="0" w:footer="0" w:header="0"/>
        </w:sectPr>
      </w:pPr>
    </w:p>
    <w:bookmarkStart w:id="92" w:name="page93"/>
    <w:bookmarkEnd w:id="9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w:t>
      </w:r>
      <w:r>
        <w:rPr>
          <w:rFonts w:ascii="Arial" w:cs="Arial" w:eastAsia="Arial" w:hAnsi="Arial"/>
          <w:sz w:val="17"/>
          <w:szCs w:val="17"/>
          <w:u w:val="single" w:color="auto"/>
          <w:color w:val="auto"/>
        </w:rPr>
        <w:t>Effective Date and Allocations</w:t>
      </w:r>
      <w:r>
        <w:rPr>
          <w:rFonts w:ascii="Arial" w:cs="Arial" w:eastAsia="Arial" w:hAnsi="Arial"/>
          <w:sz w:val="17"/>
          <w:szCs w:val="17"/>
          <w:color w:val="auto"/>
        </w:rPr>
        <w:t>. The Administrative Agent and the Borrower shall determine the effective date of any Incremental Increase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Increase Effective Date</w:t>
      </w:r>
      <w:r>
        <w:rPr>
          <w:rFonts w:ascii="Arial" w:cs="Arial" w:eastAsia="Arial" w:hAnsi="Arial"/>
          <w:sz w:val="16"/>
          <w:szCs w:val="16"/>
          <w:color w:val="auto"/>
        </w:rPr>
        <w:t>”), which shall be a date not less than 10 Business Days after the date on which such notice is delivered to the Administrative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Administrative Agent shall promptly notify the Borrower and the Lenders of the final allocation of such Incremental Increase and the Increase Effective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19" w:lineRule="exact"/>
        <w:rPr>
          <w:sz w:val="20"/>
          <w:szCs w:val="20"/>
          <w:color w:val="auto"/>
        </w:rPr>
      </w:pPr>
    </w:p>
    <w:p>
      <w:pPr>
        <w:ind w:left="720" w:hanging="256"/>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284" w:lineRule="auto"/>
        <w:tabs>
          <w:tab w:leader="none" w:pos="1113"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As a condition precedent to each Incremental Increase, the Borrower shall deliver to the Administrative Agent a certificate of the Borrower and, if reasonably determined by the Administrative Agent to be necessary or desirable under applicable Laws with respect to the Guarantee and Collateral Agreement of a Guarantor, of each such Guarantor, dated as of the Increase Effective Date, signed by a Responsible Officer of the Borrower or Guarantor and (A) certifying and attaching the resolutions adopted by the Borrower or Guarantor approving or consenting to such Incremental Increase (which, with respect to any such Loan Party, may, if applicable, be the resolutions entered into by such Loan Party in connection with the incurrence of the Obligations on the Closing Date) and (B) certifying that (1) both before and immediately after giving effect to such Incremental Increase, as of the Increase Effective Date no Default or Event of Default shall exist and be continuing, (2) immediately after giving effect to such Incremental Increase, as of the Increase Effective Date, the Borrower shall be in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compliance (after giving effect to the incurrence of such Incremental Increase and the use of proceeds thereof, but disregarding any cash constituting proceeds of such Incremental Increase solely for purposes of determining the Consolidated Net Leverage Ratio in connection with </w:t>
      </w:r>
      <w:r>
        <w:rPr>
          <w:rFonts w:ascii="Arial" w:cs="Arial" w:eastAsia="Arial" w:hAnsi="Arial"/>
          <w:sz w:val="16"/>
          <w:szCs w:val="16"/>
          <w:u w:val="single" w:color="auto"/>
          <w:color w:val="auto"/>
        </w:rPr>
        <w:t>clause (a)(vii)</w:t>
      </w:r>
      <w:r>
        <w:rPr>
          <w:rFonts w:ascii="Arial" w:cs="Arial" w:eastAsia="Arial" w:hAnsi="Arial"/>
          <w:sz w:val="16"/>
          <w:szCs w:val="16"/>
          <w:color w:val="auto"/>
        </w:rPr>
        <w:t xml:space="preserve"> above (assuming, in the case of a Revolving Credit Increase, that such new Revolving Credit Commitments are fully drawn)) with (x) in the case of a Revolving Credit Increase, the financial covenant contained in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(regardless of whether or not compliance with such ratio was in fact required as of the end of such fiscal quarter pursuant to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and (y) in the case of any Incremental Term Loan, the Consolidated Net Leverage Ratio shall not exceed the Closing Date Consolidated Net Leverage Ratio and (3) the representations and warranties of the Borrower and each other Loan Party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any other Loan Document, or which are contained in any document furnished at any time under or in connection herewith or therewith, are true and correct in all material respects (or, with respect to representations and warranties modified by a materiality or Material Adverse Effect standard, in all respects) on and as of the Increase Effective Date, except to the extent that such representations and warranties specifically refer to an earlier date, in which case they are true and correct in all material respects (or, with respect to representations and warranties modified by a materiality or Material Adverse Effect standard, in all respects) as of such earlier date, and except that for purposes of this </w:t>
      </w:r>
      <w:r>
        <w:rPr>
          <w:rFonts w:ascii="Arial" w:cs="Arial" w:eastAsia="Arial" w:hAnsi="Arial"/>
          <w:sz w:val="16"/>
          <w:szCs w:val="16"/>
          <w:u w:val="single" w:color="auto"/>
          <w:color w:val="auto"/>
        </w:rPr>
        <w:t>clause (i)(B)(3)</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Sections 5.05(a)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respectively. In addition, as a condition precedent to each Incremental Increase, the Borrower shall deliver or cause to be delivered such other officer’s certificates, Organization Documents and legal opinions of the type delivered on the Closing Date as are reasonably requested by, and in form and substance reasonably satisfactory to, the Administrative Agent.</w:t>
      </w:r>
    </w:p>
    <w:p>
      <w:pPr>
        <w:spacing w:after="0" w:line="288" w:lineRule="exact"/>
        <w:rPr>
          <w:rFonts w:ascii="Arial" w:cs="Arial" w:eastAsia="Arial" w:hAnsi="Arial"/>
          <w:sz w:val="16"/>
          <w:szCs w:val="16"/>
          <w:color w:val="auto"/>
        </w:rPr>
      </w:pPr>
    </w:p>
    <w:p>
      <w:pPr>
        <w:ind w:left="460" w:right="80" w:firstLine="443"/>
        <w:spacing w:after="0" w:line="279" w:lineRule="auto"/>
        <w:tabs>
          <w:tab w:leader="none" w:pos="1163" w:val="left"/>
        </w:tabs>
        <w:numPr>
          <w:ilvl w:val="1"/>
          <w:numId w:val="88"/>
        </w:numPr>
        <w:rPr>
          <w:rFonts w:ascii="Arial" w:cs="Arial" w:eastAsia="Arial" w:hAnsi="Arial"/>
          <w:sz w:val="17"/>
          <w:szCs w:val="17"/>
          <w:color w:val="auto"/>
        </w:rPr>
      </w:pPr>
      <w:r>
        <w:rPr>
          <w:rFonts w:ascii="Arial" w:cs="Arial" w:eastAsia="Arial" w:hAnsi="Arial"/>
          <w:sz w:val="17"/>
          <w:szCs w:val="17"/>
          <w:color w:val="auto"/>
        </w:rPr>
        <w:t>Each Revolving Credit Increase shall have the same terms as the outstanding Revolving Credit Loans and be part of the existing Revolving Credit Facility hereunder. Upon each Revolving Credit Increase (x) each Revolving Credit Lender having a Revolving Credit Commitment immediately prior to such increase will automatically and without further act be deemed to have assigned to each Revolving Credit Lender providing a portion of the Revolving Credit Increase (each, a “</w:t>
      </w:r>
      <w:r>
        <w:rPr>
          <w:rFonts w:ascii="Arial" w:cs="Arial" w:eastAsia="Arial" w:hAnsi="Arial"/>
          <w:sz w:val="17"/>
          <w:szCs w:val="17"/>
          <w:u w:val="single" w:color="auto"/>
          <w:color w:val="auto"/>
        </w:rPr>
        <w:t>Revolving Credit Increase Lender</w:t>
      </w:r>
      <w:r>
        <w:rPr>
          <w:rFonts w:ascii="Arial" w:cs="Arial" w:eastAsia="Arial" w:hAnsi="Arial"/>
          <w:sz w:val="17"/>
          <w:szCs w:val="17"/>
          <w:color w:val="auto"/>
        </w:rPr>
        <w:t>”) in respect of such increase, 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93" w:name="page94"/>
    <w:bookmarkEnd w:id="93"/>
    <w:p>
      <w:pPr>
        <w:ind w:left="380"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such Revolving Credit Increase Lender will automatically and without further act be deemed to have assumed, a portion of such Revolving Credit Lender’s participations hereunder in outstanding Letters of Credit and Swing Line Loans such that, after giving effect to each such deemed assignment and assumption of participations, the percentage of the aggregate outstanding (1) participations hereunder in Letters of Credit and (2) participations hereunder in Swing Line Loans, will, in each case, equal each Revolving Credit Lender’s Applicable Revolving Credit Percentages (after giving effect to such increase in the Revolving Credit Facility) and (y) if, on the date of such increase there are any Revolving Credit Loans outstanding, the Revolving Credit Lenders shall make such payments among themselves as the Administrative Agent may reasonably request to the extent necessary to keep the outstanding Revolving Credit Loans ratable with any revised Applicable Revolving Credit Percentages arising from such Revolving Credit Increase, and the Borrower shall pay to the applicable Lenders any amounts required to be paid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in connection with such payments among the Revolving Credit Lenders as if such payments were effected by prepayments of Revolving Credit Loans.</w:t>
      </w:r>
    </w:p>
    <w:p>
      <w:pPr>
        <w:spacing w:after="0" w:line="59" w:lineRule="exact"/>
        <w:rPr>
          <w:sz w:val="20"/>
          <w:szCs w:val="20"/>
          <w:color w:val="auto"/>
        </w:rPr>
      </w:pPr>
    </w:p>
    <w:p>
      <w:pPr>
        <w:ind w:left="380" w:firstLine="443"/>
        <w:spacing w:after="0" w:line="289" w:lineRule="auto"/>
        <w:tabs>
          <w:tab w:leader="none" w:pos="1133"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To the extent that any Incremental Increase shall take the form of an Incremental Term Loan, this Agreement may be amended to the extent necessary (without the need to obtain the consent of any Lender or any L/C Issuer other than the Lenders providing such Incremental Term Loans), in form and substance reasonably satisfactory to the Administrative Agent and the Borrower, to include such terms as are customary for a term loan commitment, including mandatory prepayments, assignments and voting provisions;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terms taken as a whole are adverse to the material interests of the existing Lenders, as reasonably determined by the Administrative Agent, then that shall constitute a reasonable basis for the Administrative Agent not to be satisfied with such terms or amendment and (ii) no such terms or amendment shall contravene any of the terms of the then existing Loan Documents. On any Increase Effective Date on which any Incremental Increase in the form of an Incremental Term Loan is effective, subject to the satisfaction of the terms and conditions in this </w:t>
      </w:r>
      <w:r>
        <w:rPr>
          <w:rFonts w:ascii="Arial" w:cs="Arial" w:eastAsia="Arial" w:hAnsi="Arial"/>
          <w:sz w:val="16"/>
          <w:szCs w:val="16"/>
          <w:u w:val="single" w:color="auto"/>
          <w:color w:val="auto"/>
        </w:rPr>
        <w:t>Section 2.14</w:t>
      </w:r>
      <w:r>
        <w:rPr>
          <w:rFonts w:ascii="Arial" w:cs="Arial" w:eastAsia="Arial" w:hAnsi="Arial"/>
          <w:sz w:val="16"/>
          <w:szCs w:val="16"/>
          <w:color w:val="auto"/>
        </w:rPr>
        <w:t>, each Lender of such Incremental Term Loan shall make an amount equal to its commitment to such Incremental Term Loan available to the Borrower, in a manner consistent with Borrowings hereunder.</w:t>
      </w:r>
    </w:p>
    <w:p>
      <w:pPr>
        <w:spacing w:after="0" w:line="58" w:lineRule="exact"/>
        <w:rPr>
          <w:rFonts w:ascii="Arial" w:cs="Arial" w:eastAsia="Arial" w:hAnsi="Arial"/>
          <w:sz w:val="16"/>
          <w:szCs w:val="16"/>
          <w:color w:val="auto"/>
        </w:rPr>
      </w:pPr>
    </w:p>
    <w:p>
      <w:pPr>
        <w:ind w:left="380" w:right="360" w:firstLine="443"/>
        <w:spacing w:after="0" w:line="277" w:lineRule="auto"/>
        <w:tabs>
          <w:tab w:leader="none" w:pos="1123" w:val="left"/>
        </w:tabs>
        <w:numPr>
          <w:ilvl w:val="1"/>
          <w:numId w:val="89"/>
        </w:numPr>
        <w:rPr>
          <w:rFonts w:ascii="Arial" w:cs="Arial" w:eastAsia="Arial" w:hAnsi="Arial"/>
          <w:sz w:val="18"/>
          <w:szCs w:val="18"/>
          <w:color w:val="auto"/>
        </w:rPr>
      </w:pPr>
      <w:r>
        <w:rPr>
          <w:rFonts w:ascii="Arial" w:cs="Arial" w:eastAsia="Arial" w:hAnsi="Arial"/>
          <w:sz w:val="18"/>
          <w:szCs w:val="18"/>
          <w:color w:val="auto"/>
        </w:rPr>
        <w:t>As a condition precedent to each Incremental Increase, all fees and expenses relating to each Incremental Increase, to the extent due and payable, shall have been paid in full.</w:t>
      </w:r>
    </w:p>
    <w:p>
      <w:pPr>
        <w:spacing w:after="0" w:line="170" w:lineRule="exact"/>
        <w:rPr>
          <w:rFonts w:ascii="Arial" w:cs="Arial" w:eastAsia="Arial" w:hAnsi="Arial"/>
          <w:sz w:val="18"/>
          <w:szCs w:val="18"/>
          <w:color w:val="auto"/>
        </w:rPr>
      </w:pPr>
    </w:p>
    <w:p>
      <w:pPr>
        <w:ind w:left="620" w:hanging="236"/>
        <w:spacing w:after="0"/>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to the contrary.</w:t>
      </w:r>
    </w:p>
    <w:p>
      <w:pPr>
        <w:spacing w:after="0" w:line="225" w:lineRule="exact"/>
        <w:rPr>
          <w:rFonts w:ascii="Arial" w:cs="Arial" w:eastAsia="Arial" w:hAnsi="Arial"/>
          <w:sz w:val="18"/>
          <w:szCs w:val="18"/>
          <w:color w:val="auto"/>
        </w:rPr>
      </w:pPr>
    </w:p>
    <w:p>
      <w:pPr>
        <w:ind w:left="-80" w:firstLine="464"/>
        <w:spacing w:after="0" w:line="264" w:lineRule="auto"/>
        <w:tabs>
          <w:tab w:leader="none" w:pos="60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Effective Date Incremental Increases</w:t>
      </w:r>
      <w:r>
        <w:rPr>
          <w:rFonts w:ascii="Arial" w:cs="Arial" w:eastAsia="Arial" w:hAnsi="Arial"/>
          <w:sz w:val="18"/>
          <w:szCs w:val="18"/>
          <w:color w:val="auto"/>
        </w:rPr>
        <w:t>. As of the Amendment and Restatement Effective Date and after giving effect to the 2016 Revolving Credit Increase (as defined in the Amendment and Restatement Agreement), the aggregate principal amount of Incremental Increases since the Closing Date is $83,000,000.</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17" w:lineRule="exact"/>
        <w:rPr>
          <w:sz w:val="20"/>
          <w:szCs w:val="20"/>
          <w:color w:val="auto"/>
        </w:rPr>
      </w:pPr>
    </w:p>
    <w:p>
      <w:pPr>
        <w:ind w:left="-80" w:right="180" w:firstLine="464"/>
        <w:spacing w:after="0" w:line="277" w:lineRule="auto"/>
        <w:tabs>
          <w:tab w:leader="none" w:pos="62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Laws:</w:t>
      </w:r>
    </w:p>
    <w:p>
      <w:pPr>
        <w:spacing w:after="0" w:line="62" w:lineRule="exact"/>
        <w:rPr>
          <w:rFonts w:ascii="Arial" w:cs="Arial" w:eastAsia="Arial" w:hAnsi="Arial"/>
          <w:sz w:val="18"/>
          <w:szCs w:val="18"/>
          <w:color w:val="auto"/>
        </w:rPr>
      </w:pPr>
    </w:p>
    <w:p>
      <w:pPr>
        <w:ind w:left="380" w:right="200" w:firstLine="443"/>
        <w:spacing w:after="0" w:line="277" w:lineRule="auto"/>
        <w:tabs>
          <w:tab w:leader="none" w:pos="1033"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in the definition of “Required Lender”.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80"/>
          </w:cols>
          <w:pgMar w:left="320" w:top="274" w:right="299" w:bottom="1440" w:gutter="0" w:footer="0" w:header="0"/>
        </w:sectPr>
      </w:pPr>
    </w:p>
    <w:bookmarkStart w:id="94" w:name="page95"/>
    <w:bookmarkEnd w:id="94"/>
    <w:p>
      <w:pPr>
        <w:ind w:firstLine="443"/>
        <w:spacing w:after="0" w:line="284" w:lineRule="auto"/>
        <w:tabs>
          <w:tab w:leader="none" w:pos="703"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basis of any amounts owing by such Defaulting Lender to the L/C Issuers or Swing Line Lender hereunder;</w:t>
      </w:r>
      <w:r>
        <w:rPr>
          <w:rFonts w:ascii="Arial" w:cs="Arial" w:eastAsia="Arial" w:hAnsi="Arial"/>
          <w:sz w:val="16"/>
          <w:szCs w:val="16"/>
          <w:i w:val="1"/>
          <w:iCs w:val="1"/>
          <w:color w:val="auto"/>
        </w:rPr>
        <w:t xml:space="preserve"> third</w:t>
      </w:r>
      <w:r>
        <w:rPr>
          <w:rFonts w:ascii="Arial" w:cs="Arial" w:eastAsia="Arial" w:hAnsi="Arial"/>
          <w:sz w:val="16"/>
          <w:szCs w:val="16"/>
          <w:color w:val="auto"/>
        </w:rPr>
        <w:t>, to Cash Collateralize each L/C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Issuer’s Fronting Exposure with respect to such Defaulting Lender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order to (x) satisfy such Defaulting Lender’s potential future funding obligations with respect to Loans under this Agreement and (y) Cash Collateralize each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L/C Issuers or Swing Line Lender as a result of any judgment of a court of competent jurisdiction obtained by any Lender, any L/C Issuer or the Swing 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payment is a payment of the principal amount of any Loans or L/C Borrowings in respect of which such Defaulting Lender has not fully funded its appropriate share, such payment shall be applied solely to pay the Loans of, and L/C Obligations owed to, all Non-Defaulting Lenders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prior to being applied to the payment of any Loans of, or L/C Obligations owed to, such Defaulting Lender until such time as all Loans and funded and unfunded participations in L/C Obligations and Swing Line Loans are held by the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 Commitments hereunder without giving effect to </w:t>
      </w:r>
      <w:r>
        <w:rPr>
          <w:rFonts w:ascii="Arial" w:cs="Arial" w:eastAsia="Arial" w:hAnsi="Arial"/>
          <w:sz w:val="16"/>
          <w:szCs w:val="16"/>
          <w:u w:val="single" w:color="auto"/>
          <w:color w:val="auto"/>
        </w:rPr>
        <w:t>Section 2.15(a)(iv)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2.15(a)(ii)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760" w:hanging="317"/>
        <w:spacing w:after="0"/>
        <w:tabs>
          <w:tab w:leader="none" w:pos="7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80" w:firstLine="421"/>
        <w:spacing w:after="0" w:line="264" w:lineRule="auto"/>
        <w:tabs>
          <w:tab w:leader="none" w:pos="1175"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73" w:lineRule="exact"/>
        <w:rPr>
          <w:rFonts w:ascii="Arial" w:cs="Arial" w:eastAsia="Arial" w:hAnsi="Arial"/>
          <w:sz w:val="18"/>
          <w:szCs w:val="18"/>
          <w:color w:val="auto"/>
        </w:rPr>
      </w:pPr>
    </w:p>
    <w:p>
      <w:pPr>
        <w:ind w:left="460" w:right="560" w:firstLine="421"/>
        <w:spacing w:after="0" w:line="264" w:lineRule="auto"/>
        <w:tabs>
          <w:tab w:leader="none" w:pos="1165"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60" w:right="420" w:firstLine="421"/>
        <w:spacing w:after="0" w:line="277" w:lineRule="auto"/>
        <w:tabs>
          <w:tab w:leader="none" w:pos="1165"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With respect to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or any Letter of Credit Fee not required to be paid to any Defaulting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700" w:top="274" w:right="239" w:bottom="1440" w:gutter="0" w:footer="0" w:header="0"/>
        </w:sectPr>
      </w:pPr>
    </w:p>
    <w:bookmarkStart w:id="95" w:name="page96"/>
    <w:bookmarkEnd w:id="95"/>
    <w:p>
      <w:pPr>
        <w:ind w:left="900"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above, the Borrower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below, (y) pay to each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80" w:lineRule="exact"/>
        <w:rPr>
          <w:sz w:val="20"/>
          <w:szCs w:val="20"/>
          <w:color w:val="auto"/>
        </w:rPr>
      </w:pPr>
    </w:p>
    <w:p>
      <w:pPr>
        <w:ind w:left="440" w:right="60" w:firstLine="443"/>
        <w:spacing w:after="0" w:line="253" w:lineRule="auto"/>
        <w:tabs>
          <w:tab w:leader="none" w:pos="1183"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Reallocation of Applicable Percentages to Reduce Fronting Exposure</w:t>
      </w:r>
      <w:r>
        <w:rPr>
          <w:rFonts w:ascii="Arial" w:cs="Arial" w:eastAsia="Arial" w:hAnsi="Arial"/>
          <w:sz w:val="18"/>
          <w:szCs w:val="18"/>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Revolving Credit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89" w:lineRule="exact"/>
        <w:rPr>
          <w:rFonts w:ascii="Arial" w:cs="Arial" w:eastAsia="Arial" w:hAnsi="Arial"/>
          <w:sz w:val="18"/>
          <w:szCs w:val="18"/>
          <w:color w:val="auto"/>
        </w:rPr>
      </w:pPr>
    </w:p>
    <w:p>
      <w:pPr>
        <w:ind w:left="440" w:right="160" w:firstLine="443"/>
        <w:spacing w:after="0" w:line="259" w:lineRule="auto"/>
        <w:tabs>
          <w:tab w:leader="none" w:pos="1133"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Borrower shall, without prejudice to any right or remedy available to it hereunder or under applicable Laws,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0" w:firstLine="464"/>
        <w:spacing w:after="0" w:line="289" w:lineRule="auto"/>
        <w:tabs>
          <w:tab w:leader="none" w:pos="691"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the Administrative Agent, Swing Line Lender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 Line Loans to be held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the Lenders in accordance with their Applicable Percentages (without giving effect to </w:t>
      </w:r>
      <w:r>
        <w:rPr>
          <w:rFonts w:ascii="Arial" w:cs="Arial" w:eastAsia="Arial" w:hAnsi="Arial"/>
          <w:sz w:val="16"/>
          <w:szCs w:val="16"/>
          <w:u w:val="single" w:color="auto"/>
          <w:color w:val="auto"/>
        </w:rPr>
        <w:t>Section 2.15(a)(iv)</w:t>
      </w:r>
      <w:r>
        <w:rPr>
          <w:rFonts w:ascii="Arial" w:cs="Arial" w:eastAsia="Arial" w:hAnsi="Arial"/>
          <w:sz w:val="16"/>
          <w:szCs w:val="16"/>
          <w:color w:val="auto"/>
        </w:rPr>
        <w:t xml:space="preserve">),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Cash Collateral</w:t>
      </w:r>
      <w:r>
        <w:rPr>
          <w:rFonts w:ascii="Arial" w:cs="Arial" w:eastAsia="Arial" w:hAnsi="Arial"/>
          <w:sz w:val="18"/>
          <w:szCs w:val="18"/>
          <w:color w:val="auto"/>
        </w:rPr>
        <w:t>.</w:t>
      </w:r>
    </w:p>
    <w:p>
      <w:pPr>
        <w:spacing w:after="0" w:line="117" w:lineRule="exact"/>
        <w:rPr>
          <w:sz w:val="20"/>
          <w:szCs w:val="20"/>
          <w:color w:val="auto"/>
        </w:rPr>
      </w:pPr>
    </w:p>
    <w:p>
      <w:pPr>
        <w:jc w:val="both"/>
        <w:ind w:left="-20" w:right="140" w:firstLine="464"/>
        <w:spacing w:after="0" w:line="264" w:lineRule="auto"/>
        <w:tabs>
          <w:tab w:leader="none" w:pos="681"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xml:space="preserve">. If (i) an L/C Issuer has honored any full or partial drawing request under any Letter of Credit and such drawing has resulted in an L/C Borrowing, (ii) as of the Letter of Credit Expiration Date, any L/C Obligation for any reason remains outstanding, (iii) the Borrower shall be required to provide Cash Collateral pursuant to </w:t>
      </w:r>
      <w:r>
        <w:rPr>
          <w:rFonts w:ascii="Arial" w:cs="Arial" w:eastAsia="Arial" w:hAnsi="Arial"/>
          <w:sz w:val="18"/>
          <w:szCs w:val="18"/>
          <w:u w:val="single" w:color="auto"/>
          <w:color w:val="auto"/>
        </w:rPr>
        <w:t>Section 8.02(c)</w:t>
      </w:r>
      <w:r>
        <w:rPr>
          <w:rFonts w:ascii="Arial" w:cs="Arial" w:eastAsia="Arial" w:hAnsi="Arial"/>
          <w:sz w:val="18"/>
          <w:szCs w:val="18"/>
          <w:color w:val="auto"/>
        </w:rPr>
        <w:t xml:space="preserve"> or (iv) there shall exist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60" w:top="274" w:right="259" w:bottom="1440" w:gutter="0" w:footer="0" w:header="0"/>
        </w:sectPr>
      </w:pPr>
    </w:p>
    <w:bookmarkStart w:id="96" w:name="page97"/>
    <w:bookmarkEnd w:id="9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Defaulting Lender, the Borrower shall immediately (in the case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or within one Business Day (in all other cases), following any request by the Administrative Agent or an L/C Issuer, provide Cash Collateral in an amount not less than the applicable Minimum Collateral Amount (determined in the case of Cash Collateral provided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after giving effect to </w:t>
      </w:r>
      <w:r>
        <w:rPr>
          <w:rFonts w:ascii="Arial" w:cs="Arial" w:eastAsia="Arial" w:hAnsi="Arial"/>
          <w:sz w:val="16"/>
          <w:szCs w:val="16"/>
          <w:u w:val="single" w:color="auto"/>
          <w:color w:val="auto"/>
        </w:rPr>
        <w:t>Section 2.15(a)(iv)</w:t>
      </w:r>
      <w:r>
        <w:rPr>
          <w:rFonts w:ascii="Arial" w:cs="Arial" w:eastAsia="Arial" w:hAnsi="Arial"/>
          <w:sz w:val="16"/>
          <w:szCs w:val="16"/>
          <w:color w:val="auto"/>
        </w:rPr>
        <w:t xml:space="preserve"> and any Cash Collateral provided by the Defaulting Lender). If at any time the Administrative Agent determines that any funds held as Cash Collateral are subject to any right or claim of any Person other than the Administrative Agent or that the total amount of such funds is less than the aggregate Outstanding Amount of all L/C Obligations, the Borrower will, forthwith upon demand by the Administrative Agent, pay to the Administrative Agent, as additional funds to be deposited as Cash Collateral, an amount equal to the excess of (x) such aggregate Outstanding Amount over (y) the total amount of funds, if any, then held as Cash Collateral that the Administrative Agent determines to be free and clear of any such right and claim. Upon the drawing of any Letter of Credit for which funds are on deposit as Cash Collateral, such funds shall be applied, to the extent permitted under applicable Laws, to reimburse the applicable L/C Issuer.</w:t>
      </w:r>
    </w:p>
    <w:p>
      <w:pPr>
        <w:spacing w:after="0" w:line="167" w:lineRule="exact"/>
        <w:rPr>
          <w:sz w:val="20"/>
          <w:szCs w:val="20"/>
          <w:color w:val="auto"/>
        </w:rPr>
      </w:pPr>
    </w:p>
    <w:p>
      <w:pPr>
        <w:ind w:firstLine="464"/>
        <w:spacing w:after="0" w:line="270" w:lineRule="auto"/>
        <w:tabs>
          <w:tab w:leader="none" w:pos="711"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The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2.16(c)</w:t>
      </w:r>
      <w:r>
        <w:rPr>
          <w:rFonts w:ascii="Arial" w:cs="Arial" w:eastAsia="Arial" w:hAnsi="Arial"/>
          <w:sz w:val="17"/>
          <w:szCs w:val="17"/>
          <w:color w:val="auto"/>
        </w:rPr>
        <w:t>. If at any time the Administrative Agent determines that Cash Collateral is subject to any right or claim of any Person other than the Administrative Agent or the applicable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SunTrust Bank. The Borrower shall pay on demand therefor from time to time all customary account opening, activity and other administrative fees and charges in connection with the maintenance and disbursement of Cash Collateral.</w:t>
      </w:r>
    </w:p>
    <w:p>
      <w:pPr>
        <w:spacing w:after="0" w:line="177" w:lineRule="exact"/>
        <w:rPr>
          <w:rFonts w:ascii="Arial" w:cs="Arial" w:eastAsia="Arial" w:hAnsi="Arial"/>
          <w:sz w:val="17"/>
          <w:szCs w:val="17"/>
          <w:color w:val="auto"/>
        </w:rPr>
      </w:pPr>
    </w:p>
    <w:p>
      <w:pPr>
        <w:ind w:right="300" w:firstLine="464"/>
        <w:spacing w:after="0" w:line="257" w:lineRule="auto"/>
        <w:tabs>
          <w:tab w:leader="none" w:pos="701"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any of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88" w:lineRule="exact"/>
        <w:rPr>
          <w:rFonts w:ascii="Arial" w:cs="Arial" w:eastAsia="Arial" w:hAnsi="Arial"/>
          <w:sz w:val="18"/>
          <w:szCs w:val="18"/>
          <w:color w:val="auto"/>
        </w:rPr>
      </w:pPr>
    </w:p>
    <w:p>
      <w:pPr>
        <w:ind w:right="60" w:firstLine="464"/>
        <w:spacing w:after="0" w:line="291" w:lineRule="auto"/>
        <w:tabs>
          <w:tab w:leader="none" w:pos="711"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10.06(b)(vi)</w:t>
      </w:r>
      <w:r>
        <w:rPr>
          <w:rFonts w:ascii="Arial" w:cs="Arial" w:eastAsia="Arial" w:hAnsi="Arial"/>
          <w:sz w:val="16"/>
          <w:szCs w:val="16"/>
          <w:color w:val="auto"/>
        </w:rPr>
        <w:t xml:space="preserve">)) or (ii) the determination by the Administrative Agent and the applicable L/C Issuer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applicable L/C Issuer may agree that Cash Collateral shall not be released but instead held to support future anticipated Fronting Exposure or other obligations.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TAXES, YIELD PROTECTION AND ILLEGALITY</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117" w:lineRule="exact"/>
        <w:rPr>
          <w:sz w:val="20"/>
          <w:szCs w:val="20"/>
          <w:color w:val="auto"/>
        </w:rPr>
      </w:pPr>
    </w:p>
    <w:p>
      <w:pPr>
        <w:ind w:left="420" w:right="20" w:firstLine="443"/>
        <w:spacing w:after="0" w:line="257" w:lineRule="auto"/>
        <w:tabs>
          <w:tab w:leader="none" w:pos="1073"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any Loan Party hereunder or under any Loan Document shall be made without deduction or withholding for any Taxes, except as required by applicable Laws. If any applicable Law (as determined in the good faith discretion of the Administrative Agent) requires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w:t>
      </w:r>
    </w:p>
    <w:p>
      <w:pPr>
        <w:spacing w:after="0" w:line="80" w:lineRule="exact"/>
        <w:rPr>
          <w:rFonts w:ascii="Arial" w:cs="Arial" w:eastAsia="Arial" w:hAnsi="Arial"/>
          <w:sz w:val="18"/>
          <w:szCs w:val="18"/>
          <w:color w:val="auto"/>
        </w:rPr>
      </w:pPr>
    </w:p>
    <w:p>
      <w:pPr>
        <w:ind w:left="420" w:firstLine="443"/>
        <w:spacing w:after="0" w:line="271" w:lineRule="auto"/>
        <w:tabs>
          <w:tab w:leader="none" w:pos="1123" w:val="left"/>
        </w:tabs>
        <w:numPr>
          <w:ilvl w:val="1"/>
          <w:numId w:val="97"/>
        </w:numPr>
        <w:rPr>
          <w:rFonts w:ascii="Arial" w:cs="Arial" w:eastAsia="Arial" w:hAnsi="Arial"/>
          <w:sz w:val="17"/>
          <w:szCs w:val="17"/>
          <w:color w:val="auto"/>
        </w:rPr>
      </w:pPr>
      <w:r>
        <w:rPr>
          <w:rFonts w:ascii="Arial" w:cs="Arial" w:eastAsia="Arial" w:hAnsi="Arial"/>
          <w:sz w:val="17"/>
          <w:szCs w:val="17"/>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 (B)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and withholdings applicable to additional sums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70" w:lineRule="exact"/>
        <w:rPr>
          <w:rFonts w:ascii="Arial" w:cs="Arial" w:eastAsia="Arial" w:hAnsi="Arial"/>
          <w:sz w:val="17"/>
          <w:szCs w:val="17"/>
          <w:color w:val="auto"/>
        </w:rPr>
      </w:pPr>
    </w:p>
    <w:p>
      <w:pPr>
        <w:ind w:left="420" w:right="40" w:firstLine="443"/>
        <w:spacing w:after="0" w:line="290" w:lineRule="auto"/>
        <w:tabs>
          <w:tab w:leader="none" w:pos="1173"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and withholdings applicable to additional sums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the applicable Recipient receives an amount equal to the sum it would have received had no such withholding or deduction been made.</w:t>
      </w:r>
    </w:p>
    <w:p>
      <w:pPr>
        <w:spacing w:after="0" w:line="166" w:lineRule="exact"/>
        <w:rPr>
          <w:rFonts w:ascii="Arial" w:cs="Arial" w:eastAsia="Arial" w:hAnsi="Arial"/>
          <w:sz w:val="16"/>
          <w:szCs w:val="16"/>
          <w:color w:val="auto"/>
        </w:rPr>
      </w:pPr>
    </w:p>
    <w:p>
      <w:pPr>
        <w:ind w:left="-40" w:right="140" w:firstLine="464"/>
        <w:spacing w:after="0" w:line="264" w:lineRule="auto"/>
        <w:tabs>
          <w:tab w:leader="none" w:pos="671"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the Borrower shall timely pay to the relevant Governmental Authority in accordance with applicable Laws, or at the option of the Administrative Agent timely reimburse it for the payment of, any Other Taxes.</w:t>
      </w:r>
    </w:p>
    <w:p>
      <w:pPr>
        <w:spacing w:after="0" w:line="181" w:lineRule="exact"/>
        <w:rPr>
          <w:rFonts w:ascii="Arial" w:cs="Arial" w:eastAsia="Arial" w:hAnsi="Arial"/>
          <w:sz w:val="18"/>
          <w:szCs w:val="18"/>
          <w:color w:val="auto"/>
        </w:rPr>
      </w:pPr>
    </w:p>
    <w:p>
      <w:pPr>
        <w:ind w:left="-40" w:right="40" w:firstLine="464"/>
        <w:spacing w:after="0" w:line="259" w:lineRule="auto"/>
        <w:tabs>
          <w:tab w:leader="none" w:pos="661"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 xml:space="preserve">. (i) The Borrower shall, and does hereby,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payable or paid by such Recipient or required to be withheld or deducted from a payment to such Recipient, and any penalties, interest and reasonable expenses arising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80" w:top="274" w:right="259" w:bottom="1440" w:gutter="0" w:footer="0" w:header="0"/>
        </w:sectPr>
      </w:pPr>
    </w:p>
    <w:bookmarkStart w:id="98" w:name="page99"/>
    <w:bookmarkEnd w:id="98"/>
    <w:p>
      <w:pPr>
        <w:ind w:right="1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therefrom or with respect thereto, whether or not such Indemnified Taxes were correctly or legally imposed or asserted by the relevant Governmental Authority. A certificate as to the amount of such payment or liability delivered to the Borrower by a Lender or an L/C Issuer (with a copy to the Administrative Agent, or by the Administrative Agent on its own behalf or on behalf of a Lender or an L/C Issuer, shall be conclusive absent manifest error. The Borrower shall, and does hereby, indemnify the Administrative Agent, and shall make payment in respect thereof within 10 days after demand therefor, for any amount which a Lender or an L/C Issuer for any reason fails to pay indefeasibly to the Administrative Agent as required pursuant to </w:t>
      </w:r>
      <w:r>
        <w:rPr>
          <w:rFonts w:ascii="Arial" w:cs="Arial" w:eastAsia="Arial" w:hAnsi="Arial"/>
          <w:sz w:val="16"/>
          <w:szCs w:val="16"/>
          <w:u w:val="single" w:color="auto"/>
          <w:color w:val="auto"/>
        </w:rPr>
        <w:t>Section 3.01(c)</w:t>
      </w:r>
    </w:p>
    <w:p>
      <w:pPr>
        <w:spacing w:after="0" w:line="2" w:lineRule="exact"/>
        <w:rPr>
          <w:sz w:val="20"/>
          <w:szCs w:val="20"/>
          <w:color w:val="auto"/>
        </w:rPr>
      </w:pPr>
    </w:p>
    <w:p>
      <w:pPr>
        <w:ind w:left="280" w:hanging="272"/>
        <w:spacing w:after="0"/>
        <w:tabs>
          <w:tab w:leader="none" w:pos="280" w:val="left"/>
        </w:tabs>
        <w:numPr>
          <w:ilvl w:val="0"/>
          <w:numId w:val="99"/>
        </w:numPr>
        <w:rPr>
          <w:rFonts w:ascii="Arial" w:cs="Arial" w:eastAsia="Arial" w:hAnsi="Arial"/>
          <w:sz w:val="18"/>
          <w:szCs w:val="18"/>
          <w:u w:val="single" w:color="auto"/>
          <w:color w:val="auto"/>
        </w:rPr>
      </w:pPr>
      <w:r>
        <w:rPr>
          <w:rFonts w:ascii="Arial" w:cs="Arial" w:eastAsia="Arial" w:hAnsi="Arial"/>
          <w:sz w:val="18"/>
          <w:szCs w:val="18"/>
          <w:color w:val="auto"/>
        </w:rPr>
        <w:t>below.</w:t>
      </w:r>
    </w:p>
    <w:p>
      <w:pPr>
        <w:spacing w:after="0" w:line="103" w:lineRule="exact"/>
        <w:rPr>
          <w:sz w:val="20"/>
          <w:szCs w:val="20"/>
          <w:color w:val="auto"/>
        </w:rPr>
      </w:pPr>
    </w:p>
    <w:p>
      <w:pPr>
        <w:ind w:left="460" w:right="20" w:firstLine="443"/>
        <w:spacing w:after="0" w:line="287" w:lineRule="auto"/>
        <w:tabs>
          <w:tab w:leader="none" w:pos="1163"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Each Lender and each L/C Issuer shall, and does hereby, severally indemnify, and shall make payment in respect thereof within 10 days after demand therefor, (x) the Administrative Agent against any Indemnified Taxes attributable to such Lender or such L/C Issuer (but only to the extent that the Borrower has not already indemnified the Administrative Agent for such Indemnified Taxes and without limiting the obligation of the Borrower to do so), (y) the Administrative Agent and the Borrower, as applicable, against any Taxes attributable to such Lender’s failure to comply with the provisions of </w:t>
      </w:r>
      <w:r>
        <w:rPr>
          <w:rFonts w:ascii="Arial" w:cs="Arial" w:eastAsia="Arial" w:hAnsi="Arial"/>
          <w:sz w:val="16"/>
          <w:szCs w:val="16"/>
          <w:u w:val="single" w:color="auto"/>
          <w:color w:val="auto"/>
        </w:rPr>
        <w:t>Section 10.06(d)</w:t>
      </w:r>
      <w:r>
        <w:rPr>
          <w:rFonts w:ascii="Arial" w:cs="Arial" w:eastAsia="Arial" w:hAnsi="Arial"/>
          <w:sz w:val="16"/>
          <w:szCs w:val="16"/>
          <w:color w:val="auto"/>
        </w:rPr>
        <w:t xml:space="preserve"> relating to the maintenance of a Participant Register and (z) the Administrative Agent and the Borrower, as applicable, against any Excluded Taxes attributable to such Lender or such L/C Issuer,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firstLine="464"/>
        <w:spacing w:after="0" w:line="257" w:lineRule="auto"/>
        <w:tabs>
          <w:tab w:leader="none" w:pos="71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Administrative Agent, as the case may be, after any payment of Taxes by the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296" w:lineRule="exact"/>
        <w:rPr>
          <w:rFonts w:ascii="Arial" w:cs="Arial" w:eastAsia="Arial" w:hAnsi="Arial"/>
          <w:sz w:val="18"/>
          <w:szCs w:val="18"/>
          <w:color w:val="auto"/>
        </w:rPr>
      </w:pPr>
    </w:p>
    <w:p>
      <w:pPr>
        <w:ind w:left="700" w:hanging="236"/>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253" w:lineRule="auto"/>
        <w:tabs>
          <w:tab w:leader="none" w:pos="111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3.01(e)(ii)(A)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274" w:right="279" w:bottom="1440" w:gutter="0" w:footer="0" w:header="0"/>
        </w:sectPr>
      </w:pPr>
    </w:p>
    <w:bookmarkStart w:id="99" w:name="page100"/>
    <w:bookmarkEnd w:id="99"/>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reasonable judgment such completion, execution or submission would subject such Lender to any material unreimbursed cost or expense or would materially prejudice the legal or commercial position of such Lender.</w:t>
      </w:r>
    </w:p>
    <w:p>
      <w:pPr>
        <w:spacing w:after="0" w:line="62" w:lineRule="exact"/>
        <w:rPr>
          <w:sz w:val="20"/>
          <w:szCs w:val="20"/>
          <w:color w:val="auto"/>
        </w:rPr>
      </w:pPr>
    </w:p>
    <w:p>
      <w:pPr>
        <w:ind w:left="700" w:hanging="257"/>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117" w:lineRule="exact"/>
        <w:rPr>
          <w:rFonts w:ascii="Arial" w:cs="Arial" w:eastAsia="Arial" w:hAnsi="Arial"/>
          <w:sz w:val="18"/>
          <w:szCs w:val="18"/>
          <w:color w:val="auto"/>
        </w:rPr>
      </w:pPr>
    </w:p>
    <w:p>
      <w:pPr>
        <w:ind w:left="460" w:right="300" w:firstLine="421"/>
        <w:spacing w:after="0" w:line="312" w:lineRule="auto"/>
        <w:tabs>
          <w:tab w:leader="none" w:pos="117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38" w:lineRule="exact"/>
        <w:rPr>
          <w:rFonts w:ascii="Arial" w:cs="Arial" w:eastAsia="Arial" w:hAnsi="Arial"/>
          <w:sz w:val="16"/>
          <w:szCs w:val="16"/>
          <w:color w:val="auto"/>
        </w:rPr>
      </w:pPr>
    </w:p>
    <w:p>
      <w:pPr>
        <w:ind w:left="460" w:right="360" w:firstLine="421"/>
        <w:spacing w:after="0" w:line="259" w:lineRule="auto"/>
        <w:tabs>
          <w:tab w:leader="none" w:pos="116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8" w:lineRule="exact"/>
        <w:rPr>
          <w:rFonts w:ascii="Arial" w:cs="Arial" w:eastAsia="Arial" w:hAnsi="Arial"/>
          <w:sz w:val="18"/>
          <w:szCs w:val="18"/>
          <w:color w:val="auto"/>
        </w:rPr>
      </w:pPr>
    </w:p>
    <w:p>
      <w:pPr>
        <w:ind w:left="1480" w:right="40" w:firstLine="387"/>
        <w:spacing w:after="0" w:line="255" w:lineRule="auto"/>
        <w:tabs>
          <w:tab w:leader="none" w:pos="2114" w:val="left"/>
        </w:tabs>
        <w:numPr>
          <w:ilvl w:val="3"/>
          <w:numId w:val="102"/>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85" w:lineRule="exact"/>
        <w:rPr>
          <w:rFonts w:ascii="Arial" w:cs="Arial" w:eastAsia="Arial" w:hAnsi="Arial"/>
          <w:sz w:val="18"/>
          <w:szCs w:val="18"/>
          <w:color w:val="auto"/>
        </w:rPr>
      </w:pPr>
    </w:p>
    <w:p>
      <w:pPr>
        <w:ind w:left="2120" w:hanging="253"/>
        <w:spacing w:after="0"/>
        <w:tabs>
          <w:tab w:leader="none" w:pos="2120" w:val="left"/>
        </w:tabs>
        <w:numPr>
          <w:ilvl w:val="3"/>
          <w:numId w:val="102"/>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117" w:lineRule="exact"/>
        <w:rPr>
          <w:rFonts w:ascii="Arial" w:cs="Arial" w:eastAsia="Arial" w:hAnsi="Arial"/>
          <w:sz w:val="18"/>
          <w:szCs w:val="18"/>
          <w:color w:val="auto"/>
        </w:rPr>
      </w:pPr>
    </w:p>
    <w:p>
      <w:pPr>
        <w:ind w:left="1480" w:right="20" w:firstLine="387"/>
        <w:spacing w:after="0" w:line="288" w:lineRule="auto"/>
        <w:tabs>
          <w:tab w:leader="none" w:pos="2114" w:val="left"/>
        </w:tabs>
        <w:numPr>
          <w:ilvl w:val="3"/>
          <w:numId w:val="102"/>
        </w:numPr>
        <w:rPr>
          <w:rFonts w:ascii="Arial" w:cs="Arial" w:eastAsia="Arial" w:hAnsi="Arial"/>
          <w:sz w:val="16"/>
          <w:szCs w:val="16"/>
          <w:color w:val="auto"/>
        </w:rPr>
      </w:pPr>
      <w:r>
        <w:rPr>
          <w:rFonts w:ascii="Arial" w:cs="Arial" w:eastAsia="Arial" w:hAnsi="Arial"/>
          <w:sz w:val="16"/>
          <w:szCs w:val="16"/>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E-1</w:t>
      </w:r>
      <w:r>
        <w:rPr>
          <w:rFonts w:ascii="Arial" w:cs="Arial" w:eastAsia="Arial" w:hAnsi="Arial"/>
          <w:sz w:val="16"/>
          <w:szCs w:val="16"/>
          <w:color w:val="auto"/>
        </w:rPr>
        <w:t xml:space="preserve"> to the effect that such Foreign Lender is not a “bank” within the meaning of Section 881(c)(3)(A) of the Code, a “10 percent shareholder” of the Borrower within the meaning of Section 881(c)(3)</w:t>
      </w:r>
    </w:p>
    <w:p>
      <w:pPr>
        <w:ind w:left="1480" w:right="360" w:firstLine="8"/>
        <w:spacing w:after="0" w:line="261" w:lineRule="auto"/>
        <w:tabs>
          <w:tab w:leader="none" w:pos="1765" w:val="left"/>
        </w:tabs>
        <w:numPr>
          <w:ilvl w:val="2"/>
          <w:numId w:val="102"/>
        </w:numPr>
        <w:rPr>
          <w:rFonts w:ascii="Arial" w:cs="Arial" w:eastAsia="Arial" w:hAnsi="Arial"/>
          <w:sz w:val="18"/>
          <w:szCs w:val="18"/>
          <w:color w:val="auto"/>
        </w:rPr>
      </w:pPr>
      <w:r>
        <w:rPr>
          <w:rFonts w:ascii="Arial" w:cs="Arial" w:eastAsia="Arial" w:hAnsi="Arial"/>
          <w:sz w:val="18"/>
          <w:szCs w:val="18"/>
          <w:color w:val="auto"/>
        </w:rPr>
        <w:t>of the Code, or a “controlled foreign corporation” described in Section 881(c)(3)(C) of the Code (a “</w:t>
      </w:r>
      <w:r>
        <w:rPr>
          <w:rFonts w:ascii="Arial" w:cs="Arial" w:eastAsia="Arial" w:hAnsi="Arial"/>
          <w:sz w:val="18"/>
          <w:szCs w:val="18"/>
          <w:u w:val="single" w:color="auto"/>
          <w:color w:val="auto"/>
        </w:rPr>
        <w:t>U.S. Tax Compliance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and (y) executed originals of IRS Form W-8BEN or W-8BEN-E, as applicable; or</w:t>
      </w:r>
    </w:p>
    <w:p>
      <w:pPr>
        <w:spacing w:after="0" w:line="75" w:lineRule="exact"/>
        <w:rPr>
          <w:rFonts w:ascii="Arial" w:cs="Arial" w:eastAsia="Arial" w:hAnsi="Arial"/>
          <w:sz w:val="18"/>
          <w:szCs w:val="18"/>
          <w:color w:val="auto"/>
        </w:rPr>
      </w:pPr>
    </w:p>
    <w:p>
      <w:pPr>
        <w:ind w:left="1480" w:firstLine="387"/>
        <w:spacing w:after="0" w:line="273" w:lineRule="auto"/>
        <w:tabs>
          <w:tab w:leader="none" w:pos="2114" w:val="left"/>
        </w:tabs>
        <w:numPr>
          <w:ilvl w:val="3"/>
          <w:numId w:val="103"/>
        </w:numPr>
        <w:rPr>
          <w:rFonts w:ascii="Arial" w:cs="Arial" w:eastAsia="Arial" w:hAnsi="Arial"/>
          <w:sz w:val="17"/>
          <w:szCs w:val="17"/>
          <w:color w:val="auto"/>
        </w:rPr>
      </w:pPr>
      <w:r>
        <w:rPr>
          <w:rFonts w:ascii="Arial" w:cs="Arial" w:eastAsia="Arial" w:hAnsi="Arial"/>
          <w:sz w:val="17"/>
          <w:szCs w:val="17"/>
          <w:color w:val="auto"/>
        </w:rPr>
        <w:t xml:space="preserve">to the extent a Foreign Lender is not the beneficial owner, executed originals of IRS Form W-8IMY, accompanied by IRS Form W-8ECI, IRS Form W-8BEN or W-8BEN-E, as applicable, a U.S. Tax Compliance Certificate substantially in the form of </w:t>
      </w:r>
      <w:r>
        <w:rPr>
          <w:rFonts w:ascii="Arial" w:cs="Arial" w:eastAsia="Arial" w:hAnsi="Arial"/>
          <w:sz w:val="17"/>
          <w:szCs w:val="17"/>
          <w:u w:val="single" w:color="auto"/>
          <w:color w:val="auto"/>
        </w:rPr>
        <w:t>Exhibit E-2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E-3</w:t>
      </w:r>
      <w:r>
        <w:rPr>
          <w:rFonts w:ascii="Arial" w:cs="Arial" w:eastAsia="Arial" w:hAnsi="Arial"/>
          <w:sz w:val="17"/>
          <w:szCs w:val="17"/>
          <w:color w:val="auto"/>
        </w:rPr>
        <w:t xml:space="preserve">, IRS Form W-9, and/or other certification documents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7"/>
          <w:szCs w:val="17"/>
          <w:u w:val="single" w:color="auto"/>
          <w:color w:val="auto"/>
        </w:rPr>
        <w:t>Exhibit E-4</w:t>
      </w:r>
      <w:r>
        <w:rPr>
          <w:rFonts w:ascii="Arial" w:cs="Arial" w:eastAsia="Arial" w:hAnsi="Arial"/>
          <w:sz w:val="17"/>
          <w:szCs w:val="17"/>
          <w:color w:val="auto"/>
        </w:rPr>
        <w:t xml:space="preserve"> on behalf of each such direct and indirect partner;</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20"/>
          </w:cols>
          <w:pgMar w:left="700" w:top="274" w:right="279" w:bottom="1440" w:gutter="0" w:footer="0" w:header="0"/>
        </w:sectPr>
      </w:pPr>
    </w:p>
    <w:bookmarkStart w:id="100" w:name="page101"/>
    <w:bookmarkEnd w:id="100"/>
    <w:p>
      <w:pPr>
        <w:ind w:left="900" w:right="20" w:firstLine="421"/>
        <w:spacing w:after="0" w:line="255" w:lineRule="auto"/>
        <w:tabs>
          <w:tab w:leader="none" w:pos="1605" w:val="left"/>
        </w:tabs>
        <w:numPr>
          <w:ilvl w:val="2"/>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85" w:lineRule="exact"/>
        <w:rPr>
          <w:rFonts w:ascii="Arial" w:cs="Arial" w:eastAsia="Arial" w:hAnsi="Arial"/>
          <w:sz w:val="18"/>
          <w:szCs w:val="18"/>
          <w:color w:val="auto"/>
        </w:rPr>
      </w:pPr>
    </w:p>
    <w:p>
      <w:pPr>
        <w:ind w:left="900" w:firstLine="421"/>
        <w:spacing w:after="0" w:line="253" w:lineRule="auto"/>
        <w:tabs>
          <w:tab w:leader="none" w:pos="1615" w:val="left"/>
        </w:tabs>
        <w:numPr>
          <w:ilvl w:val="2"/>
          <w:numId w:val="104"/>
        </w:numPr>
        <w:rPr>
          <w:rFonts w:ascii="Arial" w:cs="Arial" w:eastAsia="Arial" w:hAnsi="Arial"/>
          <w:sz w:val="18"/>
          <w:szCs w:val="18"/>
          <w:color w:val="auto"/>
        </w:rPr>
      </w:pPr>
      <w:r>
        <w:rPr>
          <w:rFonts w:ascii="Arial" w:cs="Arial" w:eastAsia="Arial" w:hAnsi="Arial"/>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8"/>
          <w:szCs w:val="18"/>
          <w:u w:val="single" w:color="auto"/>
          <w:color w:val="auto"/>
        </w:rPr>
        <w:t>clause (D)</w:t>
      </w:r>
      <w:r>
        <w:rPr>
          <w:rFonts w:ascii="Arial" w:cs="Arial" w:eastAsia="Arial" w:hAnsi="Arial"/>
          <w:sz w:val="18"/>
          <w:szCs w:val="18"/>
          <w:color w:val="auto"/>
        </w:rPr>
        <w:t>, “FATCA” shall include any amendments made to FATCA after the date of this Agreement.</w:t>
      </w:r>
    </w:p>
    <w:p>
      <w:pPr>
        <w:spacing w:after="0" w:line="89" w:lineRule="exact"/>
        <w:rPr>
          <w:rFonts w:ascii="Arial" w:cs="Arial" w:eastAsia="Arial" w:hAnsi="Arial"/>
          <w:sz w:val="18"/>
          <w:szCs w:val="18"/>
          <w:color w:val="auto"/>
        </w:rPr>
      </w:pPr>
    </w:p>
    <w:p>
      <w:pPr>
        <w:ind w:left="440" w:right="80" w:firstLine="443"/>
        <w:spacing w:after="0" w:line="264" w:lineRule="auto"/>
        <w:tabs>
          <w:tab w:leader="none" w:pos="119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81" w:lineRule="exact"/>
        <w:rPr>
          <w:rFonts w:ascii="Arial" w:cs="Arial" w:eastAsia="Arial" w:hAnsi="Arial"/>
          <w:sz w:val="18"/>
          <w:szCs w:val="18"/>
          <w:color w:val="auto"/>
        </w:rPr>
      </w:pPr>
    </w:p>
    <w:p>
      <w:pPr>
        <w:ind w:left="-20" w:right="40" w:firstLine="464"/>
        <w:spacing w:after="0" w:line="269" w:lineRule="auto"/>
        <w:tabs>
          <w:tab w:leader="none" w:pos="661"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Unless required by applicable Laws, at no time shall the Administrative Agent have any obligation to file for or otherwise pursue on behalf of a Lender or an L/C Issuer, or have any obligation to pay to any Lender or an L/C Issuer, any refund of Taxes withheld or deducted from funds paid for the account of such Lender or such L/C Issuer, as the case may be.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upon the request of the Recipient, agrees to repay the amount paid over to the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60" w:top="274" w:right="239" w:bottom="1440" w:gutter="0" w:footer="0" w:header="0"/>
        </w:sectPr>
      </w:pPr>
    </w:p>
    <w:bookmarkStart w:id="101" w:name="page102"/>
    <w:bookmarkEnd w:id="101"/>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Recipient in a less favorable net after-Tax position than such Recipient would have been in if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187" w:lineRule="exact"/>
        <w:rPr>
          <w:sz w:val="20"/>
          <w:szCs w:val="20"/>
          <w:color w:val="auto"/>
        </w:rPr>
      </w:pPr>
    </w:p>
    <w:p>
      <w:pPr>
        <w:ind w:left="720" w:hanging="256"/>
        <w:spacing w:after="0"/>
        <w:tabs>
          <w:tab w:leader="none" w:pos="720"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Each party’s obligations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shall survive the resignation or replacement of the Administrative Agent or any</w:t>
      </w:r>
    </w:p>
    <w:p>
      <w:pPr>
        <w:spacing w:after="0" w:line="34" w:lineRule="exact"/>
        <w:rPr>
          <w:rFonts w:ascii="Arial" w:cs="Arial" w:eastAsia="Arial" w:hAnsi="Arial"/>
          <w:sz w:val="17"/>
          <w:szCs w:val="17"/>
          <w:color w:val="auto"/>
        </w:rPr>
      </w:pPr>
    </w:p>
    <w:p>
      <w:pPr>
        <w:ind w:right="80"/>
        <w:spacing w:after="0" w:line="261" w:lineRule="auto"/>
        <w:rPr>
          <w:rFonts w:ascii="Arial" w:cs="Arial" w:eastAsia="Arial" w:hAnsi="Arial"/>
          <w:sz w:val="17"/>
          <w:szCs w:val="17"/>
          <w:color w:val="auto"/>
        </w:rPr>
      </w:pPr>
      <w:r>
        <w:rPr>
          <w:rFonts w:ascii="Arial" w:cs="Arial" w:eastAsia="Arial" w:hAnsi="Arial"/>
          <w:sz w:val="18"/>
          <w:szCs w:val="18"/>
          <w:color w:val="auto"/>
        </w:rPr>
        <w:t>assignment of rights by, or the replacement of, a Lender or an L/C Issuer, the termination of the Commitments and the repayment, satisfaction or discharge of all other Obligations.</w:t>
      </w:r>
    </w:p>
    <w:p>
      <w:pPr>
        <w:spacing w:after="0" w:line="18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w:t>
      </w:r>
    </w:p>
    <w:p>
      <w:pPr>
        <w:spacing w:after="0" w:line="7" w:lineRule="exact"/>
        <w:rPr>
          <w:sz w:val="20"/>
          <w:szCs w:val="20"/>
          <w:color w:val="auto"/>
        </w:rPr>
      </w:pPr>
    </w:p>
    <w:p>
      <w:pPr>
        <w:ind w:right="60" w:firstLine="8"/>
        <w:spacing w:after="0" w:line="251" w:lineRule="auto"/>
        <w:tabs>
          <w:tab w:leader="none" w:pos="2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98"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 xml:space="preserve">3.03 </w:t>
      </w:r>
      <w:r>
        <w:rPr>
          <w:rFonts w:ascii="Arial" w:cs="Arial" w:eastAsia="Arial" w:hAnsi="Arial"/>
          <w:sz w:val="17"/>
          <w:szCs w:val="17"/>
          <w:u w:val="single" w:color="auto"/>
          <w:color w:val="auto"/>
        </w:rPr>
        <w:t>Inability to Determine Rates</w:t>
      </w:r>
      <w:r>
        <w:rPr>
          <w:rFonts w:ascii="Arial" w:cs="Arial" w:eastAsia="Arial" w:hAnsi="Arial"/>
          <w:sz w:val="17"/>
          <w:szCs w:val="17"/>
          <w:color w:val="auto"/>
        </w:rPr>
        <w:t xml:space="preserve">. If in connection with any request for a Eurodollar Rate Loan or a conversion to or continuation thereof, (a) the Administrative Agent determines that (i) Dollar deposits are not being offered to banks in the London interbank eurodollar market for the applicable amount and Interest Period of such Eurodollar Rate Loan, or (ii) adequate and reasonable means do not exist for determining the Eurodollar Rate for any requested Interest Period with respect to a proposed Eurodollar Rate Loan or in connection with an existing or proposed Base Rate Loan (in each case with respect to </w:t>
      </w:r>
      <w:r>
        <w:rPr>
          <w:rFonts w:ascii="Arial" w:cs="Arial" w:eastAsia="Arial" w:hAnsi="Arial"/>
          <w:sz w:val="17"/>
          <w:szCs w:val="17"/>
          <w:u w:val="single" w:color="auto"/>
          <w:color w:val="auto"/>
        </w:rPr>
        <w:t>clause (a)(i)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Impacted Loans</w:t>
      </w:r>
      <w:r>
        <w:rPr>
          <w:rFonts w:ascii="Arial" w:cs="Arial" w:eastAsia="Arial" w:hAnsi="Arial"/>
          <w:sz w:val="17"/>
          <w:szCs w:val="17"/>
          <w:color w:val="auto"/>
        </w:rPr>
        <w:t>”), or (b)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102" w:name="page103"/>
    <w:bookmarkEnd w:id="102"/>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54"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 xml:space="preserve">Notwithstanding the foregoing, if the Administrative Agent has made the determination described in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of this section,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first sentence of this section, (2) the 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Increased Costs; Reserves on Eurodollar Rate Loans</w:t>
      </w:r>
      <w:r>
        <w:rPr>
          <w:rFonts w:ascii="Arial" w:cs="Arial" w:eastAsia="Arial" w:hAnsi="Arial"/>
          <w:sz w:val="18"/>
          <w:szCs w:val="18"/>
          <w:color w:val="auto"/>
        </w:rPr>
        <w:t>. (a) Increased Costs Generally. If any Change in Law shall:</w:t>
      </w:r>
    </w:p>
    <w:p>
      <w:pPr>
        <w:spacing w:after="0" w:line="117" w:lineRule="exact"/>
        <w:rPr>
          <w:sz w:val="20"/>
          <w:szCs w:val="20"/>
          <w:color w:val="auto"/>
        </w:rPr>
      </w:pPr>
    </w:p>
    <w:p>
      <w:pPr>
        <w:ind w:left="460" w:right="200" w:firstLine="443"/>
        <w:spacing w:after="0" w:line="291" w:lineRule="auto"/>
        <w:tabs>
          <w:tab w:leader="none" w:pos="111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compulsory loan, insurance charge or similar requirement against assets of, deposits with or for the account of, or credit extended or participated in by, any Lender (except any reserve requirement contemplated by</w:t>
      </w: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Section 3.04(e)</w:t>
      </w:r>
      <w:r>
        <w:rPr>
          <w:rFonts w:ascii="Arial" w:cs="Arial" w:eastAsia="Arial" w:hAnsi="Arial"/>
          <w:sz w:val="18"/>
          <w:szCs w:val="18"/>
          <w:color w:val="auto"/>
        </w:rPr>
        <w:t>) or any L/C Issuer;</w:t>
      </w:r>
    </w:p>
    <w:p>
      <w:pPr>
        <w:spacing w:after="0" w:line="102" w:lineRule="exact"/>
        <w:rPr>
          <w:rFonts w:ascii="Arial" w:cs="Arial" w:eastAsia="Arial" w:hAnsi="Arial"/>
          <w:sz w:val="16"/>
          <w:szCs w:val="16"/>
          <w:color w:val="auto"/>
        </w:rPr>
      </w:pPr>
    </w:p>
    <w:p>
      <w:pPr>
        <w:jc w:val="both"/>
        <w:ind w:left="460" w:right="380" w:firstLine="443"/>
        <w:spacing w:after="0" w:line="264" w:lineRule="auto"/>
        <w:tabs>
          <w:tab w:leader="none" w:pos="116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subject any Recipient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73" w:lineRule="exact"/>
        <w:rPr>
          <w:rFonts w:ascii="Arial" w:cs="Arial" w:eastAsia="Arial" w:hAnsi="Arial"/>
          <w:sz w:val="18"/>
          <w:szCs w:val="18"/>
          <w:color w:val="auto"/>
        </w:rPr>
      </w:pPr>
    </w:p>
    <w:p>
      <w:pPr>
        <w:ind w:left="460" w:right="280" w:firstLine="443"/>
        <w:spacing w:after="0" w:line="277" w:lineRule="auto"/>
        <w:tabs>
          <w:tab w:leader="none" w:pos="121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impose on any Lender or any L/C Issuer or the London interbank market any other condition, cost or expense affecting this Agreement or Eurodollar Rate Loans made by such Lender or any Letter of Credit or participation therein;</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and the result of any of the foregoing shall be to increase the cost to such Lender of making, converting to, continuing or maintaining any Loan the interest on which is determined by reference to the Eurodollar Rate (or,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w:t>
      </w:r>
    </w:p>
    <w:p>
      <w:pPr>
        <w:spacing w:after="0" w:line="189" w:lineRule="exact"/>
        <w:rPr>
          <w:sz w:val="20"/>
          <w:szCs w:val="20"/>
          <w:color w:val="auto"/>
        </w:rPr>
      </w:pPr>
    </w:p>
    <w:p>
      <w:pPr>
        <w:ind w:right="20" w:firstLine="464"/>
        <w:spacing w:after="0" w:line="277" w:lineRule="auto"/>
        <w:tabs>
          <w:tab w:leader="none" w:pos="711"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any L/C Issuer determines that any Change in Law affecting such Lender or such L/C Issuer or any Lending Office of such Lender or such Lender’s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103" w:name="page104"/>
    <w:bookmarkEnd w:id="103"/>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or liquidity), then from time to time the Borrower will pay to such Lender or such L/C Issuer, as the case may be, such additional amount or amounts as will compensate such Lender or such L/C Issuer or such Lender’s or such L/C Issuer’s holding company for any such reduction suffered.</w:t>
      </w:r>
    </w:p>
    <w:p>
      <w:pPr>
        <w:spacing w:after="0" w:line="179" w:lineRule="exact"/>
        <w:rPr>
          <w:sz w:val="20"/>
          <w:szCs w:val="20"/>
          <w:color w:val="auto"/>
        </w:rPr>
      </w:pPr>
    </w:p>
    <w:p>
      <w:pPr>
        <w:ind w:right="80" w:firstLine="464"/>
        <w:spacing w:after="0" w:line="259" w:lineRule="auto"/>
        <w:tabs>
          <w:tab w:leader="none" w:pos="701"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A certificate of a Lender or an L/C Issuer setting forth the amount or amounts necessary to compensate such Lender or such L/C Issuer or its holding company, as the case may be, as specified in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and delivered to the Borrower shall be conclusive absent manifest error. The Borrower shall pay such Lender or such L/C Issuer, as the case may be, the amount shown as due on any such certificate within 10 days after receipt thereof.</w:t>
      </w:r>
    </w:p>
    <w:p>
      <w:pPr>
        <w:spacing w:after="0" w:line="186" w:lineRule="exact"/>
        <w:rPr>
          <w:rFonts w:ascii="Arial" w:cs="Arial" w:eastAsia="Arial" w:hAnsi="Arial"/>
          <w:sz w:val="18"/>
          <w:szCs w:val="18"/>
          <w:color w:val="auto"/>
        </w:rPr>
      </w:pPr>
    </w:p>
    <w:p>
      <w:pPr>
        <w:ind w:right="40" w:firstLine="464"/>
        <w:spacing w:after="0" w:line="255" w:lineRule="auto"/>
        <w:tabs>
          <w:tab w:leader="none" w:pos="711"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any L/C Issuer to demand compensation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shall not constitute a waiver of such Lender’s or such L/C Issuer’s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or an L/C Issuer pursuant to the foregoing provisions of this Section for any increased costs incurred or reductions suffered more than nine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9" w:lineRule="exact"/>
        <w:rPr>
          <w:rFonts w:ascii="Arial" w:cs="Arial" w:eastAsia="Arial" w:hAnsi="Arial"/>
          <w:sz w:val="18"/>
          <w:szCs w:val="18"/>
          <w:color w:val="auto"/>
        </w:rPr>
      </w:pPr>
    </w:p>
    <w:p>
      <w:pPr>
        <w:ind w:right="40" w:firstLine="464"/>
        <w:spacing w:after="0" w:line="255" w:lineRule="auto"/>
        <w:tabs>
          <w:tab w:leader="none" w:pos="701"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Reserves on Eurodollar Rate Loans</w:t>
      </w:r>
      <w:r>
        <w:rPr>
          <w:rFonts w:ascii="Arial" w:cs="Arial" w:eastAsia="Arial" w:hAnsi="Arial"/>
          <w:sz w:val="18"/>
          <w:szCs w:val="18"/>
          <w:color w:val="auto"/>
        </w:rPr>
        <w:t>. The Borrower shall pay to each Lender, as long as such Lender shall be required to maintain reserves with respect to liabilities or assets consisting of or including Eurocurrency funds or deposits (currently known as “</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xml:space="preserve">”),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8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Compensation for Losses</w:t>
      </w:r>
      <w:r>
        <w:rPr>
          <w:rFonts w:ascii="Arial" w:cs="Arial" w:eastAsia="Arial" w:hAnsi="Arial"/>
          <w:sz w:val="18"/>
          <w:szCs w:val="18"/>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170" w:lineRule="exact"/>
        <w:rPr>
          <w:sz w:val="20"/>
          <w:szCs w:val="20"/>
          <w:color w:val="auto"/>
        </w:rPr>
      </w:pPr>
    </w:p>
    <w:p>
      <w:pPr>
        <w:ind w:right="460" w:firstLine="464"/>
        <w:spacing w:after="0" w:line="277" w:lineRule="auto"/>
        <w:tabs>
          <w:tab w:leader="none" w:pos="70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70" w:lineRule="exact"/>
        <w:rPr>
          <w:rFonts w:ascii="Arial" w:cs="Arial" w:eastAsia="Arial" w:hAnsi="Arial"/>
          <w:sz w:val="18"/>
          <w:szCs w:val="18"/>
          <w:color w:val="auto"/>
        </w:rPr>
      </w:pPr>
    </w:p>
    <w:p>
      <w:pPr>
        <w:ind w:right="300" w:firstLine="464"/>
        <w:spacing w:after="0" w:line="277" w:lineRule="auto"/>
        <w:tabs>
          <w:tab w:leader="none" w:pos="71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274" w:right="279" w:bottom="1440" w:gutter="0" w:footer="0" w:header="0"/>
        </w:sectPr>
      </w:pPr>
    </w:p>
    <w:bookmarkStart w:id="104" w:name="page105"/>
    <w:bookmarkEnd w:id="104"/>
    <w:p>
      <w:pPr>
        <w:ind w:right="240" w:firstLine="464"/>
        <w:spacing w:after="0" w:line="277" w:lineRule="auto"/>
        <w:tabs>
          <w:tab w:leader="none" w:pos="7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For purposes of calculating amounts payable by the Borrower to the Lenders under this </w:t>
      </w:r>
      <w:r>
        <w:rPr>
          <w:rFonts w:ascii="Arial" w:cs="Arial" w:eastAsia="Arial" w:hAnsi="Arial"/>
          <w:sz w:val="17"/>
          <w:szCs w:val="17"/>
          <w:u w:val="single" w:color="auto"/>
          <w:color w:val="auto"/>
        </w:rPr>
        <w:t>Section 3.05</w:t>
      </w:r>
      <w:r>
        <w:rPr>
          <w:rFonts w:ascii="Arial" w:cs="Arial" w:eastAsia="Arial" w:hAnsi="Arial"/>
          <w:sz w:val="17"/>
          <w:szCs w:val="17"/>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69" w:lineRule="auto"/>
        <w:tabs>
          <w:tab w:leader="none" w:pos="701"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Each Lender may fund any Borrowing through any Lending Office,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exercise of this option shall not affect the obligation of the Borrower to repay the Borrowing in accordance with the terms of this Agreement.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requires the Borrower to pay any Indemnified Taxes or additional amounts to any Lender, any L/C Issuer, or any Governmental Authority for the account of any Lender or any L/C Issuer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at the request of the Borrower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as the case may be, in 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 or such L/C Issuer, as the case may be, to any unreimbursed cost or expense and would not otherwise be disadvantageous to such Lender or such L/C Issuer, as the case may be. The Borrower hereby agrees to pay all reasonable costs and expenses incurred by any Lender or any L/C Issuer in connection with any such designation or assignment.</w:t>
      </w:r>
    </w:p>
    <w:p>
      <w:pPr>
        <w:spacing w:after="0" w:line="182" w:lineRule="exact"/>
        <w:rPr>
          <w:rFonts w:ascii="Arial" w:cs="Arial" w:eastAsia="Arial" w:hAnsi="Arial"/>
          <w:sz w:val="17"/>
          <w:szCs w:val="17"/>
          <w:color w:val="auto"/>
        </w:rPr>
      </w:pPr>
    </w:p>
    <w:p>
      <w:pPr>
        <w:jc w:val="both"/>
        <w:ind w:right="80" w:firstLine="464"/>
        <w:spacing w:after="0" w:line="259" w:lineRule="auto"/>
        <w:tabs>
          <w:tab w:leader="none" w:pos="711"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repayment of all other Obligations hereunder, and resignation of the Administrative Agent.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20"/>
          </w:cols>
          <w:pgMar w:left="240" w:top="274"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 TO CLOSING AND BORROWING</w:t>
      </w:r>
    </w:p>
    <w:p>
      <w:pPr>
        <w:spacing w:after="0" w:line="21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Conditions of Closing and Initial Borrowing</w:t>
      </w:r>
      <w:r>
        <w:rPr>
          <w:rFonts w:ascii="Arial" w:cs="Arial" w:eastAsia="Arial" w:hAnsi="Arial"/>
          <w:sz w:val="18"/>
          <w:szCs w:val="18"/>
          <w:color w:val="auto"/>
        </w:rPr>
        <w:t>. The effectiveness of this Agreement and the obligation of each Lender and each L/C Issuer to make its Loans on the Closing Date are subject to satisfaction of the following conditions precedent:</w:t>
      </w:r>
    </w:p>
    <w:p>
      <w:pPr>
        <w:spacing w:after="0" w:line="170" w:lineRule="exact"/>
        <w:rPr>
          <w:sz w:val="20"/>
          <w:szCs w:val="20"/>
          <w:color w:val="auto"/>
        </w:rPr>
      </w:pPr>
    </w:p>
    <w:p>
      <w:pPr>
        <w:ind w:firstLine="464"/>
        <w:spacing w:after="0" w:line="259" w:lineRule="auto"/>
        <w:tabs>
          <w:tab w:leader="none" w:pos="70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78" w:lineRule="exact"/>
        <w:rPr>
          <w:rFonts w:ascii="Arial" w:cs="Arial" w:eastAsia="Arial" w:hAnsi="Arial"/>
          <w:sz w:val="18"/>
          <w:szCs w:val="18"/>
          <w:color w:val="auto"/>
        </w:rPr>
      </w:pPr>
    </w:p>
    <w:p>
      <w:pPr>
        <w:ind w:left="1120" w:hanging="217"/>
        <w:spacing w:after="0"/>
        <w:tabs>
          <w:tab w:leader="none" w:pos="11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executed counterparts of this Agreement and the Guaranty;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 a Revolving Credit Note executed by the Borrower in favor of each Revolving Credit Lender requesting a Revolving Credit Note, and</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(B) a Term Note executed by the Borrower in favor of each Term Lender requesting a Term Note;</w:t>
      </w:r>
    </w:p>
    <w:p>
      <w:pPr>
        <w:spacing w:after="0" w:line="102" w:lineRule="exact"/>
        <w:rPr>
          <w:rFonts w:ascii="Arial" w:cs="Arial" w:eastAsia="Arial" w:hAnsi="Arial"/>
          <w:sz w:val="17"/>
          <w:szCs w:val="17"/>
          <w:color w:val="auto"/>
        </w:rPr>
      </w:pPr>
    </w:p>
    <w:p>
      <w:pPr>
        <w:ind w:left="460" w:right="100" w:firstLine="443"/>
        <w:spacing w:after="0" w:line="277" w:lineRule="auto"/>
        <w:tabs>
          <w:tab w:leader="none" w:pos="1213"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a security agreement (together with each other security agreement and security agreement supplement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in each case as amended,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duly executed by each Loan Party, together with:</w:t>
      </w:r>
    </w:p>
    <w:p>
      <w:pPr>
        <w:spacing w:after="0" w:line="62" w:lineRule="exact"/>
        <w:rPr>
          <w:rFonts w:ascii="Arial" w:cs="Arial" w:eastAsia="Arial" w:hAnsi="Arial"/>
          <w:sz w:val="18"/>
          <w:szCs w:val="18"/>
          <w:color w:val="auto"/>
        </w:rPr>
      </w:pPr>
    </w:p>
    <w:p>
      <w:pPr>
        <w:ind w:left="920" w:right="160" w:firstLine="421"/>
        <w:spacing w:after="0" w:line="277" w:lineRule="auto"/>
        <w:tabs>
          <w:tab w:leader="none" w:pos="1635" w:val="left"/>
        </w:tabs>
        <w:numPr>
          <w:ilvl w:val="2"/>
          <w:numId w:val="115"/>
        </w:numPr>
        <w:rPr>
          <w:rFonts w:ascii="Arial" w:cs="Arial" w:eastAsia="Arial" w:hAnsi="Arial"/>
          <w:sz w:val="18"/>
          <w:szCs w:val="18"/>
          <w:color w:val="auto"/>
        </w:rPr>
      </w:pPr>
      <w:r>
        <w:rPr>
          <w:rFonts w:ascii="Arial" w:cs="Arial" w:eastAsia="Arial" w:hAnsi="Arial"/>
          <w:sz w:val="18"/>
          <w:szCs w:val="18"/>
          <w:color w:val="auto"/>
        </w:rPr>
        <w:t>certificates and instruments representing the Collateral consisting of Certificated Securities or Instruments (each such term as defined in the UCC) accompanied by undated stock powers, allonges or instruments of transfer executed in blank;</w:t>
      </w:r>
    </w:p>
    <w:p>
      <w:pPr>
        <w:spacing w:after="0" w:line="62" w:lineRule="exact"/>
        <w:rPr>
          <w:rFonts w:ascii="Arial" w:cs="Arial" w:eastAsia="Arial" w:hAnsi="Arial"/>
          <w:sz w:val="18"/>
          <w:szCs w:val="18"/>
          <w:color w:val="auto"/>
        </w:rPr>
      </w:pPr>
    </w:p>
    <w:p>
      <w:pPr>
        <w:ind w:left="920" w:right="540" w:firstLine="421"/>
        <w:spacing w:after="0" w:line="264" w:lineRule="auto"/>
        <w:tabs>
          <w:tab w:leader="none" w:pos="1625" w:val="left"/>
        </w:tabs>
        <w:numPr>
          <w:ilvl w:val="2"/>
          <w:numId w:val="115"/>
        </w:numPr>
        <w:rPr>
          <w:rFonts w:ascii="Arial" w:cs="Arial" w:eastAsia="Arial" w:hAnsi="Arial"/>
          <w:sz w:val="18"/>
          <w:szCs w:val="18"/>
          <w:color w:val="auto"/>
        </w:rPr>
      </w:pPr>
      <w:r>
        <w:rPr>
          <w:rFonts w:ascii="Arial" w:cs="Arial" w:eastAsia="Arial" w:hAnsi="Arial"/>
          <w:sz w:val="18"/>
          <w:szCs w:val="18"/>
          <w:color w:val="auto"/>
        </w:rPr>
        <w:t>proper UCC financing statements in form appropriate for filing under the Uniform Commercial Code of all jurisdictions that the Administrative Agent may deem necessary or desirable in order to perfect the Liens created under the Security Agreement, covering the Collateral described in the Security Agreement;</w:t>
      </w:r>
    </w:p>
    <w:p>
      <w:pPr>
        <w:spacing w:after="0" w:line="73" w:lineRule="exact"/>
        <w:rPr>
          <w:rFonts w:ascii="Arial" w:cs="Arial" w:eastAsia="Arial" w:hAnsi="Arial"/>
          <w:sz w:val="18"/>
          <w:szCs w:val="18"/>
          <w:color w:val="auto"/>
        </w:rPr>
      </w:pPr>
    </w:p>
    <w:p>
      <w:pPr>
        <w:ind w:left="920" w:firstLine="421"/>
        <w:spacing w:after="0" w:line="255" w:lineRule="auto"/>
        <w:tabs>
          <w:tab w:leader="none" w:pos="1625" w:val="left"/>
        </w:tabs>
        <w:numPr>
          <w:ilvl w:val="2"/>
          <w:numId w:val="115"/>
        </w:numPr>
        <w:rPr>
          <w:rFonts w:ascii="Arial" w:cs="Arial" w:eastAsia="Arial" w:hAnsi="Arial"/>
          <w:sz w:val="18"/>
          <w:szCs w:val="18"/>
          <w:color w:val="auto"/>
        </w:rPr>
      </w:pPr>
      <w:r>
        <w:rPr>
          <w:rFonts w:ascii="Arial" w:cs="Arial" w:eastAsia="Arial" w:hAnsi="Arial"/>
          <w:sz w:val="18"/>
          <w:szCs w:val="18"/>
          <w:color w:val="auto"/>
        </w:rPr>
        <w:t xml:space="preserve">certified copies of UCC, United States Patent and Trademark Office and United States Copyright Office, tax and judgment lien searches, or equivalent reports or searches, each of a recent date listing all effective financing statements, lien notices or comparable documents (together with copies of such financing statements and documents) that name any Loan Party as debtor and that are filed in those state and county jurisdictions in which any Loan Party is organized or maintains its principal place of business and such other searches that the Administrative Agent deems necessary or appropriate, none of which encumber the Collateral covered or intended to be covered by the Collateral Documents (other than Liens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920" w:right="300" w:firstLine="421"/>
        <w:spacing w:after="0" w:line="277" w:lineRule="auto"/>
        <w:tabs>
          <w:tab w:leader="none" w:pos="1635"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Deposit Account Control Agreements and the Securities Account Control Agreement, in each case as referred to in the Security Agreement and duly executed by the appropriate parties; and</w:t>
      </w:r>
    </w:p>
    <w:p>
      <w:pPr>
        <w:spacing w:after="0" w:line="62" w:lineRule="exact"/>
        <w:rPr>
          <w:rFonts w:ascii="Arial" w:cs="Arial" w:eastAsia="Arial" w:hAnsi="Arial"/>
          <w:sz w:val="18"/>
          <w:szCs w:val="18"/>
          <w:color w:val="auto"/>
        </w:rPr>
      </w:pPr>
    </w:p>
    <w:p>
      <w:pPr>
        <w:ind w:left="920" w:right="20" w:firstLine="421"/>
        <w:spacing w:after="0" w:line="286" w:lineRule="auto"/>
        <w:tabs>
          <w:tab w:leader="none" w:pos="1615" w:val="left"/>
        </w:tabs>
        <w:numPr>
          <w:ilvl w:val="2"/>
          <w:numId w:val="115"/>
        </w:numPr>
        <w:rPr>
          <w:rFonts w:ascii="Arial" w:cs="Arial" w:eastAsia="Arial" w:hAnsi="Arial"/>
          <w:sz w:val="17"/>
          <w:szCs w:val="17"/>
          <w:color w:val="auto"/>
        </w:rPr>
      </w:pPr>
      <w:r>
        <w:rPr>
          <w:rFonts w:ascii="Arial" w:cs="Arial" w:eastAsia="Arial" w:hAnsi="Arial"/>
          <w:sz w:val="17"/>
          <w:szCs w:val="17"/>
          <w:color w:val="auto"/>
        </w:rPr>
        <w:t>evidence that all other actions, recordings and filings that the Administrative Agent may deem necessary or desirable in order to perfect or protect the Liens created under the Security Agreement has been taken (including receipt of duly executed payoff letters, UCC-3 termination statements, evidence and endorsement of insurance policies and landlords’ and bailees’ waiver and consent agreements);</w:t>
      </w:r>
    </w:p>
    <w:p>
      <w:pPr>
        <w:spacing w:after="0" w:line="57" w:lineRule="exact"/>
        <w:rPr>
          <w:rFonts w:ascii="Arial" w:cs="Arial" w:eastAsia="Arial" w:hAnsi="Arial"/>
          <w:sz w:val="17"/>
          <w:szCs w:val="17"/>
          <w:color w:val="auto"/>
        </w:rPr>
      </w:pPr>
    </w:p>
    <w:p>
      <w:pPr>
        <w:ind w:left="460" w:firstLine="443"/>
        <w:spacing w:after="0" w:line="257" w:lineRule="auto"/>
        <w:tabs>
          <w:tab w:leader="none" w:pos="1203"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a Copyright Security Agreement, Patent Security Agreement and Trademark Security Agreement (collectively, and together with each other intellectual property security agreement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in each case as amended, the “</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and each, individually, an “</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duly executed by each Loan Party, together with evidence that all action that the Administrative Agent may deem necessary or desirable in order to perfect the Liens created under the Intellectual Property Security Agreement has been taken;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74" w:right="259" w:bottom="1440" w:gutter="0" w:footer="0" w:header="0"/>
        </w:sectPr>
      </w:pPr>
    </w:p>
    <w:bookmarkStart w:id="106" w:name="page107"/>
    <w:bookmarkEnd w:id="106"/>
    <w:p>
      <w:pPr>
        <w:ind w:firstLine="443"/>
        <w:spacing w:after="0" w:line="286" w:lineRule="auto"/>
        <w:tabs>
          <w:tab w:leader="none" w:pos="693" w:val="left"/>
        </w:tabs>
        <w:numPr>
          <w:ilvl w:val="0"/>
          <w:numId w:val="1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or is to be a party;</w:t>
      </w:r>
    </w:p>
    <w:p>
      <w:pPr>
        <w:spacing w:after="0" w:line="57" w:lineRule="exact"/>
        <w:rPr>
          <w:rFonts w:ascii="Arial" w:cs="Arial" w:eastAsia="Arial" w:hAnsi="Arial"/>
          <w:sz w:val="17"/>
          <w:szCs w:val="17"/>
          <w:color w:val="auto"/>
        </w:rPr>
      </w:pPr>
    </w:p>
    <w:p>
      <w:pPr>
        <w:ind w:right="80" w:firstLine="443"/>
        <w:spacing w:after="0" w:line="259" w:lineRule="auto"/>
        <w:tabs>
          <w:tab w:leader="none" w:pos="74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is duly organized or formed, and that the Borrower and each other Loan Party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78" w:lineRule="exact"/>
        <w:rPr>
          <w:rFonts w:ascii="Arial" w:cs="Arial" w:eastAsia="Arial" w:hAnsi="Arial"/>
          <w:sz w:val="18"/>
          <w:szCs w:val="18"/>
          <w:color w:val="auto"/>
        </w:rPr>
      </w:pPr>
    </w:p>
    <w:p>
      <w:pPr>
        <w:ind w:right="180" w:firstLine="443"/>
        <w:spacing w:after="0" w:line="312" w:lineRule="auto"/>
        <w:tabs>
          <w:tab w:leader="none" w:pos="79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 favorable opinion of (A) Husch Blackwell LLP, counsel to the Loan Parties, and (B) appropriate local counsel to the Loan Parties (which counsel shall be reasonably satisfactory to the Administrative Agent), in each case addressed to the Administrative Agent, each L/C Issuer and each Lender, as to such matters concerning the Loan Parties and the Loan Documents as the Administrative Agent may reasonably request;</w:t>
      </w:r>
    </w:p>
    <w:p>
      <w:pPr>
        <w:spacing w:after="0" w:line="38" w:lineRule="exact"/>
        <w:rPr>
          <w:rFonts w:ascii="Arial" w:cs="Arial" w:eastAsia="Arial" w:hAnsi="Arial"/>
          <w:sz w:val="16"/>
          <w:szCs w:val="16"/>
          <w:color w:val="auto"/>
        </w:rPr>
      </w:pPr>
    </w:p>
    <w:p>
      <w:pPr>
        <w:ind w:firstLine="443"/>
        <w:spacing w:after="0" w:line="287" w:lineRule="auto"/>
        <w:tabs>
          <w:tab w:leader="none" w:pos="84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a certificate signed by a Responsible Officer of the Borrower (A) certifying that (1) each of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hereof, in each other Loan Document and in any document furnished at any time under or in connection herewith or therewith, shall be true and correct in all material respects (or, if any such representation or warranty is by its terms qualified by concepts of materiality or reference to Material Adverse Effect, such representation or warranty shall be true and correct in all respects) on and as of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the Company and its Subsidiaries, the only such representations and warranties the accuracy of which shall be a condition to the availability of the Loans on the Closing Date shall be the Specified Representations; (2) each of the Specified Purchase Agreement Representations shall be true and correct to the extent provided in, and subject to, </w:t>
      </w:r>
      <w:r>
        <w:rPr>
          <w:rFonts w:ascii="Arial" w:cs="Arial" w:eastAsia="Arial" w:hAnsi="Arial"/>
          <w:sz w:val="16"/>
          <w:szCs w:val="16"/>
          <w:u w:val="single" w:color="auto"/>
          <w:color w:val="auto"/>
        </w:rPr>
        <w:t>Section 7.02(a)</w:t>
      </w:r>
      <w:r>
        <w:rPr>
          <w:rFonts w:ascii="Arial" w:cs="Arial" w:eastAsia="Arial" w:hAnsi="Arial"/>
          <w:sz w:val="16"/>
          <w:szCs w:val="16"/>
          <w:color w:val="auto"/>
        </w:rPr>
        <w:t xml:space="preserve"> of the Closing Date Acquisition Agreement; and (3) since May 31, 2015, there shall not have been any Company Material Adverse Effect, nor shall any event or events have occurred that, individually or in the aggregate, with or without the lapse of time, would reasonably be expected to result in a Company Material Adverse Effect and (B) either (1) attaching copies of all consents, licenses and approvals required in connection with the consummation by such Loan Party of the Transaction and the execution, delivery and performance by such Loan Party and the validity against such Loan Party of the Loan Documents to which it is a party, and such consents, licenses and approvals shall be in full force and effect, or (2) stating that no such consents, licenses or approvals are so required;</w:t>
      </w:r>
    </w:p>
    <w:p>
      <w:pPr>
        <w:spacing w:after="0" w:line="60" w:lineRule="exact"/>
        <w:rPr>
          <w:rFonts w:ascii="Arial" w:cs="Arial" w:eastAsia="Arial" w:hAnsi="Arial"/>
          <w:sz w:val="16"/>
          <w:szCs w:val="16"/>
          <w:color w:val="auto"/>
        </w:rPr>
      </w:pPr>
    </w:p>
    <w:p>
      <w:pPr>
        <w:ind w:right="180" w:firstLine="443"/>
        <w:spacing w:after="0" w:line="259" w:lineRule="auto"/>
        <w:tabs>
          <w:tab w:leader="none" w:pos="74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unaudited consolidated balance sheets and related consolidated statements of income and cash flows for the fiscal quarter ended June 30, 2015 and each fiscal quarter ended after June 30, 2015 and at least 45 days prior to the Closing Date (if any) of (A) the Borrower and its Subsidiaries, on a consolidated basis (collectively, the “</w:t>
      </w:r>
      <w:r>
        <w:rPr>
          <w:rFonts w:ascii="Arial" w:cs="Arial" w:eastAsia="Arial" w:hAnsi="Arial"/>
          <w:sz w:val="18"/>
          <w:szCs w:val="18"/>
          <w:u w:val="single" w:color="auto"/>
          <w:color w:val="auto"/>
        </w:rPr>
        <w:t>Borrower Interim Financial Statements</w:t>
      </w:r>
      <w:r>
        <w:rPr>
          <w:rFonts w:ascii="Arial" w:cs="Arial" w:eastAsia="Arial" w:hAnsi="Arial"/>
          <w:sz w:val="18"/>
          <w:szCs w:val="18"/>
          <w:color w:val="auto"/>
        </w:rPr>
        <w:t>”) and (B) the Company and its Subsidiaries, on a consolidated basis (the “</w:t>
      </w:r>
      <w:r>
        <w:rPr>
          <w:rFonts w:ascii="Arial" w:cs="Arial" w:eastAsia="Arial" w:hAnsi="Arial"/>
          <w:sz w:val="18"/>
          <w:szCs w:val="18"/>
          <w:u w:val="single" w:color="auto"/>
          <w:color w:val="auto"/>
        </w:rPr>
        <w:t>Company Interim Financial Statements</w:t>
      </w:r>
      <w:r>
        <w:rPr>
          <w:rFonts w:ascii="Arial" w:cs="Arial" w:eastAsia="Arial" w:hAnsi="Arial"/>
          <w:sz w:val="18"/>
          <w:szCs w:val="18"/>
          <w:color w:val="auto"/>
        </w:rPr>
        <w:t>”) and the Audited Financial Statements;</w:t>
      </w:r>
    </w:p>
    <w:p>
      <w:pPr>
        <w:spacing w:after="0" w:line="78" w:lineRule="exact"/>
        <w:rPr>
          <w:rFonts w:ascii="Arial" w:cs="Arial" w:eastAsia="Arial" w:hAnsi="Arial"/>
          <w:sz w:val="18"/>
          <w:szCs w:val="18"/>
          <w:color w:val="auto"/>
        </w:rPr>
      </w:pPr>
    </w:p>
    <w:p>
      <w:pPr>
        <w:ind w:right="740" w:firstLine="443"/>
        <w:spacing w:after="0" w:line="277" w:lineRule="auto"/>
        <w:tabs>
          <w:tab w:leader="none" w:pos="69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consolidated balance sheet as of the last day of the most recent fiscal quarter ended June 30, 2015 and related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consolidated statements of income and cash</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0"/>
          </w:cols>
          <w:pgMar w:left="700" w:top="274" w:right="239" w:bottom="1440" w:gutter="0" w:footer="0" w:header="0"/>
        </w:sectPr>
      </w:pPr>
    </w:p>
    <w:bookmarkStart w:id="107" w:name="page108"/>
    <w:bookmarkEnd w:id="107"/>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flows of the Borrower and its Subsidiaries as of and for the most recent four fiscal quarter period ended June 30, 2015, prepared (after giving effect to the Transactions and the incurrence and repayment of Indebtedness related thereto) as if all of the Transactions occurring on the Closing Date had occurred as of the last day of such four-quarter period (in the case of such balance sheet) or at the beginning of such period (in the case of such other financial statements), in each case calculated in accordance with GAAP and Regulation S-X of the Securities Act of 1933 (the “</w:t>
      </w:r>
      <w:r>
        <w:rPr>
          <w:rFonts w:ascii="Arial" w:cs="Arial" w:eastAsia="Arial" w:hAnsi="Arial"/>
          <w:sz w:val="18"/>
          <w:szCs w:val="18"/>
          <w:u w:val="single" w:color="auto"/>
          <w:color w:val="auto"/>
        </w:rPr>
        <w:t>Borrower Pro Forma</w:t>
      </w:r>
      <w:r>
        <w:rPr>
          <w:rFonts w:ascii="Arial" w:cs="Arial" w:eastAsia="Arial" w:hAnsi="Arial"/>
          <w:sz w:val="18"/>
          <w:szCs w:val="18"/>
          <w:color w:val="auto"/>
        </w:rPr>
        <w:t xml:space="preserv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80" w:lineRule="exact"/>
        <w:rPr>
          <w:sz w:val="20"/>
          <w:szCs w:val="20"/>
          <w:color w:val="auto"/>
        </w:rPr>
      </w:pPr>
    </w:p>
    <w:p>
      <w:pPr>
        <w:jc w:val="both"/>
        <w:ind w:right="100" w:firstLine="443"/>
        <w:spacing w:after="0" w:line="286" w:lineRule="auto"/>
        <w:tabs>
          <w:tab w:leader="none" w:pos="74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then most recent five-year forecasts prepared by management of the Borrower (after giving effect to the Transactions and the incurrence and repayment of Indebtedness related thereto) of consolidated balance sheets and statements of income or operations and cash flows of the Borrower and its Subsidiaries on a quarterly basis for the first year following the Closing Date and on an annual basis thereafter;</w:t>
      </w:r>
    </w:p>
    <w:p>
      <w:pPr>
        <w:spacing w:after="0" w:line="57" w:lineRule="exact"/>
        <w:rPr>
          <w:rFonts w:ascii="Arial" w:cs="Arial" w:eastAsia="Arial" w:hAnsi="Arial"/>
          <w:sz w:val="17"/>
          <w:szCs w:val="17"/>
          <w:color w:val="auto"/>
        </w:rPr>
      </w:pPr>
    </w:p>
    <w:p>
      <w:pPr>
        <w:ind w:right="20" w:firstLine="443"/>
        <w:spacing w:after="0" w:line="257" w:lineRule="auto"/>
        <w:tabs>
          <w:tab w:leader="none" w:pos="79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 certificate of a Financial Officer of the Borrower attesting (A) to the Solvency of the Borrower and its Subsidiaries on a consolidated basis (after giving effect to the Transactions and the incurrence and repayment of Indebtedness related thereto) and (B) that the Borrower Pro Forma Financial Statements and forecasts required under this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accurately present 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position of the Borrower and its Subsidiaries in accordance with GAAP and Regulation S-X of the Securities Act of 1933 (and in any event after giving effect to the Transactions and the incurrence and repayment of Indebtedness related thereto);</w:t>
      </w:r>
    </w:p>
    <w:p>
      <w:pPr>
        <w:spacing w:after="0" w:line="80" w:lineRule="exact"/>
        <w:rPr>
          <w:rFonts w:ascii="Arial" w:cs="Arial" w:eastAsia="Arial" w:hAnsi="Arial"/>
          <w:sz w:val="18"/>
          <w:szCs w:val="18"/>
          <w:color w:val="auto"/>
        </w:rPr>
      </w:pPr>
    </w:p>
    <w:p>
      <w:pPr>
        <w:ind w:firstLine="443"/>
        <w:spacing w:after="0" w:line="264" w:lineRule="auto"/>
        <w:tabs>
          <w:tab w:leader="none" w:pos="84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evidence (including customary payoff letters) that all Existing Indebtedness has been, or concurrently with the funding of the Loans will be, repaid in full, all commitments thereunder have been, or concurrently with the funding of the Loans will be, terminated, and all Liens securing obligations thereunder have been, or substantially concurrently with the funding of the Loans will be, released;</w:t>
      </w:r>
    </w:p>
    <w:p>
      <w:pPr>
        <w:spacing w:after="0" w:line="73" w:lineRule="exact"/>
        <w:rPr>
          <w:rFonts w:ascii="Arial" w:cs="Arial" w:eastAsia="Arial" w:hAnsi="Arial"/>
          <w:sz w:val="18"/>
          <w:szCs w:val="18"/>
          <w:color w:val="auto"/>
        </w:rPr>
      </w:pPr>
    </w:p>
    <w:p>
      <w:pPr>
        <w:ind w:left="840" w:hanging="397"/>
        <w:spacing w:after="0"/>
        <w:tabs>
          <w:tab w:leader="none" w:pos="8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Borrower selects the Eurodollar Rate for the Borrowing on the Closing Date, a Funding Indemnity Letter;</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Committed Loan Notice in accordance with the requirements hereof; and</w:t>
      </w:r>
    </w:p>
    <w:p>
      <w:pPr>
        <w:spacing w:after="0" w:line="117" w:lineRule="exact"/>
        <w:rPr>
          <w:rFonts w:ascii="Arial" w:cs="Arial" w:eastAsia="Arial" w:hAnsi="Arial"/>
          <w:sz w:val="18"/>
          <w:szCs w:val="18"/>
          <w:color w:val="auto"/>
        </w:rPr>
      </w:pPr>
    </w:p>
    <w:p>
      <w:pPr>
        <w:ind w:right="240" w:firstLine="443"/>
        <w:spacing w:after="0" w:line="277" w:lineRule="auto"/>
        <w:tabs>
          <w:tab w:leader="none" w:pos="83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executed funds flow statement with respect to all Loans to be advanced on the Closing Date and all other Transactions to occur on the Closing Date.</w:t>
      </w:r>
    </w:p>
    <w:p>
      <w:pPr>
        <w:spacing w:after="0" w:line="62" w:lineRule="exact"/>
        <w:rPr>
          <w:sz w:val="20"/>
          <w:szCs w:val="20"/>
          <w:color w:val="auto"/>
        </w:rPr>
      </w:pPr>
    </w:p>
    <w:p>
      <w:pPr>
        <w:ind w:left="460" w:right="100"/>
        <w:spacing w:after="0" w:line="270" w:lineRule="auto"/>
        <w:rPr>
          <w:sz w:val="20"/>
          <w:szCs w:val="20"/>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to the extent that any security interests in any Collateral or any deliverable related to the perfection of a security interest in any Collateral (other than (1) grants of security interests in Collateral subject to the Uniform Commercial Code (and the equivalent law or statute in the relevant foreign jurisdictions) that may be perfected by the filing of Uniform Commercial Code financing statements (and the equivalents thereof in any relevant foreign jurisdiction), (2) the delivery of stock certificates (or the equivalent thereof) evidencing certificated stock (or other Equity Interests) that is part of the Collateral and (3) the filing of Intellectual Property Security Agreements with the United States Patent and Trademark Office or the United States Copyright Office, as applicable) is not or cannot be perfected on the Closing Date after the Borrower’s use of commercially reasonable efforts to do so, the perfection of security interests therein shall not constitute a condition precedent to the availability of the Loans on the Closing Date, but shall be required to be completed after the Closing Date pursuant to </w:t>
      </w:r>
      <w:r>
        <w:rPr>
          <w:rFonts w:ascii="Arial" w:cs="Arial" w:eastAsia="Arial" w:hAnsi="Arial"/>
          <w:sz w:val="17"/>
          <w:szCs w:val="17"/>
          <w:u w:val="single" w:color="auto"/>
          <w:color w:val="auto"/>
        </w:rPr>
        <w:t>Section 6.17</w:t>
      </w:r>
      <w:r>
        <w:rPr>
          <w:rFonts w:ascii="Arial" w:cs="Arial" w:eastAsia="Arial" w:hAnsi="Arial"/>
          <w:sz w:val="17"/>
          <w:szCs w:val="17"/>
          <w:color w:val="auto"/>
        </w:rPr>
        <w:t>.</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20"/>
          </w:cols>
          <w:pgMar w:left="700" w:top="274" w:right="279" w:bottom="1440" w:gutter="0" w:footer="0" w:header="0"/>
        </w:sectPr>
      </w:pPr>
    </w:p>
    <w:bookmarkStart w:id="108" w:name="page109"/>
    <w:bookmarkEnd w:id="108"/>
    <w:p>
      <w:pPr>
        <w:ind w:right="360" w:firstLine="464"/>
        <w:spacing w:after="0" w:line="286" w:lineRule="auto"/>
        <w:tabs>
          <w:tab w:leader="none" w:pos="711" w:val="left"/>
        </w:tabs>
        <w:numPr>
          <w:ilvl w:val="0"/>
          <w:numId w:val="1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and each of the other Loan Parties shall have provided to the Administrative Agent and the Lenders the documentation and other information requested by the Administrative Agent or any Lender at least three (3) Business Days prior to the Closing Date in order to comply with requirements of the PATRIOT Act, applicable “know your customer” and anti-money laundering rules and regulations;</w:t>
      </w:r>
    </w:p>
    <w:p>
      <w:pPr>
        <w:spacing w:after="0" w:line="165" w:lineRule="exact"/>
        <w:rPr>
          <w:rFonts w:ascii="Arial" w:cs="Arial" w:eastAsia="Arial" w:hAnsi="Arial"/>
          <w:sz w:val="17"/>
          <w:szCs w:val="17"/>
          <w:color w:val="auto"/>
        </w:rPr>
      </w:pPr>
    </w:p>
    <w:p>
      <w:pPr>
        <w:ind w:right="40" w:firstLine="464"/>
        <w:spacing w:after="0" w:line="297" w:lineRule="auto"/>
        <w:tabs>
          <w:tab w:leader="none" w:pos="70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Borrower shall have paid (i) all fees required to be paid to the Administrative Agent and the Arrangers on or before the Closing Date (including, without limitation, all fees, charges and disbursements of counsel to the Administrative Agent (directly to such counsel if requested by the Administrative Agent),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estimate shall not thereafter preclude a final settling of accounts between the Borrower and the Administrative Agent) and (ii) all fees required to be paid to the Lenders on or before the Closing Date;</w:t>
      </w:r>
    </w:p>
    <w:p>
      <w:pPr>
        <w:spacing w:after="0" w:line="158" w:lineRule="exact"/>
        <w:rPr>
          <w:rFonts w:ascii="Arial" w:cs="Arial" w:eastAsia="Arial" w:hAnsi="Arial"/>
          <w:sz w:val="16"/>
          <w:szCs w:val="16"/>
          <w:color w:val="auto"/>
        </w:rPr>
      </w:pPr>
    </w:p>
    <w:p>
      <w:pPr>
        <w:ind w:right="340" w:firstLine="464"/>
        <w:spacing w:after="0" w:line="277" w:lineRule="auto"/>
        <w:tabs>
          <w:tab w:leader="none" w:pos="7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The Related Documents shall each be in full force and effect and the Arrangers shall have received a true, correct and fully executed copy of each of the Related Documents (certified by a Responsible Officer of the Borrower to be true, correct and complete);</w:t>
      </w:r>
    </w:p>
    <w:p>
      <w:pPr>
        <w:spacing w:after="0" w:line="62" w:lineRule="exact"/>
        <w:rPr>
          <w:rFonts w:ascii="Arial" w:cs="Arial" w:eastAsia="Arial" w:hAnsi="Arial"/>
          <w:sz w:val="18"/>
          <w:szCs w:val="18"/>
          <w:color w:val="auto"/>
        </w:rPr>
      </w:pPr>
    </w:p>
    <w:p>
      <w:pPr>
        <w:ind w:left="460" w:firstLine="443"/>
        <w:spacing w:after="0" w:line="257" w:lineRule="auto"/>
        <w:tabs>
          <w:tab w:leader="none" w:pos="116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Closing Date Acquisition shall have been consummated in accordance with the terms of the Closing Date Acquisition Agreement (without giving effect to any amendment, modification, consent or waiver (including, without limitation, any updates to the exhibits, annexes and schedules thereto) that is materially adverse to the interests of the Lenders (in their capacity as such), either individually or in the aggregate, without the prior written consent of the Administrative Agent and the Lenders) and in compliance with applicable Laws and regulatory and required third party approvals;</w:t>
      </w:r>
    </w:p>
    <w:p>
      <w:pPr>
        <w:spacing w:after="0" w:line="188" w:lineRule="exact"/>
        <w:rPr>
          <w:rFonts w:ascii="Arial" w:cs="Arial" w:eastAsia="Arial" w:hAnsi="Arial"/>
          <w:sz w:val="18"/>
          <w:szCs w:val="18"/>
          <w:color w:val="auto"/>
        </w:rPr>
      </w:pPr>
    </w:p>
    <w:p>
      <w:pPr>
        <w:ind w:firstLine="464"/>
        <w:spacing w:after="0" w:line="276" w:lineRule="auto"/>
        <w:tabs>
          <w:tab w:leader="none" w:pos="70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Each of the representations and warranties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hereof, in each other Loan Document and in any other document furnished at any time under or in connection herewith or therewith, shall be true and correct in all material respects (or, if any such representation or warranty is by its terms qualified by concepts of materiality or reference to Material Adverse Effect, such representation or warranty shall be true and correct in all respects);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the Company and its Subsidiaries, the only such representations and warranties the accuracy of which shall be a condition to the availability of the Loans on the Closing Date shall be the Specified Representations;</w:t>
      </w:r>
    </w:p>
    <w:p>
      <w:pPr>
        <w:spacing w:after="0" w:line="172" w:lineRule="exact"/>
        <w:rPr>
          <w:rFonts w:ascii="Arial" w:cs="Arial" w:eastAsia="Arial" w:hAnsi="Arial"/>
          <w:sz w:val="17"/>
          <w:szCs w:val="17"/>
          <w:color w:val="auto"/>
        </w:rPr>
      </w:pPr>
    </w:p>
    <w:p>
      <w:pPr>
        <w:ind w:left="680" w:hanging="216"/>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of the Specified Closing Date Acquisition Agreement Representations shall be true and correct;</w:t>
      </w:r>
    </w:p>
    <w:p>
      <w:pPr>
        <w:spacing w:after="0" w:line="225" w:lineRule="exact"/>
        <w:rPr>
          <w:rFonts w:ascii="Arial" w:cs="Arial" w:eastAsia="Arial" w:hAnsi="Arial"/>
          <w:sz w:val="18"/>
          <w:szCs w:val="18"/>
          <w:color w:val="auto"/>
        </w:rPr>
      </w:pPr>
    </w:p>
    <w:p>
      <w:pPr>
        <w:ind w:right="40" w:firstLine="464"/>
        <w:spacing w:after="0" w:line="308" w:lineRule="auto"/>
        <w:tabs>
          <w:tab w:leader="none" w:pos="71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Since May 31, 2015, there shall not have been any Company Material Adverse Effect, nor shall any event or events have occurred that, individually or in the aggregate, with or without the lapse of time, would reasonably be expected to result in a Company Material Adverse Effect; and</w:t>
      </w:r>
    </w:p>
    <w:p>
      <w:pPr>
        <w:spacing w:after="0" w:line="146" w:lineRule="exact"/>
        <w:rPr>
          <w:rFonts w:ascii="Arial" w:cs="Arial" w:eastAsia="Arial" w:hAnsi="Arial"/>
          <w:sz w:val="17"/>
          <w:szCs w:val="17"/>
          <w:color w:val="auto"/>
        </w:rPr>
      </w:pPr>
    </w:p>
    <w:p>
      <w:pPr>
        <w:ind w:right="660" w:firstLine="464"/>
        <w:spacing w:after="0" w:line="277" w:lineRule="auto"/>
        <w:tabs>
          <w:tab w:leader="none" w:pos="7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detailed calculation, in form satisfactory to the Administrative Agent, of the Consolidated Net Leverage Ratio and Consolidated Secured Leverage Ratio, in each case, on a Pro Forma Basis after giving effect to the Transactions.</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4" w:right="259" w:bottom="1440" w:gutter="0" w:footer="0" w:header="0"/>
        </w:sectPr>
      </w:pPr>
    </w:p>
    <w:bookmarkStart w:id="109" w:name="page110"/>
    <w:bookmarkEnd w:id="109"/>
    <w:p>
      <w:pPr>
        <w:ind w:right="12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4.02 </w:t>
      </w:r>
      <w:r>
        <w:rPr>
          <w:rFonts w:ascii="Arial" w:cs="Arial" w:eastAsia="Arial" w:hAnsi="Arial"/>
          <w:sz w:val="16"/>
          <w:szCs w:val="16"/>
          <w:u w:val="single" w:color="auto"/>
          <w:color w:val="auto"/>
        </w:rPr>
        <w:t>Conditions to All Credit Extensions</w:t>
      </w:r>
      <w:r>
        <w:rPr>
          <w:rFonts w:ascii="Arial" w:cs="Arial" w:eastAsia="Arial" w:hAnsi="Arial"/>
          <w:sz w:val="16"/>
          <w:szCs w:val="16"/>
          <w:color w:val="auto"/>
        </w:rPr>
        <w:t>. The obligation of each Lender to honor any Request for Credit Extension (other than a Committed Loan Notice requesting only a conversion of Loans to the other Type, or a continuation of Eurodollar Rate Loans) is subject to the following conditions precedent:</w:t>
      </w:r>
    </w:p>
    <w:p>
      <w:pPr>
        <w:spacing w:after="0" w:line="124" w:lineRule="exact"/>
        <w:rPr>
          <w:sz w:val="20"/>
          <w:szCs w:val="20"/>
          <w:color w:val="auto"/>
        </w:rPr>
      </w:pPr>
    </w:p>
    <w:p>
      <w:pPr>
        <w:ind w:right="20" w:firstLine="464"/>
        <w:spacing w:after="0" w:line="254" w:lineRule="auto"/>
        <w:tabs>
          <w:tab w:leader="none" w:pos="70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Except with respect to Credit Extensions on the Closing Date, the representations and warranties of the Borrower and each other Loan Party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any other Loan Document, or which are contained in any document furnished at any time under or in connection herewith or therewith, shall be true and correct in all material respects (or, with respect to representations and warranties modified by a materiality or Material Adverse Effect standard, in all respects) on and as of the date of such Credit Extension, except to the extent that such representations and warranties specifically refer to an earlier date, in which case they shall be true and correct in all material respects (or, with respect to representations and warranties modified by a materiality or Material Adverse Effect standard, in all respects) as of such earlier date, and except that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720" w:hanging="256"/>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225" w:lineRule="exact"/>
        <w:rPr>
          <w:rFonts w:ascii="Arial" w:cs="Arial" w:eastAsia="Arial" w:hAnsi="Arial"/>
          <w:sz w:val="18"/>
          <w:szCs w:val="18"/>
          <w:color w:val="auto"/>
        </w:rPr>
      </w:pPr>
    </w:p>
    <w:p>
      <w:pPr>
        <w:ind w:right="580" w:firstLine="464"/>
        <w:spacing w:after="0" w:line="277" w:lineRule="auto"/>
        <w:tabs>
          <w:tab w:leader="none" w:pos="70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Issuers or the Swing Line Lender shall have received a Request for Credit Extension in accordance with the requirements hereof.</w:t>
      </w:r>
    </w:p>
    <w:p>
      <w:pPr>
        <w:spacing w:after="0" w:line="17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Each Request for Credit Extension (other than a Committed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6"/>
          <w:szCs w:val="16"/>
          <w:u w:val="single" w:color="auto"/>
          <w:color w:val="auto"/>
        </w:rPr>
        <w:t>Sections 4.02(a)</w:t>
      </w:r>
      <w:r>
        <w:rPr>
          <w:rFonts w:ascii="Arial" w:cs="Arial" w:eastAsia="Arial" w:hAnsi="Arial"/>
          <w:sz w:val="16"/>
          <w:szCs w:val="16"/>
          <w:color w:val="auto"/>
        </w:rPr>
        <w:t xml:space="preserve"> and</w:t>
      </w:r>
    </w:p>
    <w:p>
      <w:pPr>
        <w:ind w:left="260" w:hanging="252"/>
        <w:spacing w:after="0"/>
        <w:tabs>
          <w:tab w:leader="none" w:pos="260" w:val="left"/>
        </w:tabs>
        <w:numPr>
          <w:ilvl w:val="0"/>
          <w:numId w:val="120"/>
        </w:numPr>
        <w:rPr>
          <w:rFonts w:ascii="Arial" w:cs="Arial" w:eastAsia="Arial" w:hAnsi="Arial"/>
          <w:sz w:val="18"/>
          <w:szCs w:val="18"/>
          <w:u w:val="single" w:color="auto"/>
          <w:color w:val="auto"/>
        </w:rPr>
      </w:pPr>
      <w:r>
        <w:rPr>
          <w:rFonts w:ascii="Arial" w:cs="Arial" w:eastAsia="Arial" w:hAnsi="Arial"/>
          <w:sz w:val="18"/>
          <w:szCs w:val="18"/>
          <w:color w:val="auto"/>
        </w:rPr>
        <w:t>have been satisfied on and as of the date of the applicable Credit Extension.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represents and warrants to the Administrative Agent, the L/C Issuers and the Lenders that:</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u w:val="single" w:color="auto"/>
          <w:color w:val="auto"/>
        </w:rPr>
        <w:t>Corporate Existence; Subsidiaries; Foreign Qualification</w:t>
      </w:r>
      <w:r>
        <w:rPr>
          <w:rFonts w:ascii="Arial" w:cs="Arial" w:eastAsia="Arial" w:hAnsi="Arial"/>
          <w:sz w:val="16"/>
          <w:szCs w:val="16"/>
          <w:color w:val="auto"/>
        </w:rPr>
        <w:t xml:space="preserve">. Each Loan Party and each of its Subsidiaries is duly incorporated or organized (as the case may be), validly existing and in good standing (or comparable concept in the applicable jurisdiction) under the laws of its state or jurisdiction of incorporation or organization, and is duly qualified and authorized to do business and is in good standing (or comparable concept in the applicable jurisdiction) as a foreign entity in the jurisdictions set forth opposite its name on </w:t>
      </w:r>
      <w:r>
        <w:rPr>
          <w:rFonts w:ascii="Arial" w:cs="Arial" w:eastAsia="Arial" w:hAnsi="Arial"/>
          <w:sz w:val="16"/>
          <w:szCs w:val="16"/>
          <w:u w:val="single" w:color="auto"/>
          <w:color w:val="auto"/>
        </w:rPr>
        <w:t>Schedule 5.01</w:t>
      </w:r>
      <w:r>
        <w:rPr>
          <w:rFonts w:ascii="Arial" w:cs="Arial" w:eastAsia="Arial" w:hAnsi="Arial"/>
          <w:sz w:val="16"/>
          <w:szCs w:val="16"/>
          <w:color w:val="auto"/>
        </w:rPr>
        <w:t xml:space="preserve"> hereto, which are all of the states or jurisdictions where the character of its property or its business activities makes such qualification necessary, except where a failure to so qualify, either individually or in the aggregate, would not reasonably be expected to have a Material Adverse Effect. Each Foreign Subsidiary is validly existing under the laws of its jurisdiction of organization. </w:t>
      </w:r>
      <w:r>
        <w:rPr>
          <w:rFonts w:ascii="Arial" w:cs="Arial" w:eastAsia="Arial" w:hAnsi="Arial"/>
          <w:sz w:val="16"/>
          <w:szCs w:val="16"/>
          <w:u w:val="single" w:color="auto"/>
          <w:color w:val="auto"/>
        </w:rPr>
        <w:t>Schedule 5.01</w:t>
      </w:r>
      <w:r>
        <w:rPr>
          <w:rFonts w:ascii="Arial" w:cs="Arial" w:eastAsia="Arial" w:hAnsi="Arial"/>
          <w:sz w:val="16"/>
          <w:szCs w:val="16"/>
          <w:color w:val="auto"/>
        </w:rPr>
        <w:t xml:space="preserve"> hereto sets forth, as of the Closing Date, each Subsidiary of each Loan Party (and whether such Subsidiary is an Inactive Subsidiary, Immaterial Subsidiary, Foreign Subsidiary or Loan Party), its state (or jurisdiction) of formation, its registered office or similar concept if a foreign organization, its relationship to such Loan Party, including the percentage of each class of stock or other Equity Interest owned, directly or indirectly, by a Loan Party, each Person that owns the stock or other Equity Interest of each Loan Party, the location of its chief executive office and its principal place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110" w:name="page111"/>
    <w:bookmarkEnd w:id="110"/>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The Borrower, directly or indirectly, owns all of the Equity Interests of each of its Subsidiaries (excluding directors’ qualifying shares and, in the case of Foreign Subsidiaries, other nominal amounts of shares held by a Person other than a Loan Party).</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u w:val="single" w:color="auto"/>
          <w:color w:val="auto"/>
        </w:rPr>
        <w:t>Corporate Authority</w:t>
      </w:r>
      <w:r>
        <w:rPr>
          <w:rFonts w:ascii="Arial" w:cs="Arial" w:eastAsia="Arial" w:hAnsi="Arial"/>
          <w:sz w:val="17"/>
          <w:szCs w:val="17"/>
          <w:color w:val="auto"/>
        </w:rPr>
        <w:t xml:space="preserve">. Each Loan Party has the right and power and is duly authorized and empowered to enter into, execute and deliver the Loan Documents to which it is a party and to perform and observe the provisions of the Loan Documents. Each Loan Party has duly executed and delivered the Loan Documents to which it is a party. The Loan Documents to which each Loan Party is a party have been duly authorized and approved by Loan Party’s board of directors or other governing body, as applicable, and are the valid and binding obligations of such Loan Party, enforceable against such Loan Party in accordance with their respective terms. The execution, delivery and performance of the Loan Documents do not conflict with, result in a breach in any of the provisions of, constitute a default under, or result in the creation of a Lien (other than Liens permitted under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hereof) upon any assets or property of any Loan Party under the provisions of, (a) such Loan Party’s Organization Documents, (b) the New Notes Documents, (c) any material agreement to which any Loan Party is a party, (d) any order, injunction, writ or decree of any Governmental Authority or (e) any Law, except with respect to any conflict, breach, default or violation referred to in </w:t>
      </w:r>
      <w:r>
        <w:rPr>
          <w:rFonts w:ascii="Arial" w:cs="Arial" w:eastAsia="Arial" w:hAnsi="Arial"/>
          <w:sz w:val="17"/>
          <w:szCs w:val="17"/>
          <w:u w:val="single" w:color="auto"/>
          <w:color w:val="auto"/>
        </w:rPr>
        <w:t>clauses (d)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above, solely to the extent that such conflicts, breaches, defaults or violations, either individually or in the aggregate, would not reasonably be expected to have a Material Adverse Effect.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 Each Loan Party and each of their Subsidiaries:</w:t>
      </w:r>
    </w:p>
    <w:p>
      <w:pPr>
        <w:spacing w:after="0" w:line="225" w:lineRule="exact"/>
        <w:rPr>
          <w:sz w:val="20"/>
          <w:szCs w:val="20"/>
          <w:color w:val="auto"/>
        </w:rPr>
      </w:pPr>
    </w:p>
    <w:p>
      <w:pPr>
        <w:ind w:left="700" w:hanging="236"/>
        <w:spacing w:after="0"/>
        <w:tabs>
          <w:tab w:leader="none" w:pos="7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holds permits, certificates, licenses, orders, registrations, franchises, authorizations, and other approvals from any Governmental Authority</w:t>
      </w:r>
    </w:p>
    <w:p>
      <w:pPr>
        <w:spacing w:after="0" w:line="34" w:lineRule="exact"/>
        <w:rPr>
          <w:rFonts w:ascii="Arial" w:cs="Arial" w:eastAsia="Arial" w:hAnsi="Arial"/>
          <w:sz w:val="17"/>
          <w:szCs w:val="17"/>
          <w:color w:val="auto"/>
        </w:rPr>
      </w:pPr>
    </w:p>
    <w:p>
      <w:pPr>
        <w:ind w:right="40"/>
        <w:spacing w:after="0" w:line="261" w:lineRule="auto"/>
        <w:rPr>
          <w:rFonts w:ascii="Arial" w:cs="Arial" w:eastAsia="Arial" w:hAnsi="Arial"/>
          <w:sz w:val="17"/>
          <w:szCs w:val="17"/>
          <w:color w:val="auto"/>
        </w:rPr>
      </w:pPr>
      <w:r>
        <w:rPr>
          <w:rFonts w:ascii="Arial" w:cs="Arial" w:eastAsia="Arial" w:hAnsi="Arial"/>
          <w:sz w:val="18"/>
          <w:szCs w:val="18"/>
          <w:color w:val="auto"/>
        </w:rPr>
        <w:t>necessary for the conduct of its business and is in compliance with all applicable laws relating thereto, except where the failure to do so, either individually or in the aggregate, would not have a Material Adverse Effect;</w:t>
      </w:r>
    </w:p>
    <w:p>
      <w:pPr>
        <w:spacing w:after="0" w:line="183" w:lineRule="exact"/>
        <w:rPr>
          <w:rFonts w:ascii="Arial" w:cs="Arial" w:eastAsia="Arial" w:hAnsi="Arial"/>
          <w:sz w:val="17"/>
          <w:szCs w:val="17"/>
          <w:color w:val="auto"/>
        </w:rPr>
      </w:pPr>
    </w:p>
    <w:p>
      <w:pPr>
        <w:jc w:val="both"/>
        <w:ind w:firstLine="464"/>
        <w:spacing w:after="0" w:line="264" w:lineRule="auto"/>
        <w:tabs>
          <w:tab w:leader="none" w:pos="71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is in compliance with all federal, state, local, or foreign applicable statutes, rules, regulations, and orders including, without limitation, those relating to environmental protection, occupational safety and health, and equal employment practices, except where the failure to be in compliance, either individually or in the aggregate, would not have a Material Adverse Effect;</w:t>
      </w:r>
    </w:p>
    <w:p>
      <w:pPr>
        <w:spacing w:after="0" w:line="181" w:lineRule="exact"/>
        <w:rPr>
          <w:rFonts w:ascii="Arial" w:cs="Arial" w:eastAsia="Arial" w:hAnsi="Arial"/>
          <w:sz w:val="18"/>
          <w:szCs w:val="18"/>
          <w:color w:val="auto"/>
        </w:rPr>
      </w:pPr>
    </w:p>
    <w:p>
      <w:pPr>
        <w:ind w:right="180" w:firstLine="464"/>
        <w:spacing w:after="0" w:line="277" w:lineRule="auto"/>
        <w:tabs>
          <w:tab w:leader="none" w:pos="7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is not in violation of or in default under any agreement to which it is a party or by which its assets are subject or bound, except with respect to any violation or default that, either individually or in the aggregate, would not have a Material Adverse Effect;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is in material compliance with all applicable Bank Secrecy Act (“</w:t>
      </w:r>
      <w:r>
        <w:rPr>
          <w:rFonts w:ascii="Arial" w:cs="Arial" w:eastAsia="Arial" w:hAnsi="Arial"/>
          <w:sz w:val="18"/>
          <w:szCs w:val="18"/>
          <w:u w:val="single" w:color="auto"/>
          <w:color w:val="auto"/>
        </w:rPr>
        <w:t>BSA</w:t>
      </w:r>
      <w:r>
        <w:rPr>
          <w:rFonts w:ascii="Arial" w:cs="Arial" w:eastAsia="Arial" w:hAnsi="Arial"/>
          <w:sz w:val="18"/>
          <w:szCs w:val="18"/>
          <w:color w:val="auto"/>
        </w:rPr>
        <w:t>”) and anti-money laundering laws and regulations.</w:t>
      </w:r>
    </w:p>
    <w:p>
      <w:pPr>
        <w:spacing w:after="0" w:line="2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5.04 </w:t>
      </w:r>
      <w:r>
        <w:rPr>
          <w:rFonts w:ascii="Arial" w:cs="Arial" w:eastAsia="Arial" w:hAnsi="Arial"/>
          <w:sz w:val="16"/>
          <w:szCs w:val="16"/>
          <w:u w:val="single" w:color="auto"/>
          <w:color w:val="auto"/>
        </w:rPr>
        <w:t>Litigation and Administrative Proceedings</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Schedule 5.04</w:t>
      </w:r>
      <w:r>
        <w:rPr>
          <w:rFonts w:ascii="Arial" w:cs="Arial" w:eastAsia="Arial" w:hAnsi="Arial"/>
          <w:sz w:val="16"/>
          <w:szCs w:val="16"/>
          <w:color w:val="auto"/>
        </w:rPr>
        <w:t xml:space="preserve"> hereto, there are (a) no lawsuits, actions, investigations, examinations or other proceedings pending or threatened in writing against any Loan Party or any of their Subsidiaries, or in respect of which any Loan Party or any of their Subsidiaries may have any liability, in any court or before or by any Governmental Authority, arbitration board or other tribunal, (b) no orders, writs, injunctions, judgments, or decrees of any court or Governmental Authority to which any Loan Party or any of their Subsidiaries is a party or by which the property or assets of any Loan Party or any of their Subsidiaries are bound, and (c) no grievances, disputes, or controversies outstanding with any union or other organization of the employees of any Loan Party or any of their Subsidiaries, or threats of work stoppage, strike, or pending demands for collective bargaining, that, as to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if violated or determined adversely, either individually or in the aggregate, would have a Material Adverse Effect.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4" w:right="239" w:bottom="1440" w:gutter="0" w:footer="0" w:header="0"/>
        </w:sectPr>
      </w:pPr>
    </w:p>
    <w:bookmarkStart w:id="111" w:name="page112"/>
    <w:bookmarkEnd w:id="111"/>
    <w:p>
      <w:pPr>
        <w:jc w:val="both"/>
        <w:ind w:right="1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5.05 </w:t>
      </w:r>
      <w:r>
        <w:rPr>
          <w:rFonts w:ascii="Arial" w:cs="Arial" w:eastAsia="Arial" w:hAnsi="Arial"/>
          <w:sz w:val="18"/>
          <w:szCs w:val="18"/>
          <w:u w:val="single" w:color="auto"/>
          <w:color w:val="auto"/>
        </w:rPr>
        <w:t>Title to Assets</w:t>
      </w:r>
      <w:r>
        <w:rPr>
          <w:rFonts w:ascii="Arial" w:cs="Arial" w:eastAsia="Arial" w:hAnsi="Arial"/>
          <w:sz w:val="18"/>
          <w:szCs w:val="18"/>
          <w:color w:val="auto"/>
        </w:rPr>
        <w:t xml:space="preserve">. Each Loan Party and each of their Subsidiaries has good title to and ownership of all material property it purports to own, which property is free and clear of all Liens, except those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hereof. As of the Closing Date, the Loan Parties and their Subsidiaries own the real property listed on </w:t>
      </w:r>
      <w:r>
        <w:rPr>
          <w:rFonts w:ascii="Arial" w:cs="Arial" w:eastAsia="Arial" w:hAnsi="Arial"/>
          <w:sz w:val="18"/>
          <w:szCs w:val="18"/>
          <w:u w:val="single" w:color="auto"/>
          <w:color w:val="auto"/>
        </w:rPr>
        <w:t>Schedule 5.05</w:t>
      </w:r>
      <w:r>
        <w:rPr>
          <w:rFonts w:ascii="Arial" w:cs="Arial" w:eastAsia="Arial" w:hAnsi="Arial"/>
          <w:sz w:val="18"/>
          <w:szCs w:val="18"/>
          <w:color w:val="auto"/>
        </w:rPr>
        <w:t xml:space="preserve"> hereto.</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5.06 </w:t>
      </w:r>
      <w:r>
        <w:rPr>
          <w:rFonts w:ascii="Arial" w:cs="Arial" w:eastAsia="Arial" w:hAnsi="Arial"/>
          <w:sz w:val="16"/>
          <w:szCs w:val="16"/>
          <w:u w:val="single" w:color="auto"/>
          <w:color w:val="auto"/>
        </w:rPr>
        <w:t>Liens and Security Interests</w:t>
      </w:r>
      <w:r>
        <w:rPr>
          <w:rFonts w:ascii="Arial" w:cs="Arial" w:eastAsia="Arial" w:hAnsi="Arial"/>
          <w:sz w:val="16"/>
          <w:szCs w:val="16"/>
          <w:color w:val="auto"/>
        </w:rPr>
        <w:t xml:space="preserve">. On and after the Closing Date, except for Liens permitted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hereof, (a) there is and will be no financing statements or similar notice of Lien outstanding covering any personal property of any Loan Party or any Subsidiary thereof; (b) there is and will be no mortgage or deed or hypothec outstanding covering any real property of any Loan Party or any Subsidiary thereof; and (c) no real or personal property of any Loan Party or any Subsidiary thereof is subject to any Lien of any kind. The Administrative Agent has a valid and enforceable and, subject to the last paragraph of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perfected first-priority Lien on the Collateral (subject to the priority of any Liens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 No Loan Party or any Subsidiary thereof has entered into any contract or agreement (other than a contract or agreement entered into in connection with the purchase or lease of fixed assets that prohibits Liens on such fixed assets) that exists on or after the Closing Date that would prohibit the Administrative Agent or the Lenders from acquiring a Lien on, or a collateral assignment of, any of the property or assets of any Loan Party or any Subsidiary thereof.</w:t>
      </w:r>
    </w:p>
    <w:p>
      <w:pPr>
        <w:spacing w:after="0" w:line="166"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 xml:space="preserve">5.07 </w:t>
      </w:r>
      <w:r>
        <w:rPr>
          <w:rFonts w:ascii="Arial" w:cs="Arial" w:eastAsia="Arial" w:hAnsi="Arial"/>
          <w:sz w:val="17"/>
          <w:szCs w:val="17"/>
          <w:u w:val="single" w:color="auto"/>
          <w:color w:val="auto"/>
        </w:rPr>
        <w:t>Tax Returns</w:t>
      </w:r>
      <w:r>
        <w:rPr>
          <w:rFonts w:ascii="Arial" w:cs="Arial" w:eastAsia="Arial" w:hAnsi="Arial"/>
          <w:sz w:val="17"/>
          <w:szCs w:val="17"/>
          <w:color w:val="auto"/>
        </w:rPr>
        <w:t>. All federal, state, provincial and local tax returns and other reports required by law to be filed in respect of the income, business, properties and employees of each Loan Party and each of their Subsidiaries have been filed and all taxes, assessments, fees and other governmental charges that are due and payable have been paid, except as otherwise permitted herein. The provision for taxes on the books of each Loan Party and each Subsidiary thereof is adequate for all years not closed by applicable statutes and for the current fiscal year.</w:t>
      </w:r>
    </w:p>
    <w:p>
      <w:pPr>
        <w:spacing w:after="0" w:line="171"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 xml:space="preserve">5.08 </w:t>
      </w:r>
      <w:r>
        <w:rPr>
          <w:rFonts w:ascii="Arial" w:cs="Arial" w:eastAsia="Arial" w:hAnsi="Arial"/>
          <w:sz w:val="16"/>
          <w:szCs w:val="16"/>
          <w:u w:val="single" w:color="auto"/>
          <w:color w:val="auto"/>
        </w:rPr>
        <w:t>Environmental Laws</w:t>
      </w:r>
      <w:r>
        <w:rPr>
          <w:rFonts w:ascii="Arial" w:cs="Arial" w:eastAsia="Arial" w:hAnsi="Arial"/>
          <w:sz w:val="16"/>
          <w:szCs w:val="16"/>
          <w:color w:val="auto"/>
        </w:rPr>
        <w:t xml:space="preserve">. Except where non-compliance, individually or in the aggregate, would not reasonably be expected to have a Material Adverse Effect, each Loan Party and each Subsidiary is in compliance with all applicable Environmental Laws, including, without limitation, all Environmental Laws in all jurisdictions in which any Loan Party or any Subsidiary thereof owns or operates, or has owned or operated, a facility or site, arranges or has arranged for disposal or treatment of hazardous substances, solid waste or other wastes, accepts or has accepted for transport any hazardous substances, solid waste or other wastes or holds or has held any interest in real property or otherwise. No material litigation or proceeding arising under, relating to or in connection with any Environmental Law or Environmental Permit is pending or, to the knowledge of each Loan Party and each Subsidiary thereof, threatened, against any Loan Party or any Subsidiary thereof, any real property in which any Loan Party or any Subsidiary thereof holds or has held an interest or any past or present operation of any Loan Party or any Subsidiary thereof. No release, threatened release or disposal of hazardous waste, solid waste or other wastes is occurring, or has occurred (other than those that are currently being remediated in accordance with Environmental Laws), on, under or to any real property in which any Loan Party or any Subsidiary thereof holds any interest or performs any of its operations, in material violation of or which result in material liability under any Environmental Law. As used in this </w:t>
      </w:r>
      <w:r>
        <w:rPr>
          <w:rFonts w:ascii="Arial" w:cs="Arial" w:eastAsia="Arial" w:hAnsi="Arial"/>
          <w:sz w:val="16"/>
          <w:szCs w:val="16"/>
          <w:u w:val="single" w:color="auto"/>
          <w:color w:val="auto"/>
        </w:rPr>
        <w:t>Section 5.08</w:t>
      </w:r>
      <w:r>
        <w:rPr>
          <w:rFonts w:ascii="Arial" w:cs="Arial" w:eastAsia="Arial" w:hAnsi="Arial"/>
          <w:sz w:val="16"/>
          <w:szCs w:val="16"/>
          <w:color w:val="auto"/>
        </w:rPr>
        <w:t>, “litigation or proceeding” means any demand, claim, notice, suit, suit in equity, action, administrative action, investigation or inquiry whether brought by any Governmental Authority or private Person, or otherwise.</w:t>
      </w:r>
    </w:p>
    <w:p>
      <w:pPr>
        <w:spacing w:after="0" w:line="16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5.09 </w:t>
      </w:r>
      <w:r>
        <w:rPr>
          <w:rFonts w:ascii="Arial" w:cs="Arial" w:eastAsia="Arial" w:hAnsi="Arial"/>
          <w:sz w:val="16"/>
          <w:szCs w:val="16"/>
          <w:u w:val="single" w:color="auto"/>
          <w:color w:val="auto"/>
        </w:rPr>
        <w:t>Locations</w:t>
      </w:r>
      <w:r>
        <w:rPr>
          <w:rFonts w:ascii="Arial" w:cs="Arial" w:eastAsia="Arial" w:hAnsi="Arial"/>
          <w:sz w:val="16"/>
          <w:szCs w:val="16"/>
          <w:color w:val="auto"/>
        </w:rPr>
        <w:t xml:space="preserve">. As of the Closing Date, the Loan Parties have places of business or maintain their accounts, inventory and equipment at the locations (including third party locations) set forth on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hereto, and each Loan Party’s chief executive office is set forth on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5.09</w:t>
      </w:r>
      <w:r>
        <w:rPr>
          <w:rFonts w:ascii="Arial" w:cs="Arial" w:eastAsia="Arial" w:hAnsi="Arial"/>
          <w:sz w:val="16"/>
          <w:szCs w:val="16"/>
          <w:color w:val="auto"/>
        </w:rPr>
        <w:t xml:space="preserve"> hereto further specifies whether each location, as of the Closing Date, (a) is owned by the Loan Parties, or (b) is leased by a Loan Party from a third party, and, if leased by a Loan Party from a third party, if a landlord’s waiver has been requested. As of the Closing Date,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hereto correctly identifies the name and address of each third party location where a material portion of the assets of the Loan Parties are located.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274" w:right="279" w:bottom="1440" w:gutter="0" w:footer="0" w:header="0"/>
        </w:sectPr>
      </w:pPr>
    </w:p>
    <w:bookmarkStart w:id="112" w:name="page113"/>
    <w:bookmarkEnd w:id="112"/>
    <w:p>
      <w:pPr>
        <w:ind w:right="2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5.10 </w:t>
      </w:r>
      <w:r>
        <w:rPr>
          <w:rFonts w:ascii="Arial" w:cs="Arial" w:eastAsia="Arial" w:hAnsi="Arial"/>
          <w:sz w:val="16"/>
          <w:szCs w:val="16"/>
          <w:u w:val="single" w:color="auto"/>
          <w:color w:val="auto"/>
        </w:rPr>
        <w:t>Continued Business</w:t>
      </w:r>
      <w:r>
        <w:rPr>
          <w:rFonts w:ascii="Arial" w:cs="Arial" w:eastAsia="Arial" w:hAnsi="Arial"/>
          <w:sz w:val="16"/>
          <w:szCs w:val="16"/>
          <w:color w:val="auto"/>
        </w:rPr>
        <w:t>. There exists no actual, pending, or, to each Loan Party’s and each of their Subsidiaries’ knowledge, any threatened termination, cancellation or limitation of, or any modification or change in the business relationship of any Loan Party or any Subsidiary thereof and any customer or supplier, or any group of customers or suppliers, whose purchases or supplies, individually or in the aggregate, are material to the business of any Loan Party or any Subsidiary, and there exists no present condition or state of facts or circumstances that would prevent a Loan Party or a Subsidiary from conducting such business or the transactions contemplated by this Agreement in substantially the same manner in which it was previously conducted.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Employee Benefits Plans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3" w:lineRule="auto"/>
        <w:tabs>
          <w:tab w:leader="none" w:pos="701"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US Employee Benefit Plans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5.11</w:t>
      </w:r>
      <w:r>
        <w:rPr>
          <w:rFonts w:ascii="Arial" w:cs="Arial" w:eastAsia="Arial" w:hAnsi="Arial"/>
          <w:sz w:val="16"/>
          <w:szCs w:val="16"/>
          <w:color w:val="auto"/>
        </w:rPr>
        <w:t xml:space="preserve"> hereto identifies each Plan as of the Closing Date. No ERISA Event has occurred or is expected to occur with respect to a Plan. Full payment has been made of all amounts that the Borrower and each ERISA Affiliate is required, under applicable Laws or under the governing documents, to have paid as a contribution to or a benefit under each Plan. The liability of the Borrower and each ERISA Affiliate with respect to each Plan has been fully funded based upon reasonable and proper actuarial assumptions, has been fully insured, or has been fully reserved for on its financial statements. No changes have occurred or are expected to occur that would cause a material increase in the cost of providing benefits under any Plan. With respect to each Plan that is intended to be qualified under Code Section 401(a), (a) the Plan and any associated trust operationally comply with the applicable requirements of Code Section 401(a); (b) the Plan and any associated trust have been amended to comply with all such requirements as currently in effect, other than those requirements for which a retroactive amendment can be made within the “remedial amendment period” available under Code Section 401(b) (as extended under Treasury Regulations and other Treasury pronouncements upon which taxpayers may rely); (c) the Plan and any associated trust have received a favorable determination letter or opinion letter from the IRS stating that the Plan qualifies under Code Section 401(a), that the associated trust qualifies under Code Section 501(a) and, if applicable, that any cash or deferred arrangement under the Plan qualifies under Code Section 401(k), unless the Plan was first adopted at a time for which the above-described “remedial amendment period” has not yet expired; (d) the Plan currently satisfies the requirements of Code Section 410(b), subject to any retroactive amendment that may be made within the above-described “remedial amendment period”; and</w:t>
      </w:r>
    </w:p>
    <w:p>
      <w:pPr>
        <w:spacing w:after="0" w:line="3" w:lineRule="exact"/>
        <w:rPr>
          <w:rFonts w:ascii="Arial" w:cs="Arial" w:eastAsia="Arial" w:hAnsi="Arial"/>
          <w:sz w:val="16"/>
          <w:szCs w:val="16"/>
          <w:color w:val="auto"/>
        </w:rPr>
      </w:pPr>
    </w:p>
    <w:p>
      <w:pPr>
        <w:ind w:right="140" w:firstLine="8"/>
        <w:spacing w:after="0" w:line="281" w:lineRule="auto"/>
        <w:tabs>
          <w:tab w:leader="none" w:pos="24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no contribution made to the Plan is subject to an excise tax under Code Section 4972. With respect to any Pension Plan, the “accumulated benefit obligation” of the Borrower or any ERISA Affiliate with respect to the Pension Plan (as determined in accordance with Statement of Accounting Standards No. 87, “</w:t>
      </w:r>
      <w:r>
        <w:rPr>
          <w:rFonts w:ascii="Arial" w:cs="Arial" w:eastAsia="Arial" w:hAnsi="Arial"/>
          <w:sz w:val="16"/>
          <w:szCs w:val="16"/>
          <w:u w:val="single" w:color="auto"/>
          <w:color w:val="auto"/>
        </w:rPr>
        <w:t>Employers’ Accounting for Pensions</w:t>
      </w:r>
      <w:r>
        <w:rPr>
          <w:rFonts w:ascii="Arial" w:cs="Arial" w:eastAsia="Arial" w:hAnsi="Arial"/>
          <w:sz w:val="16"/>
          <w:szCs w:val="16"/>
          <w:color w:val="auto"/>
        </w:rPr>
        <w:t>”) does not exceed the fair market value of Pension Plan assets. Neither the Borrower nor any ERISA Affiliate has engaged in a transaction that could be subject to Section 4069 or Section 4212(c) of ERISA. Except as could not reasonably be expected to result in a Material Adverse Effect, (i) each Plan is in compliance with applicable provisions of ERISA, the Code, and other applicable Laws, (ii) there are no pending or, to the best knowledge of the Borrower, threatened claims, actions or lawsuits, or action by any Governmental Authority, with respect to any Plan and</w:t>
      </w:r>
    </w:p>
    <w:p>
      <w:pPr>
        <w:spacing w:after="0" w:line="4" w:lineRule="exact"/>
        <w:rPr>
          <w:rFonts w:ascii="Arial" w:cs="Arial" w:eastAsia="Arial" w:hAnsi="Arial"/>
          <w:sz w:val="16"/>
          <w:szCs w:val="16"/>
          <w:color w:val="auto"/>
        </w:rPr>
      </w:pPr>
    </w:p>
    <w:p>
      <w:pPr>
        <w:ind w:left="320" w:hanging="312"/>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there has been no prohibited transaction or violation of the fiduciary responsibility rules with respect to any Plan.</w:t>
      </w:r>
    </w:p>
    <w:p>
      <w:pPr>
        <w:spacing w:after="0" w:line="210" w:lineRule="exact"/>
        <w:rPr>
          <w:rFonts w:ascii="Arial" w:cs="Arial" w:eastAsia="Arial" w:hAnsi="Arial"/>
          <w:sz w:val="18"/>
          <w:szCs w:val="18"/>
          <w:color w:val="auto"/>
        </w:rPr>
      </w:pPr>
    </w:p>
    <w:p>
      <w:pPr>
        <w:jc w:val="both"/>
        <w:ind w:firstLine="464"/>
        <w:spacing w:after="0" w:line="259" w:lineRule="auto"/>
        <w:tabs>
          <w:tab w:leader="none" w:pos="711"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Foreign Pension Plan and Benefit Plans</w:t>
      </w:r>
      <w:r>
        <w:rPr>
          <w:rFonts w:ascii="Arial" w:cs="Arial" w:eastAsia="Arial" w:hAnsi="Arial"/>
          <w:sz w:val="18"/>
          <w:szCs w:val="18"/>
          <w:color w:val="auto"/>
        </w:rPr>
        <w:t xml:space="preserve">. As of the Closing Date, </w:t>
      </w:r>
      <w:r>
        <w:rPr>
          <w:rFonts w:ascii="Arial" w:cs="Arial" w:eastAsia="Arial" w:hAnsi="Arial"/>
          <w:sz w:val="18"/>
          <w:szCs w:val="18"/>
          <w:u w:val="single" w:color="auto"/>
          <w:color w:val="auto"/>
        </w:rPr>
        <w:t>Schedule 5.11</w:t>
      </w:r>
      <w:r>
        <w:rPr>
          <w:rFonts w:ascii="Arial" w:cs="Arial" w:eastAsia="Arial" w:hAnsi="Arial"/>
          <w:sz w:val="18"/>
          <w:szCs w:val="18"/>
          <w:color w:val="auto"/>
        </w:rPr>
        <w:t xml:space="preserve"> hereto lists all Foreign Benefit Plans and Foreign Pension Plans currently maintained or contributed to by a Loan Party, any Subsidiary thereof or any Foreign Subsidiaries. The Foreign Pension Plans are duly registered under all applicable Laws which require registration and are approved for tax purposes by the relevant tax authorities in the jurisdiction in which such Foreign Pension Plans are registered. Each Loan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74" w:right="259" w:bottom="1440" w:gutter="0" w:footer="0" w:header="0"/>
        </w:sectPr>
      </w:pPr>
    </w:p>
    <w:bookmarkStart w:id="113" w:name="page114"/>
    <w:bookmarkEnd w:id="11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thereof and any appropriate Foreign Subsidiaries have complied with and performed all of its obligations under and in respect of the Foreign Pension Plans and Foreign Benefit Plans under the terms thereof, any funding agreements and all applicable laws (including any fiduciary, funding, investment and administration obligations) except to the extent as, either individually or in the aggregate, would not reasonably be expected to have a Material Adverse Effect. All employer and employee payments, contributions or premiums to be remitted, paid to or in respect of each Foreign Pension Plan or Foreign Benefit Plan have been paid in a timely fashion in accordance with the terms thereof, any funding agreement and all applicable laws except to the extent the failure to do so, either individually or in the aggregate, would not reasonably be expected to have a Material Adverse Effect. There are no outstanding actions or suits concerning the assets of the Foreign Pension Plans or the Foreign Benefit Plans. Each of the Foreign Pension Plans is fully funded on an ongoing basis (using actuarial methods and assumptions as of the date of the valuations last filed with the applicable Governmental Authorities and that are consistent with generally accepted actuarial principles).</w:t>
      </w:r>
    </w:p>
    <w:p>
      <w:pPr>
        <w:spacing w:after="0" w:line="18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Consents or Approvals</w:t>
      </w:r>
      <w:r>
        <w:rPr>
          <w:rFonts w:ascii="Arial" w:cs="Arial" w:eastAsia="Arial" w:hAnsi="Arial"/>
          <w:sz w:val="18"/>
          <w:szCs w:val="18"/>
          <w:color w:val="auto"/>
        </w:rPr>
        <w:t>. No consent, approval or authorization of, or filing, registration or qualification with, any Governmental Authority or any other Person is required to be obtained or completed by any Loan Party in connection with the execution, delivery or performance of any of the Loan Documents, that has not already been obtained or completed.</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Solvency</w:t>
      </w:r>
      <w:r>
        <w:rPr>
          <w:rFonts w:ascii="Arial" w:cs="Arial" w:eastAsia="Arial" w:hAnsi="Arial"/>
          <w:sz w:val="18"/>
          <w:szCs w:val="18"/>
          <w:color w:val="auto"/>
        </w:rPr>
        <w:t>. The Borrower has received consideration that is the reasonable equivalent value of the obligations and liabilities that the Borrower has incurred to Administrative Agent and the Lenders. As of the Closing Date and as of the Amendment and Restatement Effective Date, each Loan Party is, individually and collectively with its Subsidiaries on a consolidated basis, Solvent.</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Financial Statements; No Material Adverse Effect</w:t>
      </w:r>
      <w:r>
        <w:rPr>
          <w:rFonts w:ascii="Arial" w:cs="Arial" w:eastAsia="Arial" w:hAnsi="Arial"/>
          <w:sz w:val="17"/>
          <w:szCs w:val="17"/>
          <w:color w:val="auto"/>
        </w:rPr>
        <w:t>. The Audited Financial Statements, the Borrower Interim Financial Statements and the Company Interim Financial Statements, furnished to the Administrative Agent and the Lenders, are true and complete, have been prepared in accordance with GAAP, and fairly present the financial condition of the Borrower and its Subsidiaries and the Company and its Subsidiaries, as applicable, as of the dates of such financial statements and the results of their operations for the periods then ending. Since the dates of such Borrower Interim Financial Statements, there has been no material adverse change in the Borrower’s or any of its Subsidiary’s financial condition, properties or business or any change in any Borrower’s or any of its Subsidiary’s accounting procedures. Since the dates of such Company Interim Financial Statements, there has been no material adverse change in the Company’s or any of its Subsidiary’s financial condition, properties or business or any change in any Company’s or any of its Subsidiary’s accounting procedures. Since December 31, 2014, there has been no event or circumstance either individually or in the aggregate that has had or would reasonably be expected to have a Material Adverse Effect.</w:t>
      </w:r>
    </w:p>
    <w:p>
      <w:pPr>
        <w:spacing w:after="0" w:line="18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Regulations</w:t>
      </w:r>
      <w:r>
        <w:rPr>
          <w:rFonts w:ascii="Arial" w:cs="Arial" w:eastAsia="Arial" w:hAnsi="Arial"/>
          <w:sz w:val="17"/>
          <w:szCs w:val="17"/>
          <w:color w:val="auto"/>
        </w:rPr>
        <w:t xml:space="preserve">. No Loan Party or Subsidiary thereof is engaged principally or as one of its important activities, in the business of extending credit for the purpose of purchasing or carrying any “margin stock” (within the meaning of Regulation U of the Board of Governors of the Federal Reserve System of the United States). Neither the granting of the Loans (or any conversion thereof) nor the use of the proceeds of the Loans will violate, or be inconsistent with, the provisions of Regulation T, U or X or any other Regulation of such Board of Governors. Following the application of the proceeds of the Loans, not more than 25% of the value of the assets (either of the Borrower only or of the Borrower and its Subsidiaries on a consolidated basis) subject to the provisions of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or subject to any restriction contained in any agreement or instrument between the Borrower and any Lender or Affiliate of a Lender relating to Indebtedness within the scope of </w:t>
      </w:r>
      <w:r>
        <w:rPr>
          <w:rFonts w:ascii="Arial" w:cs="Arial" w:eastAsia="Arial" w:hAnsi="Arial"/>
          <w:sz w:val="17"/>
          <w:szCs w:val="17"/>
          <w:u w:val="single" w:color="auto"/>
          <w:color w:val="auto"/>
        </w:rPr>
        <w:t>Section 8.01(e)</w:t>
      </w:r>
      <w:r>
        <w:rPr>
          <w:rFonts w:ascii="Arial" w:cs="Arial" w:eastAsia="Arial" w:hAnsi="Arial"/>
          <w:sz w:val="17"/>
          <w:szCs w:val="17"/>
          <w:color w:val="auto"/>
        </w:rPr>
        <w:t xml:space="preserve"> will be margin stock.</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Material Agreements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5.16</w:t>
      </w:r>
      <w:r>
        <w:rPr>
          <w:rFonts w:ascii="Arial" w:cs="Arial" w:eastAsia="Arial" w:hAnsi="Arial"/>
          <w:sz w:val="18"/>
          <w:szCs w:val="18"/>
          <w:color w:val="auto"/>
        </w:rPr>
        <w:t xml:space="preserve"> hereto, as of the Closing Date, no Loan Party or Subsidiary thereof is a party to any (a) debt instrument (excluding the Loan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74" w:right="259" w:bottom="1440" w:gutter="0" w:footer="0" w:header="0"/>
        </w:sectPr>
      </w:pPr>
    </w:p>
    <w:bookmarkStart w:id="114" w:name="page115"/>
    <w:bookmarkEnd w:id="114"/>
    <w:p>
      <w:pPr>
        <w:ind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Documents and the New Notes Documents); (b) lease (capital, operating or otherwise), whether as lessee or lessor thereunder; (c) contract, commitment, agreement, or other arrangement involving the purchase or sale of any inventory by it, or the license of any right to or by it; (d) contract, commitment, agreement, or other arrangement with any of its “Affiliates” (as such term is defined in the Securities Exchange Act of 1934, as amended) other than a Loan Party or a Subsidiary thereof; (e) management or employment contract or contract for personal services with any of its Affiliates that is not otherwise terminable at will or on less than ninety (90) days’ notice without liability; (f) collective bargaining agreement; or (g) other contract, agreement, understanding, or arrangement with a third party; that, as to </w:t>
      </w:r>
      <w:r>
        <w:rPr>
          <w:rFonts w:ascii="Arial" w:cs="Arial" w:eastAsia="Arial" w:hAnsi="Arial"/>
          <w:sz w:val="17"/>
          <w:szCs w:val="17"/>
          <w:u w:val="single" w:color="auto"/>
          <w:color w:val="auto"/>
        </w:rPr>
        <w:t>subsections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(g)</w:t>
      </w:r>
      <w:r>
        <w:rPr>
          <w:rFonts w:ascii="Arial" w:cs="Arial" w:eastAsia="Arial" w:hAnsi="Arial"/>
          <w:sz w:val="17"/>
          <w:szCs w:val="17"/>
          <w:color w:val="auto"/>
        </w:rPr>
        <w:t>, above, if violated, breached, or terminated for any reason, either individually or in the aggregate, would have or would be reasonably expected to have a Material Adverse Effect.</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Each Loan Party and each Subsidiary thereof owns, or has the right to use, all of the material patents, patent applications, industrial designs, designs, trademarks, service marks, copyrights, trade secrets, software and rights with respect to the foregoing necessary for the conduct of its business without any known conflict with the rights of others. </w:t>
      </w:r>
      <w:r>
        <w:rPr>
          <w:rFonts w:ascii="Arial" w:cs="Arial" w:eastAsia="Arial" w:hAnsi="Arial"/>
          <w:sz w:val="18"/>
          <w:szCs w:val="18"/>
          <w:u w:val="single" w:color="auto"/>
          <w:color w:val="auto"/>
        </w:rPr>
        <w:t>Schedule 5.17</w:t>
      </w:r>
      <w:r>
        <w:rPr>
          <w:rFonts w:ascii="Arial" w:cs="Arial" w:eastAsia="Arial" w:hAnsi="Arial"/>
          <w:sz w:val="18"/>
          <w:szCs w:val="18"/>
          <w:color w:val="auto"/>
        </w:rPr>
        <w:t xml:space="preserve"> hereto sets forth all patents, trademarks, registered copyrights, service marks, and material license agreements owned by each Loan Party or Subsidiary or to which a Loan Party or Subsidiary is a party as of the Amendment and Restatement Effective Date.</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Each Loan Party and each Subsidiary thereof maintains with financially sound and reputable insurers (or is self-insured) insurance with coverage and limits as required by Law and as is customary with Persons engaged in the same businesses as the Loan Parties and their Subsidiaries. </w:t>
      </w:r>
      <w:r>
        <w:rPr>
          <w:rFonts w:ascii="Arial" w:cs="Arial" w:eastAsia="Arial" w:hAnsi="Arial"/>
          <w:sz w:val="18"/>
          <w:szCs w:val="18"/>
          <w:u w:val="single" w:color="auto"/>
          <w:color w:val="auto"/>
        </w:rPr>
        <w:t>Schedule 5.18</w:t>
      </w:r>
      <w:r>
        <w:rPr>
          <w:rFonts w:ascii="Arial" w:cs="Arial" w:eastAsia="Arial" w:hAnsi="Arial"/>
          <w:sz w:val="18"/>
          <w:szCs w:val="18"/>
          <w:color w:val="auto"/>
        </w:rPr>
        <w:t xml:space="preserve"> hereto sets forth all insurance carried by the Loan Parties and their Subsidiaries on the Closing Date, setting forth in detail the amount and type of such insurance as of the Closing Date.</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Casualty, Etc</w:t>
      </w:r>
      <w:r>
        <w:rPr>
          <w:rFonts w:ascii="Arial" w:cs="Arial" w:eastAsia="Arial" w:hAnsi="Arial"/>
          <w:sz w:val="18"/>
          <w:szCs w:val="18"/>
          <w:color w:val="auto"/>
        </w:rPr>
        <w:t>. Neither the businesses nor the properties of any Loan Party or any Subsidiary thereof are affected by any fire, explosion, accident, strike, lockout or other labor dispute, drought, storm, hail, earthquake, embargo, act of God or of the public enemy or other casualty (whether or not covered by insurance), condemnation or eminent domain proceeding that, either individually or in the aggregate, would reasonably be expected to have a Material Adverse Effect.</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Labor Matters</w:t>
      </w:r>
      <w:r>
        <w:rPr>
          <w:rFonts w:ascii="Arial" w:cs="Arial" w:eastAsia="Arial" w:hAnsi="Arial"/>
          <w:sz w:val="18"/>
          <w:szCs w:val="18"/>
          <w:color w:val="auto"/>
        </w:rPr>
        <w:t>. There are no collective bargaining agreements or Multiemployer Plans covering the employees of the Borrower or any of its Subsidiaries as of the Closing Date and neither the Borrower nor any Subsidiary has suffered any strikes, walkouts, work stoppages or other material labor difficulty within the last five years.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OFAC; Anti-Money Laundering; FCPA</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72" w:lineRule="auto"/>
        <w:tabs>
          <w:tab w:leader="none" w:pos="70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No Loan Party, nor any of their Subsidiaries, nor, to the knowledge of any Loan Party, any Related Party, (i) is currently the subject of any Sanctions, (ii) is located, organized or residing in any Designated Jurisdiction or (iii) is or has been (within the previous five (5) years) engaged in any transaction with any Person who is now or was then the subject of Sanctions or who is located, organized or residing in any Designated Jurisdiction. No Loan or Letter of Credit, nor the proceeds from any Loan or Letter of Credit, has been used, directly or indirectly, to lend, contribute, provide or has otherwise made available to fund any activity or business in any Designated Jurisdiction or to fund any activity or business of any Person located, organized or residing in any Designated Jurisdiction or who is the subject of any Sanctions, or in any other manner that will result in any violation by any Person (including any Lender, the Arrangers, the Administrative Agent, any L/C Issuer or the Swing Line Lender) of Sanctions.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274" w:right="279" w:bottom="1440" w:gutter="0" w:footer="0" w:header="0"/>
        </w:sectPr>
      </w:pPr>
    </w:p>
    <w:bookmarkStart w:id="115" w:name="page116"/>
    <w:bookmarkEnd w:id="115"/>
    <w:p>
      <w:pPr>
        <w:ind w:right="160" w:firstLine="464"/>
        <w:spacing w:after="0" w:line="255" w:lineRule="auto"/>
        <w:tabs>
          <w:tab w:leader="none" w:pos="711"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Borrower’s knowledge after making due inquiry, no Loan Party or Subsidiary (i) is under investigation by any Governmental Authority for, or has been charged with, or convicted of, money laundering or terrorist-related activities under any applicable Laws, including, without limitation, the PATRIOT Act (collectively, “</w:t>
      </w:r>
      <w:r>
        <w:rPr>
          <w:rFonts w:ascii="Arial" w:cs="Arial" w:eastAsia="Arial" w:hAnsi="Arial"/>
          <w:sz w:val="18"/>
          <w:szCs w:val="18"/>
          <w:u w:val="single" w:color="auto"/>
          <w:color w:val="auto"/>
        </w:rPr>
        <w:t>AML / Terrorist Laws</w:t>
      </w:r>
      <w:r>
        <w:rPr>
          <w:rFonts w:ascii="Arial" w:cs="Arial" w:eastAsia="Arial" w:hAnsi="Arial"/>
          <w:sz w:val="18"/>
          <w:szCs w:val="18"/>
          <w:color w:val="auto"/>
        </w:rPr>
        <w:t>”), (ii) has been assessed civil penalties under any AML / Terrorist Laws or (iii) has had any of its funds seized or forfeited in an action under any AML / Terrorist Laws. Each Loan Party has taken reasonable measures appropriate to the circumstances (in any event as required by applicable Laws) to seek to ensure that such Loan Party and each of its Subsidiaries is in compliance with all AML / Terrorist Laws applicable to it.</w:t>
      </w:r>
    </w:p>
    <w:p>
      <w:pPr>
        <w:spacing w:after="0" w:line="193" w:lineRule="exact"/>
        <w:rPr>
          <w:rFonts w:ascii="Arial" w:cs="Arial" w:eastAsia="Arial" w:hAnsi="Arial"/>
          <w:sz w:val="18"/>
          <w:szCs w:val="18"/>
          <w:color w:val="auto"/>
        </w:rPr>
      </w:pPr>
    </w:p>
    <w:p>
      <w:pPr>
        <w:ind w:right="20" w:firstLine="464"/>
        <w:spacing w:after="0" w:line="257" w:lineRule="auto"/>
        <w:tabs>
          <w:tab w:leader="none" w:pos="70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None of the Borrower or any of its Subsidiaries (or, to the knowledge of the Borrower, any director, officer, agent, employee, Affiliate of, or other person associated with or acting on behalf of the Borrower or any of their respective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or (iv) made any bribe, rebate, payoff, influence payment, kickback or other unlawful payment.</w:t>
      </w:r>
    </w:p>
    <w:p>
      <w:pPr>
        <w:spacing w:after="0" w:line="188" w:lineRule="exact"/>
        <w:rPr>
          <w:sz w:val="20"/>
          <w:szCs w:val="20"/>
          <w:color w:val="auto"/>
        </w:rPr>
      </w:pPr>
    </w:p>
    <w:p>
      <w:pPr>
        <w:jc w:val="both"/>
        <w:ind w:right="80" w:firstLine="456"/>
        <w:spacing w:after="0" w:line="276"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17"/>
          <w:szCs w:val="17"/>
          <w:u w:val="single" w:color="auto"/>
          <w:color w:val="auto"/>
        </w:rPr>
        <w:t>Certain Treasury Regulation Matters</w:t>
      </w:r>
      <w:r>
        <w:rPr>
          <w:rFonts w:ascii="Arial" w:cs="Arial" w:eastAsia="Arial" w:hAnsi="Arial"/>
          <w:sz w:val="17"/>
          <w:szCs w:val="17"/>
          <w:color w:val="auto"/>
        </w:rPr>
        <w:t>. The Borrower does not intend to treat the Loans and related transactions as being a “reportable” transaction (within the meaning of Treasury Regulation 1.6011-4). The Borrower acknowledges that the Administrative Agent and one or more of the Lenders may treat its Loans as part of a transaction that is subject to Treasury Regulation Section 301.6112-1 to the extent that the Borrower’s application of the proceeds of the Loans requires the same and the Administrative Agent and such Lender or Lenders, as applicable, may, in connection therewith, maintain such lists and other records as they may determine is required by such Treasury Regulation.</w:t>
      </w:r>
    </w:p>
    <w:p>
      <w:pPr>
        <w:spacing w:after="0" w:line="173"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 xml:space="preserve">5.23 </w:t>
      </w:r>
      <w:r>
        <w:rPr>
          <w:rFonts w:ascii="Arial" w:cs="Arial" w:eastAsia="Arial" w:hAnsi="Arial"/>
          <w:sz w:val="16"/>
          <w:szCs w:val="16"/>
          <w:u w:val="single" w:color="auto"/>
          <w:color w:val="auto"/>
        </w:rPr>
        <w:t>Deposit Accounts; Securities Accounts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5.23</w:t>
      </w:r>
      <w:r>
        <w:rPr>
          <w:rFonts w:ascii="Arial" w:cs="Arial" w:eastAsia="Arial" w:hAnsi="Arial"/>
          <w:sz w:val="16"/>
          <w:szCs w:val="16"/>
          <w:color w:val="auto"/>
        </w:rPr>
        <w:t xml:space="preserve"> hereto lists all banks and other financial institutions at which any Loan Party maintains deposit, securities or other accounts as of the Closing Date, and </w:t>
      </w:r>
      <w:r>
        <w:rPr>
          <w:rFonts w:ascii="Arial" w:cs="Arial" w:eastAsia="Arial" w:hAnsi="Arial"/>
          <w:sz w:val="16"/>
          <w:szCs w:val="16"/>
          <w:u w:val="single" w:color="auto"/>
          <w:color w:val="auto"/>
        </w:rPr>
        <w:t>Schedule 5.23</w:t>
      </w:r>
      <w:r>
        <w:rPr>
          <w:rFonts w:ascii="Arial" w:cs="Arial" w:eastAsia="Arial" w:hAnsi="Arial"/>
          <w:sz w:val="16"/>
          <w:szCs w:val="16"/>
          <w:color w:val="auto"/>
        </w:rPr>
        <w:t xml:space="preserve"> hereto correctly identifies the name, address and telephone number of each depository, the name in which the account is held, a description of the purpose of the account, and the complete account number therefor.</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5.24 </w:t>
      </w:r>
      <w:r>
        <w:rPr>
          <w:rFonts w:ascii="Arial" w:cs="Arial" w:eastAsia="Arial" w:hAnsi="Arial"/>
          <w:sz w:val="17"/>
          <w:szCs w:val="17"/>
          <w:u w:val="single" w:color="auto"/>
          <w:color w:val="auto"/>
        </w:rPr>
        <w:t>Accurate and Complete Statements</w:t>
      </w:r>
      <w:r>
        <w:rPr>
          <w:rFonts w:ascii="Arial" w:cs="Arial" w:eastAsia="Arial" w:hAnsi="Arial"/>
          <w:sz w:val="17"/>
          <w:szCs w:val="17"/>
          <w:color w:val="auto"/>
        </w:rPr>
        <w:t xml:space="preserve">. No report, financial statement, certificate or other information furnished by or on behalf of any Loan Party or any Subsidiary to the Administrative Agent or any Lender in connection with the transactions contemplated hereby and the negotiation of this Agreement or delivered hereunder or any other Loan Document (as modified or supplemented by other information so furnished), when taken as a whole, contains any material misstatement of a material fact or omits to state any material fact necessary to make the statements therein (when taken as a whole), in the light of the circumstances under which they were made, not materially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 representation is made with respect to general economic or industry information and (b) with respect to projected and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information, the Borrower represents only that such information was prepared in good faith based upon assumptions reasonably believed by the Borrower to be reasonable at the time of preparation; it being understood that such projections may vary from actual results and that such variances may be material.</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5.26 </w:t>
      </w:r>
      <w:r>
        <w:rPr>
          <w:rFonts w:ascii="Arial" w:cs="Arial" w:eastAsia="Arial" w:hAnsi="Arial"/>
          <w:sz w:val="18"/>
          <w:szCs w:val="18"/>
          <w:u w:val="single" w:color="auto"/>
          <w:color w:val="auto"/>
        </w:rPr>
        <w:t>Investment Company</w:t>
      </w:r>
      <w:r>
        <w:rPr>
          <w:rFonts w:ascii="Arial" w:cs="Arial" w:eastAsia="Arial" w:hAnsi="Arial"/>
          <w:sz w:val="18"/>
          <w:szCs w:val="18"/>
          <w:color w:val="auto"/>
        </w:rPr>
        <w:t>. No Loan Party or Subsidiary thereof is an “investment company” or a company “controlled” by an “investment company” within the meaning of the Investment Company Act of 1940, as amended.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116" w:name="page117"/>
    <w:bookmarkEnd w:id="1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5.27 </w:t>
      </w:r>
      <w:r>
        <w:rPr>
          <w:rFonts w:ascii="Arial" w:cs="Arial" w:eastAsia="Arial" w:hAnsi="Arial"/>
          <w:sz w:val="18"/>
          <w:szCs w:val="18"/>
          <w:u w:val="single" w:color="auto"/>
          <w:color w:val="auto"/>
        </w:rPr>
        <w:t>Defaults</w:t>
      </w:r>
      <w:r>
        <w:rPr>
          <w:rFonts w:ascii="Arial" w:cs="Arial" w:eastAsia="Arial" w:hAnsi="Arial"/>
          <w:sz w:val="18"/>
          <w:szCs w:val="18"/>
          <w:color w:val="auto"/>
        </w:rPr>
        <w:t>. No Default exists hereunder, nor will any begin to exist immediately after the execution and delivery hereof.</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5.28 </w:t>
      </w:r>
      <w:r>
        <w:rPr>
          <w:rFonts w:ascii="Arial" w:cs="Arial" w:eastAsia="Arial" w:hAnsi="Arial"/>
          <w:sz w:val="18"/>
          <w:szCs w:val="18"/>
          <w:u w:val="single" w:color="auto"/>
          <w:color w:val="auto"/>
        </w:rPr>
        <w:t>Senior Debt Status</w:t>
      </w:r>
      <w:r>
        <w:rPr>
          <w:rFonts w:ascii="Arial" w:cs="Arial" w:eastAsia="Arial" w:hAnsi="Arial"/>
          <w:sz w:val="18"/>
          <w:szCs w:val="18"/>
          <w:color w:val="auto"/>
        </w:rPr>
        <w:t xml:space="preserve">. The Obligations (a)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material senior Indebtedness of Borrower and its Subsidiaries and (b) are designated as “Senior Indebtedness”, “Designated Senior Debt” or such similar term under all instruments and documents relating to all Subordinated Indebtedness and all senior unsecured Indebtedness of such Person.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AFFIRMATIVE COVENANTS</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(other than contingent indemnification obligations not then due) or any Letter of Credit shall remain outstanding, the Borrower shall, and shall (except in the case of the covenants set forth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6.11</w:t>
      </w:r>
      <w:r>
        <w:rPr>
          <w:rFonts w:ascii="Arial" w:cs="Arial" w:eastAsia="Arial" w:hAnsi="Arial"/>
          <w:sz w:val="18"/>
          <w:szCs w:val="18"/>
          <w:color w:val="auto"/>
        </w:rPr>
        <w:t>) cause each Subsidiary 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6.01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Deliver to the Administrative Agent and each Lender, in form and detail satisfactory to the Administrative Agent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Required Lenders:</w:t>
      </w:r>
    </w:p>
    <w:p>
      <w:pPr>
        <w:spacing w:after="0" w:line="211" w:lineRule="exact"/>
        <w:rPr>
          <w:sz w:val="20"/>
          <w:szCs w:val="20"/>
          <w:color w:val="auto"/>
        </w:rPr>
      </w:pPr>
    </w:p>
    <w:p>
      <w:pPr>
        <w:ind w:right="20" w:firstLine="464"/>
        <w:spacing w:after="0" w:line="259" w:lineRule="auto"/>
        <w:tabs>
          <w:tab w:leader="none" w:pos="70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within ninety-five (95) days after the end of each fiscal year of the Borrower (commencing with the fiscal year ending December 31, 2015), an annual audit report of the Borrower and its Subsidiaries for that year prepared on a consolidated basis, in accordance with GAAP, and certified by an unqualified opinion of an independent public accountant satisfactory to the Administrative Agent, which report shall include balance sheets and statements of income (loss), stockholders’ equity and cash-flow for that period;</w:t>
      </w:r>
    </w:p>
    <w:p>
      <w:pPr>
        <w:spacing w:after="0" w:line="186" w:lineRule="exact"/>
        <w:rPr>
          <w:rFonts w:ascii="Arial" w:cs="Arial" w:eastAsia="Arial" w:hAnsi="Arial"/>
          <w:sz w:val="18"/>
          <w:szCs w:val="18"/>
          <w:color w:val="auto"/>
        </w:rPr>
      </w:pPr>
    </w:p>
    <w:p>
      <w:pPr>
        <w:ind w:right="160" w:firstLine="464"/>
        <w:spacing w:after="0" w:line="257" w:lineRule="auto"/>
        <w:tabs>
          <w:tab w:leader="none" w:pos="71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within fifty (50) days after the end of each of the first three fiscal quarter periods of each fiscal year of the Borrower (commencing with the fiscal quarter ending September 30, 2015), balance sheets of the Borrower and its Subsidiaries as of the end of such period and statements of income (loss), stockholders’ equity and cash flow for the quarter and fiscal year to date periods, setting forth in comparative form the figures for the corresponding fiscal quarter of the previous fiscal year and the corresponding portion of the previous fiscal year, all prepared on a consolidated basis, in accordance with GAAP, and certified by a Responsible Officer of the Borrower; and</w:t>
      </w:r>
    </w:p>
    <w:p>
      <w:pPr>
        <w:spacing w:after="0" w:line="188" w:lineRule="exact"/>
        <w:rPr>
          <w:rFonts w:ascii="Arial" w:cs="Arial" w:eastAsia="Arial" w:hAnsi="Arial"/>
          <w:sz w:val="18"/>
          <w:szCs w:val="18"/>
          <w:color w:val="auto"/>
        </w:rPr>
      </w:pPr>
    </w:p>
    <w:p>
      <w:pPr>
        <w:ind w:firstLine="464"/>
        <w:spacing w:after="0" w:line="259" w:lineRule="auto"/>
        <w:tabs>
          <w:tab w:leader="none" w:pos="70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within forty-five (45) days after the end of each fiscal year of the Borrower, an annual business plan and budget of the Borrower and its Subsidiaries on a consolidated basis, including forecasts prepared by management of the Borrower, of consolidated balance sheets and statements of income or operations and cash flows of the Borrower and its Subsidiaries on a quarterly basis for the immediately following fiscal year (including the fiscal year in which the Maturity Date occurs).</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6.02(d)</w:t>
      </w:r>
      <w:r>
        <w:rPr>
          <w:rFonts w:ascii="Arial" w:cs="Arial" w:eastAsia="Arial" w:hAnsi="Arial"/>
          <w:sz w:val="18"/>
          <w:szCs w:val="18"/>
          <w:color w:val="auto"/>
        </w:rPr>
        <w:t xml:space="preserve">, the Borrower shall not be separately required to furnish such information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but the foregoing shall not be in derogation of the obligation of the Borrower to furnish the information and materials described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at the times specified therein.</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Deliver to the Administrative Agent and each Lender, in form and detail satisfactory to the Administrative Agent and the Required Lenders:</w:t>
      </w:r>
    </w:p>
    <w:p>
      <w:pPr>
        <w:spacing w:after="0" w:line="170" w:lineRule="exact"/>
        <w:rPr>
          <w:sz w:val="20"/>
          <w:szCs w:val="20"/>
          <w:color w:val="auto"/>
        </w:rPr>
      </w:pPr>
    </w:p>
    <w:p>
      <w:pPr>
        <w:ind w:right="180" w:firstLine="464"/>
        <w:spacing w:after="0" w:line="342" w:lineRule="auto"/>
        <w:tabs>
          <w:tab w:leader="none" w:pos="70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concurrently with the delivery of the financial statements referred to in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(commencing with the delivery of the financial statements for the fiscal year ended December 31, 2015), a certificate of its independent certified public accountants certifying such financial statements;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274" w:right="279" w:bottom="1440" w:gutter="0" w:footer="0" w:header="0"/>
        </w:sectPr>
      </w:pPr>
    </w:p>
    <w:bookmarkStart w:id="117" w:name="page118"/>
    <w:bookmarkEnd w:id="117"/>
    <w:p>
      <w:pPr>
        <w:ind w:left="-20" w:firstLine="464"/>
        <w:spacing w:after="0" w:line="269" w:lineRule="auto"/>
        <w:tabs>
          <w:tab w:leader="none" w:pos="691" w:val="left"/>
        </w:tabs>
        <w:numPr>
          <w:ilvl w:val="0"/>
          <w:numId w:val="1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concurrently with the delivery of the financial statements referred to in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(commencing with the delivery of the financial statements for the fiscal quarter ended September 30, 2015), a duly completed Compliance Certificate signed by a Financial Officer of the Borrower (which delivery may, unless the Administrative Agent, or a Lender requests executed originals, be by electronic communication including fax or email and shall be deemed to be an original authentic counterpart thereof for all purposes), which Compliance Certificate shall (x) provide that no Default exists or, if a Default exists, specifying the nature and extent thereof; (y) set forth (i) any change in the identity of any of the Immaterial Subsidiaries or Inactive Subsidiaries during such period and (ii) a detailed calculation of the Consolidated Leverage Ratio, the Consolidated Net Leverage Ratio, the Consolidated Secured Leverage Ratio and the amount available for Investments and Restricted Payments under </w:t>
      </w:r>
      <w:r>
        <w:rPr>
          <w:rFonts w:ascii="Arial" w:cs="Arial" w:eastAsia="Arial" w:hAnsi="Arial"/>
          <w:sz w:val="17"/>
          <w:szCs w:val="17"/>
          <w:u w:val="single" w:color="auto"/>
          <w:color w:val="auto"/>
        </w:rPr>
        <w:t>Sections 7.03(a)(xiv)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7.06(d)</w:t>
      </w:r>
      <w:r>
        <w:rPr>
          <w:rFonts w:ascii="Arial" w:cs="Arial" w:eastAsia="Arial" w:hAnsi="Arial"/>
          <w:sz w:val="17"/>
          <w:szCs w:val="17"/>
          <w:color w:val="auto"/>
        </w:rPr>
        <w:t xml:space="preserve">, in each case as of the last day of such period, and solely with respect to the delivery concurrently with the financial statements referred to in </w:t>
      </w:r>
      <w:r>
        <w:rPr>
          <w:rFonts w:ascii="Arial" w:cs="Arial" w:eastAsia="Arial" w:hAnsi="Arial"/>
          <w:sz w:val="17"/>
          <w:szCs w:val="17"/>
          <w:u w:val="single" w:color="auto"/>
          <w:color w:val="auto"/>
        </w:rPr>
        <w:t>Section 6.01(a)</w:t>
      </w:r>
      <w:r>
        <w:rPr>
          <w:rFonts w:ascii="Arial" w:cs="Arial" w:eastAsia="Arial" w:hAnsi="Arial"/>
          <w:sz w:val="17"/>
          <w:szCs w:val="17"/>
          <w:color w:val="auto"/>
        </w:rPr>
        <w:t>, a calculation of Excess Cash Flow for such fiscal year); and (z) set forth all patents, trademarks, registered copyrights, service marks, and material license agreements owned by each Loan Party or Subsidiary or to which a Loan Party or Subsidiary is a party and which is not set forth on Schedule 5.17 hereto or on any previously delivered Compliance Certificate;</w:t>
      </w:r>
    </w:p>
    <w:p>
      <w:pPr>
        <w:spacing w:after="0" w:line="182" w:lineRule="exact"/>
        <w:rPr>
          <w:rFonts w:ascii="Arial" w:cs="Arial" w:eastAsia="Arial" w:hAnsi="Arial"/>
          <w:sz w:val="17"/>
          <w:szCs w:val="17"/>
          <w:color w:val="auto"/>
        </w:rPr>
      </w:pPr>
    </w:p>
    <w:p>
      <w:pPr>
        <w:ind w:left="-20" w:right="300" w:firstLine="464"/>
        <w:spacing w:after="0" w:line="342" w:lineRule="auto"/>
        <w:tabs>
          <w:tab w:leader="none" w:pos="68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promptly after the same are available, copies of any detailed audit reports or management letters submitted to the board of directors (or the audit committee of the board of directors) of the Borrower by independent accountants in connection with any audit of the Borrower or any Subsidiary;</w:t>
      </w:r>
    </w:p>
    <w:p>
      <w:pPr>
        <w:spacing w:after="0" w:line="123" w:lineRule="exact"/>
        <w:rPr>
          <w:rFonts w:ascii="Arial" w:cs="Arial" w:eastAsia="Arial" w:hAnsi="Arial"/>
          <w:sz w:val="16"/>
          <w:szCs w:val="16"/>
          <w:color w:val="auto"/>
        </w:rPr>
      </w:pPr>
    </w:p>
    <w:p>
      <w:pPr>
        <w:ind w:left="-20" w:firstLine="464"/>
        <w:spacing w:after="0" w:line="255" w:lineRule="auto"/>
        <w:tabs>
          <w:tab w:leader="none" w:pos="69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promptly after the same are available, copies of all notices, reports, definitive proxy or other statements and other documents (other than any routine ministerial notices, reports or other documents) sent by the Borrower to its shareholders, to the holders of any of its debentures or bonds or the trustee of any indenture securing the same or pursuant to which they are issued, or sent by the Borrower (in final form) to any securities exchange or over the counter authority or system, or to the SEC or any similar federal agency having regulatory jurisdiction over the issuance of the Borrower’s securities, including, without limitation, a transcript and summary (in form and substance satisfactory to the Administrative Agent) of any earnings calls or similar calls with respect to the Borrower;</w:t>
      </w:r>
    </w:p>
    <w:p>
      <w:pPr>
        <w:spacing w:after="0" w:line="193" w:lineRule="exact"/>
        <w:rPr>
          <w:rFonts w:ascii="Arial" w:cs="Arial" w:eastAsia="Arial" w:hAnsi="Arial"/>
          <w:sz w:val="18"/>
          <w:szCs w:val="18"/>
          <w:color w:val="auto"/>
        </w:rPr>
      </w:pPr>
    </w:p>
    <w:p>
      <w:pPr>
        <w:ind w:left="-20" w:right="60" w:firstLine="464"/>
        <w:spacing w:after="0" w:line="259" w:lineRule="auto"/>
        <w:tabs>
          <w:tab w:leader="none" w:pos="68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promptly after the furnishing thereof, copies of any statement or report (other than any routine ministerial statements or reports) furnished to any holder of debt securities, including, without limitation, any holders of Indebtedness governed by any Material Indebtedness Agreement, of any Loan Party or of any of its Subsidiaries pursuant to the terms of any indenture, loan or credit or similar agreement and not otherwise required to be furnished to the Lenders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any other clause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0" w:right="120" w:firstLine="464"/>
        <w:spacing w:after="0" w:line="264" w:lineRule="auto"/>
        <w:tabs>
          <w:tab w:leader="none" w:pos="66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within 30 days of the written request of the Administrative Agent, a report summarizing the insurance coverage (specifying type, amount and carrier) in effect for each Loan Party and its Subsidiaries and containing such additional information as the Administrative Agent, or any Lender through the Administrative Agent, may reasonably specify;</w:t>
      </w:r>
    </w:p>
    <w:p>
      <w:pPr>
        <w:spacing w:after="0" w:line="181" w:lineRule="exact"/>
        <w:rPr>
          <w:rFonts w:ascii="Arial" w:cs="Arial" w:eastAsia="Arial" w:hAnsi="Arial"/>
          <w:sz w:val="18"/>
          <w:szCs w:val="18"/>
          <w:color w:val="auto"/>
        </w:rPr>
      </w:pPr>
    </w:p>
    <w:p>
      <w:pPr>
        <w:ind w:left="-20" w:right="320" w:firstLine="464"/>
        <w:spacing w:after="0" w:line="312" w:lineRule="auto"/>
        <w:tabs>
          <w:tab w:leader="none" w:pos="69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promptly, and in any event within five Business Days after receipt thereof by any Loan Party or any Subsidiary thereof, copies of each notice or other correspondence received from the SEC (or comparable agency in any applicable non-U.S. jurisdiction) concerning any investigation or possible investigation or other material inquiry by such agency regarding financial or other operational results of any Loan Party or any Subsidiary thereof;</w:t>
      </w:r>
    </w:p>
    <w:p>
      <w:pPr>
        <w:spacing w:after="0" w:line="146" w:lineRule="exact"/>
        <w:rPr>
          <w:rFonts w:ascii="Arial" w:cs="Arial" w:eastAsia="Arial" w:hAnsi="Arial"/>
          <w:sz w:val="16"/>
          <w:szCs w:val="16"/>
          <w:color w:val="auto"/>
        </w:rPr>
      </w:pPr>
    </w:p>
    <w:p>
      <w:pPr>
        <w:ind w:left="-20" w:right="40" w:firstLine="464"/>
        <w:spacing w:after="0" w:line="342" w:lineRule="auto"/>
        <w:tabs>
          <w:tab w:leader="none" w:pos="69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not later than five Business Days after receipt thereof by any Loan Party or any Subsidiary thereof, copies of all material notices, requests and other documents (including amendments, waivers and other modifications) so received under or pursuant to any Related Document, any New Notes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60" w:top="274" w:right="259" w:bottom="1440" w:gutter="0" w:footer="0" w:header="0"/>
        </w:sectPr>
      </w:pPr>
    </w:p>
    <w:bookmarkStart w:id="118" w:name="page119"/>
    <w:bookmarkEnd w:id="118"/>
    <w:p>
      <w:pPr>
        <w:ind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 or any Material Indebtedness Agreement and, from time to time upon request by the Administrative Agent, such information and reports regarding any Related Document, any New Notes Document or any Material Indebtedness Agreement as the Administrative Agent may reasonably request;</w:t>
      </w:r>
    </w:p>
    <w:p>
      <w:pPr>
        <w:spacing w:after="0" w:line="124" w:lineRule="exact"/>
        <w:rPr>
          <w:sz w:val="20"/>
          <w:szCs w:val="20"/>
          <w:color w:val="auto"/>
        </w:rPr>
      </w:pPr>
    </w:p>
    <w:p>
      <w:pPr>
        <w:jc w:val="both"/>
        <w:ind w:right="120" w:firstLine="464"/>
        <w:spacing w:after="0" w:line="279" w:lineRule="auto"/>
        <w:tabs>
          <w:tab w:leader="none" w:pos="671"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promptly after the assertion or occurrence thereof, notice of any action or proceeding against or of any noncompliance by any Loan Party or any of its Subsidiaries under or with any Environmental Law or Environmental Permit that would (i) either individually or in the aggregate, reasonably be expected to have a Material Adverse Effect or (ii) cause any property described in the Mortgages to be subject to any restrictions on ownership, occupancy, use or transferability under any Environmental Law (other than Liens permitted pursuant to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60" w:firstLine="464"/>
        <w:spacing w:after="0" w:line="271" w:lineRule="auto"/>
        <w:tabs>
          <w:tab w:leader="none" w:pos="671"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as soon as available, but in any event within 30 days after the end of each fiscal year of the Borrower, (i) a report supplementing </w:t>
      </w:r>
      <w:r>
        <w:rPr>
          <w:rFonts w:ascii="Arial" w:cs="Arial" w:eastAsia="Arial" w:hAnsi="Arial"/>
          <w:sz w:val="17"/>
          <w:szCs w:val="17"/>
          <w:u w:val="single" w:color="auto"/>
          <w:color w:val="auto"/>
        </w:rPr>
        <w:t>Schedules 5.05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5.09</w:t>
      </w:r>
      <w:r>
        <w:rPr>
          <w:rFonts w:ascii="Arial" w:cs="Arial" w:eastAsia="Arial" w:hAnsi="Arial"/>
          <w:sz w:val="17"/>
          <w:szCs w:val="17"/>
          <w:color w:val="auto"/>
        </w:rPr>
        <w:t xml:space="preserve">, including an identification of all owned and leased real property disposed of by any Loan Party or any Subsidiary thereof during such fiscal year, a list and description (including the street address, county or other relevant jurisdiction, state, record owner, book value thereof and, in the case of leases of property, lessor, lessee, expiration date and annual rental cost thereof) of all real property acquired or leased during such fiscal year and a description of such other changes in the information included in such Schedules as may be necessary for such Schedules to be accurate and complete and (ii) a report supplementing </w:t>
      </w:r>
      <w:r>
        <w:rPr>
          <w:rFonts w:ascii="Arial" w:cs="Arial" w:eastAsia="Arial" w:hAnsi="Arial"/>
          <w:sz w:val="17"/>
          <w:szCs w:val="17"/>
          <w:u w:val="single" w:color="auto"/>
          <w:color w:val="auto"/>
        </w:rPr>
        <w:t>Schedules 5.01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5.17</w:t>
      </w:r>
      <w:r>
        <w:rPr>
          <w:rFonts w:ascii="Arial" w:cs="Arial" w:eastAsia="Arial" w:hAnsi="Arial"/>
          <w:sz w:val="17"/>
          <w:szCs w:val="17"/>
          <w:color w:val="auto"/>
        </w:rPr>
        <w:t xml:space="preserve"> containing a description of all changes in the information included in such Schedules as may be necessary for such Schedules to be accurate and complete, each such report to be signed by a Responsible Officer of the Borrower and to be in a form reasonably satisfactory to the Administrative Agent;</w:t>
      </w:r>
    </w:p>
    <w:p>
      <w:pPr>
        <w:spacing w:after="0" w:line="178" w:lineRule="exact"/>
        <w:rPr>
          <w:rFonts w:ascii="Arial" w:cs="Arial" w:eastAsia="Arial" w:hAnsi="Arial"/>
          <w:sz w:val="17"/>
          <w:szCs w:val="17"/>
          <w:color w:val="auto"/>
        </w:rPr>
      </w:pPr>
    </w:p>
    <w:p>
      <w:pPr>
        <w:ind w:firstLine="464"/>
        <w:spacing w:after="0" w:line="276" w:lineRule="auto"/>
        <w:tabs>
          <w:tab w:leader="none" w:pos="711"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promptly after any Loan Party or any Subsidiary thereof obtains knowledge that any Loan Party or any Subsidiary thereof or any Person which owns, directly or indirectly, any Equity Interest of any Loan Party or any Subsidiary thereof, or any other holder at any time of any direct or indirect equitable, legal or beneficial interest therein is in violation or breach of any of </w:t>
      </w:r>
      <w:r>
        <w:rPr>
          <w:rFonts w:ascii="Arial" w:cs="Arial" w:eastAsia="Arial" w:hAnsi="Arial"/>
          <w:sz w:val="17"/>
          <w:szCs w:val="17"/>
          <w:u w:val="single" w:color="auto"/>
          <w:color w:val="auto"/>
        </w:rPr>
        <w:t>Sections 6.08(b)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7.10</w:t>
      </w:r>
      <w:r>
        <w:rPr>
          <w:rFonts w:ascii="Arial" w:cs="Arial" w:eastAsia="Arial" w:hAnsi="Arial"/>
          <w:sz w:val="17"/>
          <w:szCs w:val="17"/>
          <w:color w:val="auto"/>
        </w:rPr>
        <w:t>, such Loan Party or Subsidiary will deliver reasonably prompt notice to the Administrative Agent and the Lenders of such violation. Upon the request of any Lender, such Loan Party or Subsidiary, as applicable, will provide any information such Lender believes is reasonably necessary to be delivered to comply with the PATRIOT Act;</w:t>
      </w:r>
    </w:p>
    <w:p>
      <w:pPr>
        <w:spacing w:after="0" w:line="172" w:lineRule="exact"/>
        <w:rPr>
          <w:rFonts w:ascii="Arial" w:cs="Arial" w:eastAsia="Arial" w:hAnsi="Arial"/>
          <w:sz w:val="17"/>
          <w:szCs w:val="17"/>
          <w:color w:val="auto"/>
        </w:rPr>
      </w:pPr>
    </w:p>
    <w:p>
      <w:pPr>
        <w:ind w:right="280" w:firstLine="464"/>
        <w:spacing w:after="0" w:line="342" w:lineRule="auto"/>
        <w:tabs>
          <w:tab w:leader="none" w:pos="67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concurrently with the delivery thereof to the New Notes Trustee or any holder of the New Notes, any other notices or information provided to the New Notes Trustee or the holders of the New Notes under the New Notes Documents not otherwise provided to the Administrative Agent or the Lenders;</w:t>
      </w:r>
    </w:p>
    <w:p>
      <w:pPr>
        <w:spacing w:after="0" w:line="123" w:lineRule="exact"/>
        <w:rPr>
          <w:rFonts w:ascii="Arial" w:cs="Arial" w:eastAsia="Arial" w:hAnsi="Arial"/>
          <w:sz w:val="16"/>
          <w:szCs w:val="16"/>
          <w:color w:val="auto"/>
        </w:rPr>
      </w:pPr>
    </w:p>
    <w:p>
      <w:pPr>
        <w:ind w:right="20" w:firstLine="464"/>
        <w:spacing w:after="0" w:line="259" w:lineRule="auto"/>
        <w:tabs>
          <w:tab w:leader="none" w:pos="76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within ten days of the written request of the Administrative Agent or any Lender, such other information about the financial condition, properties and operations of the Borrower or any of its Subsidiaries as may from time to time be reasonably requested, which information shall be submitted in form and detail satisfactory to the Administrative Agent and the Lenders and certified by a Responsible Officer of the Borrower or such Subsidiary, as case may be, in question; and</w:t>
      </w:r>
    </w:p>
    <w:p>
      <w:pPr>
        <w:spacing w:after="0" w:line="186" w:lineRule="exact"/>
        <w:rPr>
          <w:rFonts w:ascii="Arial" w:cs="Arial" w:eastAsia="Arial" w:hAnsi="Arial"/>
          <w:sz w:val="18"/>
          <w:szCs w:val="18"/>
          <w:color w:val="auto"/>
        </w:rPr>
      </w:pPr>
    </w:p>
    <w:p>
      <w:pPr>
        <w:ind w:right="140" w:firstLine="464"/>
        <w:spacing w:after="0" w:line="291" w:lineRule="auto"/>
        <w:tabs>
          <w:tab w:leader="none" w:pos="71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concurrently with the making of an Investment pursuant to </w:t>
      </w:r>
      <w:r>
        <w:rPr>
          <w:rFonts w:ascii="Arial" w:cs="Arial" w:eastAsia="Arial" w:hAnsi="Arial"/>
          <w:sz w:val="16"/>
          <w:szCs w:val="16"/>
          <w:u w:val="single" w:color="auto"/>
          <w:color w:val="auto"/>
        </w:rPr>
        <w:t>Section 7.03(a)(xiv)</w:t>
      </w:r>
      <w:r>
        <w:rPr>
          <w:rFonts w:ascii="Arial" w:cs="Arial" w:eastAsia="Arial" w:hAnsi="Arial"/>
          <w:sz w:val="16"/>
          <w:szCs w:val="16"/>
          <w:color w:val="auto"/>
        </w:rPr>
        <w:t xml:space="preserve"> or a Restricted Payment pursuant to </w:t>
      </w:r>
      <w:r>
        <w:rPr>
          <w:rFonts w:ascii="Arial" w:cs="Arial" w:eastAsia="Arial" w:hAnsi="Arial"/>
          <w:sz w:val="16"/>
          <w:szCs w:val="16"/>
          <w:u w:val="single" w:color="auto"/>
          <w:color w:val="auto"/>
        </w:rPr>
        <w:t>Section 7.06(d)</w:t>
      </w:r>
      <w:r>
        <w:rPr>
          <w:rFonts w:ascii="Arial" w:cs="Arial" w:eastAsia="Arial" w:hAnsi="Arial"/>
          <w:sz w:val="16"/>
          <w:szCs w:val="16"/>
          <w:color w:val="auto"/>
        </w:rPr>
        <w:t>, as the case may be, a certificate executed by a Financial Officer of the Borrower in form and substance reasonably satisfactory to the Administrative Agent setting forth</w:t>
      </w:r>
    </w:p>
    <w:p>
      <w:pPr>
        <w:jc w:val="both"/>
        <w:ind w:right="300" w:firstLine="8"/>
        <w:spacing w:after="0" w:line="273" w:lineRule="auto"/>
        <w:tabs>
          <w:tab w:leader="none" w:pos="21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the Cumulative Retained Excess Cash Flow Amount, the cumulative initial amount of Investments made to date pursuant to </w:t>
      </w:r>
      <w:r>
        <w:rPr>
          <w:rFonts w:ascii="Arial" w:cs="Arial" w:eastAsia="Arial" w:hAnsi="Arial"/>
          <w:sz w:val="17"/>
          <w:szCs w:val="17"/>
          <w:u w:val="single" w:color="auto"/>
          <w:color w:val="auto"/>
        </w:rPr>
        <w:t>Section 7.03(a)(xiv)</w:t>
      </w:r>
      <w:r>
        <w:rPr>
          <w:rFonts w:ascii="Arial" w:cs="Arial" w:eastAsia="Arial" w:hAnsi="Arial"/>
          <w:sz w:val="17"/>
          <w:szCs w:val="17"/>
          <w:color w:val="auto"/>
        </w:rPr>
        <w:t xml:space="preserve">, the cumulative amount of Restricted Payments made to date pursuant to </w:t>
      </w:r>
      <w:r>
        <w:rPr>
          <w:rFonts w:ascii="Arial" w:cs="Arial" w:eastAsia="Arial" w:hAnsi="Arial"/>
          <w:sz w:val="17"/>
          <w:szCs w:val="17"/>
          <w:u w:val="single" w:color="auto"/>
          <w:color w:val="auto"/>
        </w:rPr>
        <w:t>Section 7.06(d)</w:t>
      </w:r>
      <w:r>
        <w:rPr>
          <w:rFonts w:ascii="Arial" w:cs="Arial" w:eastAsia="Arial" w:hAnsi="Arial"/>
          <w:sz w:val="17"/>
          <w:szCs w:val="17"/>
          <w:color w:val="auto"/>
        </w:rPr>
        <w:t xml:space="preserve"> and the remaining amount available for Investments and Restricted Payments under </w:t>
      </w:r>
      <w:r>
        <w:rPr>
          <w:rFonts w:ascii="Arial" w:cs="Arial" w:eastAsia="Arial" w:hAnsi="Arial"/>
          <w:sz w:val="17"/>
          <w:szCs w:val="17"/>
          <w:u w:val="single" w:color="auto"/>
          <w:color w:val="auto"/>
        </w:rPr>
        <w:t>Sections 7.03(a)(xiv)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7.06(d)</w:t>
      </w:r>
      <w:r>
        <w:rPr>
          <w:rFonts w:ascii="Arial" w:cs="Arial" w:eastAsia="Arial" w:hAnsi="Arial"/>
          <w:sz w:val="17"/>
          <w:szCs w:val="17"/>
          <w:color w:val="auto"/>
        </w:rPr>
        <w:t xml:space="preserve"> and (ii) the Consolidated Net Leverage Ratio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after giving effect to such Investment or Restricted Payment and any Indebtedness incurred or repaid in connection therewith).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119" w:name="page120"/>
    <w:bookmarkEnd w:id="119"/>
    <w:p>
      <w:pPr>
        <w:ind w:right="24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6.02(d)</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10.02</w:t>
      </w:r>
      <w:r>
        <w:rPr>
          <w:rFonts w:ascii="Arial" w:cs="Arial" w:eastAsia="Arial" w:hAnsi="Arial"/>
          <w:sz w:val="16"/>
          <w:szCs w:val="16"/>
          <w:color w:val="auto"/>
        </w:rPr>
        <w:t>; or</w:t>
      </w:r>
    </w:p>
    <w:p>
      <w:pPr>
        <w:ind w:right="60" w:firstLine="8"/>
        <w:spacing w:after="0" w:line="252" w:lineRule="auto"/>
        <w:tabs>
          <w:tab w:leader="none" w:pos="26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deliver paper copies of such documents to the Administrative Agent or any Lender upon its request to the Borrower to deliver such paper copies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Borrower hereby acknowledges that (a) the Administrative Agent and/or one or more of the Arrangers will make available to the Lenders and the L/C Issuers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SyndTrak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(for purposes of the United States Federal and state securities laws)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that are to be made available to Public Lenders shall be clearly and conspicuously marked “PUBLIC” which, at a minimum, means that the word “PUBLIC” shall appear prominently on the first page thereof; (x) by marking Borrower Materials “PUBLIC,” the Borrower shall be deemed to have authorized the Administrative Agent, the Arrangers, the L/C Issuers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10.07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7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Notices</w:t>
      </w:r>
      <w:r>
        <w:rPr>
          <w:rFonts w:ascii="Arial" w:cs="Arial" w:eastAsia="Arial" w:hAnsi="Arial"/>
          <w:sz w:val="18"/>
          <w:szCs w:val="18"/>
          <w:color w:val="auto"/>
        </w:rPr>
        <w:t>. Promptly, after a Responsible Officer of the Borrower or any of its Subsidiaries has knowledge thereof, notify the Administrative Agent and each Lender:</w:t>
      </w:r>
    </w:p>
    <w:p>
      <w:pPr>
        <w:spacing w:after="0" w:line="170" w:lineRule="exact"/>
        <w:rPr>
          <w:sz w:val="20"/>
          <w:szCs w:val="20"/>
          <w:color w:val="auto"/>
        </w:rPr>
      </w:pPr>
    </w:p>
    <w:p>
      <w:pPr>
        <w:ind w:left="700" w:hanging="236"/>
        <w:spacing w:after="0"/>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whenever a Default may occur hereunder;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of any matter that has resulted, or, either individually or in the aggregate, would reasonably be expected to result, in a Material Adverse Effect;</w:t>
      </w:r>
    </w:p>
    <w:p>
      <w:pPr>
        <w:spacing w:after="0" w:line="236" w:lineRule="exact"/>
        <w:rPr>
          <w:rFonts w:ascii="Arial" w:cs="Arial" w:eastAsia="Arial" w:hAnsi="Arial"/>
          <w:sz w:val="17"/>
          <w:szCs w:val="17"/>
          <w:color w:val="auto"/>
        </w:rPr>
      </w:pPr>
    </w:p>
    <w:p>
      <w:pPr>
        <w:ind w:left="700" w:hanging="236"/>
        <w:spacing w:after="0"/>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of the occurrence of any ERISA Event;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274" w:right="259" w:bottom="1440" w:gutter="0" w:footer="0" w:header="0"/>
        </w:sectPr>
      </w:pPr>
    </w:p>
    <w:bookmarkStart w:id="120" w:name="page121"/>
    <w:bookmarkEnd w:id="120"/>
    <w:p>
      <w:pPr>
        <w:ind w:left="720" w:hanging="256"/>
        <w:spacing w:after="0"/>
        <w:tabs>
          <w:tab w:leader="none" w:pos="7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material change in accounting policies or financial reporting practices by any Loan Party or any Subsidiary thereof;</w:t>
      </w:r>
    </w:p>
    <w:p>
      <w:pPr>
        <w:spacing w:after="0" w:line="225" w:lineRule="exact"/>
        <w:rPr>
          <w:rFonts w:ascii="Arial" w:cs="Arial" w:eastAsia="Arial" w:hAnsi="Arial"/>
          <w:sz w:val="18"/>
          <w:szCs w:val="18"/>
          <w:color w:val="auto"/>
        </w:rPr>
      </w:pPr>
    </w:p>
    <w:p>
      <w:pPr>
        <w:ind w:right="440" w:firstLine="464"/>
        <w:spacing w:after="0" w:line="259" w:lineRule="auto"/>
        <w:tabs>
          <w:tab w:leader="none" w:pos="70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of the (i) occurrence of any Disposition of property or assets for which the Borrower is required to make a mandatory prepayment pursuant to </w:t>
      </w:r>
      <w:r>
        <w:rPr>
          <w:rFonts w:ascii="Arial" w:cs="Arial" w:eastAsia="Arial" w:hAnsi="Arial"/>
          <w:sz w:val="18"/>
          <w:szCs w:val="18"/>
          <w:u w:val="single" w:color="auto"/>
          <w:color w:val="auto"/>
        </w:rPr>
        <w:t>Section 2.05(b)(ii)</w:t>
      </w:r>
      <w:r>
        <w:rPr>
          <w:rFonts w:ascii="Arial" w:cs="Arial" w:eastAsia="Arial" w:hAnsi="Arial"/>
          <w:sz w:val="18"/>
          <w:szCs w:val="18"/>
          <w:color w:val="auto"/>
        </w:rPr>
        <w:t xml:space="preserve">, (ii) incurrence or issuance of any Indebtedness for which the Borrower is required to make a mandatory prepayment pursuant to </w:t>
      </w:r>
      <w:r>
        <w:rPr>
          <w:rFonts w:ascii="Arial" w:cs="Arial" w:eastAsia="Arial" w:hAnsi="Arial"/>
          <w:sz w:val="18"/>
          <w:szCs w:val="18"/>
          <w:u w:val="single" w:color="auto"/>
          <w:color w:val="auto"/>
        </w:rPr>
        <w:t>Section 2.05(b)(iii)</w:t>
      </w:r>
      <w:r>
        <w:rPr>
          <w:rFonts w:ascii="Arial" w:cs="Arial" w:eastAsia="Arial" w:hAnsi="Arial"/>
          <w:sz w:val="18"/>
          <w:szCs w:val="18"/>
          <w:color w:val="auto"/>
        </w:rPr>
        <w:t xml:space="preserve">, and (iii) receipt of any Extraordinary Receipt for which the Borrower is required to make a mandatory prepayment pursuant to </w:t>
      </w:r>
      <w:r>
        <w:rPr>
          <w:rFonts w:ascii="Arial" w:cs="Arial" w:eastAsia="Arial" w:hAnsi="Arial"/>
          <w:sz w:val="18"/>
          <w:szCs w:val="18"/>
          <w:u w:val="single" w:color="auto"/>
          <w:color w:val="auto"/>
        </w:rPr>
        <w:t>Section 2.05(b)(iv)</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20" w:firstLine="464"/>
        <w:spacing w:after="0" w:line="277" w:lineRule="auto"/>
        <w:tabs>
          <w:tab w:leader="none" w:pos="68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 or any event that requires the Borrower to redeem or otherwise acquire, or to make any offer to purchase, any New Notes, in each case, under or with respect to the New Notes or any other New Notes Document);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of any announcement by Moody’s or S&amp;P of any change or possible change in any Debt Rating.</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Each notice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6.03(g)</w:t>
      </w:r>
      <w:r>
        <w:rPr>
          <w:rFonts w:ascii="Arial" w:cs="Arial" w:eastAsia="Arial" w:hAnsi="Arial"/>
          <w:sz w:val="16"/>
          <w:szCs w:val="16"/>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describe with particularity any and all provisions of this Agreement and any other Loan Document that have been breached. Each notice pursuant to </w:t>
      </w:r>
      <w:r>
        <w:rPr>
          <w:rFonts w:ascii="Arial" w:cs="Arial" w:eastAsia="Arial" w:hAnsi="Arial"/>
          <w:sz w:val="16"/>
          <w:szCs w:val="16"/>
          <w:u w:val="single" w:color="auto"/>
          <w:color w:val="auto"/>
        </w:rPr>
        <w:t>Section 6.03(f)</w:t>
      </w:r>
      <w:r>
        <w:rPr>
          <w:rFonts w:ascii="Arial" w:cs="Arial" w:eastAsia="Arial" w:hAnsi="Arial"/>
          <w:sz w:val="16"/>
          <w:szCs w:val="16"/>
          <w:color w:val="auto"/>
        </w:rPr>
        <w:t xml:space="preserve"> shall describe with particularity any and all provisions of the New Notes Documents that have been breached.</w:t>
      </w:r>
    </w:p>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Payment of Taxes and Other Obligations</w:t>
      </w:r>
      <w:r>
        <w:rPr>
          <w:rFonts w:ascii="Arial" w:cs="Arial" w:eastAsia="Arial" w:hAnsi="Arial"/>
          <w:sz w:val="16"/>
          <w:szCs w:val="16"/>
          <w:color w:val="auto"/>
        </w:rPr>
        <w:t>. Pay in full (a) prior in each case to the date when penalties would attach, all material Taxes, assessments and governmental charges and levies (except only those so long as and to the extent that the same shall be contested in good faith by appropriate and timely proceedings and for which adequate provisions have been established in accordance with GAAP) for which it may be or become liable or to which any or all of its properties may be or become subject; (b) in the case of the Borrower and Domestic Subsidiaries, all of its material wage obligations to its employees in compliance with the Fair Labor Standards Act (29 U.S.C. §§ 206-207) or any comparable provisions, and, in the case of the Foreign Subsidiaries, those obligations under foreign laws with respect to employee source deductions, obligations and employer obligations to its employees; and (c) except where failure to pay such obligations, either individually or in the aggregate, would not reasonably be expected to have a Material Adverse Effect, all of its other obligations calling for the payment of money (except only those so long as and to the extent that the same shall be contested in good faith and for which adequate provisions have been established in accordance with GAAP) before such payment becomes overdue.</w:t>
      </w:r>
    </w:p>
    <w:p>
      <w:pPr>
        <w:spacing w:after="0" w:line="167" w:lineRule="exact"/>
        <w:rPr>
          <w:sz w:val="20"/>
          <w:szCs w:val="20"/>
          <w:color w:val="auto"/>
        </w:rPr>
      </w:pPr>
    </w:p>
    <w:p>
      <w:pPr>
        <w:jc w:val="both"/>
        <w:ind w:right="260" w:firstLine="456"/>
        <w:spacing w:after="0" w:line="291" w:lineRule="auto"/>
        <w:rPr>
          <w:sz w:val="20"/>
          <w:szCs w:val="20"/>
          <w:color w:val="auto"/>
        </w:rPr>
      </w:pPr>
      <w:r>
        <w:rPr>
          <w:rFonts w:ascii="Arial" w:cs="Arial" w:eastAsia="Arial" w:hAnsi="Arial"/>
          <w:sz w:val="16"/>
          <w:szCs w:val="16"/>
          <w:color w:val="auto"/>
        </w:rPr>
        <w:t xml:space="preserve">6.05 </w:t>
      </w:r>
      <w:r>
        <w:rPr>
          <w:rFonts w:ascii="Arial" w:cs="Arial" w:eastAsia="Arial" w:hAnsi="Arial"/>
          <w:sz w:val="16"/>
          <w:szCs w:val="16"/>
          <w:u w:val="single" w:color="auto"/>
          <w:color w:val="auto"/>
        </w:rPr>
        <w:t>Preservation of Existence, Etc</w:t>
      </w:r>
      <w:r>
        <w:rPr>
          <w:rFonts w:ascii="Arial" w:cs="Arial" w:eastAsia="Arial" w:hAnsi="Arial"/>
          <w:sz w:val="16"/>
          <w:szCs w:val="16"/>
          <w:color w:val="auto"/>
        </w:rPr>
        <w:t xml:space="preserve">. Other than any Inactive Subsidiary or Immaterial Subsidiary (a) preserve, renew and maintain in full force and effect its legal existence and good standing under the Laws of the jurisdiction of its organization except in a transaction permitted by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7.05</w:t>
      </w:r>
      <w:r>
        <w:rPr>
          <w:rFonts w:ascii="Arial" w:cs="Arial" w:eastAsia="Arial" w:hAnsi="Arial"/>
          <w:sz w:val="16"/>
          <w:szCs w:val="16"/>
          <w:color w:val="auto"/>
        </w:rPr>
        <w:t>;</w:t>
      </w:r>
    </w:p>
    <w:p>
      <w:pPr>
        <w:ind w:right="200" w:firstLine="8"/>
        <w:spacing w:after="0" w:line="281" w:lineRule="auto"/>
        <w:tabs>
          <w:tab w:leader="none" w:pos="25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take all reasonable action to maintain all rights, privileges, permits, licenses and franchises necessary or desirable in the normal conduct of its business, except to the extent that failure to do so, either individually or in the aggregate, would not reasonably be expected to have a Material Adverse Effect; and</w:t>
      </w:r>
    </w:p>
    <w:p>
      <w:pPr>
        <w:spacing w:after="0" w:line="1" w:lineRule="exact"/>
        <w:rPr>
          <w:rFonts w:ascii="Arial" w:cs="Arial" w:eastAsia="Arial" w:hAnsi="Arial"/>
          <w:sz w:val="16"/>
          <w:szCs w:val="16"/>
          <w:color w:val="auto"/>
        </w:rPr>
      </w:pPr>
    </w:p>
    <w:p>
      <w:pPr>
        <w:ind w:right="380" w:firstLine="8"/>
        <w:spacing w:after="0" w:line="261" w:lineRule="auto"/>
        <w:tabs>
          <w:tab w:leader="none" w:pos="24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preserve or renew all of its registered patents, trademarks, trade names and service marks, the non-preservation of which, either individually or in the aggregate, would reasonably be expected to have a Material Adverse Effect.</w:t>
      </w:r>
    </w:p>
    <w:p>
      <w:pPr>
        <w:spacing w:after="0" w:line="18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6.06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Except where the failure to do so, either individually or in the aggregate, would not reasonably be expected to have a Material Adverse Effect, (a) maintain, preserve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274" w:right="299" w:bottom="1440" w:gutter="0" w:footer="0" w:header="0"/>
        </w:sectPr>
      </w:pPr>
    </w:p>
    <w:bookmarkStart w:id="121" w:name="page122"/>
    <w:bookmarkEnd w:id="121"/>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protect all of its material properties and equipment necessary in the operation of its business in good working order and condition, ordinary wear and tear excepted, (b) make all necessary repairs thereto and renewals and replacements thereof and (c) use the standard of care typical in the industry in the operation and maintenance of its facilities.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84" w:lineRule="auto"/>
        <w:tabs>
          <w:tab w:leader="none" w:pos="701" w:val="left"/>
        </w:tabs>
        <w:numPr>
          <w:ilvl w:val="1"/>
          <w:numId w:val="136"/>
        </w:numPr>
        <w:rPr>
          <w:rFonts w:ascii="Arial" w:cs="Arial" w:eastAsia="Arial" w:hAnsi="Arial"/>
          <w:sz w:val="16"/>
          <w:szCs w:val="16"/>
          <w:color w:val="auto"/>
        </w:rPr>
      </w:pPr>
      <w:r>
        <w:rPr>
          <w:rFonts w:ascii="Arial" w:cs="Arial" w:eastAsia="Arial" w:hAnsi="Arial"/>
          <w:sz w:val="16"/>
          <w:szCs w:val="16"/>
          <w:color w:val="auto"/>
        </w:rPr>
        <w:t>Maintain insurance upon its inventory, equipment and other personal and real property in such form, written by such companies, in such amounts, for such periods, and against such risks as customarily insured against by Persons engaged in the same or similar business and as required by applicable Laws and the Collateral Documents, with provisions for, with respect to Loan Parties, payment of all losses thereunder to the Administrative Agent and such Loan Parties as their interests may appear (with lender’s loss payable, mortgagee, and additional insured endorsements, as appropriate, in favor of the Administrative Agent). Any such policies of insurance shall provide for no fewer than thirty (30) days’ prior written notice of cancellation to the Administrative Agent and the Lenders. The Administrative Agent is hereby authorized to act as attorney-in-fact for the Loan Parties in (after the occurrence and during the continuation of an Event of Default) obtaining, adjusting, settling and canceling such insurance and indorsing any drafts. Within ten</w:t>
      </w:r>
    </w:p>
    <w:p>
      <w:pPr>
        <w:spacing w:after="0" w:line="2" w:lineRule="exact"/>
        <w:rPr>
          <w:rFonts w:ascii="Arial" w:cs="Arial" w:eastAsia="Arial" w:hAnsi="Arial"/>
          <w:sz w:val="16"/>
          <w:szCs w:val="16"/>
          <w:color w:val="auto"/>
        </w:rPr>
      </w:pPr>
    </w:p>
    <w:p>
      <w:pPr>
        <w:ind w:right="20" w:firstLine="8"/>
        <w:spacing w:after="0" w:line="254" w:lineRule="auto"/>
        <w:tabs>
          <w:tab w:leader="none" w:pos="34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Business Days of the Administrative Agent’s written request, the Borrower shall furnish to the Administrative Agent such information about the insurance of the Loan Parties and the Subsidiaries thereof (including, without limitation, copies of insurance policies of the Loan Parties and the Subsidiaries) as the Administrative Agent may from time to time reasonably request, which information shall be prepared in form and detail satisfactory to the Administrative Agent and certified by a Responsible Officer.</w:t>
      </w:r>
    </w:p>
    <w:p>
      <w:pPr>
        <w:spacing w:after="0" w:line="189" w:lineRule="exact"/>
        <w:rPr>
          <w:rFonts w:ascii="Arial" w:cs="Arial" w:eastAsia="Arial" w:hAnsi="Arial"/>
          <w:sz w:val="18"/>
          <w:szCs w:val="18"/>
          <w:color w:val="auto"/>
        </w:rPr>
      </w:pPr>
    </w:p>
    <w:p>
      <w:pPr>
        <w:ind w:firstLine="464"/>
        <w:spacing w:after="0" w:line="255" w:lineRule="auto"/>
        <w:tabs>
          <w:tab w:leader="none" w:pos="711"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(i) maintain, or cause to be maintained, with a financially sound and reputable insurer, flood insurance in an amount and otherwise sufficient to comply with all applicable rules and regulations promulgated pursuant to applicable flood insurance Laws and (ii) deliver to the Administrative Agent evidence of such compliance in form and substance reasonably acceptable to the Administrative Agent.</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17" w:lineRule="exact"/>
        <w:rPr>
          <w:sz w:val="20"/>
          <w:szCs w:val="20"/>
          <w:color w:val="auto"/>
        </w:rPr>
      </w:pPr>
    </w:p>
    <w:p>
      <w:pPr>
        <w:ind w:right="160" w:firstLine="464"/>
        <w:spacing w:after="0" w:line="259" w:lineRule="auto"/>
        <w:tabs>
          <w:tab w:leader="none" w:pos="70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Comply in all material respects with the requirements of all Laws (including, without limitation, ERISA)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186" w:lineRule="exact"/>
        <w:rPr>
          <w:rFonts w:ascii="Arial" w:cs="Arial" w:eastAsia="Arial" w:hAnsi="Arial"/>
          <w:sz w:val="18"/>
          <w:szCs w:val="18"/>
          <w:color w:val="auto"/>
        </w:rPr>
      </w:pPr>
    </w:p>
    <w:p>
      <w:pPr>
        <w:ind w:right="60" w:firstLine="464"/>
        <w:spacing w:after="0" w:line="277" w:lineRule="auto"/>
        <w:tabs>
          <w:tab w:leader="none" w:pos="71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Conduct its businesses in compliance with applicable Anti-Corruption Laws and maintain policies and procedures designed to promote and achieve compliance with such laws.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6.09 </w:t>
      </w:r>
      <w:r>
        <w:rPr>
          <w:rFonts w:ascii="Arial" w:cs="Arial" w:eastAsia="Arial" w:hAnsi="Arial"/>
          <w:sz w:val="18"/>
          <w:szCs w:val="18"/>
          <w:u w:val="single" w:color="auto"/>
          <w:color w:val="auto"/>
        </w:rPr>
        <w:t>Books and Records</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77" w:lineRule="auto"/>
        <w:tabs>
          <w:tab w:leader="none" w:pos="70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Maintain proper books of record and account, in which full, true and correct entries in conformity with GAAP consistently applied shall be made of all financial transactions and matters involving the assets and business of the Borrower or such Subsidiary, as the case may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274" w:right="259" w:bottom="1440" w:gutter="0" w:footer="0" w:header="0"/>
        </w:sectPr>
      </w:pPr>
    </w:p>
    <w:bookmarkStart w:id="122" w:name="page123"/>
    <w:bookmarkEnd w:id="122"/>
    <w:p>
      <w:pPr>
        <w:ind w:right="720" w:firstLine="464"/>
        <w:spacing w:after="0" w:line="277" w:lineRule="auto"/>
        <w:tabs>
          <w:tab w:leader="none" w:pos="711"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 such books of record and account in material conformity with all applicable requirements of any Governmental Authority having regulatory jurisdiction over the Borrower or such Subsidiary, as the case may be.</w:t>
      </w:r>
    </w:p>
    <w:p>
      <w:pPr>
        <w:spacing w:after="0" w:line="17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Inspection Rights</w:t>
      </w:r>
      <w:r>
        <w:rPr>
          <w:rFonts w:ascii="Arial" w:cs="Arial" w:eastAsia="Arial" w:hAnsi="Arial"/>
          <w:sz w:val="17"/>
          <w:szCs w:val="17"/>
          <w:color w:val="auto"/>
        </w:rPr>
        <w:t xml:space="preserve">. At any time during normal business hours, allow the Administrative Agent and the Lenders by or through any of the Administrative Agent’s officers, agents, employees, attorneys or accountants to (a) examine, inspect and make extracts from any Loan Party’s or any Subsidiary’s books, corporate, financial and operating records and other records, including, without limitation, the tax returns of such Loan Party or such Subsidiary and make copies thereof or abstracts therefrom, and to discuss its affairs, finances and accounts with its directors, officers, and independent public accountants, (b) arrange for verification of any Loan Party’s or any Subsidiary’s accounts, under reasonable procedures, directly with account debtors or by other methods, and (c) examine and inspect any Loan Party’s or Subsidiary’s properties, inventory and equipment, wherever located, in each case, at the expense of the Borrower and upon reasonable advance notice to such Loan Party or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if an Event of Default does not exist, such examinations and inspections shall be limited to not more than two times per any calendar year and (ii) if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7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Use the proceeds of (a) the Initial Term Loans solely for (i) the funding of the Closing Date Acquisition, (ii) the refinancing of Existing Indebtedness, (iii) the payment of fees, commissions and expenses in connection with the Transactions (including the payment of make whole premiums in connection with the payment of the Existing Note Purchase Agreement Indebtedness) and (b) the Tranche B Term Loans solely for the repayment in full of 100% of the principal amount of Original Term Loans, and (c) to the extent any portion of the Loans is remaining after giving effect to the items specified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 the Revolving Credit Loans, for working capital and other general corporate purposes of the Borrower and its Subsidiaries.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Covenant to Guarantee Obligations and Give Security</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72" w:lineRule="auto"/>
        <w:tabs>
          <w:tab w:leader="none" w:pos="701"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Guaranties and Security Documents</w:t>
      </w:r>
      <w:r>
        <w:rPr>
          <w:rFonts w:ascii="Arial" w:cs="Arial" w:eastAsia="Arial" w:hAnsi="Arial"/>
          <w:sz w:val="17"/>
          <w:szCs w:val="17"/>
          <w:color w:val="auto"/>
        </w:rPr>
        <w:t xml:space="preserve">. Each Domestic Subsidiary (other than any Inactive Subsidiary or an Immaterial Subsidiary) created, acquired or held subsequent to the Closing Date, and each Domestic Subsidiary that at any time ceases to be an Inactive Subsidiary or an Immaterial Subsidiary (including by virtue of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6.12</w:t>
      </w:r>
      <w:r>
        <w:rPr>
          <w:rFonts w:ascii="Arial" w:cs="Arial" w:eastAsia="Arial" w:hAnsi="Arial"/>
          <w:sz w:val="17"/>
          <w:szCs w:val="17"/>
          <w:color w:val="auto"/>
        </w:rPr>
        <w:t>), shall within thirty (30) days (or such longer period as the Administrative Agent shall approve in its sole discretion) after such creation, acquisition, holding or cessation execute and deliver to the Administrative Agent, for the benefit of the Lenders, a Guaranty (or guaranty supplement) and the appropriate Collateral Documents, such agreements to be in form and substance acceptable to the Administrative Agent, along with any such other supporting documentation, corporate governance and authorization documents, and an opinion of counsel as may be deemed necessary or advisable by the Administrative Agent.</w:t>
      </w:r>
    </w:p>
    <w:p>
      <w:pPr>
        <w:spacing w:after="0" w:line="177" w:lineRule="exact"/>
        <w:rPr>
          <w:rFonts w:ascii="Arial" w:cs="Arial" w:eastAsia="Arial" w:hAnsi="Arial"/>
          <w:sz w:val="17"/>
          <w:szCs w:val="17"/>
          <w:color w:val="auto"/>
        </w:rPr>
      </w:pPr>
    </w:p>
    <w:p>
      <w:pPr>
        <w:ind w:right="80" w:firstLine="464"/>
        <w:spacing w:after="0" w:line="293" w:lineRule="auto"/>
        <w:tabs>
          <w:tab w:leader="none" w:pos="711"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Pledge of Equity Interests</w:t>
      </w:r>
      <w:r>
        <w:rPr>
          <w:rFonts w:ascii="Arial" w:cs="Arial" w:eastAsia="Arial" w:hAnsi="Arial"/>
          <w:sz w:val="16"/>
          <w:szCs w:val="16"/>
          <w:color w:val="auto"/>
        </w:rPr>
        <w:t xml:space="preserve">. With respect to the creation or acquisition of a Subsidiary, the appropriate Loan Party shall within thirty (30) days (or such longer period as the Administrative Agent shall approve in its sole discretion) after such creation or acquisition execute a Security Agreement (or a Security Joinder Agreement) and, in connection therewith, pledge all of its Equity Interests in such Subsidiary to the Administrative Agent as security for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Foreign Subsidiary shall be required to pledge any of its Equity Interests in any other Foreign Subsidiary, (ii) the Borrower or any Domestic Subsidiary shall not be required to pledge more than sixty-five percent (65%) of the voting Equity Interests of any first-tier Foreign Subsidiary, and (iii) such pledge shall be legally available and shall not result in materially adverse tax consequences on such Loan Party. The Borrower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74" w:right="239" w:bottom="1440" w:gutter="0" w:footer="0" w:header="0"/>
        </w:sectPr>
      </w:pPr>
    </w:p>
    <w:bookmarkStart w:id="123" w:name="page124"/>
    <w:bookmarkEnd w:id="123"/>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deliver to the Administrative Agent the share certificates (or other evidence of equity) evidencing any of the Equity Interests pledged pursuant to this </w:t>
      </w:r>
      <w:r>
        <w:rPr>
          <w:rFonts w:ascii="Arial" w:cs="Arial" w:eastAsia="Arial" w:hAnsi="Arial"/>
          <w:sz w:val="18"/>
          <w:szCs w:val="18"/>
          <w:u w:val="single" w:color="auto"/>
          <w:color w:val="auto"/>
        </w:rPr>
        <w:t>Section 6.12(b)</w:t>
      </w:r>
      <w:r>
        <w:rPr>
          <w:rFonts w:ascii="Arial" w:cs="Arial" w:eastAsia="Arial" w:hAnsi="Arial"/>
          <w:sz w:val="18"/>
          <w:szCs w:val="18"/>
          <w:color w:val="auto"/>
        </w:rPr>
        <w:t xml:space="preserve"> if such Equity Interests are certificated or so evidenced.</w:t>
      </w:r>
    </w:p>
    <w:p>
      <w:pPr>
        <w:spacing w:after="0" w:line="170" w:lineRule="exact"/>
        <w:rPr>
          <w:sz w:val="20"/>
          <w:szCs w:val="20"/>
          <w:color w:val="auto"/>
        </w:rPr>
      </w:pPr>
    </w:p>
    <w:p>
      <w:pPr>
        <w:ind w:right="120" w:firstLine="464"/>
        <w:spacing w:after="0" w:line="257" w:lineRule="auto"/>
        <w:tabs>
          <w:tab w:leader="none" w:pos="701"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Perfection or Registration of Interest in Foreign Equity Interests</w:t>
      </w:r>
      <w:r>
        <w:rPr>
          <w:rFonts w:ascii="Arial" w:cs="Arial" w:eastAsia="Arial" w:hAnsi="Arial"/>
          <w:sz w:val="18"/>
          <w:szCs w:val="18"/>
          <w:color w:val="auto"/>
        </w:rPr>
        <w:t>. With respect to any foreign Equity Interests pledged to the Administrative Agent by the Borrower or any Domestic Subsidiary, on or after the Closing Date, the Administrative Agent shall at all times, in the reasonable discretion of the Administrative Agent or the Required Lenders, have the right to require the perfection, at Borrowers’ cost, payable upon request therefor (including, without limitation, any foreign counsel, or foreign notary, filing, registration or similar, fees, costs or expenses), of the security interest in such Equity Interests in the respective foreign jurisdiction.</w:t>
      </w:r>
    </w:p>
    <w:p>
      <w:pPr>
        <w:spacing w:after="0" w:line="188" w:lineRule="exact"/>
        <w:rPr>
          <w:rFonts w:ascii="Arial" w:cs="Arial" w:eastAsia="Arial" w:hAnsi="Arial"/>
          <w:sz w:val="18"/>
          <w:szCs w:val="18"/>
          <w:color w:val="auto"/>
        </w:rPr>
      </w:pPr>
    </w:p>
    <w:p>
      <w:pPr>
        <w:ind w:right="200" w:firstLine="464"/>
        <w:spacing w:after="0" w:line="264" w:lineRule="auto"/>
        <w:tabs>
          <w:tab w:leader="none" w:pos="711"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Pledged Intercompany Notes</w:t>
      </w:r>
      <w:r>
        <w:rPr>
          <w:rFonts w:ascii="Arial" w:cs="Arial" w:eastAsia="Arial" w:hAnsi="Arial"/>
          <w:sz w:val="18"/>
          <w:szCs w:val="18"/>
          <w:color w:val="auto"/>
        </w:rPr>
        <w:t>. With respect to the creation or acquisition by a Loan Party of a Pledged Intercompany Note, the appropriate Loan Party shall pledge to the Administrative Agent, as security for the Obligations, such Pledged Intercompany Note. Such Loan Party shall promptly deliver to the Administrative Agent such Pledged Intercompany Note and an accompanying allonge.</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Collateral Generally</w:t>
      </w:r>
      <w:r>
        <w:rPr>
          <w:rFonts w:ascii="Arial" w:cs="Arial" w:eastAsia="Arial" w:hAnsi="Arial"/>
          <w:sz w:val="18"/>
          <w:szCs w:val="18"/>
          <w:color w:val="auto"/>
        </w:rPr>
        <w:t>. The Borrower shall:</w:t>
      </w:r>
    </w:p>
    <w:p>
      <w:pPr>
        <w:spacing w:after="0" w:line="117" w:lineRule="exact"/>
        <w:rPr>
          <w:rFonts w:ascii="Arial" w:cs="Arial" w:eastAsia="Arial" w:hAnsi="Arial"/>
          <w:sz w:val="18"/>
          <w:szCs w:val="18"/>
          <w:color w:val="auto"/>
        </w:rPr>
      </w:pPr>
    </w:p>
    <w:p>
      <w:pPr>
        <w:ind w:left="460" w:right="60" w:firstLine="443"/>
        <w:spacing w:after="0" w:line="259" w:lineRule="auto"/>
        <w:tabs>
          <w:tab w:leader="none" w:pos="111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promptly furnish to the Administrative Agent or any Lender upon request (x) additional statements and information with respect to the Collateral, and all writings and information relating to or evidencing any of the Borrower’s or any Subsidiary’s accounts (including, without limitation, computer printouts or typewritten reports listing the mailing addresses of all present account debtors), and (y) any other writings and information as the Administrative Agent or such Lender may reasonably request;</w:t>
      </w:r>
    </w:p>
    <w:p>
      <w:pPr>
        <w:spacing w:after="0" w:line="78" w:lineRule="exact"/>
        <w:rPr>
          <w:rFonts w:ascii="Arial" w:cs="Arial" w:eastAsia="Arial" w:hAnsi="Arial"/>
          <w:sz w:val="18"/>
          <w:szCs w:val="18"/>
          <w:color w:val="auto"/>
        </w:rPr>
      </w:pPr>
    </w:p>
    <w:p>
      <w:pPr>
        <w:ind w:left="460" w:right="100" w:firstLine="443"/>
        <w:spacing w:after="0" w:line="277" w:lineRule="auto"/>
        <w:tabs>
          <w:tab w:leader="none" w:pos="116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promptly notify the Administrative Agent in writing upon the creation of any accounts with respect to which the account debtor is the United States or any other Governmental Authority, or any business that is located in a foreign country;</w:t>
      </w:r>
    </w:p>
    <w:p>
      <w:pPr>
        <w:spacing w:after="0" w:line="62" w:lineRule="exact"/>
        <w:rPr>
          <w:rFonts w:ascii="Arial" w:cs="Arial" w:eastAsia="Arial" w:hAnsi="Arial"/>
          <w:sz w:val="18"/>
          <w:szCs w:val="18"/>
          <w:color w:val="auto"/>
        </w:rPr>
      </w:pPr>
    </w:p>
    <w:p>
      <w:pPr>
        <w:ind w:left="460" w:right="60" w:firstLine="443"/>
        <w:spacing w:after="0" w:line="259" w:lineRule="auto"/>
        <w:tabs>
          <w:tab w:leader="none" w:pos="121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 xml:space="preserve">promptly notify the Administrative Agent in writing upon the creation by any Loan Party of a deposit account or securities account not listed on </w:t>
      </w:r>
      <w:r>
        <w:rPr>
          <w:rFonts w:ascii="Arial" w:cs="Arial" w:eastAsia="Arial" w:hAnsi="Arial"/>
          <w:sz w:val="18"/>
          <w:szCs w:val="18"/>
          <w:u w:val="single" w:color="auto"/>
          <w:color w:val="auto"/>
        </w:rPr>
        <w:t>Schedule 5.23</w:t>
      </w:r>
      <w:r>
        <w:rPr>
          <w:rFonts w:ascii="Arial" w:cs="Arial" w:eastAsia="Arial" w:hAnsi="Arial"/>
          <w:sz w:val="18"/>
          <w:szCs w:val="18"/>
          <w:color w:val="auto"/>
        </w:rPr>
        <w:t xml:space="preserve"> hereto and, if such deposit account is owned by the Borrower or another Loan Party and is not an Excluded Account, promptly provide for the execution of a Deposit Account Control Agreement or Securities Account Control Agreement, as applicable, with respect thereto, if required by the Administrative Agent or the Required Lenders;</w:t>
      </w:r>
    </w:p>
    <w:p>
      <w:pPr>
        <w:spacing w:after="0" w:line="78" w:lineRule="exact"/>
        <w:rPr>
          <w:rFonts w:ascii="Arial" w:cs="Arial" w:eastAsia="Arial" w:hAnsi="Arial"/>
          <w:sz w:val="18"/>
          <w:szCs w:val="18"/>
          <w:color w:val="auto"/>
        </w:rPr>
      </w:pPr>
    </w:p>
    <w:p>
      <w:pPr>
        <w:ind w:left="460" w:right="20" w:firstLine="443"/>
        <w:spacing w:after="0" w:line="259" w:lineRule="auto"/>
        <w:tabs>
          <w:tab w:leader="none" w:pos="120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 xml:space="preserve">promptly notify the Administrative Agent in writing whenever a material amount of assets of a Loan Party is located at a location of a third party (other than another Loan Party) that is not listed on </w:t>
      </w:r>
      <w:r>
        <w:rPr>
          <w:rFonts w:ascii="Arial" w:cs="Arial" w:eastAsia="Arial" w:hAnsi="Arial"/>
          <w:sz w:val="18"/>
          <w:szCs w:val="18"/>
          <w:u w:val="single" w:color="auto"/>
          <w:color w:val="auto"/>
        </w:rPr>
        <w:t>Schedule 5.09</w:t>
      </w:r>
      <w:r>
        <w:rPr>
          <w:rFonts w:ascii="Arial" w:cs="Arial" w:eastAsia="Arial" w:hAnsi="Arial"/>
          <w:sz w:val="18"/>
          <w:szCs w:val="18"/>
          <w:color w:val="auto"/>
        </w:rPr>
        <w:t xml:space="preserve"> hereto and use commercially reasonable efforts to cause to be executed any bailee’s waiver, processor’s waiver, consignee’s waiver or similar document or notice that may be required by the Administrative Agent or the Required Lenders;</w:t>
      </w:r>
    </w:p>
    <w:p>
      <w:pPr>
        <w:spacing w:after="0" w:line="78" w:lineRule="exact"/>
        <w:rPr>
          <w:rFonts w:ascii="Arial" w:cs="Arial" w:eastAsia="Arial" w:hAnsi="Arial"/>
          <w:sz w:val="18"/>
          <w:szCs w:val="18"/>
          <w:color w:val="auto"/>
        </w:rPr>
      </w:pPr>
    </w:p>
    <w:p>
      <w:pPr>
        <w:jc w:val="both"/>
        <w:ind w:left="460" w:right="280" w:firstLine="443"/>
        <w:spacing w:after="0" w:line="264" w:lineRule="auto"/>
        <w:tabs>
          <w:tab w:leader="none" w:pos="115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promptly notify the Administrative Agent and the Lenders in writing of any information that the Borrower or any of its Subsidiaries has or may receive with respect to the Collateral that would reasonably be expected to materially and adversely affect the value thereof or the rights of the Administrative Agent and the Lenders with respect thereto;</w:t>
      </w:r>
    </w:p>
    <w:p>
      <w:pPr>
        <w:spacing w:after="0" w:line="73" w:lineRule="exact"/>
        <w:rPr>
          <w:rFonts w:ascii="Arial" w:cs="Arial" w:eastAsia="Arial" w:hAnsi="Arial"/>
          <w:sz w:val="18"/>
          <w:szCs w:val="18"/>
          <w:color w:val="auto"/>
        </w:rPr>
      </w:pPr>
    </w:p>
    <w:p>
      <w:pPr>
        <w:ind w:left="460" w:firstLine="443"/>
        <w:spacing w:after="0" w:line="277" w:lineRule="auto"/>
        <w:tabs>
          <w:tab w:leader="none" w:pos="120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promptly deliver to the Administrative Agent, to hold as security for the Obligations, within ten Business Days after the written request of the Administrative Agent, all certificated investment property owned by a Loan Party, in suitable form for transfer by delivery,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74" w:right="239" w:bottom="1440" w:gutter="0" w:footer="0" w:header="0"/>
        </w:sectPr>
      </w:pPr>
    </w:p>
    <w:bookmarkStart w:id="124" w:name="page125"/>
    <w:bookmarkEnd w:id="124"/>
    <w:p>
      <w:pPr>
        <w:ind w:left="44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accompanied by duly executed instruments of transfer or assignment in blank, all in form and substance satisfactory to the Administrative Agent, or in the event such investment property is in the possession of a securities intermediary or credited to a securities account (other than an Excluded Account), execute with the related securities intermediary an investment property control agreement over such securities account in favor of the Administrative Agent in form and substance satisfactory to the Administrative Agent;</w:t>
      </w:r>
    </w:p>
    <w:p>
      <w:pPr>
        <w:spacing w:after="0" w:line="79" w:lineRule="exact"/>
        <w:rPr>
          <w:sz w:val="20"/>
          <w:szCs w:val="20"/>
          <w:color w:val="auto"/>
        </w:rPr>
      </w:pPr>
    </w:p>
    <w:p>
      <w:pPr>
        <w:ind w:left="440" w:right="500" w:firstLine="443"/>
        <w:spacing w:after="0" w:line="264" w:lineRule="auto"/>
        <w:tabs>
          <w:tab w:leader="none" w:pos="123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promptly provide to the Administrative Agent a list of any patents, trademarks or copyrights that have been federally registered by the Borrower or any other Loan Party since the last list so delivered, and provide for the execution of an appropriate Intellectual Property Security Agreement; and</w:t>
      </w:r>
    </w:p>
    <w:p>
      <w:pPr>
        <w:spacing w:after="0" w:line="73" w:lineRule="exact"/>
        <w:rPr>
          <w:rFonts w:ascii="Arial" w:cs="Arial" w:eastAsia="Arial" w:hAnsi="Arial"/>
          <w:sz w:val="18"/>
          <w:szCs w:val="18"/>
          <w:color w:val="auto"/>
        </w:rPr>
      </w:pPr>
    </w:p>
    <w:p>
      <w:pPr>
        <w:ind w:left="440" w:right="40" w:firstLine="443"/>
        <w:spacing w:after="0" w:line="279" w:lineRule="auto"/>
        <w:tabs>
          <w:tab w:leader="none" w:pos="128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upon the reasonable request of the Administrative Agent, promptly take such action and promptly make, execute, and deliver all such additional and further items, deeds, assurances, instruments and any other writings as the Administrative Agent may from time to time deem necessary or appropriate, including, without limitation, chattel paper, to carry into effect the intention of this Agreement, or so as to completely vest in and ensure to the Administrative Agent and the Lenders their respective rights hereunder and in or to the Collateral.</w:t>
      </w:r>
    </w:p>
    <w:p>
      <w:pPr>
        <w:spacing w:after="0" w:line="63" w:lineRule="exact"/>
        <w:rPr>
          <w:sz w:val="20"/>
          <w:szCs w:val="20"/>
          <w:color w:val="auto"/>
        </w:rPr>
      </w:pPr>
    </w:p>
    <w:p>
      <w:pPr>
        <w:ind w:left="900" w:right="280"/>
        <w:spacing w:after="0" w:line="253" w:lineRule="auto"/>
        <w:rPr>
          <w:sz w:val="20"/>
          <w:szCs w:val="20"/>
          <w:color w:val="auto"/>
        </w:rPr>
      </w:pPr>
      <w:r>
        <w:rPr>
          <w:rFonts w:ascii="Arial" w:cs="Arial" w:eastAsia="Arial" w:hAnsi="Arial"/>
          <w:sz w:val="18"/>
          <w:szCs w:val="18"/>
          <w:color w:val="auto"/>
        </w:rPr>
        <w:t>The Borrower hereby authorizes the Administrative Agent to file UCC financing statements (or similar notice filings applicable in foreign jurisdictions) with respect to the Collateral. If certificates of title or applications for title are issued or outstanding with respect to any of the inventory or equipment of any Loan Party, the Borrower shall (or cause such applicable Loan Party to), upon request of the Administrative Agent, (i) execute and deliver to the Administrative Agent a short form security agreement, in form and substance satisfactory to the Administrative Agent, and (ii) deliver such certificate or application to the Administrative Agent and cause the interest of the Administrative Agent to be properly noted thereon. The Borrower hereby authorizes the Administrative Agent or its respective designated agent (but without obligation by the Administrative Agent to do so) to incur expenses with respect to the foregoing (whether prior to, upon, or subsequent to any Default), and the Borrower shall promptly repay, reimburse, and indemnify the Administrative Agent and the Lenders for any and all such expenses.</w:t>
      </w:r>
    </w:p>
    <w:p>
      <w:pPr>
        <w:spacing w:after="0" w:line="197" w:lineRule="exact"/>
        <w:rPr>
          <w:sz w:val="20"/>
          <w:szCs w:val="20"/>
          <w:color w:val="auto"/>
        </w:rPr>
      </w:pPr>
    </w:p>
    <w:p>
      <w:pPr>
        <w:ind w:left="-20" w:firstLine="464"/>
        <w:spacing w:after="0" w:line="269" w:lineRule="auto"/>
        <w:tabs>
          <w:tab w:leader="none" w:pos="661"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Property Acquired Subsequent to the Closing Date and Right to Take Additional Collateral</w:t>
      </w:r>
      <w:r>
        <w:rPr>
          <w:rFonts w:ascii="Arial" w:cs="Arial" w:eastAsia="Arial" w:hAnsi="Arial"/>
          <w:sz w:val="17"/>
          <w:szCs w:val="17"/>
          <w:color w:val="auto"/>
        </w:rPr>
        <w:t>. The Borrower shall provide the Administrative Agent with prompt written notice with respect to any Material Real Property or material personal property (other than accounts, inventory, equipment and general intangibles and other property acquired in the ordinary course of business) acquired (including, in the case of Material Real Property, leased) by any Loan Party subsequent to the Closing Date. In addition to any other right that the Administrative Agent and the Lenders may have pursuant to this Agreement or otherwise, upon written request of the Administrative Agent, whenever made, the Borrower shall, and shall cause each Loan Party to, grant to the Administrative Agent, for the benefit of the Lenders, as additional security for the Obligations, a perfected first-priority Lien on any Material Real Property or personal property of each Loan Party (other than for leased equipment or equipment subject to a purchase money security interest in which the lessor or purchase money lender of such equipment holds a first priority security interest, in which case, the Administrative Agent shall have the right to obtain a security interest junior only to such lessor or purchase money lender), including, without limitation, such property acquired subsequent to the Closing Date, in which the Administrative Agent does not have a perfected first priority Lien. The Borrower agrees, (i) in the case of Material Real Property, to provide all Real Estate Requirements with respect to such Material Real Property within 60 days (or such later time as may be specified by the Administrative Agent in its sole discretion), and (ii) in all other cases, within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60" w:top="274" w:right="259" w:bottom="1440" w:gutter="0" w:footer="0" w:header="0"/>
        </w:sectPr>
      </w:pPr>
    </w:p>
    <w:bookmarkStart w:id="125" w:name="page126"/>
    <w:bookmarkEnd w:id="125"/>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 days after the date of a written request by the Administrative Agent, to secure all of the Obligations by delivering to the Administrative Agent security agreements, intellectual property security agreements, pledge agreements, mortgages (or deeds of trust, if applicable) or other documents, instruments or agreements or such thereof as the Administrative Agent may require. The Borrower shall pay all recordation, legal and other expenses in connection therewith.</w:t>
      </w:r>
    </w:p>
    <w:p>
      <w:pPr>
        <w:spacing w:after="0" w:line="187" w:lineRule="exact"/>
        <w:rPr>
          <w:sz w:val="20"/>
          <w:szCs w:val="20"/>
          <w:color w:val="auto"/>
        </w:rPr>
      </w:pPr>
    </w:p>
    <w:p>
      <w:pPr>
        <w:ind w:left="720" w:hanging="256"/>
        <w:spacing w:after="0"/>
        <w:tabs>
          <w:tab w:leader="none" w:pos="720"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Designation of Immaterial Subsidiaries</w:t>
      </w:r>
      <w:r>
        <w:rPr>
          <w:rFonts w:ascii="Arial" w:cs="Arial" w:eastAsia="Arial" w:hAnsi="Arial"/>
          <w:sz w:val="17"/>
          <w:szCs w:val="17"/>
          <w:color w:val="auto"/>
        </w:rPr>
        <w:t>. In the event that the Immaterial Subsidiaries and Inactive Subsidiaries, when taken as a whole,</w:t>
      </w:r>
    </w:p>
    <w:p>
      <w:pPr>
        <w:spacing w:after="0" w:line="34" w:lineRule="exact"/>
        <w:rPr>
          <w:rFonts w:ascii="Arial" w:cs="Arial" w:eastAsia="Arial" w:hAnsi="Arial"/>
          <w:sz w:val="17"/>
          <w:szCs w:val="17"/>
          <w:color w:val="auto"/>
        </w:rPr>
      </w:pPr>
    </w:p>
    <w:p>
      <w:pPr>
        <w:ind w:right="40" w:firstLine="8"/>
        <w:spacing w:after="0" w:line="251" w:lineRule="auto"/>
        <w:tabs>
          <w:tab w:leader="none" w:pos="21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contribute more than 5% of the Consolidated EBITDA of the Borrower and its Subsidiaries, taken as a whole, during the most recently-ended four fiscal quarter period (taken as a single period) or (ii) as of any applicable date of determination have assets that in the aggregate constitute more than 5% aggregate net book value of the assets of the Borrower and its Subsidiaries, taken as a whole, the Borrower shall promptly designate one or more Immaterial Subsidiaries or Inactive Subsidiaries to be Loan Parties hereunder (at which time such Subsidiaries shall cease to be Immaterial Subsidiaries or Inactive Subsidiaries, as applicable) such that the resulting EBITDA attributable to, and net book value of the assets held by, the remaining Immaterial Subsidiaries and Inactive Subsidiaries, when taken as a whole, shall be less than the required percentages set forth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(g)</w:t>
      </w:r>
      <w:r>
        <w:rPr>
          <w:rFonts w:ascii="Arial" w:cs="Arial" w:eastAsia="Arial" w:hAnsi="Arial"/>
          <w:sz w:val="18"/>
          <w:szCs w:val="18"/>
          <w:color w:val="auto"/>
        </w:rPr>
        <w:t>. Notwithstanding anything contained herein to the contrary and for the avoidance of doubt, no Subsidiary shall constitute either an Immaterial Subsidiary or Inactive Subsidiary if such Subsidiary guarantees or provides a Lien on its assets or otherwise provide credit support with respect to the New Notes or any other Indebtedness of any Loan Party.</w:t>
      </w:r>
    </w:p>
    <w:p>
      <w:pPr>
        <w:spacing w:after="0" w:line="198" w:lineRule="exact"/>
        <w:rPr>
          <w:rFonts w:ascii="Arial" w:cs="Arial" w:eastAsia="Arial" w:hAnsi="Arial"/>
          <w:sz w:val="18"/>
          <w:szCs w:val="18"/>
          <w:color w:val="auto"/>
        </w:rPr>
      </w:pPr>
    </w:p>
    <w:p>
      <w:pPr>
        <w:jc w:val="both"/>
        <w:ind w:right="20" w:firstLine="464"/>
        <w:spacing w:after="0" w:line="276" w:lineRule="auto"/>
        <w:tabs>
          <w:tab w:leader="none" w:pos="711" w:val="left"/>
        </w:tabs>
        <w:numPr>
          <w:ilvl w:val="1"/>
          <w:numId w:val="146"/>
        </w:numPr>
        <w:rPr>
          <w:rFonts w:ascii="Arial" w:cs="Arial" w:eastAsia="Arial" w:hAnsi="Arial"/>
          <w:sz w:val="17"/>
          <w:szCs w:val="17"/>
          <w:color w:val="auto"/>
        </w:rPr>
      </w:pPr>
      <w:r>
        <w:rPr>
          <w:rFonts w:ascii="Arial" w:cs="Arial" w:eastAsia="Arial" w:hAnsi="Arial"/>
          <w:sz w:val="17"/>
          <w:szCs w:val="17"/>
          <w:u w:val="single" w:color="auto"/>
          <w:color w:val="auto"/>
        </w:rPr>
        <w:t>Designation of Material Real Property</w:t>
      </w:r>
      <w:r>
        <w:rPr>
          <w:rFonts w:ascii="Arial" w:cs="Arial" w:eastAsia="Arial" w:hAnsi="Arial"/>
          <w:sz w:val="17"/>
          <w:szCs w:val="17"/>
          <w:color w:val="auto"/>
        </w:rPr>
        <w:t>. In the event that the aggregate fair market value of (i) the real property owned in fee simple by the Loan Parties that is not subject to a Mortgage and (ii) the leasehold real property of the Loan Parties that is not subject to a Mortgage exceeds $30,000,000, the Borrower shall promptly designate one or more of such owned or leased real property locations to be Material Real Property (at which time such real property shall constitute Material Real Property for all purposes hereunder and under the other Loan Documents). Notwithstanding the foregoing, in no event shall real property with a fair market value of less than $4,000,000 be required to be subject to a Mortgage.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no Loan Party shall be required to pledge or grant a Lien on any Excluded Assets (as defined in the Security Agreement).</w:t>
      </w:r>
    </w:p>
    <w:p>
      <w:pPr>
        <w:spacing w:after="0" w:line="24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Compliance with Environmental Laws</w:t>
      </w:r>
      <w:r>
        <w:rPr>
          <w:rFonts w:ascii="Arial" w:cs="Arial" w:eastAsia="Arial" w:hAnsi="Arial"/>
          <w:sz w:val="16"/>
          <w:szCs w:val="16"/>
          <w:color w:val="auto"/>
        </w:rPr>
        <w:t xml:space="preserve">. Except where non-compliance, either individually or in the aggregate, would not reasonably be expected to have a Material Adverse Effect, comply in all respects with any and all applicable Environmental Laws and Environmental Permits including, without limitation, all Environmental Laws in jurisdictions in which such Person owns or operates a facility or site, arranges for disposal or treatment of hazardous substances, solid waste or other wastes, accepts for transport any hazardous substances, solid waste or other wastes or holds any interest in real property or otherwise. The Borrower and its Subsidiaries shall furnish to the Administrative Agent and the Lenders, promptly after receipt thereof, a copy of any notice the Borrower or such Subsidiary may receive from any Governmental Authority or private Person, or otherwise, that any material litigation or proceeding pertaining to any environmental, health or safety matter has been filed or is threatened against the Borrower or such Subsidiary, any real property in which the Borrower or such Subsidiary holds any interest or any past or present operation of the Borrower or such Subsidiary. Neither the Borrower nor any of its Subsidiaries shall allow the material release or material disposal of hazardous waste, solid waste or other wastes on, under or to any real property in which the Borrower or any of its Subsidiaries holds any ownership interest or performs any of its operations, in violation of or which result in material liability under any Environmental Law. As used in this </w:t>
      </w:r>
      <w:r>
        <w:rPr>
          <w:rFonts w:ascii="Arial" w:cs="Arial" w:eastAsia="Arial" w:hAnsi="Arial"/>
          <w:sz w:val="16"/>
          <w:szCs w:val="16"/>
          <w:u w:val="single" w:color="auto"/>
          <w:color w:val="auto"/>
        </w:rPr>
        <w:t>Section 6.13</w:t>
      </w:r>
      <w:r>
        <w:rPr>
          <w:rFonts w:ascii="Arial" w:cs="Arial" w:eastAsia="Arial" w:hAnsi="Arial"/>
          <w:sz w:val="16"/>
          <w:szCs w:val="16"/>
          <w:color w:val="auto"/>
        </w:rPr>
        <w:t>, “litigation or proceeding” means any demand, claim, notice, suit, suit in equity action, administrative action, investigation or inquiry whether brought by any Governmental Authority or private Person, or otherwise.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74" w:right="239" w:bottom="1440" w:gutter="0" w:footer="0" w:header="0"/>
        </w:sectPr>
      </w:pPr>
    </w:p>
    <w:bookmarkStart w:id="126" w:name="page127"/>
    <w:bookmarkEnd w:id="126"/>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6.14 </w:t>
      </w:r>
      <w:r>
        <w:rPr>
          <w:rFonts w:ascii="Arial" w:cs="Arial" w:eastAsia="Arial" w:hAnsi="Arial"/>
          <w:sz w:val="18"/>
          <w:szCs w:val="18"/>
          <w:u w:val="single" w:color="auto"/>
          <w:color w:val="auto"/>
        </w:rPr>
        <w:t>Information Regarding Collateral</w:t>
      </w:r>
      <w:r>
        <w:rPr>
          <w:rFonts w:ascii="Arial" w:cs="Arial" w:eastAsia="Arial" w:hAnsi="Arial"/>
          <w:sz w:val="18"/>
          <w:szCs w:val="18"/>
          <w:color w:val="auto"/>
        </w:rPr>
        <w:t>. Provide the Administrative Agent and the Lenders with at least thirty (30) days’ prior written notice before any change its legal name, organizational structure or its state, province or other jurisdiction of organization. The Borrower shall promptly notify the Administrative Agent of (a) any change in any location where a material portion of any Loan Party’s assets are maintained, and any new locations where any material portion of any Loan Party’s assets are to be maintained; (b) any change in the location of the office where any Loan Party’s records pertaining to its accounts are kept; (c) the location of any new places of business and the changing or closing of any of its existing places of business; and (d) any change in the location of any Loan Party’s chief executive office.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Maintenance of Debt Ratings</w:t>
      </w:r>
      <w:r>
        <w:rPr>
          <w:rFonts w:ascii="Arial" w:cs="Arial" w:eastAsia="Arial" w:hAnsi="Arial"/>
          <w:sz w:val="18"/>
          <w:szCs w:val="18"/>
          <w:color w:val="auto"/>
        </w:rPr>
        <w:t>. Use commercially reasonable efforts to maintain Debt Ratings from both Moody’s and S&amp;P.</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17" w:lineRule="exact"/>
        <w:rPr>
          <w:sz w:val="20"/>
          <w:szCs w:val="20"/>
          <w:color w:val="auto"/>
        </w:rPr>
      </w:pPr>
    </w:p>
    <w:p>
      <w:pPr>
        <w:ind w:right="260" w:firstLine="464"/>
        <w:spacing w:after="0" w:line="257" w:lineRule="auto"/>
        <w:tabs>
          <w:tab w:leader="none" w:pos="7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Promptly upon request by the Administrative Agent or the Required Lenders through the Administrative Agent, (i) correct any material defect or error that may be discovered in any Loan Document or in the execution, acknowledgment, filing or recordation thereof, and (ii) do, execute, acknowledge, deliver, record, re-record, file, re-file, register and re-register any and all such further acts, deeds, certificates, assurances and other instruments as the Administrative Agent, or the Required Lenders through the Administrative Agent, may reasonably require from time to time in order to carry out more effectively the purposes of the Loan Documents.</w:t>
      </w:r>
    </w:p>
    <w:p>
      <w:pPr>
        <w:spacing w:after="0" w:line="188" w:lineRule="exact"/>
        <w:rPr>
          <w:rFonts w:ascii="Arial" w:cs="Arial" w:eastAsia="Arial" w:hAnsi="Arial"/>
          <w:sz w:val="18"/>
          <w:szCs w:val="18"/>
          <w:color w:val="auto"/>
        </w:rPr>
      </w:pPr>
    </w:p>
    <w:p>
      <w:pPr>
        <w:ind w:firstLine="464"/>
        <w:spacing w:after="0" w:line="255" w:lineRule="auto"/>
        <w:tabs>
          <w:tab w:leader="none" w:pos="71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deemed appropriate by the Administrative Agent, the Administrative Agent is hereby authorized to file new UCC financing statements (or similar notice filings applicable in foreign jurisdictions) describing the Collateral and otherwise in form and substance sufficient for recordation wherever necessary or appropriate, as determined in the Administrative Agent’s sole discretion, to perfect or continue perfected the security interest of the Administrative Agent in the Collateral. The Borrower shall pay all filing and recording fees and taxes in connection with the filing or recordation of such UCC financing statements (or similar notice filings applicable in foreign jurisdictions) and security interests and shall promptly reimburse the Administrative Agent therefor if the Administrative Agent pays the same.</w:t>
      </w:r>
    </w:p>
    <w:p>
      <w:pPr>
        <w:spacing w:after="0" w:line="19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Post-Closing Matters</w:t>
      </w:r>
      <w:r>
        <w:rPr>
          <w:rFonts w:ascii="Arial" w:cs="Arial" w:eastAsia="Arial" w:hAnsi="Arial"/>
          <w:sz w:val="18"/>
          <w:szCs w:val="18"/>
          <w:color w:val="auto"/>
        </w:rPr>
        <w:t xml:space="preserve">. Execute and deliver the documents and complete the tasks set forth on </w:t>
      </w:r>
      <w:r>
        <w:rPr>
          <w:rFonts w:ascii="Arial" w:cs="Arial" w:eastAsia="Arial" w:hAnsi="Arial"/>
          <w:sz w:val="18"/>
          <w:szCs w:val="18"/>
          <w:u w:val="single" w:color="auto"/>
          <w:color w:val="auto"/>
        </w:rPr>
        <w:t>Schedule 6.17</w:t>
      </w:r>
      <w:r>
        <w:rPr>
          <w:rFonts w:ascii="Arial" w:cs="Arial" w:eastAsia="Arial" w:hAnsi="Arial"/>
          <w:sz w:val="18"/>
          <w:szCs w:val="18"/>
          <w:color w:val="auto"/>
        </w:rPr>
        <w:t>, in each case within the time limits specified on such schedule.</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Lender Meeting</w:t>
      </w:r>
      <w:r>
        <w:rPr>
          <w:rFonts w:ascii="Arial" w:cs="Arial" w:eastAsia="Arial" w:hAnsi="Arial"/>
          <w:sz w:val="18"/>
          <w:szCs w:val="18"/>
          <w:color w:val="auto"/>
        </w:rPr>
        <w:t>. Within 95 days after the close of each fiscal year of the Borrower, at the request of the Administrative Agent or the Required Lenders, hold a meeting (at a mutually agreeable location and time) with all Lenders who choose to attend such meeting or conference call at which meeting or conference call shall be reviewed the financial results of the previous fiscal year and the financial condition of the Borrower and its Subsidiaries and the budgets presented for the current fiscal year of the Borrower and its Subsidiaries.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274" w:right="25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21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So long as any Lender shall have any Commitment hereunder, any Loan or other Obligation hereunder shall remain unpaid or unsatisfied (other than contingent indemnification obligations not then due) or any Letter of Credit shall remain outstanding, the Borrower shall not, nor shall it permit any Subsidiary to:</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xml:space="preserve">. Create, incur, assume or suffer to exist (upon the happening of a contingency or otherwise) any Lien upon any of its property or assets, whether now owned or hereafter acquired;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shall not apply to the following:</w:t>
      </w:r>
    </w:p>
    <w:p>
      <w:pPr>
        <w:spacing w:after="0" w:line="170" w:lineRule="exact"/>
        <w:rPr>
          <w:sz w:val="20"/>
          <w:szCs w:val="20"/>
          <w:color w:val="auto"/>
        </w:rPr>
      </w:pPr>
    </w:p>
    <w:p>
      <w:pPr>
        <w:ind w:right="80" w:firstLine="464"/>
        <w:spacing w:after="0" w:line="277" w:lineRule="auto"/>
        <w:tabs>
          <w:tab w:leader="none" w:pos="70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Liens for Taxes not yet due or that are being actively contested in good faith by appropriate proceedings and for which adequate reserves shall have been established in accordance with GAAP;</w:t>
      </w:r>
    </w:p>
    <w:p>
      <w:pPr>
        <w:spacing w:after="0" w:line="170" w:lineRule="exact"/>
        <w:rPr>
          <w:rFonts w:ascii="Arial" w:cs="Arial" w:eastAsia="Arial" w:hAnsi="Arial"/>
          <w:sz w:val="18"/>
          <w:szCs w:val="18"/>
          <w:color w:val="auto"/>
        </w:rPr>
      </w:pPr>
    </w:p>
    <w:p>
      <w:pPr>
        <w:ind w:firstLine="464"/>
        <w:spacing w:after="0" w:line="264" w:lineRule="auto"/>
        <w:tabs>
          <w:tab w:leader="none" w:pos="71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other statutory Liens incidental to the conduct of its business or the ownership of its property and assets that (i) were not incurred in connection with the borrowing of money or the obtaining of advances or credit, and (ii) do not in the aggregate materially detract from the value of its property or assets or materially impair the use thereof in the operation of its business;</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Liens on property or assets of a Subsidiary to secure obligations of such Subsidiary to a Loan Party;</w:t>
      </w:r>
    </w:p>
    <w:p>
      <w:pPr>
        <w:spacing w:after="0" w:line="225" w:lineRule="exact"/>
        <w:rPr>
          <w:rFonts w:ascii="Arial" w:cs="Arial" w:eastAsia="Arial" w:hAnsi="Arial"/>
          <w:sz w:val="18"/>
          <w:szCs w:val="18"/>
          <w:color w:val="auto"/>
        </w:rPr>
      </w:pPr>
    </w:p>
    <w:p>
      <w:pPr>
        <w:ind w:right="240" w:firstLine="464"/>
        <w:spacing w:after="0" w:line="277" w:lineRule="auto"/>
        <w:tabs>
          <w:tab w:leader="none" w:pos="71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purchase money Liens on fixed assets securing the loans and Indebtedness under Capitalized Leases pursuant to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Lien is limited to the purchase price and only attaches to the property being acquired or financed thereby;</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Lien of the Administrative Agent, for the benefit of the Secured Parties;</w:t>
      </w:r>
    </w:p>
    <w:p>
      <w:pPr>
        <w:spacing w:after="0" w:line="225" w:lineRule="exact"/>
        <w:rPr>
          <w:rFonts w:ascii="Arial" w:cs="Arial" w:eastAsia="Arial" w:hAnsi="Arial"/>
          <w:sz w:val="18"/>
          <w:szCs w:val="18"/>
          <w:color w:val="auto"/>
        </w:rPr>
      </w:pPr>
    </w:p>
    <w:p>
      <w:pPr>
        <w:ind w:right="120" w:firstLine="464"/>
        <w:spacing w:after="0" w:line="302" w:lineRule="auto"/>
        <w:tabs>
          <w:tab w:leader="none" w:pos="68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the Liens existing on the Closing Date as set forth in </w:t>
      </w:r>
      <w:r>
        <w:rPr>
          <w:rFonts w:ascii="Arial" w:cs="Arial" w:eastAsia="Arial" w:hAnsi="Arial"/>
          <w:sz w:val="16"/>
          <w:szCs w:val="16"/>
          <w:u w:val="single" w:color="auto"/>
          <w:color w:val="auto"/>
        </w:rPr>
        <w:t>Schedule 7.01</w:t>
      </w:r>
      <w:r>
        <w:rPr>
          <w:rFonts w:ascii="Arial" w:cs="Arial" w:eastAsia="Arial" w:hAnsi="Arial"/>
          <w:sz w:val="16"/>
          <w:szCs w:val="16"/>
          <w:color w:val="auto"/>
        </w:rPr>
        <w:t xml:space="preserve"> hereto and replacements, extensions, renewals, refundings or refinancings thereof, but only to the extent that the amount of Indebtedness secured thereby shall not be increased (except by an amount equal to a reasonable premium or other reasonable amount paid, and fees and expenses reasonably incurred, in connection with such replacement, extension, renewal, refunding or refinancing and by an amount equal to any existing commitments unutilized thereunder) and the property covered thereby is not changed;</w:t>
      </w:r>
    </w:p>
    <w:p>
      <w:pPr>
        <w:spacing w:after="0" w:line="154" w:lineRule="exact"/>
        <w:rPr>
          <w:rFonts w:ascii="Arial" w:cs="Arial" w:eastAsia="Arial" w:hAnsi="Arial"/>
          <w:sz w:val="16"/>
          <w:szCs w:val="16"/>
          <w:color w:val="auto"/>
        </w:rPr>
      </w:pPr>
    </w:p>
    <w:p>
      <w:pPr>
        <w:ind w:right="140" w:firstLine="464"/>
        <w:spacing w:after="0" w:line="277" w:lineRule="auto"/>
        <w:tabs>
          <w:tab w:leader="none" w:pos="71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easements or other minor defects or irregularities in title of real property not interfering in any material respect with the use of such property in the business of the Borrower or any of its Subsidiaries;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insurance, unemployment insurance and like matters;</w:t>
      </w:r>
    </w:p>
    <w:p>
      <w:pPr>
        <w:spacing w:after="0" w:line="225" w:lineRule="exact"/>
        <w:rPr>
          <w:rFonts w:ascii="Arial" w:cs="Arial" w:eastAsia="Arial" w:hAnsi="Arial"/>
          <w:sz w:val="18"/>
          <w:szCs w:val="18"/>
          <w:color w:val="auto"/>
        </w:rPr>
      </w:pPr>
    </w:p>
    <w:p>
      <w:pPr>
        <w:ind w:right="480" w:firstLine="464"/>
        <w:spacing w:after="0" w:line="277" w:lineRule="auto"/>
        <w:tabs>
          <w:tab w:leader="none" w:pos="67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Liens in respect of any writ of execution, attachment, garnishment, judgment or judicial award solely to the extent not constituting an Event of Default under </w:t>
      </w:r>
      <w:r>
        <w:rPr>
          <w:rFonts w:ascii="Arial" w:cs="Arial" w:eastAsia="Arial" w:hAnsi="Arial"/>
          <w:sz w:val="18"/>
          <w:szCs w:val="18"/>
          <w:u w:val="single" w:color="auto"/>
          <w:color w:val="auto"/>
        </w:rPr>
        <w:t>Section 8.01(h)(i)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60" w:firstLine="464"/>
        <w:spacing w:after="0" w:line="277" w:lineRule="auto"/>
        <w:tabs>
          <w:tab w:leader="none" w:pos="67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Liens arising solely from precautionary UCC financing statements filed with respect to any consignment agreement entered into by Borrower or any Subsidiary in the ordinary course of business;</w:t>
      </w:r>
    </w:p>
    <w:p>
      <w:pPr>
        <w:spacing w:after="0" w:line="170" w:lineRule="exact"/>
        <w:rPr>
          <w:rFonts w:ascii="Arial" w:cs="Arial" w:eastAsia="Arial" w:hAnsi="Arial"/>
          <w:sz w:val="18"/>
          <w:szCs w:val="18"/>
          <w:color w:val="auto"/>
        </w:rPr>
      </w:pPr>
    </w:p>
    <w:p>
      <w:pPr>
        <w:ind w:right="560" w:firstLine="464"/>
        <w:spacing w:after="0" w:line="277" w:lineRule="auto"/>
        <w:tabs>
          <w:tab w:leader="none" w:pos="71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statutory or civil law Lien arising in the Netherlands under Netherland’s General Banking Conditions (other than arising under article 26 thereof) so long as such Lien does not secure Indebtedness;</w:t>
      </w:r>
    </w:p>
    <w:p>
      <w:pPr>
        <w:spacing w:after="0" w:line="170" w:lineRule="exact"/>
        <w:rPr>
          <w:rFonts w:ascii="Arial" w:cs="Arial" w:eastAsia="Arial" w:hAnsi="Arial"/>
          <w:sz w:val="18"/>
          <w:szCs w:val="18"/>
          <w:color w:val="auto"/>
        </w:rPr>
      </w:pPr>
    </w:p>
    <w:p>
      <w:pPr>
        <w:ind w:right="240" w:firstLine="464"/>
        <w:spacing w:after="0" w:line="312" w:lineRule="auto"/>
        <w:tabs>
          <w:tab w:leader="none" w:pos="67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Liens on tangible property of a Person existing at the time such Person is acquired by the Borrower or a Subsidiary pursuant to an Acquisition permitted under </w:t>
      </w:r>
      <w:r>
        <w:rPr>
          <w:rFonts w:ascii="Arial" w:cs="Arial" w:eastAsia="Arial" w:hAnsi="Arial"/>
          <w:sz w:val="16"/>
          <w:szCs w:val="16"/>
          <w:u w:val="single" w:color="auto"/>
          <w:color w:val="auto"/>
        </w:rPr>
        <w:t>Section 7.03(b)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Liens were not created in contemplation of such Acquisition and do not extend to any assets other than those of the Person acquired by the Borrower or such Subsidiary, and the applicable Indebtedness secured by such Lien is permitted under </w:t>
      </w:r>
      <w:r>
        <w:rPr>
          <w:rFonts w:ascii="Arial" w:cs="Arial" w:eastAsia="Arial" w:hAnsi="Arial"/>
          <w:sz w:val="16"/>
          <w:szCs w:val="16"/>
          <w:u w:val="single" w:color="auto"/>
          <w:color w:val="auto"/>
        </w:rPr>
        <w:t>Section 7.02(l)</w:t>
      </w:r>
      <w:r>
        <w:rPr>
          <w:rFonts w:ascii="Arial" w:cs="Arial" w:eastAsia="Arial" w:hAnsi="Arial"/>
          <w:sz w:val="16"/>
          <w:szCs w:val="16"/>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74" w:right="239" w:bottom="1440" w:gutter="0" w:footer="0" w:header="0"/>
        </w:sectPr>
      </w:pPr>
    </w:p>
    <w:bookmarkStart w:id="128" w:name="page129"/>
    <w:bookmarkEnd w:id="128"/>
    <w:p>
      <w:pPr>
        <w:ind w:left="760" w:hanging="296"/>
        <w:spacing w:after="0"/>
        <w:tabs>
          <w:tab w:leader="none" w:pos="7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Liens securing Indebtedness permitted by </w:t>
      </w:r>
      <w:r>
        <w:rPr>
          <w:rFonts w:ascii="Arial" w:cs="Arial" w:eastAsia="Arial" w:hAnsi="Arial"/>
          <w:sz w:val="18"/>
          <w:szCs w:val="18"/>
          <w:u w:val="single" w:color="auto"/>
          <w:color w:val="auto"/>
        </w:rPr>
        <w:t>Section 7.02(m)</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Lien shall extend to, or cover, any Collateral;</w:t>
      </w:r>
    </w:p>
    <w:p>
      <w:pPr>
        <w:spacing w:after="0" w:line="225" w:lineRule="exact"/>
        <w:rPr>
          <w:rFonts w:ascii="Arial" w:cs="Arial" w:eastAsia="Arial" w:hAnsi="Arial"/>
          <w:sz w:val="18"/>
          <w:szCs w:val="18"/>
          <w:color w:val="auto"/>
        </w:rPr>
      </w:pPr>
    </w:p>
    <w:p>
      <w:pPr>
        <w:ind w:firstLine="464"/>
        <w:spacing w:after="0" w:line="293" w:lineRule="auto"/>
        <w:tabs>
          <w:tab w:leader="none" w:pos="71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other non-consensual Liens not securing Indebtedness, (i) the amount of which does not exceed $7,500,000 in the aggregate, and (ii) the existence of which, either individually or in the aggregate, will not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Lien permitted by this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is permitted only for so long as is reasonably necessary for the affected Loan Party or the affected Subsidiary, using its best efforts, to remove or eliminate such Lien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Lien not otherwise permitted by this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shall be permitted so long as such Loan Party or the affected Subsidiary shall within thirty (30) days after the filing thereof either (A) cause such Lien to be discharged, or (B) post with the Administrative Agent a bond or other security in form and amount satisfactory to the Administrative Agent in all respects and shall thereafter diligently pursue its discharge;</w:t>
      </w:r>
    </w:p>
    <w:p>
      <w:pPr>
        <w:spacing w:after="0" w:line="164" w:lineRule="exact"/>
        <w:rPr>
          <w:rFonts w:ascii="Arial" w:cs="Arial" w:eastAsia="Arial" w:hAnsi="Arial"/>
          <w:sz w:val="16"/>
          <w:szCs w:val="16"/>
          <w:color w:val="auto"/>
        </w:rPr>
      </w:pPr>
    </w:p>
    <w:p>
      <w:pPr>
        <w:ind w:left="720" w:hanging="256"/>
        <w:spacing w:after="0"/>
        <w:tabs>
          <w:tab w:leader="none" w:pos="7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for the avoidance of doubt, any Lien on a Sold Account;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Liens granted pursuant to the Precious Metal Consignment Agreements so long as such Lien does not secure Indebtedness.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Neither the Borrower nor any of its Subsidiaries shall enter into any contract or agreement (other than a contract or agreement entered into in connection with the purchase or lease of fixed assets that prohibits Liens on such fixed assets) that would prohibit the Administrative Agent or the Lenders from acquiring a security interest, mortgage or other Lien on, or a collateral assignment of, any of the property or assets of the Borrower or such Subsidiary.</w:t>
      </w:r>
    </w:p>
    <w:p>
      <w:pPr>
        <w:spacing w:after="0" w:line="14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Create, incur, assume or have outstanding any Indebtedness of any kind;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shall not apply to the following:</w:t>
      </w:r>
    </w:p>
    <w:p>
      <w:pPr>
        <w:spacing w:after="0" w:line="170" w:lineRule="exact"/>
        <w:rPr>
          <w:sz w:val="20"/>
          <w:szCs w:val="20"/>
          <w:color w:val="auto"/>
        </w:rPr>
      </w:pPr>
    </w:p>
    <w:p>
      <w:pPr>
        <w:ind w:left="700" w:hanging="236"/>
        <w:spacing w:after="0"/>
        <w:tabs>
          <w:tab w:leader="none" w:pos="7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Loans and any other Obligation under this Agreement or under any other Loan Document;</w:t>
      </w:r>
    </w:p>
    <w:p>
      <w:pPr>
        <w:spacing w:after="0" w:line="225" w:lineRule="exact"/>
        <w:rPr>
          <w:rFonts w:ascii="Arial" w:cs="Arial" w:eastAsia="Arial" w:hAnsi="Arial"/>
          <w:sz w:val="18"/>
          <w:szCs w:val="18"/>
          <w:color w:val="auto"/>
        </w:rPr>
      </w:pPr>
    </w:p>
    <w:p>
      <w:pPr>
        <w:jc w:val="both"/>
        <w:ind w:right="60" w:firstLine="464"/>
        <w:spacing w:after="0" w:line="259" w:lineRule="auto"/>
        <w:tabs>
          <w:tab w:leader="none" w:pos="71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loans granted to or Indebtedness under Capitalized Leases entered into by the Borrower or any of its Subsidiaries for the purchase or lease of fixed assets and any Refinancing Indebtedness in respect thereof, which loans and Indebtedness under Capitalized Leases shall only be secured by the fixed assets being purchased or leased, so long as the aggregate principal amount of all such loans and Indebtedness under Capitalized Leases for the Borrower and all of its Subsidiaries shall not exceed $40,000,000 at any time outstanding;</w:t>
      </w:r>
    </w:p>
    <w:p>
      <w:pPr>
        <w:spacing w:after="0" w:line="186" w:lineRule="exact"/>
        <w:rPr>
          <w:rFonts w:ascii="Arial" w:cs="Arial" w:eastAsia="Arial" w:hAnsi="Arial"/>
          <w:sz w:val="18"/>
          <w:szCs w:val="18"/>
          <w:color w:val="auto"/>
        </w:rPr>
      </w:pPr>
    </w:p>
    <w:p>
      <w:pPr>
        <w:ind w:right="320" w:firstLine="464"/>
        <w:spacing w:after="0" w:line="277" w:lineRule="auto"/>
        <w:tabs>
          <w:tab w:leader="none" w:pos="70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the Indebtedness existing on the Closing Date, in addition to the other Indebtedness permitted to be incurred pursuant to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hereto and any Refinancing Indebtedness in respect thereof;</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loans to a Loan Party from another Loan Party;</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loans to a Foreign Subsidiary from another Foreign Subsidiary;</w:t>
      </w:r>
    </w:p>
    <w:p>
      <w:pPr>
        <w:spacing w:after="0" w:line="225" w:lineRule="exact"/>
        <w:rPr>
          <w:rFonts w:ascii="Arial" w:cs="Arial" w:eastAsia="Arial" w:hAnsi="Arial"/>
          <w:sz w:val="18"/>
          <w:szCs w:val="18"/>
          <w:color w:val="auto"/>
        </w:rPr>
      </w:pPr>
    </w:p>
    <w:p>
      <w:pPr>
        <w:ind w:right="240" w:firstLine="464"/>
        <w:spacing w:after="0" w:line="277" w:lineRule="auto"/>
        <w:tabs>
          <w:tab w:leader="none" w:pos="68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Indebtedness under any Swap Contract, so long as such Swap Contract shall have been entered into in the ordinary course of business and not for speculative purposes;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274" w:right="259" w:bottom="1440" w:gutter="0" w:footer="0" w:header="0"/>
        </w:sectPr>
      </w:pPr>
    </w:p>
    <w:bookmarkStart w:id="129" w:name="page130"/>
    <w:bookmarkEnd w:id="129"/>
    <w:p>
      <w:pPr>
        <w:ind w:firstLine="464"/>
        <w:spacing w:after="0" w:line="264" w:lineRule="auto"/>
        <w:tabs>
          <w:tab w:leader="none" w:pos="711"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Permitted Foreign Subsidiary and other Loans and Investments, so long as (i) no Default shall exist immediately prior to or immediately after giving effect thereto and (ii)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(and to any Indebtedness incurred in connection therewith), the Borrower and its Subsidiaries shall be in compliance with the Pro Forma Leverage Test;</w:t>
      </w:r>
    </w:p>
    <w:p>
      <w:pPr>
        <w:spacing w:after="0" w:line="181" w:lineRule="exact"/>
        <w:rPr>
          <w:rFonts w:ascii="Arial" w:cs="Arial" w:eastAsia="Arial" w:hAnsi="Arial"/>
          <w:sz w:val="18"/>
          <w:szCs w:val="18"/>
          <w:color w:val="auto"/>
        </w:rPr>
      </w:pPr>
    </w:p>
    <w:p>
      <w:pPr>
        <w:ind w:right="560" w:firstLine="464"/>
        <w:spacing w:after="0" w:line="277" w:lineRule="auto"/>
        <w:tabs>
          <w:tab w:leader="none" w:pos="71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Indebtedness incurred in connection with the financing of insurance premiums, in an aggregate amount not to exceed $5,000,000 at any time outstanding;</w:t>
      </w:r>
    </w:p>
    <w:p>
      <w:pPr>
        <w:spacing w:after="0" w:line="170" w:lineRule="exact"/>
        <w:rPr>
          <w:rFonts w:ascii="Arial" w:cs="Arial" w:eastAsia="Arial" w:hAnsi="Arial"/>
          <w:sz w:val="18"/>
          <w:szCs w:val="18"/>
          <w:color w:val="auto"/>
        </w:rPr>
      </w:pPr>
    </w:p>
    <w:p>
      <w:pPr>
        <w:ind w:right="100" w:firstLine="464"/>
        <w:spacing w:after="0" w:line="308" w:lineRule="auto"/>
        <w:tabs>
          <w:tab w:leader="none" w:pos="67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contingent obligations consisting of Guarantees executed by (i) any Loan Party with respect to Indebtedness otherwise permitted by this Agreement and (ii) any Foreign Subsidiary with respect to any Indebtedness of a Foreign Subsidiary otherwise permitted by this Agreement;</w:t>
      </w:r>
    </w:p>
    <w:p>
      <w:pPr>
        <w:spacing w:after="0" w:line="146" w:lineRule="exact"/>
        <w:rPr>
          <w:rFonts w:ascii="Arial" w:cs="Arial" w:eastAsia="Arial" w:hAnsi="Arial"/>
          <w:sz w:val="17"/>
          <w:szCs w:val="17"/>
          <w:color w:val="auto"/>
        </w:rPr>
      </w:pPr>
    </w:p>
    <w:p>
      <w:pPr>
        <w:ind w:right="600" w:firstLine="464"/>
        <w:spacing w:after="0" w:line="277" w:lineRule="auto"/>
        <w:tabs>
          <w:tab w:leader="none" w:pos="67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other unsecured Indebtedness (including unsecured Subordinated Indebtedness), in addition to the Indebtedness listed above, in an aggregate principal amount for the Borrower and all of its Subsidiaries not to exceed $25,000,000 at any time outstanding;</w:t>
      </w:r>
    </w:p>
    <w:p>
      <w:pPr>
        <w:spacing w:after="0" w:line="170" w:lineRule="exact"/>
        <w:rPr>
          <w:rFonts w:ascii="Arial" w:cs="Arial" w:eastAsia="Arial" w:hAnsi="Arial"/>
          <w:sz w:val="18"/>
          <w:szCs w:val="18"/>
          <w:color w:val="auto"/>
        </w:rPr>
      </w:pPr>
    </w:p>
    <w:p>
      <w:pPr>
        <w:ind w:right="220" w:firstLine="464"/>
        <w:spacing w:after="0" w:line="277" w:lineRule="auto"/>
        <w:tabs>
          <w:tab w:leader="none" w:pos="71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unsecured Indebtedness evidenced by the New Notes (and any Refinancing Indebtedness in respect thereof) in an aggregate outstanding principal amount not to exceed $300,000,000;</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Indebtedness of any Person that becomes a Subsidiary of the Borrower after the date hereof pursuant to an Acquisition permitted under</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existing at the time such Person becomes a Subsidiary of the Borrower (other than Indebtedness incurred solely in contemplation of such Person’s becoming a Subsidiary of the Borrower) and (ii) the aggregate principal amount of such Indebtedness shall not exceed $25,000,000 at any time;</w:t>
      </w:r>
    </w:p>
    <w:p>
      <w:pPr>
        <w:spacing w:after="0" w:line="190" w:lineRule="exact"/>
        <w:rPr>
          <w:sz w:val="20"/>
          <w:szCs w:val="20"/>
          <w:color w:val="auto"/>
        </w:rPr>
      </w:pPr>
    </w:p>
    <w:p>
      <w:pPr>
        <w:ind w:right="260" w:firstLine="464"/>
        <w:spacing w:after="0" w:line="286" w:lineRule="auto"/>
        <w:tabs>
          <w:tab w:leader="none" w:pos="76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other secured Indebtedness in an aggregate principal amount for the Borrower and all of its Subsidiaries not to exceed $25,000,000 at any time outstanding, so long as (i) no Default shall exist prior to or after giving effect thereto and (ii)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thereto (and to any Indebtedness incurred in connection therewith), the Borrower and its Subsidiaries shall be in compliance with the Pro Forma Leverage Test;</w:t>
      </w:r>
    </w:p>
    <w:p>
      <w:pPr>
        <w:spacing w:after="0" w:line="165" w:lineRule="exact"/>
        <w:rPr>
          <w:rFonts w:ascii="Arial" w:cs="Arial" w:eastAsia="Arial" w:hAnsi="Arial"/>
          <w:sz w:val="17"/>
          <w:szCs w:val="17"/>
          <w:color w:val="auto"/>
        </w:rPr>
      </w:pPr>
    </w:p>
    <w:p>
      <w:pPr>
        <w:ind w:firstLine="464"/>
        <w:spacing w:after="0" w:line="271" w:lineRule="auto"/>
        <w:tabs>
          <w:tab w:leader="none" w:pos="71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the following that do not constitute Indebtedness, but that are listed for purposes of clarification, contingent obligations consisting of the indemnification by the Borrower or any of its Subsidiaries of (i) the officers, directors, employees and agents of the Borrower or any of its Subsidiaries, to the extent permissible under the corporation law of the jurisdiction in which such Person is organized, (ii) commercial banks, investment bankers and other independent consultants or professional advisors pursuant to agreements relating to the underwriting of the Borrower’s or any of its Subsidiaries’ securities or the rendering of banking or professional services to the Borrower or any of its Subsidiaries, (iii) landlords, licensors, licensees and other parties pursuant to agreements entered into in the ordinary course of business by the Borrower or any of its Subsidiaries, and (iv) other Persons under agreements relating to Acquisitions permitted under </w:t>
      </w:r>
      <w:r>
        <w:rPr>
          <w:rFonts w:ascii="Arial" w:cs="Arial" w:eastAsia="Arial" w:hAnsi="Arial"/>
          <w:sz w:val="17"/>
          <w:szCs w:val="17"/>
          <w:u w:val="single" w:color="auto"/>
          <w:color w:val="auto"/>
        </w:rPr>
        <w:t>Section 7.03(b)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of the foregoing is only permitted to the extent that such indemnity obligation is not incurred in connection with the borrowing of money or the extension of credit; and</w:t>
      </w:r>
    </w:p>
    <w:p>
      <w:pPr>
        <w:spacing w:after="0" w:line="178" w:lineRule="exact"/>
        <w:rPr>
          <w:rFonts w:ascii="Arial" w:cs="Arial" w:eastAsia="Arial" w:hAnsi="Arial"/>
          <w:sz w:val="17"/>
          <w:szCs w:val="17"/>
          <w:color w:val="auto"/>
        </w:rPr>
      </w:pPr>
    </w:p>
    <w:p>
      <w:pPr>
        <w:ind w:left="720" w:hanging="256"/>
        <w:spacing w:after="0"/>
        <w:tabs>
          <w:tab w:leader="none" w:pos="7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 the avoidance of doubt, any Indebtedness under any Qualified Receivables Transaction.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74"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7.03 </w:t>
      </w:r>
      <w:r>
        <w:rPr>
          <w:rFonts w:ascii="Arial" w:cs="Arial" w:eastAsia="Arial" w:hAnsi="Arial"/>
          <w:sz w:val="18"/>
          <w:szCs w:val="18"/>
          <w:u w:val="single" w:color="auto"/>
          <w:color w:val="auto"/>
        </w:rPr>
        <w:t>Investments and Acquisitions</w:t>
      </w:r>
      <w:r>
        <w:rPr>
          <w:rFonts w:ascii="Arial" w:cs="Arial" w:eastAsia="Arial" w:hAnsi="Arial"/>
          <w:sz w:val="18"/>
          <w:szCs w:val="18"/>
          <w:color w:val="auto"/>
        </w:rPr>
        <w:t>.</w:t>
      </w:r>
    </w:p>
    <w:p>
      <w:pPr>
        <w:spacing w:after="0" w:line="225" w:lineRule="exact"/>
        <w:rPr>
          <w:sz w:val="20"/>
          <w:szCs w:val="20"/>
          <w:color w:val="auto"/>
        </w:rPr>
      </w:pPr>
    </w:p>
    <w:p>
      <w:pPr>
        <w:ind w:left="240" w:hanging="236"/>
        <w:spacing w:after="0"/>
        <w:tabs>
          <w:tab w:leader="none" w:pos="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Make or hold any Investments (other than Investments pursuant to the Closing Date Acquisition), except:</w:t>
      </w:r>
    </w:p>
    <w:p>
      <w:pPr>
        <w:spacing w:after="0" w:line="225" w:lineRule="exact"/>
        <w:rPr>
          <w:rFonts w:ascii="Arial" w:cs="Arial" w:eastAsia="Arial" w:hAnsi="Arial"/>
          <w:sz w:val="18"/>
          <w:szCs w:val="18"/>
          <w:color w:val="auto"/>
        </w:rPr>
      </w:pPr>
    </w:p>
    <w:p>
      <w:pPr>
        <w:ind w:right="200" w:firstLine="443"/>
        <w:spacing w:after="0" w:line="277" w:lineRule="auto"/>
        <w:tabs>
          <w:tab w:leader="none" w:pos="65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endorsement of a check or other medium of payment for deposit or collection through normal banking channels or similar transaction in the normal course of business;</w:t>
      </w:r>
    </w:p>
    <w:p>
      <w:pPr>
        <w:spacing w:after="0" w:line="62" w:lineRule="exact"/>
        <w:rPr>
          <w:rFonts w:ascii="Arial" w:cs="Arial" w:eastAsia="Arial" w:hAnsi="Arial"/>
          <w:sz w:val="18"/>
          <w:szCs w:val="18"/>
          <w:color w:val="auto"/>
        </w:rPr>
      </w:pPr>
    </w:p>
    <w:p>
      <w:pPr>
        <w:jc w:val="both"/>
        <w:ind w:right="20" w:firstLine="443"/>
        <w:spacing w:after="0" w:line="264" w:lineRule="auto"/>
        <w:tabs>
          <w:tab w:leader="none" w:pos="70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investment in (A) direct obligations of the United States or in certificates of deposit issued by a member bank (having capital resources in excess of $100,000,000) of the Federal Reserve System or (B) commercial paper or securities that at the time of such investment is assigned the highest quality rating in accordance with the rating systems employed by either Moody’s or S&amp;P;</w:t>
      </w:r>
    </w:p>
    <w:p>
      <w:pPr>
        <w:spacing w:after="0" w:line="73" w:lineRule="exact"/>
        <w:rPr>
          <w:rFonts w:ascii="Arial" w:cs="Arial" w:eastAsia="Arial" w:hAnsi="Arial"/>
          <w:sz w:val="18"/>
          <w:szCs w:val="18"/>
          <w:color w:val="auto"/>
        </w:rPr>
      </w:pPr>
    </w:p>
    <w:p>
      <w:pPr>
        <w:ind w:right="280" w:firstLine="443"/>
        <w:spacing w:after="0" w:line="312" w:lineRule="auto"/>
        <w:tabs>
          <w:tab w:leader="none" w:pos="753" w:val="left"/>
        </w:tabs>
        <w:numPr>
          <w:ilvl w:val="1"/>
          <w:numId w:val="153"/>
        </w:numPr>
        <w:rPr>
          <w:rFonts w:ascii="Arial" w:cs="Arial" w:eastAsia="Arial" w:hAnsi="Arial"/>
          <w:sz w:val="16"/>
          <w:szCs w:val="16"/>
          <w:color w:val="auto"/>
        </w:rPr>
      </w:pPr>
      <w:r>
        <w:rPr>
          <w:rFonts w:ascii="Arial" w:cs="Arial" w:eastAsia="Arial" w:hAnsi="Arial"/>
          <w:sz w:val="16"/>
          <w:szCs w:val="16"/>
          <w:color w:val="auto"/>
        </w:rPr>
        <w:t xml:space="preserve">the holding of each of the Subsidiaries listed on </w:t>
      </w:r>
      <w:r>
        <w:rPr>
          <w:rFonts w:ascii="Arial" w:cs="Arial" w:eastAsia="Arial" w:hAnsi="Arial"/>
          <w:sz w:val="16"/>
          <w:szCs w:val="16"/>
          <w:u w:val="single" w:color="auto"/>
          <w:color w:val="auto"/>
        </w:rPr>
        <w:t>Schedule 5.01</w:t>
      </w:r>
      <w:r>
        <w:rPr>
          <w:rFonts w:ascii="Arial" w:cs="Arial" w:eastAsia="Arial" w:hAnsi="Arial"/>
          <w:sz w:val="16"/>
          <w:szCs w:val="16"/>
          <w:color w:val="auto"/>
        </w:rPr>
        <w:t xml:space="preserve"> hereto, and the creation, acquisition and holding of, and any investment in, any new Subsidiary after the Closing Date so long as such new Subsidiary shall have been created, acquired or held, and investments made, in accordance with the terms and conditions of this Agreement and pursuant to transactions otherwise permitted under this </w:t>
      </w:r>
      <w:r>
        <w:rPr>
          <w:rFonts w:ascii="Arial" w:cs="Arial" w:eastAsia="Arial" w:hAnsi="Arial"/>
          <w:sz w:val="16"/>
          <w:szCs w:val="16"/>
          <w:u w:val="single" w:color="auto"/>
          <w:color w:val="auto"/>
        </w:rPr>
        <w:t>Section 7.03</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right="20" w:firstLine="443"/>
        <w:spacing w:after="0" w:line="264" w:lineRule="auto"/>
        <w:tabs>
          <w:tab w:leader="none" w:pos="74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any Permitted Foreign Subsidiary and other Loans and Investments, so long as (A) no Default shall exist prior to or after giving effect thereto and (B)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investments or loans (and to any Indebtedness incurred in connection therewith), the Borrower and its Subsidiaries shall be in compliance with the Pro Forma Leverage Test;</w:t>
      </w:r>
    </w:p>
    <w:p>
      <w:pPr>
        <w:spacing w:after="0" w:line="73" w:lineRule="exact"/>
        <w:rPr>
          <w:rFonts w:ascii="Arial" w:cs="Arial" w:eastAsia="Arial" w:hAnsi="Arial"/>
          <w:sz w:val="18"/>
          <w:szCs w:val="18"/>
          <w:color w:val="auto"/>
        </w:rPr>
      </w:pPr>
    </w:p>
    <w:p>
      <w:pPr>
        <w:ind w:left="700" w:hanging="257"/>
        <w:spacing w:after="0"/>
        <w:tabs>
          <w:tab w:leader="none" w:pos="70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loans to, investments in, and Guarantees of Indebtedness of, the Borrower or any other Loan Party from or by another Loan Party;</w:t>
      </w:r>
    </w:p>
    <w:p>
      <w:pPr>
        <w:spacing w:after="0" w:line="128" w:lineRule="exact"/>
        <w:rPr>
          <w:rFonts w:ascii="Arial" w:cs="Arial" w:eastAsia="Arial" w:hAnsi="Arial"/>
          <w:sz w:val="17"/>
          <w:szCs w:val="17"/>
          <w:color w:val="auto"/>
        </w:rPr>
      </w:pPr>
    </w:p>
    <w:p>
      <w:pPr>
        <w:ind w:left="740" w:hanging="297"/>
        <w:spacing w:after="0"/>
        <w:tabs>
          <w:tab w:leader="none" w:pos="7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loans to, investments in, and Guarantees of Indebtedness of, a Foreign Subsidiary from or by a another Foreign Subsidiary;</w:t>
      </w:r>
    </w:p>
    <w:p>
      <w:pPr>
        <w:spacing w:after="0" w:line="117" w:lineRule="exact"/>
        <w:rPr>
          <w:rFonts w:ascii="Arial" w:cs="Arial" w:eastAsia="Arial" w:hAnsi="Arial"/>
          <w:sz w:val="18"/>
          <w:szCs w:val="18"/>
          <w:color w:val="auto"/>
        </w:rPr>
      </w:pPr>
    </w:p>
    <w:p>
      <w:pPr>
        <w:jc w:val="both"/>
        <w:ind w:right="60" w:firstLine="443"/>
        <w:spacing w:after="0" w:line="264" w:lineRule="auto"/>
        <w:tabs>
          <w:tab w:leader="none" w:pos="79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advance or loan to an officer or employee of the Borrower or any Subsidiary as an advance on commissions, travel, relocation and other similar items in the ordinary course of business, so long as all such advances and loans from the Borrower and all Subsidiaries aggregate not more than the maximum principal sum of $1,000,000 at any time outstanding;</w:t>
      </w:r>
    </w:p>
    <w:p>
      <w:pPr>
        <w:spacing w:after="0" w:line="73" w:lineRule="exact"/>
        <w:rPr>
          <w:rFonts w:ascii="Arial" w:cs="Arial" w:eastAsia="Arial" w:hAnsi="Arial"/>
          <w:sz w:val="18"/>
          <w:szCs w:val="18"/>
          <w:color w:val="auto"/>
        </w:rPr>
      </w:pPr>
    </w:p>
    <w:p>
      <w:pPr>
        <w:ind w:left="840" w:hanging="397"/>
        <w:spacing w:after="0"/>
        <w:tabs>
          <w:tab w:leader="none" w:pos="8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the holding of any Equity Interests that has been acquired pursuant to an Acquisition permitted by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firstLine="443"/>
        <w:spacing w:after="0" w:line="264" w:lineRule="auto"/>
        <w:tabs>
          <w:tab w:leader="none" w:pos="74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the creation of a Subsidiary for the purpose of making an Acquisition permitted by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hereof or the holding of any Subsidiary as a result of an Acquisition made pursuant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hereof, so long as, in each case, if required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hereof, such Subsidiary becomes a Guarantor promptly following such Acquisition;</w:t>
      </w:r>
    </w:p>
    <w:p>
      <w:pPr>
        <w:spacing w:after="0" w:line="73" w:lineRule="exact"/>
        <w:rPr>
          <w:rFonts w:ascii="Arial" w:cs="Arial" w:eastAsia="Arial" w:hAnsi="Arial"/>
          <w:sz w:val="18"/>
          <w:szCs w:val="18"/>
          <w:color w:val="auto"/>
        </w:rPr>
      </w:pPr>
    </w:p>
    <w:p>
      <w:pPr>
        <w:ind w:right="20" w:firstLine="443"/>
        <w:spacing w:after="0" w:line="277" w:lineRule="auto"/>
        <w:tabs>
          <w:tab w:leader="none" w:pos="69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the Investments existing on the Closing Date, in addition to the other Investments permitted to be incurred pursuant to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Schedule 7.03</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60" w:firstLine="443"/>
        <w:spacing w:after="0" w:line="264" w:lineRule="auto"/>
        <w:tabs>
          <w:tab w:leader="none" w:pos="74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73" w:lineRule="exact"/>
        <w:rPr>
          <w:rFonts w:ascii="Arial" w:cs="Arial" w:eastAsia="Arial" w:hAnsi="Arial"/>
          <w:sz w:val="18"/>
          <w:szCs w:val="18"/>
          <w:color w:val="auto"/>
        </w:rPr>
      </w:pPr>
    </w:p>
    <w:p>
      <w:pPr>
        <w:ind w:left="800" w:hanging="357"/>
        <w:spacing w:after="0"/>
        <w:tabs>
          <w:tab w:leader="none" w:pos="8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Guarantees permitted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443"/>
        <w:spacing w:after="0" w:line="308" w:lineRule="auto"/>
        <w:tabs>
          <w:tab w:leader="none" w:pos="843" w:val="left"/>
        </w:tabs>
        <w:numPr>
          <w:ilvl w:val="1"/>
          <w:numId w:val="153"/>
        </w:numPr>
        <w:rPr>
          <w:rFonts w:ascii="Arial" w:cs="Arial" w:eastAsia="Arial" w:hAnsi="Arial"/>
          <w:sz w:val="17"/>
          <w:szCs w:val="17"/>
          <w:color w:val="auto"/>
        </w:rPr>
      </w:pPr>
      <w:r>
        <w:rPr>
          <w:rFonts w:ascii="Arial" w:cs="Arial" w:eastAsia="Arial" w:hAnsi="Arial"/>
          <w:sz w:val="17"/>
          <w:szCs w:val="17"/>
          <w:color w:val="auto"/>
        </w:rPr>
        <w:t>Investments in Wuxi Weitu Autocam Precision Machinery Components Co., Ltd., so long as (A) no Default has occurred and is continuing or would result therefrom and (B) the aggregate amount of such Investments outstanding at any time shall not exceed $10,000,000;</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60"/>
          </w:cols>
          <w:pgMar w:left="700" w:top="274" w:right="239" w:bottom="1440" w:gutter="0" w:footer="0" w:header="0"/>
        </w:sectPr>
      </w:pPr>
    </w:p>
    <w:bookmarkStart w:id="131" w:name="page132"/>
    <w:bookmarkEnd w:id="131"/>
    <w:p>
      <w:pPr>
        <w:ind w:left="460" w:right="80" w:firstLine="443"/>
        <w:spacing w:after="0" w:line="255" w:lineRule="auto"/>
        <w:tabs>
          <w:tab w:leader="none" w:pos="1293"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Borrower and its Subsidiaries may make Investments not otherwise permitted by this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so long as (A) no Default has occurred and is continuing or would result therefrom, (B) after giving effect thereto the aggregate amount of all Investments made pursuant to this clause (a)(xiv) and Restricted Payments made pursuant to </w:t>
      </w:r>
      <w:r>
        <w:rPr>
          <w:rFonts w:ascii="Arial" w:cs="Arial" w:eastAsia="Arial" w:hAnsi="Arial"/>
          <w:sz w:val="18"/>
          <w:szCs w:val="18"/>
          <w:u w:val="single" w:color="auto"/>
          <w:color w:val="auto"/>
        </w:rPr>
        <w:t>Section 7.06(d)</w:t>
      </w:r>
      <w:r>
        <w:rPr>
          <w:rFonts w:ascii="Arial" w:cs="Arial" w:eastAsia="Arial" w:hAnsi="Arial"/>
          <w:sz w:val="18"/>
          <w:szCs w:val="18"/>
          <w:color w:val="auto"/>
        </w:rPr>
        <w:t xml:space="preserve">, shall not exceed sum of (1) $25,000,000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the Cumulative Retained Excess Cash Flow Amount, (C) the Administrative Agent shall have received the certificate required by </w:t>
      </w:r>
      <w:r>
        <w:rPr>
          <w:rFonts w:ascii="Arial" w:cs="Arial" w:eastAsia="Arial" w:hAnsi="Arial"/>
          <w:sz w:val="18"/>
          <w:szCs w:val="18"/>
          <w:u w:val="single" w:color="auto"/>
          <w:color w:val="auto"/>
        </w:rPr>
        <w:t>Section 6.02(n)</w:t>
      </w:r>
      <w:r>
        <w:rPr>
          <w:rFonts w:ascii="Arial" w:cs="Arial" w:eastAsia="Arial" w:hAnsi="Arial"/>
          <w:sz w:val="18"/>
          <w:szCs w:val="18"/>
          <w:color w:val="auto"/>
        </w:rPr>
        <w:t xml:space="preserve"> and (D)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Investment (and to any Indebtedness incurred in connection therewith), the Borrower and its Subsidiaries shall be in compliance with the Pro Forma Leverage Test; and</w:t>
      </w:r>
    </w:p>
    <w:p>
      <w:pPr>
        <w:spacing w:after="0" w:line="85" w:lineRule="exact"/>
        <w:rPr>
          <w:rFonts w:ascii="Arial" w:cs="Arial" w:eastAsia="Arial" w:hAnsi="Arial"/>
          <w:sz w:val="18"/>
          <w:szCs w:val="18"/>
          <w:color w:val="auto"/>
        </w:rPr>
      </w:pPr>
    </w:p>
    <w:p>
      <w:pPr>
        <w:jc w:val="both"/>
        <w:ind w:left="460" w:right="160" w:firstLine="443"/>
        <w:spacing w:after="0" w:line="259" w:lineRule="auto"/>
        <w:tabs>
          <w:tab w:leader="none" w:pos="124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non-cash Investments made by Borrower or any Loan Party in any Foreign Subsidiary consisting of obligations of such Foreign Subsidiary to pay Capital Distributions to the Borrower or any other Loan Party that have been declared but the payment of which has been deferred (whether or not such obligation to pay such Capital Distributions is represented by a promissory note that has been pledged to the Administrative Agent in accordance with the Collateral Documents).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7.03(a)</w:t>
      </w:r>
      <w:r>
        <w:rPr>
          <w:rFonts w:ascii="Arial" w:cs="Arial" w:eastAsia="Arial" w:hAnsi="Arial"/>
          <w:sz w:val="18"/>
          <w:szCs w:val="18"/>
          <w:color w:val="auto"/>
        </w:rPr>
        <w:t>, the amount of any Investment in Equity Interests shall be based upon the initial amount invested and shall not include any appreciation in value or return on such investment.</w:t>
      </w:r>
    </w:p>
    <w:p>
      <w:pPr>
        <w:spacing w:after="0" w:line="170" w:lineRule="exact"/>
        <w:rPr>
          <w:sz w:val="20"/>
          <w:szCs w:val="20"/>
          <w:color w:val="auto"/>
        </w:rPr>
      </w:pPr>
    </w:p>
    <w:p>
      <w:pPr>
        <w:ind w:firstLine="464"/>
        <w:spacing w:after="0" w:line="264" w:lineRule="auto"/>
        <w:tabs>
          <w:tab w:leader="none" w:pos="71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Effect an Acquisition (other than the Closing Date Acquisition or any Acquisition permitted under </w:t>
      </w:r>
      <w:r>
        <w:rPr>
          <w:rFonts w:ascii="Arial" w:cs="Arial" w:eastAsia="Arial" w:hAnsi="Arial"/>
          <w:sz w:val="18"/>
          <w:szCs w:val="18"/>
          <w:u w:val="single" w:color="auto"/>
          <w:color w:val="auto"/>
        </w:rPr>
        <w:t>Sections 7.04(a)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Default shall exist prior to or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(and any Indebtedness incurred in connection therewith), the Borrower and its Subsidiaries may make an Acquisition so long as:</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in the case of a merger, amalgamation or other combination including the Borrower, the Borrower shall be the surviving entity;</w:t>
      </w:r>
    </w:p>
    <w:p>
      <w:pPr>
        <w:spacing w:after="0" w:line="117" w:lineRule="exact"/>
        <w:rPr>
          <w:rFonts w:ascii="Arial" w:cs="Arial" w:eastAsia="Arial" w:hAnsi="Arial"/>
          <w:sz w:val="18"/>
          <w:szCs w:val="18"/>
          <w:color w:val="auto"/>
        </w:rPr>
      </w:pPr>
    </w:p>
    <w:p>
      <w:pPr>
        <w:ind w:left="460" w:right="520" w:firstLine="443"/>
        <w:spacing w:after="0" w:line="277" w:lineRule="auto"/>
        <w:tabs>
          <w:tab w:leader="none" w:pos="116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in the case of a merger, amalgamation or other combination including a Loan Party (other than the Borrower), a Loan Party shall be the surviving entity;</w:t>
      </w:r>
    </w:p>
    <w:p>
      <w:pPr>
        <w:spacing w:after="0" w:line="62" w:lineRule="exact"/>
        <w:rPr>
          <w:rFonts w:ascii="Arial" w:cs="Arial" w:eastAsia="Arial" w:hAnsi="Arial"/>
          <w:sz w:val="18"/>
          <w:szCs w:val="18"/>
          <w:color w:val="auto"/>
        </w:rPr>
      </w:pPr>
    </w:p>
    <w:p>
      <w:pPr>
        <w:ind w:left="460" w:right="740" w:firstLine="443"/>
        <w:spacing w:after="0" w:line="277" w:lineRule="auto"/>
        <w:tabs>
          <w:tab w:leader="none" w:pos="121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business to be acquired shall be similar to the lines of business of the Borrower and its Subsidiaries or reasonably related and/or complementary or ancillary to such lines of business and reasonable extensions and expansions thereof;</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 Borrower and its Subsidiaries shall be in full compliance with the Loan Documents both prior to and subsequent to the transaction;</w:t>
      </w:r>
    </w:p>
    <w:p>
      <w:pPr>
        <w:spacing w:after="0" w:line="128" w:lineRule="exact"/>
        <w:rPr>
          <w:rFonts w:ascii="Arial" w:cs="Arial" w:eastAsia="Arial" w:hAnsi="Arial"/>
          <w:sz w:val="17"/>
          <w:szCs w:val="17"/>
          <w:color w:val="auto"/>
        </w:rPr>
      </w:pPr>
    </w:p>
    <w:p>
      <w:pPr>
        <w:ind w:left="460" w:right="400" w:firstLine="443"/>
        <w:spacing w:after="0" w:line="277" w:lineRule="auto"/>
        <w:tabs>
          <w:tab w:leader="none" w:pos="115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such Acquisition shall not be actively opposed by the board of directors (or similar governing body) of the selling Persons or the Persons whose equity interests are to be acquired;</w:t>
      </w:r>
    </w:p>
    <w:p>
      <w:pPr>
        <w:spacing w:after="0" w:line="62" w:lineRule="exact"/>
        <w:rPr>
          <w:rFonts w:ascii="Arial" w:cs="Arial" w:eastAsia="Arial" w:hAnsi="Arial"/>
          <w:sz w:val="18"/>
          <w:szCs w:val="18"/>
          <w:color w:val="auto"/>
        </w:rPr>
      </w:pPr>
    </w:p>
    <w:p>
      <w:pPr>
        <w:ind w:left="460" w:right="100" w:firstLine="443"/>
        <w:spacing w:after="0" w:line="257" w:lineRule="auto"/>
        <w:tabs>
          <w:tab w:leader="none" w:pos="120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the aggregate Consideration for all Acquisitions by Foreign Subsidiaries, Acquisitions of Persons or Equity Interests of Persons that do not become Loan Parties (including by way of merger into a Loan Party) and Acquisitions of assets that are not included in the Collateral, shall not exceed $100,000,000 during the term of this Agreement and Borrower shall have delivered evidence demonstrating that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each such Acquisition described in this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(and to any Indebtedness incurred, assumed or acquired in connection therewith), the Borrower and its Subsidiaries shall be in compliance with the Pro Forma Leverage Test;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74" w:right="239" w:bottom="1440" w:gutter="0" w:footer="0" w:header="0"/>
        </w:sectPr>
      </w:pPr>
    </w:p>
    <w:bookmarkStart w:id="132" w:name="page133"/>
    <w:bookmarkEnd w:id="132"/>
    <w:p>
      <w:pPr>
        <w:ind w:left="460" w:right="160" w:firstLine="443"/>
        <w:spacing w:after="0" w:line="276" w:lineRule="auto"/>
        <w:tabs>
          <w:tab w:leader="none" w:pos="1253" w:val="left"/>
        </w:tabs>
        <w:numPr>
          <w:ilvl w:val="0"/>
          <w:numId w:val="1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Borrower and its Subsidiaries shall be in compliance with the Pro Forma Leverage Test, and if the aggregate Consideration for any Acquisition permitted under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is greater than or equal to $15,000,000, the Borrower shall have provided to the Administrative Agent and the Lenders, at least five (5) days prior to such Acquisition, a certificate of a Financial Officer of the Borrower showing that, both before and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Acquisition (and to any Indebtedness incurred, assumed or acquired in connection therewith), the Borrower and its Subsidiaries shall be in compliance with the Pro Forma Leverage Test.</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Dissolve, liquidate, merge, amalgamate or consolidate with or into any other Person, except that, if no Default shall then exist or immediately thereafter shall begin to exist:</w:t>
      </w:r>
    </w:p>
    <w:p>
      <w:pPr>
        <w:spacing w:after="0" w:line="170" w:lineRule="exact"/>
        <w:rPr>
          <w:sz w:val="20"/>
          <w:szCs w:val="20"/>
          <w:color w:val="auto"/>
        </w:rPr>
      </w:pPr>
    </w:p>
    <w:p>
      <w:pPr>
        <w:ind w:right="160" w:firstLine="464"/>
        <w:spacing w:after="0" w:line="277" w:lineRule="auto"/>
        <w:tabs>
          <w:tab w:leader="none" w:pos="70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Domestic Subsidiary may merge, amalgamate or consolidate with or into (i)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Person), or (ii) any one or more Guarantors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Guarantor shall be the continuing or surviving Person);</w:t>
      </w:r>
    </w:p>
    <w:p>
      <w:pPr>
        <w:spacing w:after="0" w:line="170" w:lineRule="exact"/>
        <w:rPr>
          <w:rFonts w:ascii="Arial" w:cs="Arial" w:eastAsia="Arial" w:hAnsi="Arial"/>
          <w:sz w:val="18"/>
          <w:szCs w:val="18"/>
          <w:color w:val="auto"/>
        </w:rPr>
      </w:pPr>
    </w:p>
    <w:p>
      <w:pPr>
        <w:ind w:right="220" w:firstLine="464"/>
        <w:spacing w:after="0" w:line="277" w:lineRule="auto"/>
        <w:tabs>
          <w:tab w:leader="none" w:pos="71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Domestic Subsidiary (other than a Loan Party) may merge, amalgamate or consolidate with or into any other Domestic Subsidiary (other than a Loan Party);</w:t>
      </w:r>
    </w:p>
    <w:p>
      <w:pPr>
        <w:spacing w:after="0" w:line="170" w:lineRule="exact"/>
        <w:rPr>
          <w:rFonts w:ascii="Arial" w:cs="Arial" w:eastAsia="Arial" w:hAnsi="Arial"/>
          <w:sz w:val="18"/>
          <w:szCs w:val="18"/>
          <w:color w:val="auto"/>
        </w:rPr>
      </w:pPr>
    </w:p>
    <w:p>
      <w:pPr>
        <w:jc w:val="both"/>
        <w:ind w:firstLine="464"/>
        <w:spacing w:after="0" w:line="342" w:lineRule="auto"/>
        <w:tabs>
          <w:tab w:leader="none" w:pos="70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 Foreign Subsidiary may merge, amalgamate or consolidate with or into another Foreign Subsidiary or the Borrower or a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merger, amalgamation or consolidation involving the Borrower or a Guarantor, the Borrower or Guarantor shall be the continuing or surviving Person);</w:t>
      </w:r>
    </w:p>
    <w:p>
      <w:pPr>
        <w:spacing w:after="0" w:line="123" w:lineRule="exact"/>
        <w:rPr>
          <w:rFonts w:ascii="Arial" w:cs="Arial" w:eastAsia="Arial" w:hAnsi="Arial"/>
          <w:sz w:val="16"/>
          <w:szCs w:val="16"/>
          <w:color w:val="auto"/>
        </w:rPr>
      </w:pPr>
    </w:p>
    <w:p>
      <w:pPr>
        <w:ind w:right="100" w:firstLine="464"/>
        <w:spacing w:after="0" w:line="342" w:lineRule="auto"/>
        <w:tabs>
          <w:tab w:leader="none" w:pos="71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any Wholly-Owned Subsidiary may be dissolved or liquidated so long as such Subsidiary is not, at the time, a Loan Party or, if it is a Loan Party at such time, all assets and interests of such Subsidiary, are transferred to another Loan Party on or before the time of its dissolution or liquidation; and</w:t>
      </w:r>
    </w:p>
    <w:p>
      <w:pPr>
        <w:spacing w:after="0" w:line="123" w:lineRule="exact"/>
        <w:rPr>
          <w:rFonts w:ascii="Arial" w:cs="Arial" w:eastAsia="Arial" w:hAnsi="Arial"/>
          <w:sz w:val="16"/>
          <w:szCs w:val="16"/>
          <w:color w:val="auto"/>
        </w:rPr>
      </w:pPr>
    </w:p>
    <w:p>
      <w:pPr>
        <w:ind w:left="700" w:hanging="236"/>
        <w:spacing w:after="0"/>
        <w:tabs>
          <w:tab w:leader="none" w:pos="7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Acquisitions may be effected in accordance with the provisions of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hereof.</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7.05 </w:t>
      </w:r>
      <w:r>
        <w:rPr>
          <w:rFonts w:ascii="Arial" w:cs="Arial" w:eastAsia="Arial" w:hAnsi="Arial"/>
          <w:sz w:val="18"/>
          <w:szCs w:val="18"/>
          <w:u w:val="single" w:color="auto"/>
          <w:color w:val="auto"/>
        </w:rPr>
        <w:t>Dispositions</w:t>
      </w:r>
      <w:r>
        <w:rPr>
          <w:rFonts w:ascii="Arial" w:cs="Arial" w:eastAsia="Arial" w:hAnsi="Arial"/>
          <w:sz w:val="18"/>
          <w:szCs w:val="18"/>
          <w:color w:val="auto"/>
        </w:rPr>
        <w:t>. Make any Disposition or enter into any agreement to make any Disposition, other than in the ordinary course of business, except that, if no Default shall then exist or immediately thereafter shall begin to exist:</w:t>
      </w:r>
    </w:p>
    <w:p>
      <w:pPr>
        <w:spacing w:after="0" w:line="170" w:lineRule="exact"/>
        <w:rPr>
          <w:sz w:val="20"/>
          <w:szCs w:val="20"/>
          <w:color w:val="auto"/>
        </w:rPr>
      </w:pPr>
    </w:p>
    <w:p>
      <w:pPr>
        <w:ind w:left="700" w:hanging="236"/>
        <w:spacing w:after="0"/>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Loan Party may sell, lease, transfer or otherwise dispose of any of its assets to any other Loan Party;</w:t>
      </w:r>
    </w:p>
    <w:p>
      <w:pPr>
        <w:spacing w:after="0" w:line="225" w:lineRule="exact"/>
        <w:rPr>
          <w:rFonts w:ascii="Arial" w:cs="Arial" w:eastAsia="Arial" w:hAnsi="Arial"/>
          <w:sz w:val="18"/>
          <w:szCs w:val="18"/>
          <w:color w:val="auto"/>
        </w:rPr>
      </w:pPr>
    </w:p>
    <w:p>
      <w:pPr>
        <w:ind w:right="380" w:firstLine="464"/>
        <w:spacing w:after="0" w:line="277" w:lineRule="auto"/>
        <w:tabs>
          <w:tab w:leader="none" w:pos="71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Borrower and its Subsidiaries may Dispose of any assets, so long as the aggregate amount of all such Dispositions, for the Borrower and its Subsidiaries, shall not exceed $15,000,000 per fiscal year of the Borrower;</w:t>
      </w:r>
    </w:p>
    <w:p>
      <w:pPr>
        <w:spacing w:after="0" w:line="170" w:lineRule="exact"/>
        <w:rPr>
          <w:rFonts w:ascii="Arial" w:cs="Arial" w:eastAsia="Arial" w:hAnsi="Arial"/>
          <w:sz w:val="18"/>
          <w:szCs w:val="18"/>
          <w:color w:val="auto"/>
        </w:rPr>
      </w:pPr>
    </w:p>
    <w:p>
      <w:pPr>
        <w:ind w:right="160" w:firstLine="464"/>
        <w:spacing w:after="0" w:line="264" w:lineRule="auto"/>
        <w:tabs>
          <w:tab w:leader="none" w:pos="70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 Domestic Subsidiary (other than a Loan Party) may Dispose of any of its assets to the Borrower or any other Domestic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Disposition to a Loan Party such Disposition shall not be for more than the fair market value of the assets which are the subject of such Disposition;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274" w:right="259" w:bottom="1440" w:gutter="0" w:footer="0" w:header="0"/>
        </w:sectPr>
      </w:pPr>
    </w:p>
    <w:bookmarkStart w:id="133" w:name="page134"/>
    <w:bookmarkEnd w:id="133"/>
    <w:p>
      <w:pPr>
        <w:ind w:left="-8" w:right="200" w:firstLine="464"/>
        <w:spacing w:after="0" w:line="277" w:lineRule="auto"/>
        <w:tabs>
          <w:tab w:leader="none" w:pos="703" w:val="left"/>
        </w:tabs>
        <w:numPr>
          <w:ilvl w:val="1"/>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Foreign Subsidiary may Dispose of any of its assets to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Disposition shall not be for more than the fair market value of the assets which are the subject of such Disposition;</w:t>
      </w:r>
    </w:p>
    <w:p>
      <w:pPr>
        <w:spacing w:after="0" w:line="170" w:lineRule="exact"/>
        <w:rPr>
          <w:rFonts w:ascii="Arial" w:cs="Arial" w:eastAsia="Arial" w:hAnsi="Arial"/>
          <w:sz w:val="18"/>
          <w:szCs w:val="18"/>
          <w:color w:val="auto"/>
        </w:rPr>
      </w:pPr>
    </w:p>
    <w:p>
      <w:pPr>
        <w:ind w:left="692" w:hanging="236"/>
        <w:spacing w:after="0"/>
        <w:tabs>
          <w:tab w:leader="none" w:pos="69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80" w:firstLine="464"/>
        <w:spacing w:after="0" w:line="286" w:lineRule="auto"/>
        <w:tabs>
          <w:tab w:leader="none" w:pos="673" w:val="left"/>
        </w:tabs>
        <w:numPr>
          <w:ilvl w:val="1"/>
          <w:numId w:val="159"/>
        </w:numPr>
        <w:rPr>
          <w:rFonts w:ascii="Arial" w:cs="Arial" w:eastAsia="Arial" w:hAnsi="Arial"/>
          <w:sz w:val="17"/>
          <w:szCs w:val="17"/>
          <w:color w:val="auto"/>
        </w:rPr>
      </w:pPr>
      <w:r>
        <w:rPr>
          <w:rFonts w:ascii="Arial" w:cs="Arial" w:eastAsia="Arial" w:hAnsi="Arial"/>
          <w:sz w:val="17"/>
          <w:szCs w:val="17"/>
          <w:color w:val="auto"/>
        </w:rPr>
        <w:t xml:space="preserve">the Borrower and its Subsidiaries may sell, transfer or otherwise dispose of fixed assets in the ordinary course of business for the purpose of replacing such fixed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fixed assets are replaced within one hundred eighty (180) days of such sale or other disposition with other fixed assets which have a fair market value not materially less than the fair market value of the fixed assets sold or otherwise disposed;</w:t>
      </w:r>
    </w:p>
    <w:p>
      <w:pPr>
        <w:spacing w:after="0" w:line="165" w:lineRule="exact"/>
        <w:rPr>
          <w:rFonts w:ascii="Arial" w:cs="Arial" w:eastAsia="Arial" w:hAnsi="Arial"/>
          <w:sz w:val="17"/>
          <w:szCs w:val="17"/>
          <w:color w:val="auto"/>
        </w:rPr>
      </w:pPr>
    </w:p>
    <w:p>
      <w:pPr>
        <w:ind w:left="712" w:hanging="256"/>
        <w:spacing w:after="0"/>
        <w:tabs>
          <w:tab w:leader="none" w:pos="71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 Foreign Subsidiary may Dispose of any of its assets to any other Foreign Subsidiary;</w:t>
      </w:r>
    </w:p>
    <w:p>
      <w:pPr>
        <w:spacing w:after="0" w:line="225" w:lineRule="exact"/>
        <w:rPr>
          <w:rFonts w:ascii="Arial" w:cs="Arial" w:eastAsia="Arial" w:hAnsi="Arial"/>
          <w:sz w:val="18"/>
          <w:szCs w:val="18"/>
          <w:color w:val="auto"/>
        </w:rPr>
      </w:pPr>
    </w:p>
    <w:p>
      <w:pPr>
        <w:ind w:left="-8" w:right="600" w:firstLine="464"/>
        <w:spacing w:after="0" w:line="342" w:lineRule="auto"/>
        <w:tabs>
          <w:tab w:leader="none" w:pos="703"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Disposition of owned real property (and related furniture, fixtures and equipment) in connection with a sale leaseback transaction with a Governmental Authority with respect to such owned real property, so long as the amount of such Disposition does not exceed $10,000,000;</w:t>
      </w:r>
    </w:p>
    <w:p>
      <w:pPr>
        <w:spacing w:after="0" w:line="123" w:lineRule="exact"/>
        <w:rPr>
          <w:rFonts w:ascii="Arial" w:cs="Arial" w:eastAsia="Arial" w:hAnsi="Arial"/>
          <w:sz w:val="16"/>
          <w:szCs w:val="16"/>
          <w:color w:val="auto"/>
        </w:rPr>
      </w:pPr>
    </w:p>
    <w:p>
      <w:pPr>
        <w:ind w:left="672" w:hanging="216"/>
        <w:spacing w:after="0"/>
        <w:tabs>
          <w:tab w:leader="none" w:pos="672" w:val="left"/>
        </w:tabs>
        <w:numPr>
          <w:ilvl w:val="1"/>
          <w:numId w:val="159"/>
        </w:numPr>
        <w:rPr>
          <w:rFonts w:ascii="Arial" w:cs="Arial" w:eastAsia="Arial" w:hAnsi="Arial"/>
          <w:sz w:val="17"/>
          <w:szCs w:val="17"/>
          <w:color w:val="auto"/>
        </w:rPr>
      </w:pPr>
      <w:r>
        <w:rPr>
          <w:rFonts w:ascii="Arial" w:cs="Arial" w:eastAsia="Arial" w:hAnsi="Arial"/>
          <w:sz w:val="17"/>
          <w:szCs w:val="17"/>
          <w:color w:val="auto"/>
        </w:rPr>
        <w:t>the Disposition of any Immaterial Subsidiary or any other Subsidiary identified to the Administrative Agent prior to the Closing Date, so long as</w:t>
      </w:r>
    </w:p>
    <w:p>
      <w:pPr>
        <w:spacing w:after="0" w:line="34" w:lineRule="exact"/>
        <w:rPr>
          <w:rFonts w:ascii="Arial" w:cs="Arial" w:eastAsia="Arial" w:hAnsi="Arial"/>
          <w:sz w:val="17"/>
          <w:szCs w:val="17"/>
          <w:color w:val="auto"/>
        </w:rPr>
      </w:pPr>
    </w:p>
    <w:p>
      <w:pPr>
        <w:ind w:left="-8" w:right="480" w:firstLine="8"/>
        <w:spacing w:after="0" w:line="261" w:lineRule="auto"/>
        <w:tabs>
          <w:tab w:leader="none" w:pos="20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consideration received for the assets to be so disposed is at least equal to the fair market value of such assets and for at least 75% cash and (ii) no Default or Event of Default is occurring and continuing at the time of such Disposition; and</w:t>
      </w:r>
    </w:p>
    <w:p>
      <w:pPr>
        <w:spacing w:after="0" w:line="183" w:lineRule="exact"/>
        <w:rPr>
          <w:rFonts w:ascii="Arial" w:cs="Arial" w:eastAsia="Arial" w:hAnsi="Arial"/>
          <w:sz w:val="18"/>
          <w:szCs w:val="18"/>
          <w:color w:val="auto"/>
        </w:rPr>
      </w:pPr>
    </w:p>
    <w:p>
      <w:pPr>
        <w:ind w:left="672" w:hanging="216"/>
        <w:spacing w:after="0"/>
        <w:tabs>
          <w:tab w:leader="none" w:pos="67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Dispositions of Receivables in connection with any Qualified Receivables Transaction.</w:t>
      </w:r>
    </w:p>
    <w:p>
      <w:pPr>
        <w:spacing w:after="0" w:line="22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xml:space="preserve">. Make or commit itself to make or declare any Restricted Payment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25" w:lineRule="exact"/>
        <w:rPr>
          <w:sz w:val="20"/>
          <w:szCs w:val="20"/>
          <w:color w:val="auto"/>
        </w:rPr>
      </w:pPr>
    </w:p>
    <w:p>
      <w:pPr>
        <w:ind w:left="-8" w:right="140" w:firstLine="464"/>
        <w:spacing w:after="0" w:line="264" w:lineRule="auto"/>
        <w:tabs>
          <w:tab w:leader="none" w:pos="693" w:val="left"/>
        </w:tabs>
        <w:numPr>
          <w:ilvl w:val="1"/>
          <w:numId w:val="161"/>
        </w:numPr>
        <w:rPr>
          <w:rFonts w:ascii="Arial" w:cs="Arial" w:eastAsia="Arial" w:hAnsi="Arial"/>
          <w:sz w:val="18"/>
          <w:szCs w:val="18"/>
          <w:color w:val="auto"/>
        </w:rPr>
      </w:pPr>
      <w:r>
        <w:rPr>
          <w:rFonts w:ascii="Arial" w:cs="Arial" w:eastAsia="Arial" w:hAnsi="Arial"/>
          <w:sz w:val="18"/>
          <w:szCs w:val="18"/>
          <w:color w:val="auto"/>
        </w:rPr>
        <w:t>each Subsidiary may make Capital Distributions to the Borrower, any Subsidiaries of the Borrower that are Guarantors and any other Person that owns a direct Equity Interest in such Subsidiary, ratably according to their respective holdings of the type of Equity Interest in respect of which such Capital Distribution is being made;</w:t>
      </w:r>
    </w:p>
    <w:p>
      <w:pPr>
        <w:spacing w:after="0" w:line="181" w:lineRule="exact"/>
        <w:rPr>
          <w:rFonts w:ascii="Arial" w:cs="Arial" w:eastAsia="Arial" w:hAnsi="Arial"/>
          <w:sz w:val="18"/>
          <w:szCs w:val="18"/>
          <w:color w:val="auto"/>
        </w:rPr>
      </w:pPr>
    </w:p>
    <w:p>
      <w:pPr>
        <w:ind w:left="-8" w:right="320" w:firstLine="464"/>
        <w:spacing w:after="0" w:line="264" w:lineRule="auto"/>
        <w:tabs>
          <w:tab w:leader="none" w:pos="703"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so long as no Default has occurred and is continuing or would result therefrom, the Borrower and its Subsidiaries may make payment of current interest, expenses and indemnities in respect of Subordinated Indebtedness (other than any such payments prohibited by the subordination provisions applicable thereto);</w:t>
      </w:r>
    </w:p>
    <w:p>
      <w:pPr>
        <w:spacing w:after="0" w:line="181" w:lineRule="exact"/>
        <w:rPr>
          <w:rFonts w:ascii="Arial" w:cs="Arial" w:eastAsia="Arial" w:hAnsi="Arial"/>
          <w:sz w:val="18"/>
          <w:szCs w:val="18"/>
          <w:color w:val="auto"/>
        </w:rPr>
      </w:pPr>
    </w:p>
    <w:p>
      <w:pPr>
        <w:ind w:left="-8" w:right="580" w:firstLine="464"/>
        <w:spacing w:after="0" w:line="277" w:lineRule="auto"/>
        <w:tabs>
          <w:tab w:leader="none" w:pos="693"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Borrower and each Subsidiary may make Restricted Payments with the proceeds received from the substantially concurrent issue of new common Equity Interests;</w:t>
      </w:r>
    </w:p>
    <w:p>
      <w:pPr>
        <w:spacing w:after="0" w:line="170" w:lineRule="exact"/>
        <w:rPr>
          <w:rFonts w:ascii="Arial" w:cs="Arial" w:eastAsia="Arial" w:hAnsi="Arial"/>
          <w:sz w:val="18"/>
          <w:szCs w:val="18"/>
          <w:color w:val="auto"/>
        </w:rPr>
      </w:pPr>
    </w:p>
    <w:p>
      <w:pPr>
        <w:ind w:left="-8" w:firstLine="464"/>
        <w:spacing w:after="0" w:line="288" w:lineRule="auto"/>
        <w:tabs>
          <w:tab w:leader="none" w:pos="703" w:val="left"/>
        </w:tabs>
        <w:numPr>
          <w:ilvl w:val="1"/>
          <w:numId w:val="161"/>
        </w:numPr>
        <w:rPr>
          <w:rFonts w:ascii="Arial" w:cs="Arial" w:eastAsia="Arial" w:hAnsi="Arial"/>
          <w:sz w:val="16"/>
          <w:szCs w:val="16"/>
          <w:color w:val="auto"/>
        </w:rPr>
      </w:pPr>
      <w:r>
        <w:rPr>
          <w:rFonts w:ascii="Arial" w:cs="Arial" w:eastAsia="Arial" w:hAnsi="Arial"/>
          <w:sz w:val="16"/>
          <w:szCs w:val="16"/>
          <w:color w:val="auto"/>
        </w:rPr>
        <w:t xml:space="preserve">the Borrower and its Subsidiaries may make Restricted Payments not otherwise permitted by this Section, so long as (i) no Default has occurred and is continuing or would result therefrom, (ii) after giving effect thereto the aggregate amount of all Restricted Payments made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and Investments made pursuant to </w:t>
      </w:r>
      <w:r>
        <w:rPr>
          <w:rFonts w:ascii="Arial" w:cs="Arial" w:eastAsia="Arial" w:hAnsi="Arial"/>
          <w:sz w:val="16"/>
          <w:szCs w:val="16"/>
          <w:u w:val="single" w:color="auto"/>
          <w:color w:val="auto"/>
        </w:rPr>
        <w:t>Section 7.03(a)(xiv)</w:t>
      </w:r>
      <w:r>
        <w:rPr>
          <w:rFonts w:ascii="Arial" w:cs="Arial" w:eastAsia="Arial" w:hAnsi="Arial"/>
          <w:sz w:val="16"/>
          <w:szCs w:val="16"/>
          <w:color w:val="auto"/>
        </w:rPr>
        <w:t xml:space="preserve">, shall not exceed sum of (1) $25,000,000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the Cumulative Retained Excess Cash Flow Amount,</w:t>
      </w:r>
    </w:p>
    <w:p>
      <w:pPr>
        <w:ind w:left="-8" w:right="60" w:firstLine="8"/>
        <w:spacing w:after="0" w:line="323" w:lineRule="auto"/>
        <w:tabs>
          <w:tab w:leader="none" w:pos="30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the certificate required by </w:t>
      </w:r>
      <w:r>
        <w:rPr>
          <w:rFonts w:ascii="Arial" w:cs="Arial" w:eastAsia="Arial" w:hAnsi="Arial"/>
          <w:sz w:val="16"/>
          <w:szCs w:val="16"/>
          <w:u w:val="single" w:color="auto"/>
          <w:color w:val="auto"/>
        </w:rPr>
        <w:t>Section 6.02(n)</w:t>
      </w:r>
      <w:r>
        <w:rPr>
          <w:rFonts w:ascii="Arial" w:cs="Arial" w:eastAsia="Arial" w:hAnsi="Arial"/>
          <w:sz w:val="16"/>
          <w:szCs w:val="16"/>
          <w:color w:val="auto"/>
        </w:rPr>
        <w:t xml:space="preserve"> and (iv)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Restricted Payment (and to any Indebtedness incurred in connection therewith), the Borrower and its Subsidiaries shall be in compliance with the Pro Forma Leverage Test;</w:t>
      </w:r>
    </w:p>
    <w:p>
      <w:pPr>
        <w:spacing w:after="0" w:line="7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92"/>
          </w:cols>
          <w:pgMar w:left="248" w:top="274" w:right="259" w:bottom="1440" w:gutter="0" w:footer="0" w:header="0"/>
        </w:sectPr>
      </w:pPr>
    </w:p>
    <w:bookmarkStart w:id="134" w:name="page135"/>
    <w:bookmarkEnd w:id="134"/>
    <w:p>
      <w:pPr>
        <w:ind w:right="160" w:firstLine="464"/>
        <w:spacing w:after="0" w:line="264" w:lineRule="auto"/>
        <w:tabs>
          <w:tab w:leader="none" w:pos="701" w:val="left"/>
        </w:tabs>
        <w:numPr>
          <w:ilvl w:val="1"/>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Borrower may make Capital Distributions, consistent with its past practice, in the form of dividends to shareholders of Equity Interests in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amount of all such Capital Distributions shall not exceed $2,500,000 per fiscal quarter of the Borrower; and (ii) no Default shall have occurred and be continuing or would result from any such Capital Distribution;</w:t>
      </w:r>
    </w:p>
    <w:p>
      <w:pPr>
        <w:spacing w:after="0" w:line="181" w:lineRule="exact"/>
        <w:rPr>
          <w:rFonts w:ascii="Arial" w:cs="Arial" w:eastAsia="Arial" w:hAnsi="Arial"/>
          <w:sz w:val="18"/>
          <w:szCs w:val="18"/>
          <w:color w:val="auto"/>
        </w:rPr>
      </w:pPr>
    </w:p>
    <w:p>
      <w:pPr>
        <w:ind w:right="160" w:firstLine="464"/>
        <w:spacing w:after="0" w:line="277" w:lineRule="auto"/>
        <w:tabs>
          <w:tab w:leader="none" w:pos="681"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Borrower and its Subsidiaries may make Restricted Payments constituting a prepayment of Indebtedness in connection with the Refinancing of such Indebtedness;</w:t>
      </w:r>
    </w:p>
    <w:p>
      <w:pPr>
        <w:spacing w:after="0" w:line="170" w:lineRule="exact"/>
        <w:rPr>
          <w:rFonts w:ascii="Arial" w:cs="Arial" w:eastAsia="Arial" w:hAnsi="Arial"/>
          <w:sz w:val="18"/>
          <w:szCs w:val="18"/>
          <w:color w:val="auto"/>
        </w:rPr>
      </w:pPr>
    </w:p>
    <w:p>
      <w:pPr>
        <w:ind w:right="180" w:firstLine="464"/>
        <w:spacing w:after="0" w:line="277" w:lineRule="auto"/>
        <w:tabs>
          <w:tab w:leader="none" w:pos="711"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so long as no Default has occurred and is continuing or would result therefrom, each of Autocam do Brasil Usinagem, LTDA, Bouverat Industries S.A.S., and Autocam France, SARL may at any time repay its respective Indebtedness set forth on </w:t>
      </w:r>
      <w:r>
        <w:rPr>
          <w:rFonts w:ascii="Arial" w:cs="Arial" w:eastAsia="Arial" w:hAnsi="Arial"/>
          <w:sz w:val="18"/>
          <w:szCs w:val="18"/>
          <w:u w:val="single" w:color="auto"/>
          <w:color w:val="auto"/>
        </w:rPr>
        <w:t>Schedule 7.02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Borrower and its Subsidiaries may make payment of current interest, expenses and indemnities in respect of the New Notes; and</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Borrower and its Subsidiaries may make Restricted Payments with respect to the New Notes not otherwise permitted by this Section, so long as</w:t>
      </w:r>
    </w:p>
    <w:p>
      <w:pPr>
        <w:spacing w:after="0" w:line="46" w:lineRule="exact"/>
        <w:rPr>
          <w:rFonts w:ascii="Arial" w:cs="Arial" w:eastAsia="Arial" w:hAnsi="Arial"/>
          <w:sz w:val="16"/>
          <w:szCs w:val="16"/>
          <w:color w:val="auto"/>
        </w:rPr>
      </w:pPr>
    </w:p>
    <w:p>
      <w:pPr>
        <w:ind w:right="120" w:firstLine="8"/>
        <w:spacing w:after="0" w:line="253" w:lineRule="auto"/>
        <w:tabs>
          <w:tab w:leader="none" w:pos="21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no Default has occurred and is continuing or would result therefrom, and (ii)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Restricted Payment (and to any Indebtedness incurred in connection therewith), the Consolidated Secured Leverage Ratio of Borrower and its Subsidiaries shall be equal to or less than 2.00 to 1.00, determined based on the financial information received for the fiscal quarter (or fiscal year, as applicable) most recently ended prior to such date for which financial statements have been delivered to the Administrative Agent pursuant to </w:t>
      </w:r>
      <w:r>
        <w:rPr>
          <w:rFonts w:ascii="Arial" w:cs="Arial" w:eastAsia="Arial" w:hAnsi="Arial"/>
          <w:sz w:val="18"/>
          <w:szCs w:val="18"/>
          <w:u w:val="single" w:color="auto"/>
          <w:color w:val="auto"/>
        </w:rPr>
        <w:t>Section 4.01(a)(x)</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6.01(b)</w:t>
      </w:r>
      <w:r>
        <w:rPr>
          <w:rFonts w:ascii="Arial" w:cs="Arial" w:eastAsia="Arial" w:hAnsi="Arial"/>
          <w:sz w:val="18"/>
          <w:szCs w:val="18"/>
          <w:color w:val="auto"/>
        </w:rPr>
        <w:t>, as applicable, after giving effect to such Restricted Payments.</w:t>
      </w:r>
    </w:p>
    <w:p>
      <w:pPr>
        <w:spacing w:after="0" w:line="191"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 xml:space="preserve">7.07 </w:t>
      </w:r>
      <w:r>
        <w:rPr>
          <w:rFonts w:ascii="Arial" w:cs="Arial" w:eastAsia="Arial" w:hAnsi="Arial"/>
          <w:sz w:val="16"/>
          <w:szCs w:val="16"/>
          <w:u w:val="single" w:color="auto"/>
          <w:color w:val="auto"/>
        </w:rPr>
        <w:t>Change in Nature of Business</w:t>
      </w:r>
      <w:r>
        <w:rPr>
          <w:rFonts w:ascii="Arial" w:cs="Arial" w:eastAsia="Arial" w:hAnsi="Arial"/>
          <w:sz w:val="16"/>
          <w:szCs w:val="16"/>
          <w:color w:val="auto"/>
        </w:rPr>
        <w:t>. Engage in any business if, as a result thereof, the general nature of the business of the Borrower and its Subsidiaries taken as a whole would be substantially changed from the general nature of the business the Borrower and its Subsidiaries are engaged in on the Closing Date.</w:t>
      </w:r>
    </w:p>
    <w:p>
      <w:pPr>
        <w:spacing w:after="0" w:line="124"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 xml:space="preserve">7.08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Directly or indirectly, enter into or permit to exist any transaction (including, without limitation, the purchase, sale, lease or exchange of any property or the rendering of any service) with any Affiliate (other than a Loan Party) on terms that shall be less favorable to the Borrower or such Subsidiary than those that might be obtained at the time in a transaction with a non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the payment of customary and reasonable directors’ fees to directors who are not employees of the Borrower or any Subsidiary or an Affiliate.</w:t>
      </w:r>
    </w:p>
    <w:p>
      <w:pPr>
        <w:spacing w:after="0" w:line="15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 xml:space="preserve">7.09 </w:t>
      </w:r>
      <w:r>
        <w:rPr>
          <w:rFonts w:ascii="Arial" w:cs="Arial" w:eastAsia="Arial" w:hAnsi="Arial"/>
          <w:sz w:val="16"/>
          <w:szCs w:val="16"/>
          <w:u w:val="single" w:color="auto"/>
          <w:color w:val="auto"/>
        </w:rPr>
        <w:t>Burdensome Agreements</w:t>
      </w:r>
      <w:r>
        <w:rPr>
          <w:rFonts w:ascii="Arial" w:cs="Arial" w:eastAsia="Arial" w:hAnsi="Arial"/>
          <w:sz w:val="16"/>
          <w:szCs w:val="16"/>
          <w:color w:val="auto"/>
        </w:rPr>
        <w:t>. Except as set forth in this Agreement and the other Loan Documents directly or indirectly, create or otherwise cause or suffer to exist or become effective any encumbrance or restriction on the ability of any Subsidiary to (a) make, directly or indirectly, any Capital Distribution to the Borrower, (b) make, directly or indirectly, loans or advances or capital contributions to the Borrower or (c) transfer, directly or indirectly, any of the properties or assets of such Subsidiary to the Borrower; except for such encumbrances or restrictions existing under or by reason of (i) applicable Law,</w:t>
      </w:r>
    </w:p>
    <w:p>
      <w:pPr>
        <w:spacing w:after="0" w:line="2" w:lineRule="exact"/>
        <w:rPr>
          <w:sz w:val="20"/>
          <w:szCs w:val="20"/>
          <w:color w:val="auto"/>
        </w:rPr>
      </w:pPr>
    </w:p>
    <w:p>
      <w:pPr>
        <w:ind w:left="280" w:hanging="272"/>
        <w:spacing w:after="0"/>
        <w:tabs>
          <w:tab w:leader="none" w:pos="2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customary non-assignment provisions in leases or other agreements entered in the ordinary course of business and consistent with past practices,</w:t>
      </w:r>
    </w:p>
    <w:p>
      <w:pPr>
        <w:spacing w:after="0" w:line="20" w:lineRule="exact"/>
        <w:rPr>
          <w:rFonts w:ascii="Arial" w:cs="Arial" w:eastAsia="Arial" w:hAnsi="Arial"/>
          <w:sz w:val="17"/>
          <w:szCs w:val="17"/>
          <w:color w:val="auto"/>
        </w:rPr>
      </w:pPr>
    </w:p>
    <w:p>
      <w:pPr>
        <w:ind w:right="40" w:firstLine="8"/>
        <w:spacing w:after="0" w:line="254" w:lineRule="auto"/>
        <w:tabs>
          <w:tab w:leader="none" w:pos="31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documents or instruments governing the New Notes or any permitted Refinancing Indebtedness in respect thereof or (iv) customary restrictions in agreements in connection with Qualified Receivables Transactions, consignment agreements, security agreements or mortgages permitted hereunder securing Indebtedness or Capitalized Leases permitted hereunder, of a Subsidiary to the extent such restrictions shall only restrict the transfer of the property subject to such security agreement, mortgage or lease.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74" w:right="239" w:bottom="1440" w:gutter="0" w:footer="0" w:header="0"/>
        </w:sectPr>
      </w:pPr>
    </w:p>
    <w:bookmarkStart w:id="135" w:name="page136"/>
    <w:bookmarkEnd w:id="1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7.10 </w:t>
      </w:r>
      <w:r>
        <w:rPr>
          <w:rFonts w:ascii="Arial" w:cs="Arial" w:eastAsia="Arial" w:hAnsi="Arial"/>
          <w:sz w:val="18"/>
          <w:szCs w:val="18"/>
          <w:u w:val="single" w:color="auto"/>
          <w:color w:val="auto"/>
        </w:rPr>
        <w:t>Use of Proceeds</w:t>
      </w:r>
      <w:r>
        <w:rPr>
          <w:rFonts w:ascii="Arial" w:cs="Arial" w:eastAsia="Arial" w:hAnsi="Arial"/>
          <w:sz w:val="18"/>
          <w:szCs w:val="18"/>
          <w:color w:val="auto"/>
        </w:rPr>
        <w:t>. Directly or indirectly, and whether immediately, incidentally or ultimately:</w:t>
      </w:r>
    </w:p>
    <w:p>
      <w:pPr>
        <w:spacing w:after="0" w:line="225" w:lineRule="exact"/>
        <w:rPr>
          <w:sz w:val="20"/>
          <w:szCs w:val="20"/>
          <w:color w:val="auto"/>
        </w:rPr>
      </w:pPr>
    </w:p>
    <w:p>
      <w:pPr>
        <w:ind w:right="60" w:firstLine="464"/>
        <w:spacing w:after="0" w:line="277" w:lineRule="auto"/>
        <w:tabs>
          <w:tab w:leader="none" w:pos="70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use the proceeds of any Borrowing, to purchase or carry margin stock (within the meaning of Regulation U of the FRB) or to extend credit to others for the purpose of purchasing or carrying margin stock or to refund indebtedness originally incurred for such purpose;</w:t>
      </w:r>
    </w:p>
    <w:p>
      <w:pPr>
        <w:spacing w:after="0" w:line="170" w:lineRule="exact"/>
        <w:rPr>
          <w:rFonts w:ascii="Arial" w:cs="Arial" w:eastAsia="Arial" w:hAnsi="Arial"/>
          <w:sz w:val="18"/>
          <w:szCs w:val="18"/>
          <w:color w:val="auto"/>
        </w:rPr>
      </w:pPr>
    </w:p>
    <w:p>
      <w:pPr>
        <w:ind w:right="20" w:firstLine="464"/>
        <w:spacing w:after="0" w:line="259" w:lineRule="auto"/>
        <w:tabs>
          <w:tab w:leader="none" w:pos="71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use the proceeds of any Borrowing,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or otherwise) of Sanctions; or</w:t>
      </w:r>
    </w:p>
    <w:p>
      <w:pPr>
        <w:spacing w:after="0" w:line="186" w:lineRule="exact"/>
        <w:rPr>
          <w:rFonts w:ascii="Arial" w:cs="Arial" w:eastAsia="Arial" w:hAnsi="Arial"/>
          <w:sz w:val="18"/>
          <w:szCs w:val="18"/>
          <w:color w:val="auto"/>
        </w:rPr>
      </w:pPr>
    </w:p>
    <w:p>
      <w:pPr>
        <w:ind w:left="700" w:hanging="236"/>
        <w:spacing w:after="0"/>
        <w:tabs>
          <w:tab w:leader="none" w:pos="7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use the proceeds of any Borrowing for any purpose which would breach any Anti-Corruption Laws.</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Amendments of Organization Documents</w:t>
      </w:r>
      <w:r>
        <w:rPr>
          <w:rFonts w:ascii="Arial" w:cs="Arial" w:eastAsia="Arial" w:hAnsi="Arial"/>
          <w:sz w:val="18"/>
          <w:szCs w:val="18"/>
          <w:color w:val="auto"/>
        </w:rPr>
        <w:t>. Amend its Organization Documents to change its name or state, province or other jurisdiction of organization, or otherwise amend its Organization Documents in a manner adverse to the Lenders, without the prior written consent of the Administrative Agent which consent shall not be unreasonably withheld.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u w:val="single" w:color="auto"/>
          <w:color w:val="auto"/>
        </w:rPr>
        <w:t>Accounting Changes</w:t>
      </w:r>
      <w:r>
        <w:rPr>
          <w:rFonts w:ascii="Arial" w:cs="Arial" w:eastAsia="Arial" w:hAnsi="Arial"/>
          <w:sz w:val="17"/>
          <w:szCs w:val="17"/>
          <w:color w:val="auto"/>
        </w:rPr>
        <w:t>. Make any change in (a) accounting policies or reporting practices, except as required by GAAP, or (b) fiscal year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Sanctions; FCPA</w:t>
      </w:r>
      <w:r>
        <w:rPr>
          <w:rFonts w:ascii="Arial" w:cs="Arial" w:eastAsia="Arial" w:hAnsi="Arial"/>
          <w:sz w:val="16"/>
          <w:szCs w:val="16"/>
          <w:color w:val="auto"/>
        </w:rPr>
        <w:t>. Directly or indirectly, use the proceeds of any Credit Extension, or lend, contribute or otherwise make available such proceeds:</w:t>
      </w:r>
    </w:p>
    <w:p>
      <w:pPr>
        <w:spacing w:after="0" w:line="248" w:lineRule="exact"/>
        <w:rPr>
          <w:sz w:val="20"/>
          <w:szCs w:val="20"/>
          <w:color w:val="auto"/>
        </w:rPr>
      </w:pPr>
    </w:p>
    <w:p>
      <w:pPr>
        <w:ind w:right="60" w:firstLine="464"/>
        <w:spacing w:after="0" w:line="259" w:lineRule="auto"/>
        <w:tabs>
          <w:tab w:leader="none" w:pos="70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L/C Issuer, Swing Line Lender, or otherwise) of Sanctions; or</w:t>
      </w:r>
    </w:p>
    <w:p>
      <w:pPr>
        <w:spacing w:after="0" w:line="186" w:lineRule="exact"/>
        <w:rPr>
          <w:rFonts w:ascii="Arial" w:cs="Arial" w:eastAsia="Arial" w:hAnsi="Arial"/>
          <w:sz w:val="18"/>
          <w:szCs w:val="18"/>
          <w:color w:val="auto"/>
        </w:rPr>
      </w:pPr>
    </w:p>
    <w:p>
      <w:pPr>
        <w:ind w:right="160" w:firstLine="464"/>
        <w:spacing w:after="0" w:line="264" w:lineRule="auto"/>
        <w:tabs>
          <w:tab w:leader="none" w:pos="71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7.14 </w:t>
      </w:r>
      <w:r>
        <w:rPr>
          <w:rFonts w:ascii="Arial" w:cs="Arial" w:eastAsia="Arial" w:hAnsi="Arial"/>
          <w:sz w:val="17"/>
          <w:szCs w:val="17"/>
          <w:u w:val="single" w:color="auto"/>
          <w:color w:val="auto"/>
        </w:rPr>
        <w:t>Financial Covenant.</w:t>
      </w:r>
      <w:r>
        <w:rPr>
          <w:rFonts w:ascii="Arial" w:cs="Arial" w:eastAsia="Arial" w:hAnsi="Arial"/>
          <w:sz w:val="17"/>
          <w:szCs w:val="17"/>
          <w:color w:val="auto"/>
        </w:rPr>
        <w:t xml:space="preserve"> For the benefit of the Revolving Credit Lenders, the Swing Line Lender and the L/C Issuers only (and the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Agent on their behalf), permit the Consolidated Net Leverage Ratio of the Borrower and its Subsidiaries as of the last day of any fiscal quarter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Borrower to exceed the Consolidated Net Leverage Ratio set forth in the applicable fiscal quarter below if the Aggregate Revolving Credit Exposure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(excluding any Revolving Credit Exposure in respect of any Letter of Credit (a) which has been cash collateralized in an amount equal to 103% or more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maximum stated amount of such Letter of Credit or (b) which remains undrawn,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Revolving Credit Exposure in respect of any such Letters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 Credit shall only be excluded to the extent the aggregate Revolving Credit Exposure of all such Letters of Credit excluded pursuant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does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exceed (i) from the Amendment and Restatement Effective Date through and including April 15, 2017, $15,000,000, and (ii) at all other times,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$5,000,000) outstanding as of the last day of such fiscal quarter exceeds an amount equal to 30% of the aggregate Revolving Credit Commitments as of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274" w:right="239" w:bottom="1440" w:gutter="0" w:footer="0" w:header="0"/>
        </w:sectPr>
      </w:pPr>
    </w:p>
    <w:bookmarkStart w:id="136" w:name="page137"/>
    <w:bookmarkEnd w:id="136"/>
    <w:tbl>
      <w:tblPr>
        <w:tblLayout w:type="fixed"/>
        <w:tblInd w:w="1840" w:type="dxa"/>
        <w:tblCellMar>
          <w:top w:w="0" w:type="dxa"/>
          <w:left w:w="0" w:type="dxa"/>
          <w:bottom w:w="0" w:type="dxa"/>
          <w:right w:w="0" w:type="dxa"/>
        </w:tblCellMar>
      </w:tblPr>
      <w:tr>
        <w:trPr>
          <w:trHeight w:val="18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Fiscal Quarter</w:t>
            </w:r>
          </w:p>
        </w:tc>
        <w:tc>
          <w:tcPr>
            <w:tcW w:w="4220" w:type="dxa"/>
            <w:vAlign w:val="bottom"/>
          </w:tcPr>
          <w:p>
            <w:pPr>
              <w:spacing w:after="0"/>
              <w:rPr>
                <w:sz w:val="16"/>
                <w:szCs w:val="16"/>
                <w:color w:val="auto"/>
              </w:rPr>
            </w:pPr>
          </w:p>
        </w:tc>
        <w:tc>
          <w:tcPr>
            <w:tcW w:w="2720" w:type="dxa"/>
            <w:vAlign w:val="bottom"/>
            <w:gridSpan w:val="2"/>
          </w:tcPr>
          <w:p>
            <w:pPr>
              <w:jc w:val="center"/>
              <w:ind w:left="688"/>
              <w:spacing w:after="0"/>
              <w:rPr>
                <w:sz w:val="20"/>
                <w:szCs w:val="20"/>
                <w:color w:val="auto"/>
              </w:rPr>
            </w:pPr>
            <w:r>
              <w:rPr>
                <w:rFonts w:ascii="Arial" w:cs="Arial" w:eastAsia="Arial" w:hAnsi="Arial"/>
                <w:sz w:val="14"/>
                <w:szCs w:val="14"/>
                <w:color w:val="auto"/>
                <w:w w:val="93"/>
              </w:rPr>
              <w:t>Consolidated Net Leverage Ratio</w:t>
            </w:r>
          </w:p>
        </w:tc>
      </w:tr>
      <w:tr>
        <w:trPr>
          <w:trHeight w:val="175"/>
        </w:trPr>
        <w:tc>
          <w:tcPr>
            <w:tcW w:w="50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September 30, 2015; December 31, 2015; March 31, 2016;</w:t>
            </w:r>
          </w:p>
        </w:tc>
        <w:tc>
          <w:tcPr>
            <w:tcW w:w="78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5.50 to 1.00</w:t>
            </w:r>
          </w:p>
        </w:tc>
      </w:tr>
      <w:tr>
        <w:trPr>
          <w:trHeight w:val="230"/>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June 30, 2016; September 30, 2016; December 31, 2016</w:t>
            </w:r>
          </w:p>
        </w:tc>
        <w:tc>
          <w:tcPr>
            <w:tcW w:w="7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02"/>
        </w:trPr>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rPr>
              <w:t>March 31, 2017; June 30, 2017; September 30, 2017;</w:t>
            </w:r>
          </w:p>
        </w:tc>
        <w:tc>
          <w:tcPr>
            <w:tcW w:w="780" w:type="dxa"/>
            <w:vAlign w:val="bottom"/>
          </w:tcPr>
          <w:p>
            <w:pPr>
              <w:spacing w:after="0"/>
              <w:rPr>
                <w:sz w:val="17"/>
                <w:szCs w:val="17"/>
                <w:color w:val="auto"/>
              </w:rPr>
            </w:pPr>
          </w:p>
        </w:tc>
        <w:tc>
          <w:tcPr>
            <w:tcW w:w="1940" w:type="dxa"/>
            <w:vAlign w:val="bottom"/>
          </w:tcPr>
          <w:p>
            <w:pPr>
              <w:jc w:val="center"/>
              <w:spacing w:after="0" w:line="201" w:lineRule="exact"/>
              <w:rPr>
                <w:sz w:val="20"/>
                <w:szCs w:val="20"/>
                <w:color w:val="auto"/>
              </w:rPr>
            </w:pPr>
            <w:r>
              <w:rPr>
                <w:rFonts w:ascii="Arial" w:cs="Arial" w:eastAsia="Arial" w:hAnsi="Arial"/>
                <w:sz w:val="18"/>
                <w:szCs w:val="18"/>
                <w:color w:val="auto"/>
                <w:w w:val="90"/>
              </w:rPr>
              <w:t>5.00 to 1.00</w:t>
            </w:r>
          </w:p>
        </w:tc>
      </w:tr>
      <w:tr>
        <w:trPr>
          <w:trHeight w:val="230"/>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December 31, 2017</w:t>
            </w:r>
          </w:p>
        </w:tc>
        <w:tc>
          <w:tcPr>
            <w:tcW w:w="7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02"/>
        </w:trPr>
        <w:tc>
          <w:tcPr>
            <w:tcW w:w="5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31, 2018; June 30, 2018; September 30, 2018;</w:t>
            </w:r>
          </w:p>
        </w:tc>
        <w:tc>
          <w:tcPr>
            <w:tcW w:w="78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4.50 to 1.00</w:t>
            </w:r>
          </w:p>
        </w:tc>
      </w:tr>
      <w:tr>
        <w:trPr>
          <w:trHeight w:val="230"/>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2018</w:t>
            </w:r>
          </w:p>
        </w:tc>
        <w:tc>
          <w:tcPr>
            <w:tcW w:w="7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March 31, 2019 and each fiscal quarter thereafter</w:t>
            </w:r>
          </w:p>
        </w:tc>
        <w:tc>
          <w:tcPr>
            <w:tcW w:w="78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4.00 to 1.00</w:t>
            </w: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spacing w:after="0" w:line="264" w:lineRule="auto"/>
        <w:rPr>
          <w:sz w:val="20"/>
          <w:szCs w:val="20"/>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and the definition of the term “Consolidated Net Leverage Ratio” and its constituent parts, in each case as used for purposes of this </w:t>
      </w:r>
      <w:r>
        <w:rPr>
          <w:rFonts w:ascii="Arial" w:cs="Arial" w:eastAsia="Arial" w:hAnsi="Arial"/>
          <w:sz w:val="18"/>
          <w:szCs w:val="18"/>
          <w:u w:val="single" w:color="auto"/>
          <w:color w:val="auto"/>
        </w:rPr>
        <w:t>Section 7.14</w:t>
      </w:r>
      <w:r>
        <w:rPr>
          <w:rFonts w:ascii="Arial" w:cs="Arial" w:eastAsia="Arial" w:hAnsi="Arial"/>
          <w:sz w:val="18"/>
          <w:szCs w:val="18"/>
          <w:color w:val="auto"/>
        </w:rPr>
        <w:t>, may only be amended, waived or otherwise modified with the prior written consent of the Required Revolving Lenders.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Restrictions Pertaining to Certain Indebtedness</w:t>
      </w:r>
      <w:r>
        <w:rPr>
          <w:rFonts w:ascii="Arial" w:cs="Arial" w:eastAsia="Arial" w:hAnsi="Arial"/>
          <w:sz w:val="18"/>
          <w:szCs w:val="18"/>
          <w:color w:val="auto"/>
        </w:rPr>
        <w:t>.</w:t>
      </w:r>
    </w:p>
    <w:p>
      <w:pPr>
        <w:spacing w:after="0" w:line="117" w:lineRule="exact"/>
        <w:rPr>
          <w:sz w:val="20"/>
          <w:szCs w:val="20"/>
          <w:color w:val="auto"/>
        </w:rPr>
      </w:pPr>
    </w:p>
    <w:p>
      <w:pPr>
        <w:ind w:right="60" w:firstLine="464"/>
        <w:spacing w:after="0" w:line="279" w:lineRule="auto"/>
        <w:tabs>
          <w:tab w:leader="none" w:pos="70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Permit any supplement, modification or amendment of the New Notes Documents if the effect of such supplement, modification or amendment as a whole would materially increase the obligations (including, without limitation, the pricing thereof) of the obligor or confer additional material rights on the holders of the Indebtedness outstanding thereunder in a manner that would be, or could reasonably be expected to be, materially detrimental to the Borrower or materially adverse to the interests of the Lenders, as determined in good faith by the Borrower.</w:t>
      </w:r>
    </w:p>
    <w:p>
      <w:pPr>
        <w:spacing w:after="0" w:line="171" w:lineRule="exact"/>
        <w:rPr>
          <w:rFonts w:ascii="Arial" w:cs="Arial" w:eastAsia="Arial" w:hAnsi="Arial"/>
          <w:sz w:val="17"/>
          <w:szCs w:val="17"/>
          <w:color w:val="auto"/>
        </w:rPr>
      </w:pPr>
    </w:p>
    <w:p>
      <w:pPr>
        <w:ind w:firstLine="464"/>
        <w:spacing w:after="0" w:line="259" w:lineRule="auto"/>
        <w:tabs>
          <w:tab w:leader="none" w:pos="71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Permit any supplement, modification or amendment in any manner of any term or condition of any Material Indebtedness Agreement, any Indebtedness set forth in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or any Indebtedness that is expressly subordinated in payment to the Obligations, except for (i) any permitted Refinancing Indebtedness thereof or (ii) amendments, modifications or changes that would not reasonably be expected to be materially adverse to the interests of the Lenders.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New Notes</w:t>
      </w:r>
      <w:r>
        <w:rPr>
          <w:rFonts w:ascii="Arial" w:cs="Arial" w:eastAsia="Arial" w:hAnsi="Arial"/>
          <w:sz w:val="18"/>
          <w:szCs w:val="18"/>
          <w:color w:val="auto"/>
        </w:rPr>
        <w:t>. Permit or give rise to any Indebtedness or obligation that will require the granting of a Lien to holders of the New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 AND REMEDIES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of the following shall constitute an Event of Default:</w:t>
      </w:r>
    </w:p>
    <w:p>
      <w:pPr>
        <w:spacing w:after="0" w:line="225" w:lineRule="exact"/>
        <w:rPr>
          <w:sz w:val="20"/>
          <w:szCs w:val="20"/>
          <w:color w:val="auto"/>
        </w:rPr>
      </w:pPr>
    </w:p>
    <w:p>
      <w:pPr>
        <w:ind w:right="100" w:firstLine="464"/>
        <w:spacing w:after="0" w:line="342" w:lineRule="auto"/>
        <w:tabs>
          <w:tab w:leader="none" w:pos="701"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If (a) the interest on any Loan or any Commitment or any other fee or other amount (other than the principal of any Loan) shall not be paid in full when due and payable or within five (5) Business Days thereafter, or (b) the principal of any Loan shall not be paid in full when due and payable;</w:t>
      </w:r>
    </w:p>
    <w:p>
      <w:pPr>
        <w:spacing w:after="0" w:line="231" w:lineRule="exact"/>
        <w:rPr>
          <w:rFonts w:ascii="Arial" w:cs="Arial" w:eastAsia="Arial" w:hAnsi="Arial"/>
          <w:sz w:val="16"/>
          <w:szCs w:val="16"/>
          <w:color w:val="auto"/>
        </w:rPr>
      </w:pPr>
    </w:p>
    <w:p>
      <w:pPr>
        <w:ind w:left="720" w:hanging="256"/>
        <w:spacing w:after="0"/>
        <w:tabs>
          <w:tab w:leader="none" w:pos="72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Special 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60" w:firstLine="443"/>
        <w:spacing w:after="0" w:line="277" w:lineRule="auto"/>
        <w:tabs>
          <w:tab w:leader="none" w:pos="111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If any Loan Party or Subsidiary thereof shall fail or omit to perform and observe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thereof), </w:t>
      </w:r>
      <w:r>
        <w:rPr>
          <w:rFonts w:ascii="Arial" w:cs="Arial" w:eastAsia="Arial" w:hAnsi="Arial"/>
          <w:sz w:val="18"/>
          <w:szCs w:val="18"/>
          <w:u w:val="single" w:color="auto"/>
          <w:color w:val="auto"/>
        </w:rPr>
        <w:t>6.15</w:t>
      </w:r>
      <w:r>
        <w:rPr>
          <w:rFonts w:ascii="Arial" w:cs="Arial" w:eastAsia="Arial" w:hAnsi="Arial"/>
          <w:sz w:val="18"/>
          <w:szCs w:val="18"/>
          <w:color w:val="auto"/>
        </w:rPr>
        <w:t xml:space="preserve">, </w:t>
      </w:r>
      <w:r>
        <w:rPr>
          <w:rFonts w:ascii="Arial" w:cs="Arial" w:eastAsia="Arial" w:hAnsi="Arial"/>
          <w:sz w:val="18"/>
          <w:szCs w:val="18"/>
          <w:u w:val="single" w:color="auto"/>
          <w:color w:val="auto"/>
        </w:rPr>
        <w:t>6.16</w:t>
      </w:r>
      <w:r>
        <w:rPr>
          <w:rFonts w:ascii="Arial" w:cs="Arial" w:eastAsia="Arial" w:hAnsi="Arial"/>
          <w:sz w:val="18"/>
          <w:szCs w:val="18"/>
          <w:color w:val="auto"/>
        </w:rPr>
        <w:t xml:space="preserve">, </w:t>
      </w:r>
      <w:r>
        <w:rPr>
          <w:rFonts w:ascii="Arial" w:cs="Arial" w:eastAsia="Arial" w:hAnsi="Arial"/>
          <w:sz w:val="18"/>
          <w:szCs w:val="18"/>
          <w:u w:val="single" w:color="auto"/>
          <w:color w:val="auto"/>
        </w:rPr>
        <w:t>6.17</w:t>
      </w:r>
      <w:r>
        <w:rPr>
          <w:rFonts w:ascii="Arial" w:cs="Arial" w:eastAsia="Arial" w:hAnsi="Arial"/>
          <w:sz w:val="18"/>
          <w:szCs w:val="18"/>
          <w:color w:val="auto"/>
        </w:rPr>
        <w:t xml:space="preserve">, </w:t>
      </w:r>
      <w:r>
        <w:rPr>
          <w:rFonts w:ascii="Arial" w:cs="Arial" w:eastAsia="Arial" w:hAnsi="Arial"/>
          <w:sz w:val="18"/>
          <w:szCs w:val="18"/>
          <w:u w:val="single" w:color="auto"/>
          <w:color w:val="auto"/>
        </w:rPr>
        <w:t>6.18</w:t>
      </w:r>
      <w:r>
        <w:rPr>
          <w:rFonts w:ascii="Arial" w:cs="Arial" w:eastAsia="Arial" w:hAnsi="Arial"/>
          <w:sz w:val="18"/>
          <w:szCs w:val="18"/>
          <w:color w:val="auto"/>
        </w:rPr>
        <w:t xml:space="preserve"> or any Section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 (other than </w:t>
      </w:r>
      <w:r>
        <w:rPr>
          <w:rFonts w:ascii="Arial" w:cs="Arial" w:eastAsia="Arial" w:hAnsi="Arial"/>
          <w:sz w:val="18"/>
          <w:szCs w:val="18"/>
          <w:u w:val="single" w:color="auto"/>
          <w:color w:val="auto"/>
        </w:rPr>
        <w:t>Section 7.14</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69" w:right="239" w:bottom="1440" w:gutter="0" w:footer="0" w:header="0"/>
        </w:sectPr>
      </w:pPr>
    </w:p>
    <w:bookmarkStart w:id="137" w:name="page138"/>
    <w:bookmarkEnd w:id="137"/>
    <w:p>
      <w:pPr>
        <w:ind w:left="460" w:firstLine="443"/>
        <w:spacing w:after="0" w:line="293" w:lineRule="auto"/>
        <w:tabs>
          <w:tab w:leader="none" w:pos="1163" w:val="left"/>
        </w:tabs>
        <w:numPr>
          <w:ilvl w:val="2"/>
          <w:numId w:val="1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Solely with respect to the Revolving Credit Lenders, the Swing Line Lender and the L/C Issuers (and the Administrative Agent on their behalf), and only so long as the Revolving Credit Commitments shall not have been terminated in accordance with terms hereof, the failure by the Borrower to comply with the covenant set forth in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(a “</w:t>
      </w:r>
      <w:r>
        <w:rPr>
          <w:rFonts w:ascii="Arial" w:cs="Arial" w:eastAsia="Arial" w:hAnsi="Arial"/>
          <w:sz w:val="16"/>
          <w:szCs w:val="16"/>
          <w:u w:val="single" w:color="auto"/>
          <w:color w:val="auto"/>
        </w:rPr>
        <w:t>Financial Covenant Event of Default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Financial Covenant Event of Default shall constitute an Event of Default with respect to the Term Lenders upon the Revolving Credit Lenders terminating the Revolving Credit Commitments or declaring all amounts outstanding with respect to the Revolving Loans or Swing Line Loans to be immediately due and payable in accordance with this Agreement as a result of a Financial Covenant Event of Default and only for so long as such declaration has not been rescinded;</w:t>
      </w:r>
    </w:p>
    <w:p>
      <w:pPr>
        <w:spacing w:after="0" w:line="164" w:lineRule="exact"/>
        <w:rPr>
          <w:rFonts w:ascii="Arial" w:cs="Arial" w:eastAsia="Arial" w:hAnsi="Arial"/>
          <w:sz w:val="16"/>
          <w:szCs w:val="16"/>
          <w:color w:val="auto"/>
        </w:rPr>
      </w:pPr>
    </w:p>
    <w:p>
      <w:pPr>
        <w:ind w:right="140" w:firstLine="464"/>
        <w:spacing w:after="0" w:line="297" w:lineRule="auto"/>
        <w:tabs>
          <w:tab w:leader="none" w:pos="701"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Other Covenants</w:t>
      </w:r>
      <w:r>
        <w:rPr>
          <w:rFonts w:ascii="Arial" w:cs="Arial" w:eastAsia="Arial" w:hAnsi="Arial"/>
          <w:sz w:val="16"/>
          <w:szCs w:val="16"/>
          <w:color w:val="auto"/>
        </w:rPr>
        <w:t xml:space="preserve">. If any Loan Party or Subsidiary thereof shall fail or omit to perform and observe any covenant, agreement or other provision (other than those referred to in </w:t>
      </w:r>
      <w:r>
        <w:rPr>
          <w:rFonts w:ascii="Arial" w:cs="Arial" w:eastAsia="Arial" w:hAnsi="Arial"/>
          <w:sz w:val="16"/>
          <w:szCs w:val="16"/>
          <w:u w:val="single" w:color="auto"/>
          <w:color w:val="auto"/>
        </w:rPr>
        <w:t>Sections 8.01(a)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8.01(b)</w:t>
      </w:r>
      <w:r>
        <w:rPr>
          <w:rFonts w:ascii="Arial" w:cs="Arial" w:eastAsia="Arial" w:hAnsi="Arial"/>
          <w:sz w:val="16"/>
          <w:szCs w:val="16"/>
          <w:color w:val="auto"/>
        </w:rPr>
        <w:t xml:space="preserve"> hereof) contained or referred to in this Agreement or any other Loan Document that is on such Loan Party’s or Subsidiary’s part to be complied with, and that failure or omission shall not have been fully corrected within thirty (30) days after the earlier of (i) any Financial Officer of such Loan Party or Subsidiary, as applicable, becomes aware of the occurrence thereof, or (ii) the giving of written notice thereof to the Borrower by the Administrative Agent or the Required Lenders that the specified failure or omission is to be remedied;</w:t>
      </w:r>
    </w:p>
    <w:p>
      <w:pPr>
        <w:spacing w:after="0" w:line="158" w:lineRule="exact"/>
        <w:rPr>
          <w:rFonts w:ascii="Arial" w:cs="Arial" w:eastAsia="Arial" w:hAnsi="Arial"/>
          <w:sz w:val="16"/>
          <w:szCs w:val="16"/>
          <w:color w:val="auto"/>
        </w:rPr>
      </w:pPr>
    </w:p>
    <w:p>
      <w:pPr>
        <w:ind w:right="40" w:firstLine="464"/>
        <w:spacing w:after="0" w:line="279" w:lineRule="auto"/>
        <w:tabs>
          <w:tab w:leader="none" w:pos="711" w:val="left"/>
        </w:tabs>
        <w:numPr>
          <w:ilvl w:val="1"/>
          <w:numId w:val="171"/>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If any representation, warranty or statement made in or pursuant to this Agreement or any other Loan Document or any other material information furnished by any Loan Party or Subsidiary thereof to the Administrative Agent or the Lenders, or any thereof, or any other holder of any Note, shall be false or erroneous in any material respect (or, if any such representation, warranty or statement is by its terms qualified by concepts of materiality or reference to Material Adverse Effect, such representation, warranty or statement in any respect);</w:t>
      </w:r>
    </w:p>
    <w:p>
      <w:pPr>
        <w:spacing w:after="0" w:line="171" w:lineRule="exact"/>
        <w:rPr>
          <w:rFonts w:ascii="Arial" w:cs="Arial" w:eastAsia="Arial" w:hAnsi="Arial"/>
          <w:sz w:val="17"/>
          <w:szCs w:val="17"/>
          <w:color w:val="auto"/>
        </w:rPr>
      </w:pPr>
    </w:p>
    <w:p>
      <w:pPr>
        <w:ind w:right="240" w:firstLine="464"/>
        <w:spacing w:after="0" w:line="257" w:lineRule="auto"/>
        <w:tabs>
          <w:tab w:leader="none" w:pos="701"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Cross Default</w:t>
      </w:r>
      <w:r>
        <w:rPr>
          <w:rFonts w:ascii="Arial" w:cs="Arial" w:eastAsia="Arial" w:hAnsi="Arial"/>
          <w:sz w:val="18"/>
          <w:szCs w:val="18"/>
          <w:color w:val="auto"/>
        </w:rPr>
        <w:t>. If any Loan Party or any Subsidiary shall default in (i) the payment of any amount due and owing with respect to any Material Indebtedness Agreement beyond any period of grace provided with respect thereto or (ii) the performance or observance of any other agreement, term or condition contained in any agreement under which such obligation is created, if the effect of such default is to allow the acceleration of the maturity of any Indebtedness under any Material Indebtedness Agreement or to permit the holder thereof to cause such Indebtedness to become due prior to its stated maturity;</w:t>
      </w:r>
    </w:p>
    <w:p>
      <w:pPr>
        <w:spacing w:after="0" w:line="188" w:lineRule="exact"/>
        <w:rPr>
          <w:rFonts w:ascii="Arial" w:cs="Arial" w:eastAsia="Arial" w:hAnsi="Arial"/>
          <w:sz w:val="18"/>
          <w:szCs w:val="18"/>
          <w:color w:val="auto"/>
        </w:rPr>
      </w:pPr>
    </w:p>
    <w:p>
      <w:pPr>
        <w:jc w:val="both"/>
        <w:ind w:right="140" w:firstLine="464"/>
        <w:spacing w:after="0" w:line="259" w:lineRule="auto"/>
        <w:tabs>
          <w:tab w:leader="none" w:pos="681"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ERISA Default</w:t>
      </w:r>
      <w:r>
        <w:rPr>
          <w:rFonts w:ascii="Arial" w:cs="Arial" w:eastAsia="Arial" w:hAnsi="Arial"/>
          <w:sz w:val="18"/>
          <w:szCs w:val="18"/>
          <w:color w:val="auto"/>
        </w:rPr>
        <w:t xml:space="preserve">. The occurrence of one or more ERISA Events that (a) the Required Lenders determine, either individually or in the aggregate, has or would reasonably be expected to have a Material Adverse Effect, or (b) results in a Lien on any of the assets of any Loan Party or any Subsidiary thereof and such Lien is not released within thirty (30)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adequate reserves have been established in accordance with GAAP with respect to such Lien;</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If any Change in Control shall occur;</w:t>
      </w:r>
    </w:p>
    <w:p>
      <w:pPr>
        <w:spacing w:after="0" w:line="225" w:lineRule="exact"/>
        <w:rPr>
          <w:rFonts w:ascii="Arial" w:cs="Arial" w:eastAsia="Arial" w:hAnsi="Arial"/>
          <w:sz w:val="18"/>
          <w:szCs w:val="18"/>
          <w:color w:val="auto"/>
        </w:rPr>
      </w:pPr>
    </w:p>
    <w:p>
      <w:pPr>
        <w:ind w:right="40" w:firstLine="464"/>
        <w:spacing w:after="0" w:line="291" w:lineRule="auto"/>
        <w:tabs>
          <w:tab w:leader="none" w:pos="711"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(i) A final judgment or order for the payment of money shall be rendered against any Loan Party or any Subsidiary thereof by a court of competent jurisdiction, that remains unpaid or unstayed and undischarged for a period (during which execution shall not be effectively stayed) of thirty</w:t>
      </w:r>
    </w:p>
    <w:p>
      <w:pPr>
        <w:ind w:left="360" w:hanging="352"/>
        <w:spacing w:after="0"/>
        <w:tabs>
          <w:tab w:leader="none" w:pos="3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days after the date on which the right to appeal has expired and the aggregate of all such judgments, for all such Loan Parties or Subsidiaries, shall</w:t>
      </w:r>
    </w:p>
    <w:p>
      <w:pPr>
        <w:spacing w:after="0" w:line="32" w:lineRule="exact"/>
        <w:rPr>
          <w:rFonts w:ascii="Arial" w:cs="Arial" w:eastAsia="Arial" w:hAnsi="Arial"/>
          <w:sz w:val="16"/>
          <w:szCs w:val="16"/>
          <w:color w:val="auto"/>
        </w:rPr>
      </w:pPr>
    </w:p>
    <w:p>
      <w:pPr>
        <w:jc w:val="both"/>
        <w:ind w:right="160"/>
        <w:spacing w:after="0" w:line="255" w:lineRule="auto"/>
        <w:rPr>
          <w:rFonts w:ascii="Arial" w:cs="Arial" w:eastAsia="Arial" w:hAnsi="Arial"/>
          <w:sz w:val="16"/>
          <w:szCs w:val="16"/>
          <w:color w:val="auto"/>
        </w:rPr>
      </w:pPr>
      <w:r>
        <w:rPr>
          <w:rFonts w:ascii="Arial" w:cs="Arial" w:eastAsia="Arial" w:hAnsi="Arial"/>
          <w:sz w:val="18"/>
          <w:szCs w:val="18"/>
          <w:color w:val="auto"/>
        </w:rPr>
        <w:t>exceed $30,000,000 (to the extent not covered by independent third-party insurance as to which the insurer is rated at least “A” by A.M. Best Company, has been notified of the potential claim and does not dispute coverage) or (ii) any one or more non-monetary final judgments or orders shall be rendered against any Loan Party or any Subsidiary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274" w:right="259" w:bottom="1440" w:gutter="0" w:footer="0" w:header="0"/>
        </w:sectPr>
      </w:pPr>
    </w:p>
    <w:bookmarkStart w:id="138" w:name="page139"/>
    <w:bookmarkEnd w:id="138"/>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by a court of competent jurisdiction that have, or would reasonably be expected to have, individually or in the aggregate, a Material Adverse Effect and, in either case, (1) enforcement proceedings are commenced by any creditor upon such judgment or order, or (2) there is a period of 10 consecutive days during which a stay of enforcement of such judgment, by reason of a pending appeal or otherwise, is not in effect;</w:t>
      </w:r>
    </w:p>
    <w:p>
      <w:pPr>
        <w:spacing w:after="0" w:line="274" w:lineRule="exact"/>
        <w:rPr>
          <w:sz w:val="20"/>
          <w:szCs w:val="20"/>
          <w:color w:val="auto"/>
        </w:rPr>
      </w:pPr>
    </w:p>
    <w:p>
      <w:pPr>
        <w:ind w:left="680" w:hanging="216"/>
        <w:spacing w:after="0"/>
        <w:tabs>
          <w:tab w:leader="none" w:pos="68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Validity of the Loan Documents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right="200" w:firstLine="443"/>
        <w:spacing w:after="0" w:line="257" w:lineRule="auto"/>
        <w:tabs>
          <w:tab w:leader="none" w:pos="1113"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If any Lien granted in this Agreement or any other Loan Document in favor of the Administrative Agent shall be determined to be (i) void, voidable or invalid, or is subordinated or not otherwise given the priority contemplated by this Agreement and the Borrower has (or the appropriate Loan Party has) failed to promptly execute appropriate documents to correct such matters, or (ii) unperfected as to any material amount of Collateral (as determined by the Administrative Agent, in its reasonable discretion) and the Borrower has (or the appropriate Loan Party has) failed to promptly execute appropriate documents to correct such matters;</w:t>
      </w:r>
    </w:p>
    <w:p>
      <w:pPr>
        <w:spacing w:after="0" w:line="80" w:lineRule="exact"/>
        <w:rPr>
          <w:rFonts w:ascii="Arial" w:cs="Arial" w:eastAsia="Arial" w:hAnsi="Arial"/>
          <w:sz w:val="18"/>
          <w:szCs w:val="18"/>
          <w:color w:val="auto"/>
        </w:rPr>
      </w:pPr>
    </w:p>
    <w:p>
      <w:pPr>
        <w:ind w:left="460" w:firstLine="443"/>
        <w:spacing w:after="0" w:line="259" w:lineRule="auto"/>
        <w:tabs>
          <w:tab w:leader="none" w:pos="1163"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The validity, binding effect or enforceability of any Loan Document against any Loan Party shall be contested by any Loan Party; (B) any Loan Party shall deny that it has any or further liability or obligation under any Loan Document; or (C) any Loan Document shall be terminated, invalidated or set aside, or be declared ineffective or inoperative or in any way cease to give or provide to the Administrative Agent or the Lenders the benefits purported to be created thereby;</w:t>
      </w:r>
    </w:p>
    <w:p>
      <w:pPr>
        <w:spacing w:after="0" w:line="187" w:lineRule="exact"/>
        <w:rPr>
          <w:sz w:val="20"/>
          <w:szCs w:val="20"/>
          <w:color w:val="auto"/>
        </w:rPr>
      </w:pPr>
    </w:p>
    <w:p>
      <w:pPr>
        <w:ind w:right="60" w:firstLine="464"/>
        <w:spacing w:after="0" w:line="283" w:lineRule="auto"/>
        <w:tabs>
          <w:tab w:leader="none" w:pos="671"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Bankruptcy and Solvency</w:t>
      </w:r>
      <w:r>
        <w:rPr>
          <w:rFonts w:ascii="Arial" w:cs="Arial" w:eastAsia="Arial" w:hAnsi="Arial"/>
          <w:sz w:val="16"/>
          <w:szCs w:val="16"/>
          <w:color w:val="auto"/>
        </w:rPr>
        <w:t xml:space="preserve">. If any Loan Party or any Subsidiary thereof (other than an Inactive Subsidiary or Immaterial Subsidiary) shall (1) except as permitted pursuant to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hereof, discontinue business, (2) generally not pay its debts as such debts become due, (3) make a general assignment for the benefit of creditors, (4) apply for or consent to the appointment of an interim receiver, a receiver, a receiver and manager, an interim examiner, an examiner, an administrator, sequestrator, monitor, a custodian, a trustee, an interim trustee or liquidator of all or a substantial part of its assets or of such Person, (5) be adjudicated a debtor or insolvent or have entered against it an order for relief under any Debtor Relief Law, whether or not foreign, federal, state or provincial, in any applicable jurisdiction, now or hereafter existing, as any of the foregoing may be amended from time to time, or other applicable statute for jurisdictions outside of the United States, as the case may be, (6) file a voluntary petition in bankruptcy, or file a petition for the appointment of an interim examiner or examiner, or file a proposal or notice of intention to file a proposal or have an involuntary proceeding filed against it and the same shall continue undismissed for a period of sixty (60) days from commencement of such proceeding or case, or file a petition or an answer or an application or a proposal seeking reorganization or an arrangement with creditors or seeking to take advantage of any other law (whether federal, provincial or state, or, if applicable, other jurisdiction) relating 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(7) suffer or permit to continue unstayed and in effect for sixty (60) consecutive days any judgment, decree or order entered by a court of competent jurisdiction, that approves a petition or an application or a proposal seeking its reorganization or appoints an interim receiver, a receiver and manager, an interim examiner, an examiner, an administrator, custodian, trustee, interim trustee or liquidator of all or a substantial part of its assets, or of such Person,</w:t>
      </w:r>
    </w:p>
    <w:p>
      <w:pPr>
        <w:spacing w:after="0" w:line="1" w:lineRule="exact"/>
        <w:rPr>
          <w:rFonts w:ascii="Arial" w:cs="Arial" w:eastAsia="Arial" w:hAnsi="Arial"/>
          <w:sz w:val="16"/>
          <w:szCs w:val="16"/>
          <w:color w:val="auto"/>
        </w:rPr>
      </w:pPr>
    </w:p>
    <w:p>
      <w:pPr>
        <w:ind w:right="60" w:firstLine="8"/>
        <w:spacing w:after="0" w:line="254" w:lineRule="auto"/>
        <w:tabs>
          <w:tab w:leader="none" w:pos="2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have an administrative receiver, receiver or examiner appointed over the whole or substantially the whole of its assets, or of such Person, (9) take, or omit to take, any action in order thereby to effect any of the foregoing assets, the value of which is less than its liabilities (taking into account prospective and contingent liabilities), or (10) have a moratorium declared in respect of any of its Indebtedness, or any analogous procedure or step is taken in any jurisdiction; or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274" w:right="259" w:bottom="1440" w:gutter="0" w:footer="0" w:header="0"/>
        </w:sectPr>
      </w:pPr>
    </w:p>
    <w:bookmarkStart w:id="139" w:name="page140"/>
    <w:bookmarkEnd w:id="139"/>
    <w:p>
      <w:pPr>
        <w:ind w:right="260" w:firstLine="464"/>
        <w:spacing w:after="0" w:line="259" w:lineRule="auto"/>
        <w:tabs>
          <w:tab w:leader="none" w:pos="711"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Senior Debt Status</w:t>
      </w:r>
      <w:r>
        <w:rPr>
          <w:rFonts w:ascii="Arial" w:cs="Arial" w:eastAsia="Arial" w:hAnsi="Arial"/>
          <w:sz w:val="18"/>
          <w:szCs w:val="18"/>
          <w:color w:val="auto"/>
        </w:rPr>
        <w:t>. The Obligations of each Loan Party under this Agreement and each of the other Loan Documents shall fail to (i) rank at least pari passu in right of payment with the other material senior Indebtedness of the Loan Parties or (ii) be designated as “Senior Indebtedness”, “Designated Senior Debt” or such similar term under all instruments and documents relating to all Subordinated Indebtedness and all senior unsecured Indebtedness of such Person.</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If any Event of Default occurs and is continuing, the Administrative Agent shall, at the request of, or may, with the consent of, the Required Lenders (or in the event of a Financial Covenant Event of Default, the Required Revolving Lenders), take any or all of the following actions:</w:t>
      </w:r>
    </w:p>
    <w:p>
      <w:pPr>
        <w:spacing w:after="0" w:line="181" w:lineRule="exact"/>
        <w:rPr>
          <w:sz w:val="20"/>
          <w:szCs w:val="20"/>
          <w:color w:val="auto"/>
        </w:rPr>
      </w:pPr>
    </w:p>
    <w:p>
      <w:pPr>
        <w:ind w:right="520" w:firstLine="464"/>
        <w:spacing w:after="0" w:line="277" w:lineRule="auto"/>
        <w:tabs>
          <w:tab w:leader="none" w:pos="70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any L/C Issuer to make L/C Credit Extensions to be terminated, whereupon such commitments and obligation shall be terminated;</w:t>
      </w:r>
    </w:p>
    <w:p>
      <w:pPr>
        <w:spacing w:after="0" w:line="170" w:lineRule="exact"/>
        <w:rPr>
          <w:rFonts w:ascii="Arial" w:cs="Arial" w:eastAsia="Arial" w:hAnsi="Arial"/>
          <w:sz w:val="18"/>
          <w:szCs w:val="18"/>
          <w:color w:val="auto"/>
        </w:rPr>
      </w:pPr>
    </w:p>
    <w:p>
      <w:pPr>
        <w:ind w:right="320" w:firstLine="464"/>
        <w:spacing w:after="0" w:line="264" w:lineRule="auto"/>
        <w:tabs>
          <w:tab w:leader="none" w:pos="71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require that the Borrower Cash Collateralize the L/C Obligations (in an amount equal to the Minimum Collateral Amount with respect thereto); and</w:t>
      </w:r>
    </w:p>
    <w:p>
      <w:pPr>
        <w:spacing w:after="0" w:line="248" w:lineRule="exact"/>
        <w:rPr>
          <w:rFonts w:ascii="Arial" w:cs="Arial" w:eastAsia="Arial" w:hAnsi="Arial"/>
          <w:sz w:val="16"/>
          <w:szCs w:val="16"/>
          <w:color w:val="auto"/>
        </w:rPr>
      </w:pPr>
    </w:p>
    <w:p>
      <w:pPr>
        <w:ind w:right="80" w:firstLine="464"/>
        <w:spacing w:after="0" w:line="277" w:lineRule="auto"/>
        <w:tabs>
          <w:tab w:leader="none" w:pos="71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exercise on behalf of itself and the Lenders, the L/C Issuers, the Cash Management Banks and the Hedge Banks all rights and remedies available to it and the Lenders, the L/C Issuers, the Cash Management Banks and the Hedge Banks under the Loan Documents;</w:t>
      </w:r>
    </w:p>
    <w:p>
      <w:pPr>
        <w:spacing w:after="0" w:line="170"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upon the occurrence of an Event of Default described in </w:t>
      </w:r>
      <w:r>
        <w:rPr>
          <w:rFonts w:ascii="Arial" w:cs="Arial" w:eastAsia="Arial" w:hAnsi="Arial"/>
          <w:sz w:val="16"/>
          <w:szCs w:val="16"/>
          <w:u w:val="single" w:color="auto"/>
          <w:color w:val="auto"/>
        </w:rPr>
        <w:t>Section 8.01(j)</w:t>
      </w:r>
      <w:r>
        <w:rPr>
          <w:rFonts w:ascii="Arial" w:cs="Arial" w:eastAsia="Arial" w:hAnsi="Arial"/>
          <w:sz w:val="16"/>
          <w:szCs w:val="16"/>
          <w:color w:val="auto"/>
        </w:rPr>
        <w:t xml:space="preserve">,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upon the occurrence of a Financial Covenant Event of Default, and at any time thereafter during the continuance of such event, the Administrative Agent may, and at the request of the Required Revolving Lenders, shall, by notice to the Borrower, take any of the following actions, at the same or different times:</w:t>
      </w:r>
    </w:p>
    <w:p>
      <w:pPr>
        <w:spacing w:after="0" w:line="5" w:lineRule="exact"/>
        <w:rPr>
          <w:sz w:val="20"/>
          <w:szCs w:val="20"/>
          <w:color w:val="auto"/>
        </w:rPr>
      </w:pPr>
    </w:p>
    <w:p>
      <w:pPr>
        <w:ind w:firstLine="8"/>
        <w:spacing w:after="0" w:line="290" w:lineRule="auto"/>
        <w:tabs>
          <w:tab w:leader="none" w:pos="25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terminate the Revolving Credit Commitments, the L/C Commitment and the Swing Line Commitment, and thereupon the Revolving Credit Commitments, the L/C Commitment and the Swing Line Commitment shall terminate immediately and (y) declare the Revolving Loans, L/C Exposure and Swing Line Exposure then outstanding to be due and payable in whole (or in part, in which case any principal not so declared to be due and payable may thereafter be declared to be due and payable), and thereupon the principal of the Revolving Loans, L/C Exposure and Swing Line Exposure so declared to be due and payable, together with accrued interest thereon and all fees and other obligations relating thereto of the Borrower accrued hereunder, shall become due and payable immediately, without presentment, demand, protest or other notice of any kind, all of which are hereby waived by the Borrower.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74" w:right="239" w:bottom="1440" w:gutter="0" w:footer="0" w:header="0"/>
        </w:sectPr>
      </w:pPr>
    </w:p>
    <w:bookmarkStart w:id="140" w:name="page141"/>
    <w:bookmarkEnd w:id="140"/>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8.03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 xml:space="preserve">. 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2.16</w:t>
      </w:r>
      <w:r>
        <w:rPr>
          <w:rFonts w:ascii="Arial" w:cs="Arial" w:eastAsia="Arial" w:hAnsi="Arial"/>
          <w:sz w:val="18"/>
          <w:szCs w:val="18"/>
          <w:color w:val="auto"/>
        </w:rPr>
        <w:t>, be applied by the Administrative Agent in the following order:</w:t>
      </w:r>
    </w:p>
    <w:p>
      <w:pPr>
        <w:spacing w:after="0" w:line="18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124"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(including fees and time charges for attorneys who may be employees of any Lender or any L/C Issuer)) arising under the Loan Documents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ratably among them in proportion to the respective amounts described in this </w:t>
      </w:r>
      <w:r>
        <w:rPr>
          <w:rFonts w:ascii="Arial" w:cs="Arial" w:eastAsia="Arial" w:hAnsi="Arial"/>
          <w:sz w:val="16"/>
          <w:szCs w:val="16"/>
          <w:u w:val="single" w:color="auto"/>
          <w:color w:val="auto"/>
        </w:rPr>
        <w:t>clause Second</w:t>
      </w:r>
      <w:r>
        <w:rPr>
          <w:rFonts w:ascii="Arial" w:cs="Arial" w:eastAsia="Arial" w:hAnsi="Arial"/>
          <w:sz w:val="16"/>
          <w:szCs w:val="16"/>
          <w:color w:val="auto"/>
        </w:rPr>
        <w:t xml:space="preserve"> payable to them;</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w:t>
      </w:r>
      <w:r>
        <w:rPr>
          <w:rFonts w:ascii="Arial" w:cs="Arial" w:eastAsia="Arial" w:hAnsi="Arial"/>
          <w:sz w:val="18"/>
          <w:szCs w:val="18"/>
          <w:u w:val="single" w:color="auto"/>
          <w:color w:val="auto"/>
        </w:rPr>
        <w:t>clause Third</w:t>
      </w:r>
      <w:r>
        <w:rPr>
          <w:rFonts w:ascii="Arial" w:cs="Arial" w:eastAsia="Arial" w:hAnsi="Arial"/>
          <w:sz w:val="18"/>
          <w:szCs w:val="18"/>
          <w:color w:val="auto"/>
        </w:rPr>
        <w:t xml:space="preserve"> payable to them;</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L/C Borrowings and Obligations then owing under Secured Hedge Agreements and Secured Cash Management Agreements, ratably among the Lenders, the L/C Issuers, the Hedge Banks and the Cash Management Banks in proportion to the respective amounts described in this </w:t>
      </w:r>
      <w:r>
        <w:rPr>
          <w:rFonts w:ascii="Arial" w:cs="Arial" w:eastAsia="Arial" w:hAnsi="Arial"/>
          <w:sz w:val="18"/>
          <w:szCs w:val="18"/>
          <w:u w:val="single" w:color="auto"/>
          <w:color w:val="auto"/>
        </w:rPr>
        <w:t>clause Fourth</w:t>
      </w:r>
      <w:r>
        <w:rPr>
          <w:rFonts w:ascii="Arial" w:cs="Arial" w:eastAsia="Arial" w:hAnsi="Arial"/>
          <w:sz w:val="18"/>
          <w:szCs w:val="18"/>
          <w:color w:val="auto"/>
        </w:rPr>
        <w:t xml:space="preserve"> held by them;</w:t>
      </w:r>
    </w:p>
    <w:p>
      <w:pPr>
        <w:spacing w:after="0" w:line="18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Administrative Agent for the account of the L/C Issuers, to Cash Collateralize that portion of L/C Obligations comprised of the aggregate undrawn amount of Letters of Credit to the extent not otherwise Cash Collateralized by the Borrower pursuant to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and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Borrower or as otherwise required by Law.</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amounts used to Cash Collateralize the aggregate undrawn amount of Letters of Credit pursuant to </w:t>
      </w:r>
      <w:r>
        <w:rPr>
          <w:rFonts w:ascii="Arial" w:cs="Arial" w:eastAsia="Arial" w:hAnsi="Arial"/>
          <w:sz w:val="16"/>
          <w:szCs w:val="16"/>
          <w:u w:val="single" w:color="auto"/>
          <w:color w:val="auto"/>
        </w:rPr>
        <w:t>clause Fifth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hereof for itself and its Affiliates as if a “Lender” party hereto.</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274" w:right="27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Appointment of the Administrative Agent.</w:t>
      </w:r>
      <w:r>
        <w:rPr>
          <w:rFonts w:ascii="Arial" w:cs="Arial" w:eastAsia="Arial" w:hAnsi="Arial"/>
          <w:sz w:val="18"/>
          <w:szCs w:val="18"/>
          <w:color w:val="auto"/>
        </w:rPr>
        <w:t xml:space="preserve"> (a) Each Lender and L/C Issuer irrevocably appoints SunTrust Bank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sub-agent or attorney-in-fact may perform any and all of its duties and exercise its rights and powers through their respective Related Parties. The exculpatory provisions set forth in this Article shall apply to any such sub-agent, attorney-in-fact or Related Party and shall apply to their respective activities in connection with the syndication of the credit facilities provided for herein as well as activities as the Administrative Agent.</w:t>
      </w:r>
    </w:p>
    <w:p>
      <w:pPr>
        <w:spacing w:after="0" w:line="192" w:lineRule="exact"/>
        <w:rPr>
          <w:sz w:val="20"/>
          <w:szCs w:val="20"/>
          <w:color w:val="auto"/>
        </w:rPr>
      </w:pPr>
    </w:p>
    <w:p>
      <w:pPr>
        <w:ind w:right="60" w:firstLine="464"/>
        <w:spacing w:after="0" w:line="285" w:lineRule="auto"/>
        <w:tabs>
          <w:tab w:leader="none" w:pos="71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Administrative Agent shall also act as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under the Loan Documents, and each of the Lenders (including in its capacities as a potential Hedge Bank and a potential Cash Management Bank) and each L/C Issuer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w:t>
      </w:r>
    </w:p>
    <w:p>
      <w:pPr>
        <w:spacing w:after="0" w:line="2" w:lineRule="exact"/>
        <w:rPr>
          <w:rFonts w:ascii="Arial" w:cs="Arial" w:eastAsia="Arial" w:hAnsi="Arial"/>
          <w:sz w:val="16"/>
          <w:szCs w:val="16"/>
          <w:color w:val="auto"/>
        </w:rPr>
      </w:pPr>
    </w:p>
    <w:p>
      <w:pPr>
        <w:ind w:right="60"/>
        <w:spacing w:after="0" w:line="254" w:lineRule="auto"/>
        <w:rPr>
          <w:rFonts w:ascii="Arial" w:cs="Arial" w:eastAsia="Arial" w:hAnsi="Arial"/>
          <w:sz w:val="16"/>
          <w:szCs w:val="16"/>
          <w:color w:val="auto"/>
        </w:rPr>
      </w:pP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10.04(c)</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19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9.02 </w:t>
      </w:r>
      <w:r>
        <w:rPr>
          <w:rFonts w:ascii="Arial" w:cs="Arial" w:eastAsia="Arial" w:hAnsi="Arial"/>
          <w:sz w:val="17"/>
          <w:szCs w:val="17"/>
          <w:u w:val="single" w:color="auto"/>
          <w:color w:val="auto"/>
        </w:rPr>
        <w:t>Nature of Duties of the Administrative Agent</w:t>
      </w:r>
      <w:r>
        <w:rPr>
          <w:rFonts w:ascii="Arial" w:cs="Arial" w:eastAsia="Arial" w:hAnsi="Arial"/>
          <w:sz w:val="17"/>
          <w:szCs w:val="17"/>
          <w:color w:val="auto"/>
        </w:rPr>
        <w:t xml:space="preserve">. The Administrative Agent shall not have any duties or obligations except those expressly set forth in this Agreement and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expressly contemplated by the Loan Documents that the Administrative Agent is required to exercise in writing by the Required Lenders (or such other number or percentage of the Lenders as shall be necessary under the circumstances as provided in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in the Loan Documents, the Administrative Agent shall not have any duty to disclose, and shall not be liable for the failure to disclose, any information relating to the Borrower or any of its Subsidiaries that is communicated to or obtained by the Administrative Agent or any of its Affiliates in any capacity. The Administrative Agent shall not be liable for any action taken or not taken by it, its sub-agents or its attorneys-in-fact with the consent or at the request of the Required Lenders (or such other number or percentage of the Lenders as shall be necessary under the circumstances as provided in </w:t>
      </w:r>
      <w:r>
        <w:rPr>
          <w:rFonts w:ascii="Arial" w:cs="Arial" w:eastAsia="Arial" w:hAnsi="Arial"/>
          <w:sz w:val="17"/>
          <w:szCs w:val="17"/>
          <w:u w:val="single" w:color="auto"/>
          <w:color w:val="auto"/>
        </w:rPr>
        <w:t>Section 10.02</w:t>
      </w:r>
      <w:r>
        <w:rPr>
          <w:rFonts w:ascii="Arial" w:cs="Arial" w:eastAsia="Arial" w:hAnsi="Arial"/>
          <w:sz w:val="17"/>
          <w:szCs w:val="17"/>
          <w:color w:val="auto"/>
        </w:rPr>
        <w:t>) or in the absence of its own gross negligence or willful misconduct. The Administrative Agent shall not be responsible for the negligence or misconduct of any sub-agents or attorneys-in-fact selected by it with reasonable care. The Administrative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74" w:right="239" w:bottom="1440" w:gutter="0" w:footer="0" w:header="0"/>
        </w:sectPr>
      </w:pPr>
    </w:p>
    <w:bookmarkStart w:id="142" w:name="page143"/>
    <w:bookmarkEnd w:id="14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shall not be deemed to have knowledge of any Default or Event of Default unless and until written notice thereof (which notice shall include an express reference to such event being a “Default” or “Event of Default” hereunder)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thereunder or in connection herewith or therewith, (iii) the performance or observance of any of the covenants, agreements, or other terms and conditions set forth in any Loan Document,</w:t>
      </w:r>
    </w:p>
    <w:p>
      <w:pPr>
        <w:spacing w:after="0" w:line="2" w:lineRule="exact"/>
        <w:rPr>
          <w:sz w:val="20"/>
          <w:szCs w:val="20"/>
          <w:color w:val="auto"/>
        </w:rPr>
      </w:pPr>
    </w:p>
    <w:p>
      <w:pPr>
        <w:ind w:right="40" w:firstLine="8"/>
        <w:spacing w:after="0" w:line="254" w:lineRule="auto"/>
        <w:tabs>
          <w:tab w:leader="none" w:pos="30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the validity, enforceability, effectiveness or genuineness of any Loan Document or any other agreement, instrument or document, or (v)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in any Loan Document, other than to confirm receipt of items expressly required to be delivered to the Administrative Agent. The Administrative Agent may consult with legal counsel (including counsel for the Borrower) concerning all matters pertaining to such duties.</w:t>
      </w:r>
    </w:p>
    <w:p>
      <w:pPr>
        <w:spacing w:after="0" w:line="190"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color w:val="auto"/>
        </w:rPr>
        <w:t xml:space="preserve">9.03 </w:t>
      </w:r>
      <w:r>
        <w:rPr>
          <w:rFonts w:ascii="Arial" w:cs="Arial" w:eastAsia="Arial" w:hAnsi="Arial"/>
          <w:sz w:val="17"/>
          <w:szCs w:val="17"/>
          <w:u w:val="single" w:color="auto"/>
          <w:color w:val="auto"/>
        </w:rPr>
        <w:t>Lack of Reliance on the Administrative Agent</w:t>
      </w:r>
      <w:r>
        <w:rPr>
          <w:rFonts w:ascii="Arial" w:cs="Arial" w:eastAsia="Arial" w:hAnsi="Arial"/>
          <w:sz w:val="17"/>
          <w:szCs w:val="17"/>
          <w:color w:val="auto"/>
        </w:rPr>
        <w:t>. Each of the Lenders, the Swingline Lender and each L/C Issuer acknowledges that it has, independently and without reliance upon the Administrative Agent, any L/C Issuer or any other Lender and based on such documents and information as it has deemed appropriate, made its own credit analysis and decision to enter into this Agreement. Each of the Lenders, the Swingline Lender and any L/C Issuer also acknowledges that it will, independently and without reliance upon the Administrative Agent, any L/C Issuer or any other Lender and based on such documents and information as it has deemed appropriate, continue to make its own decisions in taking or not taking any action under or based on this Agreement, any related agreement or any document furnished hereunder or thereunder.</w:t>
      </w:r>
    </w:p>
    <w:p>
      <w:pPr>
        <w:spacing w:after="0" w:line="17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u w:val="single" w:color="auto"/>
          <w:color w:val="auto"/>
        </w:rPr>
        <w:t>Certain Rights of the Administrative Agent</w:t>
      </w:r>
      <w:r>
        <w:rPr>
          <w:rFonts w:ascii="Arial" w:cs="Arial" w:eastAsia="Arial" w:hAnsi="Arial"/>
          <w:sz w:val="18"/>
          <w:szCs w:val="18"/>
          <w:color w:val="auto"/>
        </w:rPr>
        <w:t>. If the Administrative Agent shall request instructions from the Required Lenders with respect to any action or actions (including the failure to act) in connection with this Agreement, the Administrative Agent shall be entitled to refrain from such act or taking such act unless and until it 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9.05 </w:t>
      </w:r>
      <w:r>
        <w:rPr>
          <w:rFonts w:ascii="Arial" w:cs="Arial" w:eastAsia="Arial" w:hAnsi="Arial"/>
          <w:sz w:val="17"/>
          <w:szCs w:val="17"/>
          <w:u w:val="single" w:color="auto"/>
          <w:color w:val="auto"/>
        </w:rPr>
        <w:t>Reliance by the Administrative Agent</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the Borrower), independent public accountants and other experts selected by it and shall not be liable for any action taken or not taken by it in accordance with the advice of such counsel, accountants or experts.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9.06 </w:t>
      </w:r>
      <w:r>
        <w:rPr>
          <w:rFonts w:ascii="Arial" w:cs="Arial" w:eastAsia="Arial" w:hAnsi="Arial"/>
          <w:sz w:val="17"/>
          <w:szCs w:val="17"/>
          <w:u w:val="single" w:color="auto"/>
          <w:color w:val="auto"/>
        </w:rPr>
        <w:t>The Administrative Agent in its Individual Capacity</w:t>
      </w:r>
      <w:r>
        <w:rPr>
          <w:rFonts w:ascii="Arial" w:cs="Arial" w:eastAsia="Arial" w:hAnsi="Arial"/>
          <w:sz w:val="17"/>
          <w:szCs w:val="17"/>
          <w:color w:val="auto"/>
        </w:rPr>
        <w:t>. The Person serving as the Administrative Agent shall have the same rights and powers under this Agreement and any other Loan Document in its capacity as a Lender as any other Lender and may exercise or refrain from exercising the same as though it were not the Administrative Agent; and the terms “Lenders”, “Required Lenders”, “Required Revolving Lenders”, “Required Term Lenders” or any similar terms shall, unless the context clearly otherwise indicates, include the Administrative Agent in its individual capacity. The Person acting as the Administrative Agent and its Affiliates may accept deposits from, lend money to, and generally engage in any kind of business with the Borrower or any Subsidiary or Affiliate of the Borrower as if it were not the Administrative Agent hereunder.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274" w:right="239" w:bottom="1440" w:gutter="0" w:footer="0" w:header="0"/>
        </w:sectPr>
      </w:pPr>
    </w:p>
    <w:bookmarkStart w:id="143" w:name="page144"/>
    <w:bookmarkEnd w:id="1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9.07 </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w:t>
      </w:r>
    </w:p>
    <w:p>
      <w:pPr>
        <w:spacing w:after="0" w:line="117" w:lineRule="exact"/>
        <w:rPr>
          <w:sz w:val="20"/>
          <w:szCs w:val="20"/>
          <w:color w:val="auto"/>
        </w:rPr>
      </w:pPr>
    </w:p>
    <w:p>
      <w:pPr>
        <w:ind w:left="-20" w:right="160" w:firstLine="464"/>
        <w:spacing w:after="0" w:line="273" w:lineRule="auto"/>
        <w:tabs>
          <w:tab w:leader="none" w:pos="681"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The Administrative Agent may resign at any time by giving notice thereof to the Lenders, the L/C Issuer and the Borrower. Upon any such resignation, the Required Lenders shall have the right to appoint a successor Administrative Agent, subject to approval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Default or Event of Default shall exist at such time. If no successor Administrative Agent shall have been so appointed, and shall have accepted such appointment within 30 days after the retiring Administrative Agent gives notice of resignation, then the retiring Administrative Agent may, on behalf of the Lenders, appoint a successor Administrative Agent which shall be a commercial bank organized under the laws of the United States or any state thereof or a bank which maintains an office in the United States and has a combined capital and surplus of at least $500,000,000.</w:t>
      </w:r>
    </w:p>
    <w:p>
      <w:pPr>
        <w:spacing w:after="0" w:line="178" w:lineRule="exact"/>
        <w:rPr>
          <w:rFonts w:ascii="Arial" w:cs="Arial" w:eastAsia="Arial" w:hAnsi="Arial"/>
          <w:sz w:val="17"/>
          <w:szCs w:val="17"/>
          <w:color w:val="auto"/>
        </w:rPr>
      </w:pPr>
    </w:p>
    <w:p>
      <w:pPr>
        <w:ind w:left="-20" w:firstLine="464"/>
        <w:spacing w:after="0" w:line="264" w:lineRule="auto"/>
        <w:tabs>
          <w:tab w:leader="none" w:pos="69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If the Person serving as Administrative Agent is a Defaulting Lender pursuant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thereof, the Required Lenders may, to the extent permitted by applicable law, by notice in writing to the Borrower and such Person remove such Person as Administrative Agent and, in consultation with the Borrower, appoint a successor.</w:t>
      </w:r>
    </w:p>
    <w:p>
      <w:pPr>
        <w:spacing w:after="0" w:line="181" w:lineRule="exact"/>
        <w:rPr>
          <w:rFonts w:ascii="Arial" w:cs="Arial" w:eastAsia="Arial" w:hAnsi="Arial"/>
          <w:sz w:val="18"/>
          <w:szCs w:val="18"/>
          <w:color w:val="auto"/>
        </w:rPr>
      </w:pPr>
    </w:p>
    <w:p>
      <w:pPr>
        <w:ind w:left="-20" w:firstLine="464"/>
        <w:spacing w:after="0" w:line="268" w:lineRule="auto"/>
        <w:tabs>
          <w:tab w:leader="none" w:pos="681" w:val="left"/>
        </w:tabs>
        <w:numPr>
          <w:ilvl w:val="0"/>
          <w:numId w:val="181"/>
        </w:numPr>
        <w:rPr>
          <w:rFonts w:ascii="Arial" w:cs="Arial" w:eastAsia="Arial" w:hAnsi="Arial"/>
          <w:sz w:val="17"/>
          <w:szCs w:val="17"/>
          <w:color w:val="auto"/>
        </w:rPr>
      </w:pPr>
      <w:r>
        <w:rPr>
          <w:rFonts w:ascii="Arial" w:cs="Arial" w:eastAsia="Arial" w:hAnsi="Arial"/>
          <w:sz w:val="17"/>
          <w:szCs w:val="17"/>
          <w:color w:val="auto"/>
        </w:rPr>
        <w:t>Upon the acceptance of its appointment as the Administrative Agent hereunder by a successor, such successor Administrative Agent shall thereupon succeed to and become vested with all the rights, powers, privileges and duties of the retiring Administrative Agent, and the retiring or removed Administrative Agent shall be discharged from its duties and obligations under this Agreement and the other Loan Documents. If, within 45 days after written notice is given of the retiring or removed Administrative Agent shall be discharged from its duties and obligations under this Agreement Administrative Agent’s resignation or the removal of the Administrative Agent under this Section, no successor Administrative Agent shall have been appointed and shall have accepted such appointment, then on such 45th day (i) the retiring or removed Administrative Agent shall be discharged from its duties and obligations under this Agreement Administrative Agent’s resignation shall become effective, (ii) the retiring or removed Administrative Agent shall be discharged from its duties and obligations under this Agreement Administrative Agent shall thereupon be discharged from its duties and obligations under the Loan Documents and (iii) the Required Lenders shall thereafter perform all duties of the retiring or removed Administrative Agent shall be discharged from its duties and obligations under this Agreement Administrative Agent under the Loan Documents until such time as the Required Lenders appoint a successor Administrative Agent as provided above. After any retiring Administrative Agent’s resignation hereunder, the provisions of this Article shall continue in effect for the benefit of such retiring or removed Administrative Agent and its representatives and agents in respect of any actions taken or not taken by any of them while it was serving as the Administrative Agent.</w:t>
      </w:r>
    </w:p>
    <w:p>
      <w:pPr>
        <w:spacing w:after="0" w:line="187" w:lineRule="exact"/>
        <w:rPr>
          <w:rFonts w:ascii="Arial" w:cs="Arial" w:eastAsia="Arial" w:hAnsi="Arial"/>
          <w:sz w:val="17"/>
          <w:szCs w:val="17"/>
          <w:color w:val="auto"/>
        </w:rPr>
      </w:pPr>
    </w:p>
    <w:p>
      <w:pPr>
        <w:ind w:left="-20" w:right="60" w:firstLine="464"/>
        <w:spacing w:after="0" w:line="259" w:lineRule="auto"/>
        <w:tabs>
          <w:tab w:leader="none" w:pos="69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In addition to the foregoing, if a Lender becomes, and during the period it remains, a Defaulting Lender, and if any Default has arisen from a failure of the Borrower to comply with </w:t>
      </w:r>
      <w:r>
        <w:rPr>
          <w:rFonts w:ascii="Arial" w:cs="Arial" w:eastAsia="Arial" w:hAnsi="Arial"/>
          <w:sz w:val="18"/>
          <w:szCs w:val="18"/>
          <w:u w:val="single" w:color="auto"/>
          <w:color w:val="auto"/>
        </w:rPr>
        <w:t>Section 2.15(a)</w:t>
      </w:r>
      <w:r>
        <w:rPr>
          <w:rFonts w:ascii="Arial" w:cs="Arial" w:eastAsia="Arial" w:hAnsi="Arial"/>
          <w:sz w:val="18"/>
          <w:szCs w:val="18"/>
          <w:color w:val="auto"/>
        </w:rPr>
        <w:t>, then the L/C Issuer and the Swingline Lender may, upon prior written notice to the Borrower and the Administrative Agent, resign as L/C Issuer or as Swingline Lender, as the case may be, effective at the close of business Atlanta, Georgia time on a date specified in such notice (which date may not be less than five (5) Business Days after the date of such notice).</w:t>
      </w:r>
    </w:p>
    <w:p>
      <w:pPr>
        <w:spacing w:after="0" w:line="186" w:lineRule="exact"/>
        <w:rPr>
          <w:rFonts w:ascii="Arial" w:cs="Arial" w:eastAsia="Arial" w:hAnsi="Arial"/>
          <w:sz w:val="18"/>
          <w:szCs w:val="18"/>
          <w:color w:val="auto"/>
        </w:rPr>
      </w:pPr>
    </w:p>
    <w:p>
      <w:pPr>
        <w:ind w:left="-20" w:right="80" w:firstLine="464"/>
        <w:spacing w:after="0" w:line="264" w:lineRule="auto"/>
        <w:tabs>
          <w:tab w:leader="none" w:pos="68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resignation or removal by any Person as Administrative Agent pursuant to this Section shall also constitute its resignation as an L/C Issuer and Swing Line Lender. If any such Person resigns as an L/C Issuer, it shall retain all the rights, powers, privileges and duties of an L/C Issuer hereunder with respect to all Letters of Credit outstanding as of the effective date of its resignation as 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60" w:top="274" w:right="239" w:bottom="1440" w:gutter="0" w:footer="0" w:header="0"/>
        </w:sectPr>
      </w:pPr>
    </w:p>
    <w:bookmarkStart w:id="144" w:name="page145"/>
    <w:bookmarkEnd w:id="144"/>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L/C Issuer and all L/C Obligations with respect thereto, including the right to require the Lenders to make Base Rate Loans or fund risk participations in Unreimbursed Amounts pursuant to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If any Person resigns as Swing Line Lender, it shall retain all the rights of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7"/>
          <w:szCs w:val="17"/>
          <w:u w:val="single" w:color="auto"/>
          <w:color w:val="auto"/>
        </w:rPr>
        <w:t>Section 2.04(c)</w:t>
      </w:r>
      <w:r>
        <w:rPr>
          <w:rFonts w:ascii="Arial" w:cs="Arial" w:eastAsia="Arial" w:hAnsi="Arial"/>
          <w:sz w:val="17"/>
          <w:szCs w:val="17"/>
          <w:color w:val="auto"/>
        </w:rPr>
        <w:t>. Upon the appointment by the Borrower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9.08 </w:t>
      </w:r>
      <w:r>
        <w:rPr>
          <w:rFonts w:ascii="Arial" w:cs="Arial" w:eastAsia="Arial" w:hAnsi="Arial"/>
          <w:sz w:val="16"/>
          <w:szCs w:val="16"/>
          <w:u w:val="single" w:color="auto"/>
          <w:color w:val="auto"/>
        </w:rPr>
        <w:t>Withholding Tax</w:t>
      </w:r>
      <w:r>
        <w:rPr>
          <w:rFonts w:ascii="Arial" w:cs="Arial" w:eastAsia="Arial" w:hAnsi="Arial"/>
          <w:sz w:val="16"/>
          <w:szCs w:val="16"/>
          <w:color w:val="auto"/>
        </w:rPr>
        <w:t>. In addition to and without limiting the application of Section 3.01, to the extent required by any applicable law, the Administrative Agent may withhold from any amounts paid to or for the account of any Lender an amount equivalent to any applicable withholding tax. If the IRS or any authority of the United States or any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The Administrative Agent May File Proofs of Claim; Credit Bidding</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79" w:lineRule="auto"/>
        <w:tabs>
          <w:tab w:leader="none" w:pos="70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or any Revolving Credit Exposure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63" w:lineRule="exact"/>
        <w:rPr>
          <w:rFonts w:ascii="Arial" w:cs="Arial" w:eastAsia="Arial" w:hAnsi="Arial"/>
          <w:sz w:val="17"/>
          <w:szCs w:val="17"/>
          <w:color w:val="auto"/>
        </w:rPr>
      </w:pPr>
    </w:p>
    <w:p>
      <w:pPr>
        <w:ind w:left="460" w:right="20" w:firstLine="443"/>
        <w:spacing w:after="0" w:line="276" w:lineRule="auto"/>
        <w:tabs>
          <w:tab w:leader="none" w:pos="1113" w:val="left"/>
        </w:tabs>
        <w:numPr>
          <w:ilvl w:val="1"/>
          <w:numId w:val="182"/>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or Revolving Credit Exposure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its agents and counsel and all other amounts due the Lenders, the L/C Issuer and the Administrative Agent under </w:t>
      </w:r>
      <w:r>
        <w:rPr>
          <w:rFonts w:ascii="Arial" w:cs="Arial" w:eastAsia="Arial" w:hAnsi="Arial"/>
          <w:sz w:val="17"/>
          <w:szCs w:val="17"/>
          <w:u w:val="single" w:color="auto"/>
          <w:color w:val="auto"/>
        </w:rPr>
        <w:t>Section 10.04</w:t>
      </w:r>
      <w:r>
        <w:rPr>
          <w:rFonts w:ascii="Arial" w:cs="Arial" w:eastAsia="Arial" w:hAnsi="Arial"/>
          <w:sz w:val="17"/>
          <w:szCs w:val="17"/>
          <w:color w:val="auto"/>
        </w:rPr>
        <w:t>) allowed in such judicial proceeding; and</w:t>
      </w:r>
    </w:p>
    <w:p>
      <w:pPr>
        <w:spacing w:after="0" w:line="64" w:lineRule="exact"/>
        <w:rPr>
          <w:rFonts w:ascii="Arial" w:cs="Arial" w:eastAsia="Arial" w:hAnsi="Arial"/>
          <w:sz w:val="17"/>
          <w:szCs w:val="17"/>
          <w:color w:val="auto"/>
        </w:rPr>
      </w:pPr>
    </w:p>
    <w:p>
      <w:pPr>
        <w:ind w:left="1160" w:hanging="257"/>
        <w:spacing w:after="0"/>
        <w:tabs>
          <w:tab w:leader="none" w:pos="11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rFonts w:ascii="Arial" w:cs="Arial" w:eastAsia="Arial" w:hAnsi="Arial"/>
          <w:sz w:val="18"/>
          <w:szCs w:val="18"/>
          <w:color w:val="auto"/>
        </w:rPr>
      </w:pPr>
    </w:p>
    <w:p>
      <w:pPr>
        <w:ind w:right="220" w:firstLine="464"/>
        <w:spacing w:after="0" w:line="277" w:lineRule="auto"/>
        <w:tabs>
          <w:tab w:leader="none" w:pos="71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custodian, receiver, assignee, trustee, liquidator, sequestrator or other similar official in any such judicial proceeding is hereby authorized by each Lender and the L/C Issuer to make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274" w:right="259" w:bottom="1440" w:gutter="0" w:footer="0" w:header="0"/>
        </w:sectPr>
      </w:pPr>
    </w:p>
    <w:bookmarkStart w:id="145" w:name="page146"/>
    <w:bookmarkEnd w:id="145"/>
    <w:p>
      <w:pPr>
        <w:jc w:val="both"/>
        <w:ind w:right="3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payments to the Administrative Agent and, if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7"/>
          <w:szCs w:val="17"/>
          <w:u w:val="single" w:color="auto"/>
          <w:color w:val="auto"/>
        </w:rPr>
        <w:t>Section 10.04</w:t>
      </w:r>
      <w:r>
        <w:rPr>
          <w:rFonts w:ascii="Arial" w:cs="Arial" w:eastAsia="Arial" w:hAnsi="Arial"/>
          <w:sz w:val="17"/>
          <w:szCs w:val="17"/>
          <w:color w:val="auto"/>
        </w:rPr>
        <w:t>.</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to authorize the Administrative Agent to vote in respect of the claim of any Lender in any such proceeding.</w:t>
      </w:r>
    </w:p>
    <w:p>
      <w:pPr>
        <w:spacing w:after="0" w:line="181"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Laws.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(i) of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of this Agreement, (iii) the Administrative Agent shall be authorized to assign the relevant Obligations to any such acquisition vehicle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by the Lenders, as a result of which each of the Lenders shall be deemed to have received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8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Authorization to Execute Other Loan Documents</w:t>
      </w:r>
      <w:r>
        <w:rPr>
          <w:rFonts w:ascii="Arial" w:cs="Arial" w:eastAsia="Arial" w:hAnsi="Arial"/>
          <w:sz w:val="18"/>
          <w:szCs w:val="18"/>
          <w:color w:val="auto"/>
        </w:rPr>
        <w:t>. Each Lender hereby authorizes the Administrative Agent to execute on behalf of all Lenders all Loan Documents (including, without limitation, the Collateral Documents, any subordination agreements and any intercreditor agreements) other than this Agreement and the Amendment and Restatement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274" w:right="259" w:bottom="1440" w:gutter="0" w:footer="0" w:header="0"/>
        </w:sectPr>
      </w:pPr>
    </w:p>
    <w:bookmarkStart w:id="146" w:name="page147"/>
    <w:bookmarkEnd w:id="1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9.11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 The Lenders irrevocably authorize the Administrative Agent, at its option and in its discretion:</w:t>
      </w:r>
    </w:p>
    <w:p>
      <w:pPr>
        <w:spacing w:after="0" w:line="225" w:lineRule="exact"/>
        <w:rPr>
          <w:sz w:val="20"/>
          <w:szCs w:val="20"/>
          <w:color w:val="auto"/>
        </w:rPr>
      </w:pPr>
    </w:p>
    <w:p>
      <w:pPr>
        <w:ind w:right="20" w:firstLine="464"/>
        <w:spacing w:after="0" w:line="271" w:lineRule="auto"/>
        <w:tabs>
          <w:tab w:leader="none" w:pos="70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Secured Cash Management Agreements and Secured Hedge Agreements as to which arrangements satisfactory to the Administrative Agent and the applicable Cash Management Bank of Hedge Bank shall have been made) and the expiration or termination of all Letters of Credit (other than Letters of Credit as to which other arrangements satisfactory to the Administrative Agent and the applicable L/C Issuer shall have been made), (ii) that is sold or otherwise disposed of or to be sold or otherwise disposed of as part of or in connection with any sale or other disposition permitted hereunder or under any other Loan Document to a Person that is not a Loan Party, (iii) that constitutes “Excluded Assets” (as such term is defined in the Security Agreement), or (iv) if approved, authorized or ratified in writing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300" w:firstLine="464"/>
        <w:spacing w:after="0" w:line="277" w:lineRule="auto"/>
        <w:tabs>
          <w:tab w:leader="none" w:pos="71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release any Loan Party from its obligations under the applicable Collateral Documents if such Person ceases to be a Subsidiary as a result of a transaction permitted under the Loan Documents; and</w:t>
      </w:r>
    </w:p>
    <w:p>
      <w:pPr>
        <w:spacing w:after="0" w:line="170" w:lineRule="exact"/>
        <w:rPr>
          <w:rFonts w:ascii="Arial" w:cs="Arial" w:eastAsia="Arial" w:hAnsi="Arial"/>
          <w:sz w:val="18"/>
          <w:szCs w:val="18"/>
          <w:color w:val="auto"/>
        </w:rPr>
      </w:pPr>
    </w:p>
    <w:p>
      <w:pPr>
        <w:ind w:firstLine="464"/>
        <w:spacing w:after="0" w:line="277" w:lineRule="auto"/>
        <w:tabs>
          <w:tab w:leader="none" w:pos="70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7.01(d)</w:t>
      </w:r>
      <w:r>
        <w:rPr>
          <w:rFonts w:ascii="Arial" w:cs="Arial" w:eastAsia="Arial" w:hAnsi="Arial"/>
          <w:sz w:val="18"/>
          <w:szCs w:val="18"/>
          <w:color w:val="auto"/>
        </w:rPr>
        <w:t>.</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Upon request by the Administrative Agent at any time, the Required Lenders will confirm in writing the Administrative Agent’s authority to release its interest in particular types or items of property, or to release any Loan Party from its obligations under the applicable Collateral Documents pursuant to this Section. In each case as specified in this Section, the Administrative Agent is authorized, at the Borrower’s expense, to execute and deliver to the applicable Loan Party such documents as such Loan Party may reasonably request to evidence the release of such item of Collateral from the Liens granted under the applicable Collateral Documents, or to release such Loan Party from its obligations under the applicable Collateral Documents, in each case in accordance with the terms of the Loan Documents and this Section.</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Documentation Agents; Syndication Agent</w:t>
      </w:r>
      <w:r>
        <w:rPr>
          <w:rFonts w:ascii="Arial" w:cs="Arial" w:eastAsia="Arial" w:hAnsi="Arial"/>
          <w:sz w:val="18"/>
          <w:szCs w:val="18"/>
          <w:color w:val="auto"/>
        </w:rPr>
        <w:t>. Each Lender hereby designates Regions Bank and KeyBank as Co-Documentation Agents and agrees that the Documentation Agents shall have no duties or other obligations under any Loan Documents to any Lender or any Loan Party. Each Lender hereby designates Regions Bank as Syndication Agent and agrees that the Syndication Agent shall have no duties or obligations under any Loan Documents to any Lender or any Loan Party.</w:t>
      </w:r>
    </w:p>
    <w:p>
      <w:pPr>
        <w:spacing w:after="0" w:line="18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 xml:space="preserve">9.13 </w:t>
      </w:r>
      <w:r>
        <w:rPr>
          <w:rFonts w:ascii="Arial" w:cs="Arial" w:eastAsia="Arial" w:hAnsi="Arial"/>
          <w:sz w:val="16"/>
          <w:szCs w:val="16"/>
          <w:u w:val="single" w:color="auto"/>
          <w:color w:val="auto"/>
        </w:rPr>
        <w:t>Right to Realize on Collateral and Enforce Guarantee</w:t>
      </w:r>
      <w:r>
        <w:rPr>
          <w:rFonts w:ascii="Arial" w:cs="Arial" w:eastAsia="Arial" w:hAnsi="Arial"/>
          <w:sz w:val="16"/>
          <w:szCs w:val="16"/>
          <w:color w:val="auto"/>
        </w:rPr>
        <w:t>. Anything contained in any of the Loan Documents to the contrary notwithstanding, the Borrower, the Administrative Agent and each Lender hereby agree that (i) no Lender shall have any right individually to realize upon any of the Collateral or to enforce the Collateral Documents, it being understood and agreed that all powers, rights and remedies hereunder and under the Collateral Documents may be exercised solely by the Administrative Agent, and (ii) in the event of a foreclosure by the Administrative Agent on any of the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274" w:right="239" w:bottom="1440" w:gutter="0" w:footer="0" w:header="0"/>
        </w:sectPr>
      </w:pPr>
    </w:p>
    <w:bookmarkStart w:id="147" w:name="page148"/>
    <w:bookmarkEnd w:id="147"/>
    <w:p>
      <w:pPr>
        <w:ind w:right="2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pacing w:after="0" w:line="15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9.14 </w:t>
      </w:r>
      <w:r>
        <w:rPr>
          <w:rFonts w:ascii="Arial" w:cs="Arial" w:eastAsia="Arial" w:hAnsi="Arial"/>
          <w:sz w:val="17"/>
          <w:szCs w:val="17"/>
          <w:u w:val="single" w:color="auto"/>
          <w:color w:val="auto"/>
        </w:rPr>
        <w:t>Secured Cash Management Agreements and Secured Hedge Agreements.</w:t>
      </w:r>
      <w:r>
        <w:rPr>
          <w:rFonts w:ascii="Arial" w:cs="Arial" w:eastAsia="Arial" w:hAnsi="Arial"/>
          <w:sz w:val="17"/>
          <w:szCs w:val="17"/>
          <w:color w:val="auto"/>
        </w:rPr>
        <w:t xml:space="preserve"> Except as otherwise expressly set forth herein or in any Guaranty or any Collateral Document, no Cash Management Bank or Hedge Bank that obtains the benefits of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Amendments, Etc.</w:t>
      </w:r>
      <w:r>
        <w:rPr>
          <w:rFonts w:ascii="Arial" w:cs="Arial" w:eastAsia="Arial" w:hAnsi="Arial"/>
          <w:sz w:val="17"/>
          <w:szCs w:val="17"/>
          <w:color w:val="auto"/>
        </w:rPr>
        <w:t xml:space="preserve">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amendment, waiver or consent shall:</w:t>
      </w:r>
    </w:p>
    <w:p>
      <w:pPr>
        <w:spacing w:after="0" w:line="171" w:lineRule="exact"/>
        <w:rPr>
          <w:sz w:val="20"/>
          <w:szCs w:val="20"/>
          <w:color w:val="auto"/>
        </w:rPr>
      </w:pPr>
    </w:p>
    <w:p>
      <w:pPr>
        <w:ind w:right="100" w:firstLine="464"/>
        <w:spacing w:after="0" w:line="277" w:lineRule="auto"/>
        <w:tabs>
          <w:tab w:leader="none" w:pos="70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in the case of the initial Credit Extension, waive any condition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4.01(c)(i)</w:t>
      </w:r>
      <w:r>
        <w:rPr>
          <w:rFonts w:ascii="Arial" w:cs="Arial" w:eastAsia="Arial" w:hAnsi="Arial"/>
          <w:sz w:val="18"/>
          <w:szCs w:val="18"/>
          <w:color w:val="auto"/>
        </w:rPr>
        <w:t xml:space="preserve">) or any of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without the written consent of each Lender;</w:t>
      </w:r>
    </w:p>
    <w:p>
      <w:pPr>
        <w:spacing w:after="0" w:line="170" w:lineRule="exact"/>
        <w:rPr>
          <w:rFonts w:ascii="Arial" w:cs="Arial" w:eastAsia="Arial" w:hAnsi="Arial"/>
          <w:sz w:val="18"/>
          <w:szCs w:val="18"/>
          <w:color w:val="auto"/>
        </w:rPr>
      </w:pPr>
    </w:p>
    <w:p>
      <w:pPr>
        <w:jc w:val="both"/>
        <w:ind w:right="100" w:firstLine="464"/>
        <w:spacing w:after="0" w:line="259" w:lineRule="auto"/>
        <w:tabs>
          <w:tab w:leader="none" w:pos="71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while the Term Loans (including any Incremental Term Loans) remain outstanding, without the prior written consent of the Required Revolving Lenders, amend, modify or waive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or any other provision of this Agreement if the effect of such amendment, modification or waiver is to require the Revolving Credit Lenders to make Revolving Credit Loans when such Lenders would not otherwise be required to do so;</w:t>
      </w:r>
    </w:p>
    <w:p>
      <w:pPr>
        <w:spacing w:after="0" w:line="186" w:lineRule="exact"/>
        <w:rPr>
          <w:rFonts w:ascii="Arial" w:cs="Arial" w:eastAsia="Arial" w:hAnsi="Arial"/>
          <w:sz w:val="18"/>
          <w:szCs w:val="18"/>
          <w:color w:val="auto"/>
        </w:rPr>
      </w:pPr>
    </w:p>
    <w:p>
      <w:pPr>
        <w:ind w:firstLine="464"/>
        <w:spacing w:after="0" w:line="277" w:lineRule="auto"/>
        <w:tabs>
          <w:tab w:leader="none" w:pos="70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170"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such Lender entitled to such payment;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274" w:right="239" w:bottom="1440" w:gutter="0" w:footer="0" w:header="0"/>
        </w:sectPr>
      </w:pPr>
    </w:p>
    <w:bookmarkStart w:id="148" w:name="page149"/>
    <w:bookmarkEnd w:id="148"/>
    <w:p>
      <w:pPr>
        <w:ind w:right="80" w:firstLine="464"/>
        <w:spacing w:after="0" w:line="272" w:lineRule="auto"/>
        <w:tabs>
          <w:tab w:leader="none" w:pos="701" w:val="left"/>
        </w:tabs>
        <w:numPr>
          <w:ilvl w:val="0"/>
          <w:numId w:val="1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reduce the principal of, or the rate of interest specified herein on, any Loan or L/C Borrowing, or (subject to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of the second proviso to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any fees or other amounts payable hereunder or under any other Loan Document without the written consent of each Lender entitled to such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the consent of (i) the Required Lenders shall be necessary to amend the definition of “Default Rate”, (ii) the Required Term Lenders shall be necessary to waive any obligation of the Borrower to pay interest on the Term Loans at the Default Rate and (iii) the Required Revolving Lenders shall be necessary to waive any obligation of the Borrower to pay interest on any Loans other than the Term Loans or Letter of Credit Fees at the Default Rate or to amend any financial covenant hereunder (or any defined term used therein) even if the effect of such amendment would be to reduce the rate of interest on any Loan or L/C Borrowing or to reduce any fee payable hereunder;</w:t>
      </w:r>
    </w:p>
    <w:p>
      <w:pPr>
        <w:spacing w:after="0" w:line="177" w:lineRule="exact"/>
        <w:rPr>
          <w:rFonts w:ascii="Arial" w:cs="Arial" w:eastAsia="Arial" w:hAnsi="Arial"/>
          <w:sz w:val="17"/>
          <w:szCs w:val="17"/>
          <w:color w:val="auto"/>
        </w:rPr>
      </w:pPr>
    </w:p>
    <w:p>
      <w:pPr>
        <w:ind w:right="100" w:firstLine="464"/>
        <w:spacing w:after="0" w:line="302" w:lineRule="auto"/>
        <w:tabs>
          <w:tab w:leader="none" w:pos="68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change (i)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in a manner that would alter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sharing of payments required thereby without the written consent of each Lender directly affected thereby or (ii) the order of application of any prepayment of Loans among the Facilities from the application thereof set forth in the applicable provisions of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in any manner that materially and adversely affects the Lenders under a Facility without the written consent of (x) if such Facility is the Term Facility, the Required Term Lenders, and (y) if such Facility is the Revolving Credit Facility, the Required Revolving Lenders;</w:t>
      </w:r>
    </w:p>
    <w:p>
      <w:pPr>
        <w:spacing w:after="0" w:line="154" w:lineRule="exact"/>
        <w:rPr>
          <w:rFonts w:ascii="Arial" w:cs="Arial" w:eastAsia="Arial" w:hAnsi="Arial"/>
          <w:sz w:val="16"/>
          <w:szCs w:val="16"/>
          <w:color w:val="auto"/>
        </w:rPr>
      </w:pPr>
    </w:p>
    <w:p>
      <w:pPr>
        <w:jc w:val="both"/>
        <w:ind w:right="200" w:firstLine="464"/>
        <w:spacing w:after="0" w:line="259" w:lineRule="auto"/>
        <w:tabs>
          <w:tab w:leader="none" w:pos="71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change any provision of this Section or reduce the percentages specified in (or alter the method of calculation thereof) the definition of any of “Required Lenders”, “Required Revolving Lenders” or “Required Term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release all or substantially all of the Collateral in any transaction or series of related transactions, without the written consent of each Lender;</w:t>
      </w:r>
    </w:p>
    <w:p>
      <w:pPr>
        <w:spacing w:after="0" w:line="236" w:lineRule="exact"/>
        <w:rPr>
          <w:rFonts w:ascii="Arial" w:cs="Arial" w:eastAsia="Arial" w:hAnsi="Arial"/>
          <w:sz w:val="17"/>
          <w:szCs w:val="17"/>
          <w:color w:val="auto"/>
        </w:rPr>
      </w:pPr>
    </w:p>
    <w:p>
      <w:pPr>
        <w:ind w:right="420" w:firstLine="464"/>
        <w:spacing w:after="0" w:line="342" w:lineRule="auto"/>
        <w:tabs>
          <w:tab w:leader="none" w:pos="67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release all or substantially all of the value of the Guaranty, without the written consent of each Lender, except to the extent the release of any Subsidiary from the Guaranty is permitted pursuant to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(in which case such release may be made by the Administrative Agent acting alone);</w:t>
      </w:r>
    </w:p>
    <w:p>
      <w:pPr>
        <w:spacing w:after="0" w:line="123" w:lineRule="exact"/>
        <w:rPr>
          <w:rFonts w:ascii="Arial" w:cs="Arial" w:eastAsia="Arial" w:hAnsi="Arial"/>
          <w:sz w:val="16"/>
          <w:szCs w:val="16"/>
          <w:color w:val="auto"/>
        </w:rPr>
      </w:pPr>
    </w:p>
    <w:p>
      <w:pPr>
        <w:ind w:left="680" w:hanging="216"/>
        <w:spacing w:after="0"/>
        <w:tabs>
          <w:tab w:leader="none" w:pos="6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without the prior written consent of the Required Revolving Lenders, amend, modify or waive </w:t>
      </w:r>
      <w:r>
        <w:rPr>
          <w:rFonts w:ascii="Arial" w:cs="Arial" w:eastAsia="Arial" w:hAnsi="Arial"/>
          <w:sz w:val="18"/>
          <w:szCs w:val="18"/>
          <w:u w:val="single" w:color="auto"/>
          <w:color w:val="auto"/>
        </w:rPr>
        <w:t>Section 6.02(b)</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firstLine="464"/>
        <w:spacing w:after="0" w:line="264" w:lineRule="auto"/>
        <w:tabs>
          <w:tab w:leader="none" w:pos="71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Facility to assign any of its rights or obligations hereunder without the written consent of (i) if such Facility is the Term Facility, the Required Term Lenders and (ii) if such Facility is the Revolving Credit Facility, the Required Revolving Lenders;</w:t>
      </w:r>
    </w:p>
    <w:p>
      <w:pPr>
        <w:spacing w:after="0" w:line="18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no amendment, waiver or consent shall, unless in writing and signed by the Administrative Agent in addition to the Lenders required above, affect the rights or duties of the Administrative Agent under this Agreement or any other Loan Document, (ii) the Fee Letter may be amended, or rights or privileges thereunder waived, in a writing executed only by the parties thereto, (iii) no amendment, waiver or consent shall, unless in writing and signed by the L/C Issuers in addition to the Lenders required above, affect the rights or duties of the L/C Issuers under this Agreement or any Issuer Document relating to any Letter of Credit issued or to be issued by it and (iv) no amendment, waiver or consent shall, unless in writing and signed by the Swing Line Lender in addition to the Lenders required above, affect the rights or duties of the Swing Line Lender under this Agreement.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274" w:right="259" w:bottom="1440" w:gutter="0" w:footer="0" w:header="0"/>
        </w:sectPr>
      </w:pPr>
    </w:p>
    <w:bookmarkStart w:id="149" w:name="page150"/>
    <w:bookmarkEnd w:id="149"/>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5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Notwithstanding any provision herein to the contrary, this Agreement may be amended to extend the Maturity Date of (x) the Revolving Credit Commitments of Revolving Credit Lenders that agree to such extension with respect to their Revolving Credit Commitments with the written consent of each such approving Revolving Credit Lender, the Administrative Agent and the Borrower (and no other Lender) and, in connection therewith, to provide for different rates of interest and fees under the Revolving Credit Facility with respect to the portion of the Revolving Credit Commitments with a Maturity Date so extended; and (y) the Term Facility with respect to Term Lenders that agree to such extension with respect to their Term Loans with the written consent of each such approving Term Lender, the Administrative Agent and the Borrower (and no other Lender) and, in connection therewith and pursuant to a written offer from the Borrower to extend such Maturity Date may provide for different rates of interest and fees under the Term Facility with respect to the portion thereof the with a Maturity Date so extended and may provide for other covenants and terms that apply solely to any period after the latest stated maturity date (including, without limitation, the Maturity Date) existing on the effective date of such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such case, (x) no Lender shall be obligated to participate in any such extension and (y) any such proposed extension of the Maturity Date with respect to a Facility shall have been offered to each Lender with Loans or Commitments under the applicable Facility proposed to be extended, and if the consents of such Lenders exceed the portion of Commitments and Loans the Borrower wishes to extend, such consents shall be accepted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among the applicable consenting Lenders. This paragraph shall apply to any Incremental Term Loans in the same manner as it applies to the Term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offer may, at the Borrower’s option, be made to the Lenders in respect of any tranche or tranches of Incremental Term Loans and/or the Term Facility without being made to any other tranche of Incremental Term Loans or the Term Facility, as the case may be. In connection with any extensions effected pursuant to this paragraph, the Loan Parties shall take any actions reasonably required by the Administrative Agent to ensure and/or demonstrate that the Lien and security interests granted by the Collateral Documents continue to be perfected under the UCC or otherwise after giving effect to such extension (including any actions requested in connection with any existing Mortgages or any title policies related thereto).</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(x) Collateral Documents (including any additional Collateral Documents executed pursuant to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after the Closing Date) and related documents executed by the Loan Parties in connection with this Agreement may be in a form reasonably determined by the Administrative Agent and may be amended, supplemented and waived with the consent of the Administrative Agent and the Borrower without the need to obtain the consent of any other Person if such amendment, supplement or waiver is delivered in order (i) to comply with local Law or advice of local counsel, (ii) to cure ambiguities, omissions, mistakes or defects or (iii) to cause such Collateral Document or other document to be consistent with this Agreement and the other Loan Documents and (y) if following the Closing Date, the Administrative Agent and the Borrower shall have jointly identified an ambiguity, inconsistency, obvious error or any error or omission of a technical or immaterial nature, in each case, in any provision of the Loan Documents, then the Administrative Agent and the Loan Parties shall be permitted to amend such provision and such amendment shall become effective without any further action or consent of any other party to any Loan Documents if the same is not objected to in writing by the Required Lenders within five (5) Business Days following receipt of notice thereof.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274" w:right="239" w:bottom="1440" w:gutter="0" w:footer="0" w:header="0"/>
        </w:sectPr>
      </w:pPr>
    </w:p>
    <w:bookmarkStart w:id="150" w:name="page151"/>
    <w:bookmarkEnd w:id="150"/>
    <w:p>
      <w:pPr>
        <w:ind w:right="26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10.02 </w:t>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Notices Generally</w:t>
      </w:r>
      <w:r>
        <w:rPr>
          <w:rFonts w:ascii="Arial" w:cs="Arial" w:eastAsia="Arial" w:hAnsi="Arial"/>
          <w:sz w:val="18"/>
          <w:szCs w:val="18"/>
          <w:color w:val="auto"/>
        </w:rPr>
        <w:t xml:space="preserve">. Except in the case of notices and other communications expressly permitted to be given by telephone (and except as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80" w:lineRule="exact"/>
        <w:rPr>
          <w:sz w:val="20"/>
          <w:szCs w:val="20"/>
          <w:color w:val="auto"/>
        </w:rPr>
      </w:pPr>
    </w:p>
    <w:p>
      <w:pPr>
        <w:ind w:left="460" w:right="480" w:firstLine="443"/>
        <w:spacing w:after="0" w:line="277" w:lineRule="auto"/>
        <w:tabs>
          <w:tab w:leader="none" w:pos="111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if to the Borrower, the Administrative Agent or SunTrust Bank as an L/C Issuer or the Swing Line Lender (if applicable), to the address, facsimile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60" w:right="440" w:firstLine="443"/>
        <w:spacing w:after="0" w:line="312" w:lineRule="auto"/>
        <w:tabs>
          <w:tab w:leader="none" w:pos="116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if to any other Lender, Swing Line Lender or L/C Issuer,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subsection (b)</w:t>
      </w:r>
      <w:r>
        <w:rPr>
          <w:rFonts w:ascii="Arial" w:cs="Arial" w:eastAsia="Arial" w:hAnsi="Arial"/>
          <w:sz w:val="18"/>
          <w:szCs w:val="18"/>
          <w:color w:val="auto"/>
        </w:rPr>
        <w:t>.</w:t>
      </w:r>
    </w:p>
    <w:p>
      <w:pPr>
        <w:spacing w:after="0" w:line="188" w:lineRule="exact"/>
        <w:rPr>
          <w:sz w:val="20"/>
          <w:szCs w:val="20"/>
          <w:color w:val="auto"/>
        </w:rPr>
      </w:pPr>
    </w:p>
    <w:p>
      <w:pPr>
        <w:ind w:right="20" w:firstLine="464"/>
        <w:spacing w:after="0" w:line="293" w:lineRule="auto"/>
        <w:tabs>
          <w:tab w:leader="none" w:pos="711"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any L/C Issuer pursuant to Article II if such Lender or such L/C Issuer, as applicable, has notified the Administrative Agent that it is incapable of receiving notices under such Article by electronic communication. The Administrative Agent, the Swing Line Lender, the L/C Issuers or the Borrower may each,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274" w:right="239" w:bottom="1440" w:gutter="0" w:footer="0" w:header="0"/>
        </w:sectPr>
      </w:pPr>
    </w:p>
    <w:bookmarkStart w:id="151" w:name="page152"/>
    <w:bookmarkEnd w:id="151"/>
    <w:p>
      <w:pPr>
        <w:ind w:right="20" w:firstLine="464"/>
        <w:spacing w:after="0" w:line="270" w:lineRule="auto"/>
        <w:tabs>
          <w:tab w:leader="none" w:pos="701"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have any liability to the Borrower, any Lender, any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messaging service, or through the Internet.</w:t>
      </w:r>
    </w:p>
    <w:p>
      <w:pPr>
        <w:spacing w:after="0" w:line="181" w:lineRule="exact"/>
        <w:rPr>
          <w:rFonts w:ascii="Arial" w:cs="Arial" w:eastAsia="Arial" w:hAnsi="Arial"/>
          <w:sz w:val="17"/>
          <w:szCs w:val="17"/>
          <w:color w:val="auto"/>
        </w:rPr>
      </w:pPr>
    </w:p>
    <w:p>
      <w:pPr>
        <w:ind w:firstLine="464"/>
        <w:spacing w:after="0" w:line="269" w:lineRule="auto"/>
        <w:tabs>
          <w:tab w:leader="none" w:pos="711"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Each of the Borrower, the Administrative Agent, each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the Administrative Agent, the L/C Issuers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Laws,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2" w:lineRule="exact"/>
        <w:rPr>
          <w:rFonts w:ascii="Arial" w:cs="Arial" w:eastAsia="Arial" w:hAnsi="Arial"/>
          <w:sz w:val="17"/>
          <w:szCs w:val="17"/>
          <w:color w:val="auto"/>
        </w:rPr>
      </w:pPr>
    </w:p>
    <w:p>
      <w:pPr>
        <w:ind w:right="40" w:firstLine="464"/>
        <w:spacing w:after="0" w:line="254" w:lineRule="auto"/>
        <w:tabs>
          <w:tab w:leader="none" w:pos="701"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Issuers and Lenders</w:t>
      </w:r>
      <w:r>
        <w:rPr>
          <w:rFonts w:ascii="Arial" w:cs="Arial" w:eastAsia="Arial" w:hAnsi="Arial"/>
          <w:sz w:val="18"/>
          <w:szCs w:val="18"/>
          <w:color w:val="auto"/>
        </w:rPr>
        <w:t>. The Administrative Agent, the L/C Issuers and the Lenders shall be entitled to rely and act upon any notices (including telephonic or electronic Committed Loan Notices, Letter of Credit Applications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9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10.03 </w:t>
      </w:r>
      <w:r>
        <w:rPr>
          <w:rFonts w:ascii="Arial" w:cs="Arial" w:eastAsia="Arial" w:hAnsi="Arial"/>
          <w:sz w:val="17"/>
          <w:szCs w:val="17"/>
          <w:u w:val="single" w:color="auto"/>
          <w:color w:val="auto"/>
        </w:rPr>
        <w:t>No Waiver; Cumulative Remedies; Enforcement</w:t>
      </w:r>
      <w:r>
        <w:rPr>
          <w:rFonts w:ascii="Arial" w:cs="Arial" w:eastAsia="Arial" w:hAnsi="Arial"/>
          <w:sz w:val="17"/>
          <w:szCs w:val="17"/>
          <w:color w:val="auto"/>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274" w:right="259" w:bottom="1440" w:gutter="0" w:footer="0" w:header="0"/>
        </w:sectPr>
      </w:pPr>
    </w:p>
    <w:bookmarkStart w:id="152" w:name="page153"/>
    <w:bookmarkEnd w:id="152"/>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and the L/C Issuers;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(ii) in addition to the matters set forth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the preceding proviso and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any Lender may, with the consent of the Required Lenders, enforce any rights and remedies available to it and as authorized by the Required Lenders.</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10.04 </w:t>
      </w:r>
      <w:r>
        <w:rPr>
          <w:rFonts w:ascii="Arial" w:cs="Arial" w:eastAsia="Arial" w:hAnsi="Arial"/>
          <w:sz w:val="17"/>
          <w:szCs w:val="17"/>
          <w:u w:val="single" w:color="auto"/>
          <w:color w:val="auto"/>
        </w:rPr>
        <w:t>Expenses; Indemnity; Damage Waiver</w:t>
      </w:r>
      <w:r>
        <w:rPr>
          <w:rFonts w:ascii="Arial" w:cs="Arial" w:eastAsia="Arial" w:hAnsi="Arial"/>
          <w:sz w:val="17"/>
          <w:szCs w:val="17"/>
          <w:color w:val="auto"/>
        </w:rPr>
        <w:t xml:space="preserve">. (a) </w:t>
      </w: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L/C Issuer in connection with the issuance, amendment, renewal or extension of any Letter of Credit or any demand for payment thereunder and (iii) all out-of-pocket expenses incurred by the Administrative Agent, any Lender or any L/C Issuer (including the fees, charges and disbursements of any counsel for the Administrative Agent, any Lender or any L/C Issuer in connection with the enforcement or protection of its rights (A) in connection with this Agreement and the other Loan Documents, including its rights under this Section, or (B) in connection with Loans made or Letters of Credit issued hereunder, including all such out-of-pocket expenses incurred during any workout, restructuring or negotiations in respect of such Loans or Letters of Credit.</w:t>
      </w:r>
    </w:p>
    <w:p>
      <w:pPr>
        <w:spacing w:after="0" w:line="178" w:lineRule="exact"/>
        <w:rPr>
          <w:sz w:val="20"/>
          <w:szCs w:val="20"/>
          <w:color w:val="auto"/>
        </w:rPr>
      </w:pPr>
    </w:p>
    <w:p>
      <w:pPr>
        <w:ind w:firstLine="464"/>
        <w:spacing w:after="0" w:line="284" w:lineRule="auto"/>
        <w:tabs>
          <w:tab w:leader="none" w:pos="711"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(and any sub-agent thereof), each Arranger, each Lender, each L/C Issuer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related expenses (including the reasonable fees, charges and disbursements of any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(ii) any Loan or Letter of Credit or the use or proposed use of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274" w:right="259" w:bottom="1440" w:gutter="0" w:footer="0" w:header="0"/>
        </w:sectPr>
      </w:pPr>
    </w:p>
    <w:bookmarkStart w:id="153" w:name="page154"/>
    <w:bookmarkEnd w:id="15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at, on, under or emanating from any property owned, leased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10.04(b)</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167" w:lineRule="exact"/>
        <w:rPr>
          <w:sz w:val="20"/>
          <w:szCs w:val="20"/>
          <w:color w:val="auto"/>
        </w:rPr>
      </w:pPr>
    </w:p>
    <w:p>
      <w:pPr>
        <w:ind w:right="40" w:firstLine="464"/>
        <w:spacing w:after="0" w:line="269" w:lineRule="auto"/>
        <w:tabs>
          <w:tab w:leader="none" w:pos="701"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Reimbursement by Lenders</w:t>
      </w:r>
      <w:r>
        <w:rPr>
          <w:rFonts w:ascii="Arial" w:cs="Arial" w:eastAsia="Arial" w:hAnsi="Arial"/>
          <w:sz w:val="17"/>
          <w:szCs w:val="17"/>
          <w:color w:val="auto"/>
        </w:rPr>
        <w:t xml:space="preserve">. To the extent that the Borrower for any reason fails to indefeasibly pay any amount required under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to be paid by it to the Administrative Agent (or any sub-agent thereof), each L/C Issuer, the Swing Line Lender or any Related Party of any of the foregoing, each Lender severally agrees to pay to the Administrative Agent (or any such sub-agent), such L/C Issuer, the Swing Line Lender or such Related Party, as the case may be, such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are subject to the provisions of </w:t>
      </w:r>
      <w:r>
        <w:rPr>
          <w:rFonts w:ascii="Arial" w:cs="Arial" w:eastAsia="Arial" w:hAnsi="Arial"/>
          <w:sz w:val="17"/>
          <w:szCs w:val="17"/>
          <w:u w:val="single" w:color="auto"/>
          <w:color w:val="auto"/>
        </w:rPr>
        <w:t>Section 2.12(d)</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right="40" w:firstLine="464"/>
        <w:spacing w:after="0" w:line="272" w:lineRule="auto"/>
        <w:tabs>
          <w:tab w:leader="none" w:pos="711"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xml:space="preserve">. To the fullest extent permitted by applicable law, the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above shall be liable for any damages arising from the use by others of any information or other materials distributed to such party by such Indemnitee through telecommunications, electronic or other information transmission systems in connection with this Agreement or the other Loan Documents or the transactions contemplated hereby or thereby.</w:t>
      </w:r>
    </w:p>
    <w:p>
      <w:pPr>
        <w:spacing w:after="0" w:line="177" w:lineRule="exact"/>
        <w:rPr>
          <w:rFonts w:ascii="Arial" w:cs="Arial" w:eastAsia="Arial" w:hAnsi="Arial"/>
          <w:sz w:val="17"/>
          <w:szCs w:val="17"/>
          <w:color w:val="auto"/>
        </w:rPr>
      </w:pPr>
    </w:p>
    <w:p>
      <w:pPr>
        <w:ind w:left="700" w:hanging="236"/>
        <w:spacing w:after="0"/>
        <w:tabs>
          <w:tab w:leader="none" w:pos="70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25" w:lineRule="exact"/>
        <w:rPr>
          <w:rFonts w:ascii="Arial" w:cs="Arial" w:eastAsia="Arial" w:hAnsi="Arial"/>
          <w:sz w:val="18"/>
          <w:szCs w:val="18"/>
          <w:color w:val="auto"/>
        </w:rPr>
      </w:pPr>
    </w:p>
    <w:p>
      <w:pPr>
        <w:jc w:val="both"/>
        <w:ind w:right="80" w:firstLine="464"/>
        <w:spacing w:after="0" w:line="264" w:lineRule="auto"/>
        <w:tabs>
          <w:tab w:leader="none" w:pos="681"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and the indemnity provision of </w:t>
      </w:r>
      <w:r>
        <w:rPr>
          <w:rFonts w:ascii="Arial" w:cs="Arial" w:eastAsia="Arial" w:hAnsi="Arial"/>
          <w:sz w:val="18"/>
          <w:szCs w:val="18"/>
          <w:u w:val="single" w:color="auto"/>
          <w:color w:val="auto"/>
        </w:rPr>
        <w:t>Section 10.02(e)</w:t>
      </w:r>
      <w:r>
        <w:rPr>
          <w:rFonts w:ascii="Arial" w:cs="Arial" w:eastAsia="Arial" w:hAnsi="Arial"/>
          <w:sz w:val="18"/>
          <w:szCs w:val="18"/>
          <w:color w:val="auto"/>
        </w:rPr>
        <w:t xml:space="preserve"> shall survive the resignation of the Administrative Agent, any L/C Issuer and the Swing Line Lender, the replacement of any Lender, the termination of the Aggregate Commitments and the repayment, satisfaction or discharge of all the other Obligations.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274" w:right="239" w:bottom="1440" w:gutter="0" w:footer="0" w:header="0"/>
        </w:sectPr>
      </w:pPr>
    </w:p>
    <w:bookmarkStart w:id="154" w:name="page155"/>
    <w:bookmarkEnd w:id="154"/>
    <w:p>
      <w:pPr>
        <w:ind w:right="2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10.05 </w:t>
      </w:r>
      <w:r>
        <w:rPr>
          <w:rFonts w:ascii="Arial" w:cs="Arial" w:eastAsia="Arial" w:hAnsi="Arial"/>
          <w:sz w:val="17"/>
          <w:szCs w:val="17"/>
          <w:u w:val="single" w:color="auto"/>
          <w:color w:val="auto"/>
        </w:rPr>
        <w:t>Payments Set Aside</w:t>
      </w:r>
      <w:r>
        <w:rPr>
          <w:rFonts w:ascii="Arial" w:cs="Arial" w:eastAsia="Arial" w:hAnsi="Arial"/>
          <w:sz w:val="17"/>
          <w:szCs w:val="17"/>
          <w:color w:val="auto"/>
        </w:rPr>
        <w:t xml:space="preserve">. 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Issuers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preceding sentence shall survive the payment in full of the Obligations and the termination of this Agreement.</w:t>
      </w:r>
    </w:p>
    <w:p>
      <w:pPr>
        <w:spacing w:after="0" w:line="17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(ii) by way of participation in accordance with the provisions of </w:t>
      </w:r>
      <w:r>
        <w:rPr>
          <w:rFonts w:ascii="Arial" w:cs="Arial" w:eastAsia="Arial" w:hAnsi="Arial"/>
          <w:sz w:val="17"/>
          <w:szCs w:val="17"/>
          <w:u w:val="single" w:color="auto"/>
          <w:color w:val="auto"/>
        </w:rPr>
        <w:t>Section 10.06(d)</w:t>
      </w:r>
      <w:r>
        <w:rPr>
          <w:rFonts w:ascii="Arial" w:cs="Arial" w:eastAsia="Arial" w:hAnsi="Arial"/>
          <w:sz w:val="17"/>
          <w:szCs w:val="17"/>
          <w:color w:val="auto"/>
        </w:rPr>
        <w:t xml:space="preserve">, or (iii) by way of pledge or assignment of a security interest subject to the restrictions of </w:t>
      </w:r>
      <w:r>
        <w:rPr>
          <w:rFonts w:ascii="Arial" w:cs="Arial" w:eastAsia="Arial" w:hAnsi="Arial"/>
          <w:sz w:val="17"/>
          <w:szCs w:val="17"/>
          <w:u w:val="single" w:color="auto"/>
          <w:color w:val="auto"/>
        </w:rPr>
        <w:t>Section 10.06(e)</w:t>
      </w:r>
      <w:r>
        <w:rPr>
          <w:rFonts w:ascii="Arial" w:cs="Arial" w:eastAsia="Arial" w:hAnsi="Arial"/>
          <w:sz w:val="17"/>
          <w:szCs w:val="17"/>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 and, to the extent expressly contemplated hereby, the Related Parties of each of the Administrative Agent, the L/C Issuers and the Lenders) any legal or equitable right, remedy or claim under or by reason of this Agreement.</w:t>
      </w:r>
    </w:p>
    <w:p>
      <w:pPr>
        <w:spacing w:after="0" w:line="182" w:lineRule="exact"/>
        <w:rPr>
          <w:sz w:val="20"/>
          <w:szCs w:val="20"/>
          <w:color w:val="auto"/>
        </w:rPr>
      </w:pPr>
    </w:p>
    <w:p>
      <w:pPr>
        <w:ind w:right="140" w:firstLine="464"/>
        <w:spacing w:after="0" w:line="259" w:lineRule="auto"/>
        <w:tabs>
          <w:tab w:leader="none" w:pos="711"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participations in L/C Obligations and in Swing Line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with respect to any Facility) any such assignment shall be subject to the following conditions:</w:t>
      </w:r>
    </w:p>
    <w:p>
      <w:pPr>
        <w:spacing w:after="0" w:line="294" w:lineRule="exact"/>
        <w:rPr>
          <w:rFonts w:ascii="Arial" w:cs="Arial" w:eastAsia="Arial" w:hAnsi="Arial"/>
          <w:sz w:val="18"/>
          <w:szCs w:val="18"/>
          <w:color w:val="auto"/>
        </w:rPr>
      </w:pPr>
    </w:p>
    <w:p>
      <w:pPr>
        <w:ind w:left="1120" w:hanging="217"/>
        <w:spacing w:after="0"/>
        <w:tabs>
          <w:tab w:leader="none" w:pos="1120"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firstLine="421"/>
        <w:spacing w:after="0" w:line="259" w:lineRule="auto"/>
        <w:tabs>
          <w:tab w:leader="none" w:pos="1635" w:val="left"/>
        </w:tabs>
        <w:numPr>
          <w:ilvl w:val="2"/>
          <w:numId w:val="191"/>
        </w:numPr>
        <w:rPr>
          <w:rFonts w:ascii="Arial" w:cs="Arial" w:eastAsia="Arial" w:hAnsi="Arial"/>
          <w:sz w:val="18"/>
          <w:szCs w:val="18"/>
          <w:color w:val="auto"/>
        </w:rPr>
      </w:pPr>
      <w:r>
        <w:rPr>
          <w:rFonts w:ascii="Arial" w:cs="Arial" w:eastAsia="Arial" w:hAnsi="Arial"/>
          <w:sz w:val="18"/>
          <w:szCs w:val="18"/>
          <w:color w:val="auto"/>
        </w:rPr>
        <w:t xml:space="preserve">in the case of an assignment of the entire remaining amount of the assigning Lender’s Commitment under any Facility and/or the Loans at the time owing to it (in each case with respect to any Facility) or contemporaneous assignments to related Approved Funds that equal at least the amount specified in </w:t>
      </w:r>
      <w:r>
        <w:rPr>
          <w:rFonts w:ascii="Arial" w:cs="Arial" w:eastAsia="Arial" w:hAnsi="Arial"/>
          <w:sz w:val="18"/>
          <w:szCs w:val="18"/>
          <w:u w:val="single" w:color="auto"/>
          <w:color w:val="auto"/>
        </w:rPr>
        <w:t>paragraph (b)(i)(B)</w:t>
      </w:r>
      <w:r>
        <w:rPr>
          <w:rFonts w:ascii="Arial" w:cs="Arial" w:eastAsia="Arial" w:hAnsi="Arial"/>
          <w:sz w:val="18"/>
          <w:szCs w:val="18"/>
          <w:color w:val="auto"/>
        </w:rPr>
        <w:t xml:space="preserve"> of this Section in the aggregate or in the case of an assignment to a Lender, an Affiliate of a Lender or an Approved Fund, no minimum amount need be assigned; and</w:t>
      </w:r>
    </w:p>
    <w:p>
      <w:pPr>
        <w:spacing w:after="0" w:line="78" w:lineRule="exact"/>
        <w:rPr>
          <w:rFonts w:ascii="Arial" w:cs="Arial" w:eastAsia="Arial" w:hAnsi="Arial"/>
          <w:sz w:val="18"/>
          <w:szCs w:val="18"/>
          <w:color w:val="auto"/>
        </w:rPr>
      </w:pPr>
    </w:p>
    <w:p>
      <w:pPr>
        <w:ind w:left="920" w:right="180" w:firstLine="421"/>
        <w:spacing w:after="0" w:line="312" w:lineRule="auto"/>
        <w:tabs>
          <w:tab w:leader="none" w:pos="1625" w:val="left"/>
        </w:tabs>
        <w:numPr>
          <w:ilvl w:val="2"/>
          <w:numId w:val="191"/>
        </w:numPr>
        <w:rPr>
          <w:rFonts w:ascii="Arial" w:cs="Arial" w:eastAsia="Arial" w:hAnsi="Arial"/>
          <w:sz w:val="16"/>
          <w:szCs w:val="16"/>
          <w:color w:val="auto"/>
        </w:rPr>
      </w:pPr>
      <w:r>
        <w:rPr>
          <w:rFonts w:ascii="Arial" w:cs="Arial" w:eastAsia="Arial" w:hAnsi="Arial"/>
          <w:sz w:val="16"/>
          <w:szCs w:val="16"/>
          <w:color w:val="auto"/>
        </w:rPr>
        <w:t xml:space="preserve">in any case not described in </w:t>
      </w:r>
      <w:r>
        <w:rPr>
          <w:rFonts w:ascii="Arial" w:cs="Arial" w:eastAsia="Arial" w:hAnsi="Arial"/>
          <w:sz w:val="16"/>
          <w:szCs w:val="16"/>
          <w:u w:val="single" w:color="auto"/>
          <w:color w:val="auto"/>
        </w:rPr>
        <w:t>subsection (b)(i)(A)</w:t>
      </w:r>
      <w:r>
        <w:rPr>
          <w:rFonts w:ascii="Arial" w:cs="Arial" w:eastAsia="Arial" w:hAnsi="Arial"/>
          <w:sz w:val="16"/>
          <w:szCs w:val="16"/>
          <w:color w:val="auto"/>
        </w:rPr>
        <w:t xml:space="preserve">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274" w:right="239" w:bottom="1440" w:gutter="0" w:footer="0" w:header="0"/>
        </w:sectPr>
      </w:pPr>
    </w:p>
    <w:bookmarkStart w:id="155" w:name="page156"/>
    <w:bookmarkEnd w:id="155"/>
    <w:p>
      <w:pPr>
        <w:ind w:left="460" w:right="3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Borrower otherwise consents (each such consent not to be unreasonably withheld or delayed).</w:t>
      </w:r>
    </w:p>
    <w:p>
      <w:pPr>
        <w:spacing w:after="0" w:line="57" w:lineRule="exact"/>
        <w:rPr>
          <w:sz w:val="20"/>
          <w:szCs w:val="20"/>
          <w:color w:val="auto"/>
        </w:rPr>
      </w:pPr>
    </w:p>
    <w:p>
      <w:pPr>
        <w:ind w:right="180" w:firstLine="443"/>
        <w:spacing w:after="0" w:line="257" w:lineRule="auto"/>
        <w:tabs>
          <w:tab w:leader="none" w:pos="703"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not apply to the Swing Line Lender’s rights and obligations in respect of Swing Line Loans or (B) prohibit any Lender from assigning all or a portion of its rights and obligations among the Revolving Credit Facility provided hereunder and any separate revolving credit or term loan facilities provided pursuant to the last paragraph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on a non-</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80" w:lineRule="exact"/>
        <w:rPr>
          <w:rFonts w:ascii="Arial" w:cs="Arial" w:eastAsia="Arial" w:hAnsi="Arial"/>
          <w:sz w:val="18"/>
          <w:szCs w:val="18"/>
          <w:color w:val="auto"/>
        </w:rPr>
      </w:pPr>
    </w:p>
    <w:p>
      <w:pPr>
        <w:ind w:right="40" w:firstLine="443"/>
        <w:spacing w:after="0" w:line="277" w:lineRule="auto"/>
        <w:tabs>
          <w:tab w:leader="none" w:pos="753"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62" w:lineRule="exact"/>
        <w:rPr>
          <w:rFonts w:ascii="Arial" w:cs="Arial" w:eastAsia="Arial" w:hAnsi="Arial"/>
          <w:sz w:val="18"/>
          <w:szCs w:val="18"/>
          <w:color w:val="auto"/>
        </w:rPr>
      </w:pPr>
    </w:p>
    <w:p>
      <w:pPr>
        <w:ind w:left="460" w:right="20" w:firstLine="421"/>
        <w:spacing w:after="0" w:line="255" w:lineRule="auto"/>
        <w:tabs>
          <w:tab w:leader="none" w:pos="1175" w:val="left"/>
        </w:tabs>
        <w:numPr>
          <w:ilvl w:val="2"/>
          <w:numId w:val="192"/>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or delayed) shall be required unless (1) an Event of Default has occurred and is continuing at the time of such assignment; (2) such assignment is, in the case of the Revolving Credit Facility, to a Revolving Credit Lender, an Affiliate of a Revolving Credit Lender or an Approved Fund of a Revolving Credit Lender, or, in the case of the Term Facility, to a Lender, an Affiliate of a Lender or an Approved Fund, or (3) such assignment is made in connection with the primary syndication of the credit facility provided herein and during the ninety (90) day period following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81" w:lineRule="exact"/>
        <w:rPr>
          <w:rFonts w:ascii="Arial" w:cs="Arial" w:eastAsia="Arial" w:hAnsi="Arial"/>
          <w:sz w:val="18"/>
          <w:szCs w:val="18"/>
          <w:color w:val="auto"/>
        </w:rPr>
      </w:pPr>
    </w:p>
    <w:p>
      <w:pPr>
        <w:jc w:val="both"/>
        <w:ind w:left="460" w:firstLine="421"/>
        <w:spacing w:after="0" w:line="279" w:lineRule="auto"/>
        <w:tabs>
          <w:tab w:leader="none" w:pos="1165" w:val="left"/>
        </w:tabs>
        <w:numPr>
          <w:ilvl w:val="2"/>
          <w:numId w:val="192"/>
        </w:numPr>
        <w:rPr>
          <w:rFonts w:ascii="Arial" w:cs="Arial" w:eastAsia="Arial" w:hAnsi="Arial"/>
          <w:sz w:val="17"/>
          <w:szCs w:val="17"/>
          <w:color w:val="auto"/>
        </w:rPr>
      </w:pPr>
      <w:r>
        <w:rPr>
          <w:rFonts w:ascii="Arial" w:cs="Arial" w:eastAsia="Arial" w:hAnsi="Arial"/>
          <w:sz w:val="17"/>
          <w:szCs w:val="17"/>
          <w:color w:val="auto"/>
        </w:rPr>
        <w:t>the consent of the Administrative Agent (such consent not to be unreasonably withheld or delayed) shall be required for assignments in respect of (i) any unfunded Term Commitment or any Revolving Credit Commitment if such assignment is to a Person that is not a Lender with a Commitment in respect of the applicable Facility, an Affiliate of such Lender or an Approved Fund with respect to such Lender or (ii) any Term Loan to a Person that is not a Lender, an Affiliate of a Lender or an Approved Fund; and</w:t>
      </w:r>
    </w:p>
    <w:p>
      <w:pPr>
        <w:spacing w:after="0" w:line="63" w:lineRule="exact"/>
        <w:rPr>
          <w:rFonts w:ascii="Arial" w:cs="Arial" w:eastAsia="Arial" w:hAnsi="Arial"/>
          <w:sz w:val="17"/>
          <w:szCs w:val="17"/>
          <w:color w:val="auto"/>
        </w:rPr>
      </w:pPr>
    </w:p>
    <w:p>
      <w:pPr>
        <w:ind w:left="1160" w:hanging="279"/>
        <w:spacing w:after="0"/>
        <w:tabs>
          <w:tab w:leader="none" w:pos="1160" w:val="left"/>
        </w:tabs>
        <w:numPr>
          <w:ilvl w:val="2"/>
          <w:numId w:val="192"/>
        </w:numPr>
        <w:rPr>
          <w:rFonts w:ascii="Arial" w:cs="Arial" w:eastAsia="Arial" w:hAnsi="Arial"/>
          <w:sz w:val="17"/>
          <w:szCs w:val="17"/>
          <w:color w:val="auto"/>
        </w:rPr>
      </w:pPr>
      <w:r>
        <w:rPr>
          <w:rFonts w:ascii="Arial" w:cs="Arial" w:eastAsia="Arial" w:hAnsi="Arial"/>
          <w:sz w:val="17"/>
          <w:szCs w:val="17"/>
          <w:color w:val="auto"/>
        </w:rPr>
        <w:t>the consent of the L/C Issuers and the Swing Line Lender shall be required for any assignment in respect of the Revolving Credit</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Facility.</w:t>
      </w:r>
    </w:p>
    <w:p>
      <w:pPr>
        <w:spacing w:after="0" w:line="102" w:lineRule="exact"/>
        <w:rPr>
          <w:rFonts w:ascii="Arial" w:cs="Arial" w:eastAsia="Arial" w:hAnsi="Arial"/>
          <w:sz w:val="17"/>
          <w:szCs w:val="17"/>
          <w:color w:val="auto"/>
        </w:rPr>
      </w:pPr>
    </w:p>
    <w:p>
      <w:pPr>
        <w:ind w:right="80" w:firstLine="443"/>
        <w:spacing w:after="0" w:line="259" w:lineRule="auto"/>
        <w:tabs>
          <w:tab w:leader="none" w:pos="743"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8" w:lineRule="exact"/>
        <w:rPr>
          <w:rFonts w:ascii="Arial" w:cs="Arial" w:eastAsia="Arial" w:hAnsi="Arial"/>
          <w:sz w:val="18"/>
          <w:szCs w:val="18"/>
          <w:color w:val="auto"/>
        </w:rPr>
      </w:pPr>
    </w:p>
    <w:p>
      <w:pPr>
        <w:ind w:left="700" w:hanging="257"/>
        <w:spacing w:after="0"/>
        <w:tabs>
          <w:tab w:leader="none" w:pos="700"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No Assignment to Certain Persons</w:t>
      </w:r>
      <w:r>
        <w:rPr>
          <w:rFonts w:ascii="Arial" w:cs="Arial" w:eastAsia="Arial" w:hAnsi="Arial"/>
          <w:sz w:val="16"/>
          <w:szCs w:val="16"/>
          <w:color w:val="auto"/>
        </w:rPr>
        <w:t>. No such assignment shall be made (A) to the Borrower or any of the Borrower’s Affiliates or Subsidiaries,</w:t>
      </w:r>
    </w:p>
    <w:p>
      <w:pPr>
        <w:spacing w:after="0" w:line="46" w:lineRule="exact"/>
        <w:rPr>
          <w:rFonts w:ascii="Arial" w:cs="Arial" w:eastAsia="Arial" w:hAnsi="Arial"/>
          <w:sz w:val="16"/>
          <w:szCs w:val="16"/>
          <w:color w:val="auto"/>
        </w:rPr>
      </w:pPr>
    </w:p>
    <w:p>
      <w:pPr>
        <w:ind w:right="140" w:firstLine="4"/>
        <w:spacing w:after="0" w:line="261" w:lineRule="auto"/>
        <w:tabs>
          <w:tab w:leader="none" w:pos="28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40"/>
          </w:cols>
          <w:pgMar w:left="700" w:top="274" w:right="259" w:bottom="1440" w:gutter="0" w:footer="0" w:header="0"/>
        </w:sectPr>
      </w:pPr>
    </w:p>
    <w:bookmarkStart w:id="156" w:name="page157"/>
    <w:bookmarkEnd w:id="156"/>
    <w:p>
      <w:pPr>
        <w:ind w:left="440" w:right="20" w:firstLine="443"/>
        <w:spacing w:after="0" w:line="269" w:lineRule="auto"/>
        <w:tabs>
          <w:tab w:leader="none" w:pos="1183" w:val="left"/>
        </w:tabs>
        <w:numPr>
          <w:ilvl w:val="1"/>
          <w:numId w:val="19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Additional Payments</w:t>
      </w:r>
      <w:r>
        <w:rPr>
          <w:rFonts w:ascii="Arial" w:cs="Arial" w:eastAsia="Arial" w:hAnsi="Arial"/>
          <w:sz w:val="17"/>
          <w:szCs w:val="17"/>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Laws without compliance with the provisions of this paragraph, then the assignee of such interest shall be deemed to be a Defaulting Lender for all purposes of this Agreement until such compliance occurs.</w:t>
      </w:r>
    </w:p>
    <w:p>
      <w:pPr>
        <w:spacing w:after="0" w:line="74" w:lineRule="exact"/>
        <w:rPr>
          <w:rFonts w:ascii="Arial" w:cs="Arial" w:eastAsia="Arial" w:hAnsi="Arial"/>
          <w:sz w:val="17"/>
          <w:szCs w:val="17"/>
          <w:color w:val="auto"/>
        </w:rPr>
      </w:pPr>
    </w:p>
    <w:p>
      <w:pPr>
        <w:ind w:left="440" w:firstLine="443"/>
        <w:spacing w:after="0" w:line="287" w:lineRule="auto"/>
        <w:tabs>
          <w:tab w:leader="none" w:pos="1233"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by the Administrative Agent pursuant to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with respect to facts and circumstances occurring prior to the effective date of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w:t>
      </w:r>
    </w:p>
    <w:p>
      <w:pPr>
        <w:spacing w:after="0" w:line="172" w:lineRule="exact"/>
        <w:rPr>
          <w:rFonts w:ascii="Arial" w:cs="Arial" w:eastAsia="Arial" w:hAnsi="Arial"/>
          <w:sz w:val="16"/>
          <w:szCs w:val="16"/>
          <w:color w:val="auto"/>
        </w:rPr>
      </w:pPr>
    </w:p>
    <w:p>
      <w:pPr>
        <w:ind w:left="-20" w:firstLine="464"/>
        <w:spacing w:after="0" w:line="272" w:lineRule="auto"/>
        <w:tabs>
          <w:tab w:leader="none" w:pos="681"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77" w:lineRule="exact"/>
        <w:rPr>
          <w:rFonts w:ascii="Arial" w:cs="Arial" w:eastAsia="Arial" w:hAnsi="Arial"/>
          <w:sz w:val="17"/>
          <w:szCs w:val="17"/>
          <w:color w:val="auto"/>
        </w:rPr>
      </w:pPr>
    </w:p>
    <w:p>
      <w:pPr>
        <w:ind w:left="-20" w:right="40" w:firstLine="464"/>
        <w:spacing w:after="0" w:line="277" w:lineRule="auto"/>
        <w:tabs>
          <w:tab w:leader="none" w:pos="691"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 the Administrative Agent, the Swing Line Lender or any L/C Issuer, sell participations to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60" w:top="274" w:right="259" w:bottom="1440" w:gutter="0" w:footer="0" w:header="0"/>
        </w:sectPr>
      </w:pPr>
    </w:p>
    <w:bookmarkStart w:id="157" w:name="page158"/>
    <w:bookmarkEnd w:id="157"/>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(other than a natural Person, a Defaulting Lender or the Borrower or any of the Borrower’s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without regard to the existence of any participation.</w:t>
      </w:r>
    </w:p>
    <w:p>
      <w:pPr>
        <w:spacing w:after="0" w:line="18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that affects such Participant.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(it being understood that the documentation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shall be delivered to the Lender who sells the participation)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10.13</w:t>
      </w:r>
      <w:r>
        <w:rPr>
          <w:rFonts w:ascii="Arial" w:cs="Arial" w:eastAsia="Arial" w:hAnsi="Arial"/>
          <w:sz w:val="16"/>
          <w:szCs w:val="16"/>
          <w:color w:val="auto"/>
        </w:rPr>
        <w:t xml:space="preserve"> as if it were an assignee under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(B) shall not be entitled to receive any greater payment under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98" w:lineRule="exact"/>
        <w:rPr>
          <w:sz w:val="20"/>
          <w:szCs w:val="20"/>
          <w:color w:val="auto"/>
        </w:rPr>
      </w:pPr>
    </w:p>
    <w:p>
      <w:pPr>
        <w:ind w:right="20" w:firstLine="464"/>
        <w:spacing w:after="0" w:line="279" w:lineRule="auto"/>
        <w:tabs>
          <w:tab w:leader="none" w:pos="701"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Certain Pledges</w:t>
      </w:r>
      <w:r>
        <w:rPr>
          <w:rFonts w:ascii="Arial" w:cs="Arial" w:eastAsia="Arial" w:hAnsi="Arial"/>
          <w:sz w:val="17"/>
          <w:szCs w:val="17"/>
          <w:color w:val="auto"/>
        </w:rPr>
        <w:t xml:space="preserve">. Any Lender may, without the consent of the Borrower or Administrative Agent, at any time pledge or assign a security interest in all or any portion of its rights under this Agreement (including under its Note, if any) to secure obligations of such Lender, including any pledge or assignment to secure obligations to a Federal Reserve Bank or central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shall release such Lender from any of its obligations hereunder or substitute any such pledgee or assignee for such Lender as a party hereto.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274" w:right="239" w:bottom="1440" w:gutter="0" w:footer="0" w:header="0"/>
        </w:sectPr>
      </w:pPr>
    </w:p>
    <w:bookmarkStart w:id="158" w:name="page159"/>
    <w:bookmarkEnd w:id="158"/>
    <w:p>
      <w:pPr>
        <w:ind w:right="60" w:firstLine="464"/>
        <w:spacing w:after="0" w:line="288" w:lineRule="auto"/>
        <w:tabs>
          <w:tab w:leader="none" w:pos="681"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Resignation as L/C Issuer or Swing Line Lender after Assignment</w:t>
      </w:r>
      <w:r>
        <w:rPr>
          <w:rFonts w:ascii="Arial" w:cs="Arial" w:eastAsia="Arial" w:hAnsi="Arial"/>
          <w:sz w:val="16"/>
          <w:szCs w:val="16"/>
          <w:color w:val="auto"/>
        </w:rPr>
        <w:t xml:space="preserve">. Notwithstanding anything to the contrary contained herein, if at any time any Person or any other Revolving Credit Lender assigns all of its Revolving Credit Commitment and Revolving Credit Loans pursuant to </w:t>
      </w:r>
      <w:r>
        <w:rPr>
          <w:rFonts w:ascii="Arial" w:cs="Arial" w:eastAsia="Arial" w:hAnsi="Arial"/>
          <w:sz w:val="16"/>
          <w:szCs w:val="16"/>
          <w:u w:val="single" w:color="auto"/>
          <w:color w:val="auto"/>
        </w:rPr>
        <w:t>Section 10.06(b)</w:t>
      </w:r>
      <w:r>
        <w:rPr>
          <w:rFonts w:ascii="Arial" w:cs="Arial" w:eastAsia="Arial" w:hAnsi="Arial"/>
          <w:sz w:val="16"/>
          <w:szCs w:val="16"/>
          <w:color w:val="auto"/>
        </w:rPr>
        <w:t>, such Person or such other Lender, as the case may be, may, (i) upon 30 days’ notice to the Borrower and the Lenders, resign as an L/C Issuer and/or (ii) upon</w:t>
      </w:r>
    </w:p>
    <w:p>
      <w:pPr>
        <w:ind w:right="4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30 days’ notice to the Borrower, resign as Swing Line Lender. In the event of any such resignation as an L/C Issuer or Swing Line Lender, the Borrower shall be entitled to appoint from among the Lenders a successor L/C Issuer 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the Borrower to appoint any such successor shall affect the resignation of such Person or such other Lender as an L/C Issuer or Swing Line Lender, as the case may be. If any Person or any other Revolving Credit Lender resigns as an L/C Issuer, it shall retain all the rights, powers, privileges and duties of an L/C Issuer hereunder with respect to all applicable Letters of Credit outstanding as of the effective date of its resignation as an L/C Issuer and all applicable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any Person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applicable Letters of Credit, if any, outstanding at the time of such succession or make other arrangements satisfactory to such Person to effectively assume the obligations of such Person or such other Revolving Credit Lender, as the case may be, with respect to such Letters of Credit.</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10.07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xml:space="preserve">. Each of the Administrative Agent, the Lenders and the L/C Issuers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of other market identifiers with respect to the credit facilities provided hereunder, (h) with the consent of the Borrower or (i) to the extent such Information (i) becomes publicly available other than as a result of a breach of this Section or (ii) becomes available to the Administrative Agent, any Lender, any L/C Issuer or any of their respective Affiliates on a nonconfidential basis from a source other than the Borrower.</w:t>
      </w:r>
    </w:p>
    <w:p>
      <w:pPr>
        <w:spacing w:after="0" w:line="16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means all information received from the Borrower or any Subsidiary relating to the Borrower or any Subsidiary or any of their respective businesses, other than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274" w:right="259" w:bottom="1440" w:gutter="0" w:footer="0" w:header="0"/>
        </w:sectPr>
      </w:pPr>
    </w:p>
    <w:bookmarkStart w:id="159" w:name="page160"/>
    <w:bookmarkEnd w:id="15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such information that is available to the Administrative Agent, any Lender or any L/C Issuer on a nonconfidential basis prior to disclosure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Each of the Administrative Agent, the Lenders and the L/C Issuers acknowledge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Laws, including United States Federal and state securities Laws.</w:t>
      </w:r>
    </w:p>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 xml:space="preserve">10.08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each Lender, each L/C Issuer and each of their respective Affiliates is hereby authorized at any time and from time to time, after obtaining the prior written consent of the Administrative Agent, to the fullest extent permitted by applicable Laws,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against any and all of the obligations of the Borrower now or hereafter existing under this Agreement or any other Loan Document to such Lender or such L/C Issuer, irrespective of whether or not such Lender or such L/C Issuer shall have made any demand under this Agreement or any other Loan Document and although such obligations of the Borrower may be contingent or unmatured or are owed to a branch or office or Affiliate of such Lender or such L/C Issuer different from the branch, office or Affiliate holding such 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10.09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Laws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Laws,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274" w:right="239" w:bottom="1440" w:gutter="0" w:footer="0" w:header="0"/>
        </w:sectPr>
      </w:pPr>
    </w:p>
    <w:bookmarkStart w:id="160" w:name="page161"/>
    <w:bookmarkEnd w:id="160"/>
    <w:p>
      <w:pPr>
        <w:ind w:right="4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10.10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79"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Survival of Representations and Warranties</w:t>
      </w:r>
      <w:r>
        <w:rPr>
          <w:rFonts w:ascii="Arial" w:cs="Arial" w:eastAsia="Arial" w:hAnsi="Arial"/>
          <w:sz w:val="17"/>
          <w:szCs w:val="17"/>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10.12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19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the Borrower is entitled to replace a Lender pursuant to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93" w:lineRule="exact"/>
        <w:rPr>
          <w:sz w:val="20"/>
          <w:szCs w:val="20"/>
          <w:color w:val="auto"/>
        </w:rPr>
      </w:pPr>
    </w:p>
    <w:p>
      <w:pPr>
        <w:ind w:left="700" w:hanging="236"/>
        <w:spacing w:after="0"/>
        <w:tabs>
          <w:tab w:leader="none" w:pos="7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(if any)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464"/>
        <w:spacing w:after="0" w:line="259" w:lineRule="auto"/>
        <w:tabs>
          <w:tab w:leader="none" w:pos="71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from the assignee (to the extent of such outstanding principal and accrued interest and fees) or the Borrower (in the case of all other amounts, including any amount payable under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274" w:right="239" w:bottom="1440" w:gutter="0" w:footer="0" w:header="0"/>
        </w:sectPr>
      </w:pPr>
    </w:p>
    <w:bookmarkStart w:id="161" w:name="page162"/>
    <w:bookmarkEnd w:id="161"/>
    <w:p>
      <w:pPr>
        <w:ind w:right="620" w:firstLine="464"/>
        <w:spacing w:after="0" w:line="277" w:lineRule="auto"/>
        <w:tabs>
          <w:tab w:leader="none" w:pos="701"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225" w:lineRule="exact"/>
        <w:rPr>
          <w:rFonts w:ascii="Arial" w:cs="Arial" w:eastAsia="Arial" w:hAnsi="Arial"/>
          <w:sz w:val="18"/>
          <w:szCs w:val="18"/>
          <w:color w:val="auto"/>
        </w:rPr>
      </w:pPr>
    </w:p>
    <w:p>
      <w:pPr>
        <w:ind w:right="540" w:firstLine="464"/>
        <w:spacing w:after="0" w:line="277" w:lineRule="auto"/>
        <w:tabs>
          <w:tab w:leader="none" w:pos="70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57" w:lineRule="auto"/>
        <w:tabs>
          <w:tab w:leader="none" w:pos="701"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8" w:lineRule="exact"/>
        <w:rPr>
          <w:rFonts w:ascii="Arial" w:cs="Arial" w:eastAsia="Arial" w:hAnsi="Arial"/>
          <w:sz w:val="18"/>
          <w:szCs w:val="18"/>
          <w:color w:val="auto"/>
        </w:rPr>
      </w:pPr>
    </w:p>
    <w:p>
      <w:pPr>
        <w:ind w:right="80" w:firstLine="464"/>
        <w:spacing w:after="0" w:line="268" w:lineRule="auto"/>
        <w:tabs>
          <w:tab w:leader="none" w:pos="711"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BORROWER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AGENT, ANY LENDER OR ANY L/C ISSUER MAY OTHERWISE HAVE TO BRING ANY ACTION OR PROCEEDING RELATING TO THIS AGREEMENT OR ANY OTHER LOAN DOCUMENT AGAINST THE BORROWER OR ANY OTHER LOAN PARTY OR ITS PROPERTIES IN THE COURTS OF ANY JURISDICTION.</w:t>
      </w:r>
    </w:p>
    <w:p>
      <w:pPr>
        <w:spacing w:after="0" w:line="183" w:lineRule="exact"/>
        <w:rPr>
          <w:rFonts w:ascii="Arial" w:cs="Arial" w:eastAsia="Arial" w:hAnsi="Arial"/>
          <w:sz w:val="17"/>
          <w:szCs w:val="17"/>
          <w:color w:val="auto"/>
        </w:rPr>
      </w:pPr>
    </w:p>
    <w:p>
      <w:pPr>
        <w:ind w:firstLine="464"/>
        <w:spacing w:after="0" w:line="277" w:lineRule="auto"/>
        <w:tabs>
          <w:tab w:leader="none" w:pos="701"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THE BORROWER IRREVOCABLY AND UNCONDITIONALLY WAIVES, TO THE FULLEST EXTENT PERMITTED BY APPLICABLE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274" w:right="239" w:bottom="1440" w:gutter="0" w:footer="0" w:header="0"/>
        </w:sectPr>
      </w:pPr>
    </w:p>
    <w:bookmarkStart w:id="162" w:name="page163"/>
    <w:bookmarkEnd w:id="162"/>
    <w:p>
      <w:pPr>
        <w:ind w:right="7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88" w:lineRule="exact"/>
        <w:rPr>
          <w:sz w:val="20"/>
          <w:szCs w:val="20"/>
          <w:color w:val="auto"/>
        </w:rPr>
      </w:pPr>
    </w:p>
    <w:p>
      <w:pPr>
        <w:jc w:val="both"/>
        <w:ind w:firstLine="464"/>
        <w:spacing w:after="0" w:line="264" w:lineRule="auto"/>
        <w:tabs>
          <w:tab w:leader="none" w:pos="711"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(i)(A)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(ii)(A) the Administrative Agent, the Arrangers and the Lenders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the Arrangers nor any Lender or L/C Issuer has any obligation to the Borrower or any of its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and its Affiliates, and neither the Administrative Agent, the Arrangers nor any Lender or L/C Issuer has any obligation to disclose any of such interests to the Borrower or its Affiliates. To the fullest extent permitted by law, the Borrower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274" w:right="279" w:bottom="1440" w:gutter="0" w:footer="0" w:header="0"/>
        </w:sectPr>
      </w:pPr>
    </w:p>
    <w:bookmarkStart w:id="163" w:name="page164"/>
    <w:bookmarkEnd w:id="163"/>
    <w:p>
      <w:pPr>
        <w:ind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10.17 </w:t>
      </w:r>
      <w:r>
        <w:rPr>
          <w:rFonts w:ascii="Arial" w:cs="Arial" w:eastAsia="Arial" w:hAnsi="Arial"/>
          <w:sz w:val="17"/>
          <w:szCs w:val="17"/>
          <w:u w:val="single" w:color="auto"/>
          <w:color w:val="auto"/>
        </w:rPr>
        <w:t>Electronic Execution of Assignments and Certain Other Documents</w:t>
      </w:r>
      <w:r>
        <w:rPr>
          <w:rFonts w:ascii="Arial" w:cs="Arial" w:eastAsia="Arial" w:hAnsi="Arial"/>
          <w:sz w:val="17"/>
          <w:szCs w:val="17"/>
          <w:color w:val="auto"/>
        </w:rPr>
        <w:t xml:space="preserve">. The words “execution,” “execute”, “signed,” “signature,” and words of like import in or related to any document to be signed in connection with this Agreement, the other Loan Documents and the transactions contemplated hereby and thereby (including without limitation Assignment and Assumptions, amendments or other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neither the Administrative Agent nor any Lender or L/C Issuer is under any obligation to agree to accept electronic signatures in any form or in any format unless expressly agreed to by the Administrative Agent or such Lender or such L/C Issuer, as applicable, pursuant to procedures approved by it;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without limiting the foregoing, upon the request of any party, any electronic signature shall be promptly followed by such manually executed counterpart.</w:t>
      </w:r>
    </w:p>
    <w:p>
      <w:pPr>
        <w:spacing w:after="0" w:line="18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that is subject to the PATRIOT Act and the Administrative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w:t>
      </w:r>
    </w:p>
    <w:p>
      <w:pPr>
        <w:spacing w:after="0" w:line="165"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 xml:space="preserve">10.19 </w:t>
      </w:r>
      <w:r>
        <w:rPr>
          <w:rFonts w:ascii="Arial" w:cs="Arial" w:eastAsia="Arial" w:hAnsi="Arial"/>
          <w:sz w:val="17"/>
          <w:szCs w:val="17"/>
          <w:u w:val="single" w:color="auto"/>
          <w:color w:val="auto"/>
        </w:rPr>
        <w:t>Inconsistencies with Other Documents</w:t>
      </w:r>
      <w:r>
        <w:rPr>
          <w:rFonts w:ascii="Arial" w:cs="Arial" w:eastAsia="Arial" w:hAnsi="Arial"/>
          <w:sz w:val="17"/>
          <w:szCs w:val="17"/>
          <w:color w:val="auto"/>
        </w:rPr>
        <w:t xml:space="preserve">. In the event there is a conflict or inconsistency between this Agreement and any other Loan Document, the terms of this Agreement shall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provision of the Security Documents which imposes additional burdens on the Borrower or any of its Subsidiaries or further restricts the rights of the Borrower or any of its Subsidiaries or gives the Administrative Agent or Lenders additional rights shall not be deemed to be in conflict or inconsistent with this Agreement and shall be given full force and effect.</w:t>
      </w:r>
    </w:p>
    <w:p>
      <w:pPr>
        <w:spacing w:after="0" w:line="17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10.20 </w:t>
      </w:r>
      <w:r>
        <w:rPr>
          <w:rFonts w:ascii="Arial" w:cs="Arial" w:eastAsia="Arial" w:hAnsi="Arial"/>
          <w:sz w:val="17"/>
          <w:szCs w:val="17"/>
          <w:u w:val="single" w:color="auto"/>
          <w:color w:val="auto"/>
        </w:rPr>
        <w:t>Acknowledgment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right="20" w:firstLine="464"/>
        <w:spacing w:after="0" w:line="277" w:lineRule="auto"/>
        <w:tabs>
          <w:tab w:leader="none" w:pos="70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40"/>
          </w:cols>
          <w:pgMar w:left="240" w:top="274" w:right="319" w:bottom="1440" w:gutter="0" w:footer="0" w:header="0"/>
        </w:sectPr>
      </w:pPr>
    </w:p>
    <w:bookmarkStart w:id="164" w:name="page165"/>
    <w:bookmarkEnd w:id="164"/>
    <w:p>
      <w:pPr>
        <w:ind w:firstLine="443"/>
        <w:spacing w:after="0" w:line="286" w:lineRule="auto"/>
        <w:tabs>
          <w:tab w:leader="none" w:pos="703" w:val="left"/>
        </w:tabs>
        <w:numPr>
          <w:ilvl w:val="0"/>
          <w:numId w:val="2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57" w:lineRule="exact"/>
        <w:rPr>
          <w:rFonts w:ascii="Arial" w:cs="Arial" w:eastAsia="Arial" w:hAnsi="Arial"/>
          <w:sz w:val="17"/>
          <w:szCs w:val="17"/>
          <w:color w:val="auto"/>
        </w:rPr>
      </w:pPr>
    </w:p>
    <w:p>
      <w:pPr>
        <w:ind w:left="760" w:hanging="317"/>
        <w:spacing w:after="0"/>
        <w:tabs>
          <w:tab w:leader="none" w:pos="7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variation of the terms of such liability in connection with the exercise of the write-down and conversion powers of any EEA Resolution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Authority.</w:t>
      </w: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820"/>
          </w:cols>
          <w:pgMar w:left="700" w:top="274" w:right="379" w:bottom="1440" w:gutter="0" w:footer="0" w:header="0"/>
        </w:sectPr>
      </w:pPr>
    </w:p>
    <w:bookmarkStart w:id="165" w:name="page166"/>
    <w:bookmarkEnd w:id="165"/>
    <w:p>
      <w:pP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Arial" w:cs="Arial" w:eastAsia="Arial" w:hAnsi="Arial"/>
          <w:sz w:val="16"/>
          <w:szCs w:val="16"/>
          <w:color w:val="auto"/>
        </w:rPr>
        <w:t>the parties hereto have caused this Agreement to be duly executed as of the date first above written.</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NN, INC.</w:t>
      </w:r>
      <w:r>
        <w:rPr>
          <w:rFonts w:ascii="Arial" w:cs="Arial" w:eastAsia="Arial" w:hAnsi="Arial"/>
          <w:sz w:val="17"/>
          <w:szCs w:val="17"/>
          <w:color w:val="auto"/>
        </w:rPr>
        <w:t>, a Delaware corporation</w:t>
      </w: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759"/>
          </w:cols>
          <w:pgMar w:left="700" w:top="274" w:right="1440" w:bottom="1440" w:gutter="0" w:footer="0" w:header="0"/>
        </w:sectPr>
      </w:pPr>
    </w:p>
    <w:bookmarkStart w:id="166" w:name="page167"/>
    <w:bookmarkEnd w:id="16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SUNTRUST BANK</w:t>
      </w:r>
      <w:r>
        <w:rPr>
          <w:rFonts w:ascii="Arial" w:cs="Arial" w:eastAsia="Arial" w:hAnsi="Arial"/>
          <w:sz w:val="18"/>
          <w:szCs w:val="18"/>
          <w:color w:val="auto"/>
        </w:rPr>
        <w:t>, as</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Administrative Agent and as a Lender</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KEYBANK NATIONAL ASSOCIATION</w:t>
      </w:r>
      <w:r>
        <w:rPr>
          <w:rFonts w:ascii="Arial" w:cs="Arial" w:eastAsia="Arial" w:hAnsi="Arial"/>
          <w:sz w:val="17"/>
          <w:szCs w:val="17"/>
          <w:color w:val="auto"/>
        </w:rPr>
        <w:t>, as a Lender</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780"/>
          </w:cols>
          <w:pgMar w:left="1440" w:top="270" w:right="679" w:bottom="1440" w:gutter="0" w:footer="0" w:header="0"/>
        </w:sectPr>
      </w:pPr>
    </w:p>
    <w:bookmarkStart w:id="168" w:name="page169"/>
    <w:bookmarkEnd w:id="168"/>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REGIONS BANK</w:t>
      </w:r>
      <w:r>
        <w:rPr>
          <w:rFonts w:ascii="Arial" w:cs="Arial" w:eastAsia="Arial" w:hAnsi="Arial"/>
          <w:sz w:val="17"/>
          <w:szCs w:val="17"/>
          <w:color w:val="auto"/>
        </w:rPr>
        <w:t>, as a Lender</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6620" w:hanging="965"/>
        <w:spacing w:after="0"/>
        <w:tabs>
          <w:tab w:leader="none" w:pos="6620" w:val="left"/>
        </w:tabs>
        <w:numPr>
          <w:ilvl w:val="0"/>
          <w:numId w:val="2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3629025</wp:posOffset>
            </wp:positionH>
            <wp:positionV relativeFrom="paragraph">
              <wp:posOffset>3810</wp:posOffset>
            </wp:positionV>
            <wp:extent cx="571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737870</wp:posOffset>
            </wp:positionV>
            <wp:extent cx="1252220" cy="3346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52220" cy="334645"/>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172085</wp:posOffset>
            </wp:positionV>
            <wp:extent cx="1869440" cy="5918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6944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20" w:type="dxa"/>
            <w:vAlign w:val="bottom"/>
            <w:gridSpan w:val="2"/>
          </w:tcPr>
          <w:p>
            <w:pPr>
              <w:ind w:left="1960"/>
              <w:spacing w:after="0"/>
              <w:rPr>
                <w:sz w:val="20"/>
                <w:szCs w:val="20"/>
                <w:color w:val="auto"/>
              </w:rPr>
            </w:pPr>
            <w:r>
              <w:rPr>
                <w:rFonts w:ascii="Arial" w:cs="Arial" w:eastAsia="Arial" w:hAnsi="Arial"/>
                <w:sz w:val="18"/>
                <w:szCs w:val="18"/>
                <w:color w:val="auto"/>
              </w:rPr>
              <w:t>RE: NN, Inc.</w:t>
            </w:r>
          </w:p>
        </w:tc>
      </w:tr>
      <w:tr>
        <w:trPr>
          <w:trHeight w:val="216"/>
        </w:trPr>
        <w:tc>
          <w:tcPr>
            <w:tcW w:w="16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20" w:type="dxa"/>
            <w:vAlign w:val="bottom"/>
            <w:gridSpan w:val="2"/>
          </w:tcPr>
          <w:p>
            <w:pPr>
              <w:ind w:left="1960"/>
              <w:spacing w:after="0"/>
              <w:rPr>
                <w:sz w:val="20"/>
                <w:szCs w:val="20"/>
                <w:color w:val="auto"/>
              </w:rPr>
            </w:pPr>
            <w:r>
              <w:rPr>
                <w:rFonts w:ascii="Arial" w:cs="Arial" w:eastAsia="Arial" w:hAnsi="Arial"/>
                <w:sz w:val="18"/>
                <w:szCs w:val="18"/>
                <w:color w:val="auto"/>
                <w:w w:val="98"/>
              </w:rPr>
              <w:t>207 Mockingbird Lane</w:t>
            </w:r>
          </w:p>
        </w:tc>
      </w:tr>
      <w:tr>
        <w:trPr>
          <w:trHeight w:val="230"/>
        </w:trPr>
        <w:tc>
          <w:tcPr>
            <w:tcW w:w="16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720" w:type="dxa"/>
            <w:vAlign w:val="bottom"/>
            <w:gridSpan w:val="2"/>
          </w:tcPr>
          <w:p>
            <w:pPr>
              <w:ind w:left="1960"/>
              <w:spacing w:after="0"/>
              <w:rPr>
                <w:sz w:val="20"/>
                <w:szCs w:val="20"/>
                <w:color w:val="auto"/>
              </w:rPr>
            </w:pPr>
            <w:r>
              <w:rPr>
                <w:rFonts w:ascii="Arial" w:cs="Arial" w:eastAsia="Arial" w:hAnsi="Arial"/>
                <w:sz w:val="18"/>
                <w:szCs w:val="18"/>
                <w:color w:val="auto"/>
                <w:w w:val="90"/>
              </w:rPr>
              <w:t>Johnson City, TN 37604</w:t>
            </w:r>
          </w:p>
        </w:tc>
      </w:tr>
      <w:tr>
        <w:trPr>
          <w:trHeight w:val="459"/>
        </w:trPr>
        <w:tc>
          <w:tcPr>
            <w:tcW w:w="4560" w:type="dxa"/>
            <w:vAlign w:val="bottom"/>
            <w:gridSpan w:val="2"/>
          </w:tcPr>
          <w:p>
            <w:pPr>
              <w:spacing w:after="0"/>
              <w:rPr>
                <w:sz w:val="20"/>
                <w:szCs w:val="20"/>
                <w:color w:val="auto"/>
              </w:rPr>
            </w:pPr>
            <w:r>
              <w:rPr>
                <w:rFonts w:ascii="Arial" w:cs="Arial" w:eastAsia="Arial" w:hAnsi="Arial"/>
                <w:sz w:val="18"/>
                <w:szCs w:val="18"/>
                <w:color w:val="auto"/>
              </w:rPr>
              <w:t>FOR FURTHER INFORMATION:</w:t>
            </w:r>
          </w:p>
        </w:tc>
        <w:tc>
          <w:tcPr>
            <w:tcW w:w="1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9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AT THE COMPANY</w:t>
            </w:r>
          </w:p>
        </w:tc>
        <w:tc>
          <w:tcPr>
            <w:tcW w:w="4980" w:type="dxa"/>
            <w:vAlign w:val="bottom"/>
            <w:gridSpan w:val="3"/>
          </w:tcPr>
          <w:p>
            <w:pPr>
              <w:ind w:left="1260"/>
              <w:spacing w:after="0"/>
              <w:rPr>
                <w:sz w:val="20"/>
                <w:szCs w:val="20"/>
                <w:color w:val="auto"/>
              </w:rPr>
            </w:pPr>
            <w:r>
              <w:rPr>
                <w:rFonts w:ascii="Arial" w:cs="Arial" w:eastAsia="Arial" w:hAnsi="Arial"/>
                <w:sz w:val="18"/>
                <w:szCs w:val="18"/>
                <w:b w:val="1"/>
                <w:bCs w:val="1"/>
                <w:color w:val="auto"/>
              </w:rPr>
              <w:t>AT FINANCIAL RELATIONS BOARD</w:t>
            </w:r>
          </w:p>
        </w:tc>
      </w:tr>
      <w:tr>
        <w:trPr>
          <w:trHeight w:val="20"/>
        </w:trPr>
        <w:tc>
          <w:tcPr>
            <w:tcW w:w="16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Robbie Atkinson</w:t>
            </w:r>
          </w:p>
        </w:tc>
        <w:tc>
          <w:tcPr>
            <w:tcW w:w="2920" w:type="dxa"/>
            <w:vAlign w:val="bottom"/>
          </w:tcPr>
          <w:p>
            <w:pPr>
              <w:spacing w:after="0"/>
              <w:rPr>
                <w:sz w:val="19"/>
                <w:szCs w:val="19"/>
                <w:color w:val="auto"/>
              </w:rPr>
            </w:pPr>
          </w:p>
        </w:tc>
        <w:tc>
          <w:tcPr>
            <w:tcW w:w="4980" w:type="dxa"/>
            <w:vAlign w:val="bottom"/>
            <w:gridSpan w:val="3"/>
          </w:tcPr>
          <w:p>
            <w:pPr>
              <w:ind w:left="1260"/>
              <w:spacing w:after="0"/>
              <w:rPr>
                <w:sz w:val="20"/>
                <w:szCs w:val="20"/>
                <w:color w:val="auto"/>
              </w:rPr>
            </w:pPr>
            <w:r>
              <w:rPr>
                <w:rFonts w:ascii="Arial" w:cs="Arial" w:eastAsia="Arial" w:hAnsi="Arial"/>
                <w:sz w:val="18"/>
                <w:szCs w:val="18"/>
                <w:color w:val="auto"/>
              </w:rPr>
              <w:t>Marilynn Meek</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VP, Corporate Treasurer &amp; Investor Relations</w:t>
            </w:r>
          </w:p>
        </w:tc>
        <w:tc>
          <w:tcPr>
            <w:tcW w:w="4980" w:type="dxa"/>
            <w:vAlign w:val="bottom"/>
            <w:gridSpan w:val="3"/>
          </w:tcPr>
          <w:p>
            <w:pPr>
              <w:ind w:left="1260"/>
              <w:spacing w:after="0"/>
              <w:rPr>
                <w:sz w:val="20"/>
                <w:szCs w:val="20"/>
                <w:color w:val="auto"/>
              </w:rPr>
            </w:pPr>
            <w:r>
              <w:rPr>
                <w:rFonts w:ascii="Arial" w:cs="Arial" w:eastAsia="Arial" w:hAnsi="Arial"/>
                <w:sz w:val="18"/>
                <w:szCs w:val="18"/>
                <w:color w:val="auto"/>
              </w:rPr>
              <w:t>(General info)</w:t>
            </w: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(423) 743-9151</w:t>
            </w:r>
          </w:p>
        </w:tc>
        <w:tc>
          <w:tcPr>
            <w:tcW w:w="2920" w:type="dxa"/>
            <w:vAlign w:val="bottom"/>
          </w:tcPr>
          <w:p>
            <w:pPr>
              <w:spacing w:after="0"/>
              <w:rPr>
                <w:sz w:val="20"/>
                <w:szCs w:val="20"/>
                <w:color w:val="auto"/>
              </w:rPr>
            </w:pPr>
          </w:p>
        </w:tc>
        <w:tc>
          <w:tcPr>
            <w:tcW w:w="4340" w:type="dxa"/>
            <w:vAlign w:val="bottom"/>
            <w:gridSpan w:val="2"/>
          </w:tcPr>
          <w:p>
            <w:pPr>
              <w:ind w:left="1260"/>
              <w:spacing w:after="0"/>
              <w:rPr>
                <w:sz w:val="20"/>
                <w:szCs w:val="20"/>
                <w:color w:val="auto"/>
              </w:rPr>
            </w:pPr>
            <w:r>
              <w:rPr>
                <w:rFonts w:ascii="Arial" w:cs="Arial" w:eastAsia="Arial" w:hAnsi="Arial"/>
                <w:sz w:val="18"/>
                <w:szCs w:val="18"/>
                <w:color w:val="auto"/>
              </w:rPr>
              <w:t>212-827-3773</w:t>
            </w:r>
          </w:p>
        </w:tc>
        <w:tc>
          <w:tcPr>
            <w:tcW w:w="640" w:type="dxa"/>
            <w:vAlign w:val="bottom"/>
          </w:tcPr>
          <w:p>
            <w:pPr>
              <w:spacing w:after="0"/>
              <w:rPr>
                <w:sz w:val="20"/>
                <w:szCs w:val="20"/>
                <w:color w:val="auto"/>
              </w:rPr>
            </w:pPr>
          </w:p>
        </w:tc>
      </w:tr>
      <w:tr>
        <w:trPr>
          <w:trHeight w:val="418"/>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1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October 3, 2016</w:t>
            </w:r>
          </w:p>
        </w:tc>
        <w:tc>
          <w:tcPr>
            <w:tcW w:w="1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REPRICES TERM LOAN</w:t>
      </w:r>
    </w:p>
    <w:p>
      <w:pPr>
        <w:spacing w:after="0" w:line="22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Johnson City, Tenn, October 3, 2016 – NN, Inc., </w:t>
      </w:r>
      <w:r>
        <w:rPr>
          <w:rFonts w:ascii="Arial" w:cs="Arial" w:eastAsia="Arial" w:hAnsi="Arial"/>
          <w:sz w:val="18"/>
          <w:szCs w:val="18"/>
          <w:color w:val="auto"/>
        </w:rPr>
        <w:t>(Nasdaq: NNBR) a diversified industrial company, announced today that it has amended and restated its</w:t>
      </w:r>
      <w:r>
        <w:rPr>
          <w:rFonts w:ascii="Arial" w:cs="Arial" w:eastAsia="Arial" w:hAnsi="Arial"/>
          <w:sz w:val="18"/>
          <w:szCs w:val="18"/>
          <w:b w:val="1"/>
          <w:bCs w:val="1"/>
          <w:color w:val="auto"/>
        </w:rPr>
        <w:t xml:space="preserve"> </w:t>
      </w:r>
      <w:r>
        <w:rPr>
          <w:rFonts w:ascii="Arial" w:cs="Arial" w:eastAsia="Arial" w:hAnsi="Arial"/>
          <w:sz w:val="18"/>
          <w:szCs w:val="18"/>
          <w:color w:val="auto"/>
        </w:rPr>
        <w:t>credit facility, which lowered the interest rate and rate floor on the Company’s term loan. The new applicable rate for the term loan is LIBOR, subject to a 0.75% rate floor, plus 4.25%, which in combination is 0.75% lower than the previous rate. There were no changes to the maturities or covenants under the credit facility.</w:t>
      </w:r>
    </w:p>
    <w:p>
      <w:pPr>
        <w:spacing w:after="0" w:line="18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Richard D. Holder, President &amp; CEO, commented, “This is an important step in the continued evolution of our capital structure and we were pleased to take advantage of the current market environment and demand for our debt. This reduction in interest expense is significant as we continue to work toward our strategic targets over the coming months and years.”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41 manufacturing plants in North America, Western Europe, Eastern Europe, South America and China.</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w:t>
      </w:r>
    </w:p>
    <w:p>
      <w:pPr>
        <w:sectPr>
          <w:pgSz w:w="11900" w:h="16838" w:orient="portrait"/>
          <w:cols w:equalWidth="0" w:num="1">
            <w:col w:w="11420"/>
          </w:cols>
          <w:pgMar w:left="240" w:top="121" w:right="239" w:bottom="1440" w:gutter="0" w:footer="0" w:header="0"/>
        </w:sectPr>
      </w:pPr>
    </w:p>
    <w:bookmarkStart w:id="171" w:name="page172"/>
    <w:bookmarkEnd w:id="171"/>
    <w:p>
      <w:pPr>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completed acquisitions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2015.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1)"/>
      <w:numFmt w:val="lowerLetter"/>
      <w:start w:val="4"/>
    </w:lvl>
  </w:abstractNum>
  <w:abstractNum w:abstractNumId="2">
    <w:nsid w:val="14FCE74E"/>
    <w:multiLevelType w:val="hybridMultilevel"/>
    <w:lvl w:ilvl="0">
      <w:lvlJc w:val="left"/>
      <w:lvlText w:val="(%1)"/>
      <w:numFmt w:val="lowerRoman"/>
      <w:start w:val="3"/>
    </w:lvl>
  </w:abstractNum>
  <w:abstractNum w:abstractNumId="3">
    <w:nsid w:val="6A3DD3E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
    <w:nsid w:val="71C91298"/>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5">
    <w:nsid w:val="9DAF632"/>
    <w:multiLevelType w:val="hybridMultilevel"/>
    <w:lvl w:ilvl="0">
      <w:lvlJc w:val="left"/>
      <w:lvlText w:val="(%1)"/>
      <w:numFmt w:val="lowerRoman"/>
      <w:start w:val="3"/>
    </w:lvl>
    <w:lvl w:ilvl="1">
      <w:lvlJc w:val="left"/>
      <w:lvlText w:val="(%2)"/>
      <w:numFmt w:val="upperLetter"/>
      <w:start w:val="1"/>
    </w:lvl>
  </w:abstractNum>
  <w:abstractNum w:abstractNumId="6">
    <w:nsid w:val="53299938"/>
    <w:multiLevelType w:val="hybridMultilevel"/>
    <w:lvl w:ilvl="0">
      <w:lvlJc w:val="left"/>
      <w:lvlText w:val="(%1)"/>
      <w:numFmt w:val="lowerRoman"/>
      <w:start w:val="7"/>
    </w:lvl>
  </w:abstractNum>
  <w:abstractNum w:abstractNumId="7">
    <w:nsid w:val="1FBFE8E0"/>
    <w:multiLevelType w:val="hybridMultilevel"/>
    <w:lvl w:ilvl="0">
      <w:lvlJc w:val="left"/>
      <w:lvlText w:val="(%1)"/>
      <w:numFmt w:val="lowerRoman"/>
      <w:start w:val="2"/>
    </w:lvl>
  </w:abstractNum>
  <w:abstractNum w:abstractNumId="8">
    <w:nsid w:val="5092CA79"/>
    <w:multiLevelType w:val="hybridMultilevel"/>
    <w:lvl w:ilvl="0">
      <w:lvlJc w:val="left"/>
      <w:lvlText w:val="%1"/>
      <w:numFmt w:val="upperLetter"/>
      <w:start w:val="40"/>
    </w:lvl>
  </w:abstractNum>
  <w:abstractNum w:abstractNumId="9">
    <w:nsid w:val="1D545C4D"/>
    <w:multiLevelType w:val="hybridMultilevel"/>
    <w:lvl w:ilvl="0">
      <w:lvlJc w:val="left"/>
      <w:lvlText w:val="☐"/>
      <w:numFmt w:val="bullet"/>
      <w:start w:val="1"/>
    </w:lvl>
  </w:abstractNum>
  <w:abstractNum w:abstractNumId="10">
    <w:nsid w:val="59ADEA3D"/>
    <w:multiLevelType w:val="hybridMultilevel"/>
    <w:lvl w:ilvl="0">
      <w:lvlJc w:val="left"/>
      <w:lvlText w:val="☐"/>
      <w:numFmt w:val="bullet"/>
      <w:start w:val="1"/>
    </w:lvl>
  </w:abstractNum>
  <w:abstractNum w:abstractNumId="11">
    <w:nsid w:val="288F1A34"/>
    <w:multiLevelType w:val="hybridMultilevel"/>
    <w:lvl w:ilvl="0">
      <w:lvlJc w:val="left"/>
      <w:lvlText w:val="☐"/>
      <w:numFmt w:val="bullet"/>
      <w:start w:val="1"/>
    </w:lvl>
  </w:abstractNum>
  <w:abstractNum w:abstractNumId="12">
    <w:nsid w:val="2A155DBC"/>
    <w:multiLevelType w:val="hybridMultilevel"/>
    <w:lvl w:ilvl="0">
      <w:lvlJc w:val="left"/>
      <w:lvlText w:val="A"/>
      <w:numFmt w:val="bullet"/>
      <w:start w:val="1"/>
    </w:lvl>
  </w:abstractNum>
  <w:abstractNum w:abstractNumId="13">
    <w:nsid w:val="1D9F6E5F"/>
    <w:multiLevelType w:val="hybridMultilevel"/>
    <w:lvl w:ilvl="0">
      <w:lvlJc w:val="left"/>
      <w:lvlText w:val="B"/>
      <w:numFmt w:val="bullet"/>
      <w:start w:val="1"/>
    </w:lvl>
  </w:abstractNum>
  <w:abstractNum w:abstractNumId="14">
    <w:nsid w:val="97E1B4E"/>
    <w:multiLevelType w:val="hybridMultilevel"/>
    <w:lvl w:ilvl="0">
      <w:lvlJc w:val="left"/>
      <w:lvlText w:val="C"/>
      <w:numFmt w:val="bullet"/>
      <w:start w:val="1"/>
    </w:lvl>
  </w:abstractNum>
  <w:abstractNum w:abstractNumId="15">
    <w:nsid w:val="51088277"/>
    <w:multiLevelType w:val="hybridMultilevel"/>
    <w:lvl w:ilvl="0">
      <w:lvlJc w:val="left"/>
      <w:lvlText w:val="D"/>
      <w:numFmt w:val="bullet"/>
      <w:start w:val="1"/>
    </w:lvl>
  </w:abstractNum>
  <w:abstractNum w:abstractNumId="16">
    <w:nsid w:val="1CA0C5FA"/>
    <w:multiLevelType w:val="hybridMultilevel"/>
    <w:lvl w:ilvl="0">
      <w:lvlJc w:val="left"/>
      <w:lvlText w:val="(%1)"/>
      <w:numFmt w:val="lowerLetter"/>
      <w:start w:val="25"/>
    </w:lvl>
  </w:abstractNum>
  <w:abstractNum w:abstractNumId="17">
    <w:nsid w:val="53584BCB"/>
    <w:multiLevelType w:val="hybridMultilevel"/>
    <w:lvl w:ilvl="0">
      <w:lvlJc w:val="left"/>
      <w:lvlText w:val="(%1)"/>
      <w:numFmt w:val="lowerLetter"/>
      <w:start w:val="61"/>
    </w:lvl>
  </w:abstractNum>
  <w:abstractNum w:abstractNumId="18">
    <w:nsid w:val="415E286C"/>
    <w:multiLevelType w:val="hybridMultilevel"/>
    <w:lvl w:ilvl="0">
      <w:lvlJc w:val="left"/>
      <w:lvlText w:val="(%1)"/>
      <w:numFmt w:val="lowerRoman"/>
      <w:start w:val="3"/>
    </w:lvl>
  </w:abstractNum>
  <w:abstractNum w:abstractNumId="19">
    <w:nsid w:val="7C58FD05"/>
    <w:multiLevelType w:val="hybridMultilevel"/>
    <w:lvl w:ilvl="0">
      <w:lvlJc w:val="left"/>
      <w:lvlText w:val="(%1)"/>
      <w:numFmt w:val="lowerLetter"/>
      <w:start w:val="1"/>
    </w:lvl>
  </w:abstractNum>
  <w:abstractNum w:abstractNumId="20">
    <w:nsid w:val="23D86AAC"/>
    <w:multiLevelType w:val="hybridMultilevel"/>
    <w:lvl w:ilvl="0">
      <w:lvlJc w:val="left"/>
      <w:lvlText w:val="(%1)"/>
      <w:numFmt w:val="lowerRoman"/>
      <w:start w:val="6"/>
    </w:lvl>
  </w:abstractNum>
  <w:abstractNum w:abstractNumId="21">
    <w:nsid w:val="45E6D486"/>
    <w:multiLevelType w:val="hybridMultilevel"/>
    <w:lvl w:ilvl="0">
      <w:lvlJc w:val="left"/>
      <w:lvlText w:val="(%1)"/>
      <w:numFmt w:val="upperLetter"/>
      <w:start w:val="5"/>
    </w:lvl>
  </w:abstractNum>
  <w:abstractNum w:abstractNumId="22">
    <w:nsid w:val="5C10FE21"/>
    <w:multiLevelType w:val="hybridMultilevel"/>
    <w:lvl w:ilvl="0">
      <w:lvlJc w:val="left"/>
      <w:lvlText w:val="(%1)"/>
      <w:numFmt w:val="lowerLetter"/>
      <w:start w:val="4"/>
    </w:lvl>
  </w:abstractNum>
  <w:abstractNum w:abstractNumId="23">
    <w:nsid w:val="E7FFA2B"/>
    <w:multiLevelType w:val="hybridMultilevel"/>
    <w:lvl w:ilvl="0">
      <w:lvlJc w:val="left"/>
      <w:lvlText w:val="(%1)"/>
      <w:numFmt w:val="lowerLetter"/>
      <w:start w:val="1"/>
    </w:lvl>
  </w:abstractNum>
  <w:abstractNum w:abstractNumId="24">
    <w:nsid w:val="3C5991AA"/>
    <w:multiLevelType w:val="hybridMultilevel"/>
    <w:lvl w:ilvl="0">
      <w:lvlJc w:val="left"/>
      <w:lvlText w:val="(%1)"/>
      <w:numFmt w:val="lowerLetter"/>
      <w:start w:val="2"/>
    </w:lvl>
  </w:abstractNum>
  <w:abstractNum w:abstractNumId="25">
    <w:nsid w:val="4BD8591A"/>
    <w:multiLevelType w:val="hybridMultilevel"/>
    <w:lvl w:ilvl="0">
      <w:lvlJc w:val="left"/>
      <w:lvlText w:val="(%1)"/>
      <w:numFmt w:val="lowerLetter"/>
      <w:start w:val="2"/>
    </w:lvl>
  </w:abstractNum>
  <w:abstractNum w:abstractNumId="26">
    <w:nsid w:val="78DF6A55"/>
    <w:multiLevelType w:val="hybridMultilevel"/>
    <w:lvl w:ilvl="0">
      <w:lvlJc w:val="left"/>
      <w:lvlText w:val="(%1)"/>
      <w:numFmt w:val="lowerLetter"/>
      <w:start w:val="3"/>
    </w:lvl>
  </w:abstractNum>
  <w:abstractNum w:abstractNumId="27">
    <w:nsid w:val="39B7AAA2"/>
    <w:multiLevelType w:val="hybridMultilevel"/>
    <w:lvl w:ilvl="0">
      <w:lvlJc w:val="left"/>
      <w:lvlText w:val="(%1)"/>
      <w:numFmt w:val="lowerRoman"/>
      <w:start w:val="1"/>
    </w:lvl>
  </w:abstractNum>
  <w:abstractNum w:abstractNumId="28">
    <w:nsid w:val="2B0D8DBE"/>
    <w:multiLevelType w:val="hybridMultilevel"/>
    <w:lvl w:ilvl="0">
      <w:lvlJc w:val="left"/>
      <w:lvlText w:val="(%1)"/>
      <w:numFmt w:val="lowerRoman"/>
      <w:start w:val="4"/>
    </w:lvl>
  </w:abstractNum>
  <w:abstractNum w:abstractNumId="29">
    <w:nsid w:val="6C80EC70"/>
    <w:multiLevelType w:val="hybridMultilevel"/>
    <w:lvl w:ilvl="0">
      <w:lvlJc w:val="left"/>
      <w:lvlText w:val="(%1)"/>
      <w:numFmt w:val="lowerLetter"/>
      <w:start w:val="1"/>
    </w:lvl>
  </w:abstractNum>
  <w:abstractNum w:abstractNumId="30">
    <w:nsid w:val="379E21B5"/>
    <w:multiLevelType w:val="hybridMultilevel"/>
    <w:lvl w:ilvl="0">
      <w:lvlJc w:val="left"/>
      <w:lvlText w:val="(%1)"/>
      <w:numFmt w:val="lowerRoman"/>
      <w:start w:val="1"/>
    </w:lvl>
  </w:abstractNum>
  <w:abstractNum w:abstractNumId="31">
    <w:nsid w:val="69E373"/>
    <w:multiLevelType w:val="hybridMultilevel"/>
    <w:lvl w:ilvl="0">
      <w:lvlJc w:val="left"/>
      <w:lvlText w:val="(%1)"/>
      <w:numFmt w:val="lowerLetter"/>
      <w:start w:val="1"/>
    </w:lvl>
  </w:abstractNum>
  <w:abstractNum w:abstractNumId="32">
    <w:nsid w:val="2C27173B"/>
    <w:multiLevelType w:val="hybridMultilevel"/>
    <w:lvl w:ilvl="0">
      <w:lvlJc w:val="left"/>
      <w:lvlText w:val="(%1)"/>
      <w:numFmt w:val="lowerLetter"/>
      <w:start w:val="2"/>
    </w:lvl>
  </w:abstractNum>
  <w:abstractNum w:abstractNumId="33">
    <w:nsid w:val="4C9B0904"/>
    <w:multiLevelType w:val="hybridMultilevel"/>
    <w:lvl w:ilvl="0">
      <w:lvlJc w:val="left"/>
      <w:lvlText w:val="(%1)"/>
      <w:numFmt w:val="lowerLetter"/>
      <w:start w:val="1"/>
    </w:lvl>
  </w:abstractNum>
  <w:abstractNum w:abstractNumId="34">
    <w:nsid w:val="6AA7B75C"/>
    <w:multiLevelType w:val="hybridMultilevel"/>
    <w:lvl w:ilvl="0">
      <w:lvlJc w:val="left"/>
      <w:lvlText w:val="(%1)"/>
      <w:numFmt w:val="lowerLetter"/>
      <w:start w:val="2"/>
    </w:lvl>
  </w:abstractNum>
  <w:abstractNum w:abstractNumId="35">
    <w:nsid w:val="1DF029D3"/>
    <w:multiLevelType w:val="hybridMultilevel"/>
    <w:lvl w:ilvl="0">
      <w:lvlJc w:val="left"/>
      <w:lvlText w:val="(%1)"/>
      <w:numFmt w:val="lowerLetter"/>
      <w:start w:val="1"/>
    </w:lvl>
  </w:abstractNum>
  <w:abstractNum w:abstractNumId="36">
    <w:nsid w:val="5675FF36"/>
    <w:multiLevelType w:val="hybridMultilevel"/>
    <w:lvl w:ilvl="0">
      <w:lvlJc w:val="left"/>
      <w:lvlText w:val="(%1)"/>
      <w:numFmt w:val="lowerLetter"/>
      <w:start w:val="1"/>
    </w:lvl>
  </w:abstractNum>
  <w:abstractNum w:abstractNumId="37">
    <w:nsid w:val="3DD15094"/>
    <w:multiLevelType w:val="hybridMultilevel"/>
    <w:lvl w:ilvl="0">
      <w:lvlJc w:val="left"/>
      <w:lvlText w:val="(%1)"/>
      <w:numFmt w:val="lowerLetter"/>
      <w:start w:val="2"/>
    </w:lvl>
  </w:abstractNum>
  <w:abstractNum w:abstractNumId="38">
    <w:nsid w:val="3DB012B3"/>
    <w:multiLevelType w:val="hybridMultilevel"/>
    <w:lvl w:ilvl="0">
      <w:lvlJc w:val="left"/>
      <w:lvlText w:val="(%1)"/>
      <w:numFmt w:val="lowerLetter"/>
      <w:start w:val="1"/>
    </w:lvl>
  </w:abstractNum>
  <w:abstractNum w:abstractNumId="39">
    <w:nsid w:val="2708C9AF"/>
    <w:multiLevelType w:val="hybridMultilevel"/>
    <w:lvl w:ilvl="0">
      <w:lvlJc w:val="left"/>
      <w:lvlText w:val="(%1)"/>
      <w:numFmt w:val="lowerLetter"/>
      <w:start w:val="2"/>
    </w:lvl>
  </w:abstractNum>
  <w:abstractNum w:abstractNumId="40">
    <w:nsid w:val="5B25ACE2"/>
    <w:multiLevelType w:val="hybridMultilevel"/>
    <w:lvl w:ilvl="0">
      <w:lvlJc w:val="left"/>
      <w:lvlText w:val="(%1)"/>
      <w:numFmt w:val="lowerLetter"/>
      <w:start w:val="5"/>
    </w:lvl>
  </w:abstractNum>
  <w:abstractNum w:abstractNumId="41">
    <w:nsid w:val="175DFCF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2">
    <w:nsid w:val="4F97E3E4"/>
    <w:multiLevelType w:val="hybridMultilevel"/>
    <w:lvl w:ilvl="0">
      <w:lvlJc w:val="left"/>
      <w:lvlText w:val="%1"/>
      <w:numFmt w:val="lowerRoman"/>
      <w:start w:val="1"/>
    </w:lvl>
    <w:lvl w:ilvl="1">
      <w:lvlJc w:val="left"/>
      <w:lvlText w:val="(%2)"/>
      <w:numFmt w:val="upperLetter"/>
      <w:start w:val="2"/>
    </w:lvl>
  </w:abstractNum>
  <w:abstractNum w:abstractNumId="43">
    <w:nsid w:val="53B0A9E"/>
    <w:multiLevelType w:val="hybridMultilevel"/>
    <w:lvl w:ilvl="0">
      <w:lvlJc w:val="left"/>
      <w:lvlText w:val="(%1)"/>
      <w:numFmt w:val="lowerRoman"/>
      <w:start w:val="3"/>
    </w:lvl>
    <w:lvl w:ilvl="1">
      <w:lvlJc w:val="left"/>
      <w:lvlText w:val="%2"/>
      <w:numFmt w:val="upperLetter"/>
      <w:start w:val="1"/>
    </w:lvl>
  </w:abstractNum>
  <w:abstractNum w:abstractNumId="44">
    <w:nsid w:val="34FD6B4F"/>
    <w:multiLevelType w:val="hybridMultilevel"/>
    <w:lvl w:ilvl="0">
      <w:lvlJc w:val="left"/>
      <w:lvlText w:val="(%1)"/>
      <w:numFmt w:val="lowerLetter"/>
      <w:start w:val="2"/>
    </w:lvl>
    <w:lvl w:ilvl="1">
      <w:lvlJc w:val="left"/>
      <w:lvlText w:val="(%2)"/>
      <w:numFmt w:val="lowerRoman"/>
      <w:start w:val="1"/>
    </w:lvl>
  </w:abstractNum>
  <w:abstractNum w:abstractNumId="45">
    <w:nsid w:val="5915FF32"/>
    <w:multiLevelType w:val="hybridMultilevel"/>
    <w:lvl w:ilvl="0">
      <w:lvlJc w:val="left"/>
      <w:lvlText w:val="%1"/>
      <w:numFmt w:val="lowerLetter"/>
      <w:start w:val="1"/>
    </w:lvl>
    <w:lvl w:ilvl="1">
      <w:lvlJc w:val="left"/>
      <w:lvlText w:val="(%2)"/>
      <w:numFmt w:val="lowerRoman"/>
      <w:start w:val="4"/>
    </w:lvl>
  </w:abstractNum>
  <w:abstractNum w:abstractNumId="46">
    <w:nsid w:val="56438D15"/>
    <w:multiLevelType w:val="hybridMultilevel"/>
    <w:lvl w:ilvl="0">
      <w:lvlJc w:val="left"/>
      <w:lvlText w:val="(%1)"/>
      <w:numFmt w:val="lowerLetter"/>
      <w:start w:val="3"/>
    </w:lvl>
    <w:lvl w:ilvl="1">
      <w:lvlJc w:val="left"/>
      <w:lvlText w:val="(%2)"/>
      <w:numFmt w:val="lowerRoman"/>
      <w:start w:val="1"/>
    </w:lvl>
  </w:abstractNum>
  <w:abstractNum w:abstractNumId="47">
    <w:nsid w:val="519E3149"/>
    <w:multiLevelType w:val="hybridMultilevel"/>
    <w:lvl w:ilvl="0">
      <w:lvlJc w:val="left"/>
      <w:lvlText w:val="(%1)"/>
      <w:numFmt w:val="lowerRoman"/>
      <w:start w:val="3"/>
    </w:lvl>
  </w:abstractNum>
  <w:abstractNum w:abstractNumId="48">
    <w:nsid w:val="2C6E4AFD"/>
    <w:multiLevelType w:val="hybridMultilevel"/>
    <w:lvl w:ilvl="0">
      <w:lvlJc w:val="left"/>
      <w:lvlText w:val="(%1)"/>
      <w:numFmt w:val="lowerLetter"/>
      <w:start w:val="4"/>
    </w:lvl>
    <w:lvl w:ilvl="1">
      <w:lvlJc w:val="left"/>
      <w:lvlText w:val="(%2)"/>
      <w:numFmt w:val="lowerRoman"/>
      <w:start w:val="1"/>
    </w:lvl>
  </w:abstractNum>
  <w:abstractNum w:abstractNumId="49">
    <w:nsid w:val="17A1B582"/>
    <w:multiLevelType w:val="hybridMultilevel"/>
    <w:lvl w:ilvl="0">
      <w:lvlJc w:val="left"/>
      <w:lvlText w:val="(%1)"/>
      <w:numFmt w:val="lowerRoman"/>
      <w:start w:val="7"/>
    </w:lvl>
  </w:abstractNum>
  <w:abstractNum w:abstractNumId="50">
    <w:nsid w:val="4DF72E4E"/>
    <w:multiLevelType w:val="hybridMultilevel"/>
    <w:lvl w:ilvl="0">
      <w:lvlJc w:val="left"/>
      <w:lvlText w:val="(%1)"/>
      <w:numFmt w:val="lowerLetter"/>
      <w:start w:val="6"/>
    </w:lvl>
  </w:abstractNum>
  <w:abstractNum w:abstractNumId="51">
    <w:nsid w:val="5046B5A9"/>
    <w:multiLevelType w:val="hybridMultilevel"/>
    <w:lvl w:ilvl="0">
      <w:lvlJc w:val="left"/>
      <w:lvlText w:val="%1"/>
      <w:numFmt w:val="lowerLetter"/>
      <w:start w:val="1"/>
    </w:lvl>
    <w:lvl w:ilvl="1">
      <w:lvlJc w:val="left"/>
      <w:lvlText w:val="(%2)"/>
      <w:numFmt w:val="lowerLetter"/>
      <w:start w:val="7"/>
    </w:lvl>
  </w:abstractNum>
  <w:abstractNum w:abstractNumId="52">
    <w:nsid w:val="5D888A08"/>
    <w:multiLevelType w:val="hybridMultilevel"/>
    <w:lvl w:ilvl="0">
      <w:lvlJc w:val="left"/>
      <w:lvlText w:val="(%1)"/>
      <w:numFmt w:val="lowerLetter"/>
      <w:start w:val="35"/>
    </w:lvl>
    <w:lvl w:ilvl="1">
      <w:lvlJc w:val="left"/>
      <w:lvlText w:val="(%2)"/>
      <w:numFmt w:val="lowerLetter"/>
      <w:start w:val="9"/>
    </w:lvl>
  </w:abstractNum>
  <w:abstractNum w:abstractNumId="53">
    <w:nsid w:val="2A082C70"/>
    <w:multiLevelType w:val="hybridMultilevel"/>
    <w:lvl w:ilvl="0">
      <w:lvlJc w:val="left"/>
      <w:lvlText w:val="(%1)"/>
      <w:numFmt w:val="lowerLetter"/>
      <w:start w:val="12"/>
    </w:lvl>
  </w:abstractNum>
  <w:abstractNum w:abstractNumId="54">
    <w:nsid w:val="5EC6AFD4"/>
    <w:multiLevelType w:val="hybridMultilevel"/>
    <w:lvl w:ilvl="0">
      <w:lvlJc w:val="left"/>
      <w:lvlText w:val="(%1)"/>
      <w:numFmt w:val="lowerLetter"/>
      <w:start w:val="25"/>
    </w:lvl>
    <w:lvl w:ilvl="1">
      <w:lvlJc w:val="left"/>
      <w:lvlText w:val="(%2)"/>
      <w:numFmt w:val="lowerLetter"/>
      <w:start w:val="2"/>
    </w:lvl>
    <w:lvl w:ilvl="2">
      <w:lvlJc w:val="left"/>
      <w:lvlText w:val="(%3)"/>
      <w:numFmt w:val="lowerLetter"/>
      <w:start w:val="9"/>
    </w:lvl>
  </w:abstractNum>
  <w:abstractNum w:abstractNumId="55">
    <w:nsid w:val="19E21BB2"/>
    <w:multiLevelType w:val="hybridMultilevel"/>
    <w:lvl w:ilvl="0">
      <w:lvlJc w:val="left"/>
      <w:lvlText w:val="%1"/>
      <w:numFmt w:val="lowerLetter"/>
      <w:start w:val="1"/>
    </w:lvl>
    <w:lvl w:ilvl="1">
      <w:lvlJc w:val="left"/>
      <w:lvlText w:val="(%2)"/>
      <w:numFmt w:val="lowerRoman"/>
      <w:start w:val="2"/>
    </w:lvl>
  </w:abstractNum>
  <w:abstractNum w:abstractNumId="56">
    <w:nsid w:val="75E0858A"/>
    <w:multiLevelType w:val="hybridMultilevel"/>
    <w:lvl w:ilvl="0">
      <w:lvlJc w:val="left"/>
      <w:lvlText w:val="(%1)"/>
      <w:numFmt w:val="lowerLetter"/>
      <w:start w:val="4"/>
    </w:lvl>
    <w:lvl w:ilvl="1">
      <w:lvlJc w:val="left"/>
      <w:lvlText w:val="(%2)"/>
      <w:numFmt w:val="lowerRoman"/>
      <w:start w:val="1"/>
    </w:lvl>
  </w:abstractNum>
  <w:abstractNum w:abstractNumId="57">
    <w:nsid w:val="57A61A29"/>
    <w:multiLevelType w:val="hybridMultilevel"/>
    <w:lvl w:ilvl="0">
      <w:lvlJc w:val="left"/>
      <w:lvlText w:val="%1"/>
      <w:numFmt w:val="lowerLetter"/>
      <w:start w:val="1"/>
    </w:lvl>
    <w:lvl w:ilvl="1">
      <w:lvlJc w:val="left"/>
      <w:lvlText w:val="(%2)"/>
      <w:numFmt w:val="lowerLetter"/>
      <w:start w:val="35"/>
    </w:lvl>
  </w:abstractNum>
  <w:abstractNum w:abstractNumId="58">
    <w:nsid w:val="5399C654"/>
    <w:multiLevelType w:val="hybridMultilevel"/>
    <w:lvl w:ilvl="0">
      <w:lvlJc w:val="left"/>
      <w:lvlText w:val="(%1)"/>
      <w:numFmt w:val="lowerLetter"/>
      <w:start w:val="5"/>
    </w:lvl>
    <w:lvl w:ilvl="1">
      <w:lvlJc w:val="left"/>
      <w:lvlText w:val="(%2)"/>
      <w:numFmt w:val="lowerLetter"/>
      <w:start w:val="9"/>
    </w:lvl>
  </w:abstractNum>
  <w:abstractNum w:abstractNumId="59">
    <w:nsid w:val="20EE1348"/>
    <w:multiLevelType w:val="hybridMultilevel"/>
    <w:lvl w:ilvl="0">
      <w:lvlJc w:val="left"/>
      <w:lvlText w:val="%1"/>
      <w:numFmt w:val="upperLetter"/>
      <w:start w:val="1"/>
    </w:lvl>
    <w:lvl w:ilvl="1">
      <w:lvlJc w:val="left"/>
      <w:lvlText w:val="(%2)"/>
      <w:numFmt w:val="lowerRoman"/>
      <w:start w:val="2"/>
    </w:lvl>
  </w:abstractNum>
  <w:abstractNum w:abstractNumId="60">
    <w:nsid w:val="4427069A"/>
    <w:multiLevelType w:val="hybridMultilevel"/>
    <w:lvl w:ilvl="0">
      <w:lvlJc w:val="left"/>
      <w:lvlText w:val="(%1)"/>
      <w:numFmt w:val="upperLetter"/>
      <w:start w:val="1"/>
    </w:lvl>
    <w:lvl w:ilvl="1">
      <w:lvlJc w:val="left"/>
      <w:lvlText w:val="%2"/>
      <w:numFmt w:val="lowerRoman"/>
      <w:start w:val="1"/>
    </w:lvl>
  </w:abstractNum>
  <w:abstractNum w:abstractNumId="61">
    <w:nsid w:val="B37E80A"/>
    <w:multiLevelType w:val="hybridMultilevel"/>
    <w:lvl w:ilvl="0">
      <w:lvlJc w:val="left"/>
      <w:lvlText w:val="(%1)"/>
      <w:numFmt w:val="lowerLetter"/>
      <w:start w:val="8"/>
    </w:lvl>
  </w:abstractNum>
  <w:abstractNum w:abstractNumId="62">
    <w:nsid w:val="2157F6BC"/>
    <w:multiLevelType w:val="hybridMultilevel"/>
    <w:lvl w:ilvl="0">
      <w:lvlJc w:val="left"/>
      <w:lvlText w:val="(%1)"/>
      <w:numFmt w:val="lowerLetter"/>
      <w:start w:val="1"/>
    </w:lvl>
    <w:lvl w:ilvl="1">
      <w:lvlJc w:val="left"/>
      <w:lvlText w:val="(%2)"/>
      <w:numFmt w:val="lowerRoman"/>
      <w:start w:val="1"/>
    </w:lvl>
  </w:abstractNum>
  <w:abstractNum w:abstractNumId="63">
    <w:nsid w:val="704E1DD5"/>
    <w:multiLevelType w:val="hybridMultilevel"/>
    <w:lvl w:ilvl="0">
      <w:lvlJc w:val="left"/>
      <w:lvlText w:val="%1"/>
      <w:numFmt w:val="lowerRoman"/>
      <w:start w:val="1"/>
    </w:lvl>
    <w:lvl w:ilvl="1">
      <w:lvlJc w:val="left"/>
      <w:lvlText w:val="(%2)"/>
      <w:numFmt w:val="lowerRoman"/>
      <w:start w:val="2"/>
    </w:lvl>
  </w:abstractNum>
  <w:abstractNum w:abstractNumId="64">
    <w:nsid w:val="57D2F10E"/>
    <w:multiLevelType w:val="hybridMultilevel"/>
    <w:lvl w:ilvl="0">
      <w:lvlJc w:val="left"/>
      <w:lvlText w:val="(%1)"/>
      <w:numFmt w:val="lowerRoman"/>
      <w:start w:val="4"/>
    </w:lvl>
    <w:lvl w:ilvl="1">
      <w:lvlJc w:val="left"/>
      <w:lvlText w:val="%2"/>
      <w:numFmt w:val="lowerRoman"/>
      <w:start w:val="1"/>
    </w:lvl>
  </w:abstractNum>
  <w:abstractNum w:abstractNumId="65">
    <w:nsid w:val="BFFAE18"/>
    <w:multiLevelType w:val="hybridMultilevel"/>
    <w:lvl w:ilvl="0">
      <w:lvlJc w:val="left"/>
      <w:lvlText w:val="(%1)"/>
      <w:numFmt w:val="lowerRoman"/>
      <w:start w:val="5"/>
    </w:lvl>
  </w:abstractNum>
  <w:abstractNum w:abstractNumId="66">
    <w:nsid w:val="E3E47A8"/>
    <w:multiLevelType w:val="hybridMultilevel"/>
    <w:lvl w:ilvl="0">
      <w:lvlJc w:val="left"/>
      <w:lvlText w:val="(%1)"/>
      <w:numFmt w:val="lowerLetter"/>
      <w:start w:val="3"/>
    </w:lvl>
    <w:lvl w:ilvl="1">
      <w:lvlJc w:val="left"/>
      <w:lvlText w:val="(%2)"/>
      <w:numFmt w:val="lowerRoman"/>
      <w:start w:val="1"/>
    </w:lvl>
  </w:abstractNum>
  <w:abstractNum w:abstractNumId="67">
    <w:nsid w:val="2E48F044"/>
    <w:multiLevelType w:val="hybridMultilevel"/>
    <w:lvl w:ilvl="0">
      <w:lvlJc w:val="left"/>
      <w:lvlText w:val="(%1)"/>
      <w:numFmt w:val="lowerLetter"/>
      <w:start w:val="1"/>
    </w:lvl>
    <w:lvl w:ilvl="1">
      <w:lvlJc w:val="left"/>
      <w:lvlText w:val="(%2)"/>
      <w:numFmt w:val="lowerRoman"/>
      <w:start w:val="1"/>
    </w:lvl>
  </w:abstractNum>
  <w:abstractNum w:abstractNumId="68">
    <w:nsid w:val="49D0FEAC"/>
    <w:multiLevelType w:val="hybridMultilevel"/>
    <w:lvl w:ilvl="0">
      <w:lvlJc w:val="left"/>
      <w:lvlText w:val="%1"/>
      <w:numFmt w:val="lowerLetter"/>
      <w:start w:val="1"/>
    </w:lvl>
    <w:lvl w:ilvl="1">
      <w:lvlJc w:val="left"/>
      <w:lvlText w:val="(%2)"/>
      <w:numFmt w:val="lowerRoman"/>
      <w:start w:val="4"/>
    </w:lvl>
  </w:abstractNum>
  <w:abstractNum w:abstractNumId="69">
    <w:nsid w:val="4BEE5A5B"/>
    <w:multiLevelType w:val="hybridMultilevel"/>
    <w:lvl w:ilvl="0">
      <w:lvlJc w:val="left"/>
      <w:lvlText w:val="(%1)"/>
      <w:numFmt w:val="lowerLetter"/>
      <w:start w:val="3"/>
    </w:lvl>
    <w:lvl w:ilvl="1">
      <w:lvlJc w:val="left"/>
      <w:lvlText w:val="(%2)"/>
      <w:numFmt w:val="lowerRoman"/>
      <w:start w:val="1"/>
    </w:lvl>
  </w:abstractNum>
  <w:abstractNum w:abstractNumId="70">
    <w:nsid w:val="5551B9F3"/>
    <w:multiLevelType w:val="hybridMultilevel"/>
    <w:lvl w:ilvl="0">
      <w:lvlJc w:val="left"/>
      <w:lvlText w:val="%1"/>
      <w:numFmt w:val="lowerLetter"/>
      <w:start w:val="1"/>
    </w:lvl>
    <w:lvl w:ilvl="1">
      <w:lvlJc w:val="left"/>
      <w:lvlText w:val="(%2)"/>
      <w:numFmt w:val="lowerLetter"/>
      <w:start w:val="2"/>
    </w:lvl>
  </w:abstractNum>
  <w:abstractNum w:abstractNumId="71">
    <w:nsid w:val="24F6AB8E"/>
    <w:multiLevelType w:val="hybridMultilevel"/>
    <w:lvl w:ilvl="0">
      <w:lvlJc w:val="left"/>
      <w:lvlText w:val="(%1)"/>
      <w:numFmt w:val="lowerLetter"/>
      <w:start w:val="35"/>
    </w:lvl>
    <w:lvl w:ilvl="1">
      <w:lvlJc w:val="left"/>
      <w:lvlText w:val="(%2)"/>
      <w:numFmt w:val="lowerLetter"/>
      <w:start w:val="4"/>
    </w:lvl>
  </w:abstractNum>
  <w:abstractNum w:abstractNumId="72">
    <w:nsid w:val="634C574C"/>
    <w:multiLevelType w:val="hybridMultilevel"/>
    <w:lvl w:ilvl="0">
      <w:lvlJc w:val="left"/>
      <w:lvlText w:val="(%1)"/>
      <w:numFmt w:val="lowerLetter"/>
      <w:start w:val="1"/>
    </w:lvl>
    <w:lvl w:ilvl="1">
      <w:lvlJc w:val="left"/>
      <w:lvlText w:val="(%2)"/>
      <w:numFmt w:val="lowerRoman"/>
      <w:start w:val="2"/>
    </w:lvl>
  </w:abstractNum>
  <w:abstractNum w:abstractNumId="73">
    <w:nsid w:val="24E99DD7"/>
    <w:multiLevelType w:val="hybridMultilevel"/>
    <w:lvl w:ilvl="0">
      <w:lvlJc w:val="left"/>
      <w:lvlText w:val="(%1)"/>
      <w:numFmt w:val="lowerLetter"/>
      <w:start w:val="35"/>
    </w:lvl>
    <w:lvl w:ilvl="1">
      <w:lvlJc w:val="left"/>
      <w:lvlText w:val="(%2)"/>
      <w:numFmt w:val="lowerRoman"/>
      <w:start w:val="4"/>
    </w:lvl>
  </w:abstractNum>
  <w:abstractNum w:abstractNumId="74">
    <w:nsid w:val="2A31B62D"/>
    <w:multiLevelType w:val="hybridMultilevel"/>
    <w:lvl w:ilvl="0">
      <w:lvlJc w:val="left"/>
      <w:lvlText w:val="(%1)"/>
      <w:numFmt w:val="lowerLetter"/>
      <w:start w:val="3"/>
    </w:lvl>
    <w:lvl w:ilvl="1">
      <w:lvlJc w:val="left"/>
      <w:lvlText w:val="%2"/>
      <w:numFmt w:val="lowerRoman"/>
      <w:start w:val="1"/>
    </w:lvl>
  </w:abstractNum>
  <w:abstractNum w:abstractNumId="75">
    <w:nsid w:val="1849C29B"/>
    <w:multiLevelType w:val="hybridMultilevel"/>
    <w:lvl w:ilvl="0">
      <w:lvlJc w:val="left"/>
      <w:lvlText w:val="(%1)"/>
      <w:numFmt w:val="lowerLetter"/>
      <w:start w:val="1"/>
    </w:lvl>
    <w:lvl w:ilvl="1">
      <w:lvlJc w:val="left"/>
      <w:lvlText w:val="(%2)"/>
      <w:numFmt w:val="lowerRoman"/>
      <w:start w:val="1"/>
    </w:lvl>
  </w:abstractNum>
  <w:abstractNum w:abstractNumId="76">
    <w:nsid w:val="7DFF9D09"/>
    <w:multiLevelType w:val="hybridMultilevel"/>
    <w:lvl w:ilvl="0">
      <w:lvlJc w:val="left"/>
      <w:lvlText w:val="(%1)"/>
      <w:numFmt w:val="lowerLetter"/>
      <w:start w:val="1"/>
    </w:lvl>
  </w:abstractNum>
  <w:abstractNum w:abstractNumId="77">
    <w:nsid w:val="754342"/>
    <w:multiLevelType w:val="hybridMultilevel"/>
    <w:lvl w:ilvl="0">
      <w:lvlJc w:val="left"/>
      <w:lvlText w:val="(%1)"/>
      <w:numFmt w:val="lowerLetter"/>
      <w:start w:val="1"/>
    </w:lvl>
  </w:abstractNum>
  <w:abstractNum w:abstractNumId="78">
    <w:nsid w:val="69E7F3E5"/>
    <w:multiLevelType w:val="hybridMultilevel"/>
    <w:lvl w:ilvl="0">
      <w:lvlJc w:val="left"/>
      <w:lvlText w:val="(%1)"/>
      <w:numFmt w:val="lowerLetter"/>
      <w:start w:val="1"/>
    </w:lvl>
  </w:abstractNum>
  <w:abstractNum w:abstractNumId="79">
    <w:nsid w:val="2A6DE806"/>
    <w:multiLevelType w:val="hybridMultilevel"/>
    <w:lvl w:ilvl="0">
      <w:lvlJc w:val="left"/>
      <w:lvlText w:val="(%1)"/>
      <w:numFmt w:val="upperLetter"/>
      <w:start w:val="2"/>
    </w:lvl>
    <w:lvl w:ilvl="1">
      <w:lvlJc w:val="left"/>
      <w:lvlText w:val="(%2)"/>
      <w:numFmt w:val="lowerRoman"/>
      <w:start w:val="2"/>
    </w:lvl>
  </w:abstractNum>
  <w:abstractNum w:abstractNumId="80">
    <w:nsid w:val="1816F8C4"/>
    <w:multiLevelType w:val="hybridMultilevel"/>
    <w:lvl w:ilvl="0">
      <w:lvlJc w:val="left"/>
      <w:lvlText w:val="(%1)"/>
      <w:numFmt w:val="lowerLetter"/>
      <w:start w:val="3"/>
    </w:lvl>
  </w:abstractNum>
  <w:abstractNum w:abstractNumId="81">
    <w:nsid w:val="37DF2233"/>
    <w:multiLevelType w:val="hybridMultilevel"/>
    <w:lvl w:ilvl="0">
      <w:lvlJc w:val="left"/>
      <w:lvlText w:val="(%1)"/>
      <w:numFmt w:val="lowerLetter"/>
      <w:start w:val="5"/>
    </w:lvl>
  </w:abstractNum>
  <w:abstractNum w:abstractNumId="82">
    <w:nsid w:val="7AB49DAF"/>
    <w:multiLevelType w:val="hybridMultilevel"/>
    <w:lvl w:ilvl="0">
      <w:lvlJc w:val="left"/>
      <w:lvlText w:val="(%1)"/>
      <w:numFmt w:val="lowerLetter"/>
      <w:start w:val="1"/>
    </w:lvl>
    <w:lvl w:ilvl="1">
      <w:lvlJc w:val="left"/>
      <w:lvlText w:val="(%2)"/>
      <w:numFmt w:val="lowerRoman"/>
      <w:start w:val="1"/>
    </w:lvl>
  </w:abstractNum>
  <w:abstractNum w:abstractNumId="83">
    <w:nsid w:val="759F82CD"/>
    <w:multiLevelType w:val="hybridMultilevel"/>
    <w:lvl w:ilvl="0">
      <w:lvlJc w:val="left"/>
      <w:lvlText w:val="(%1)"/>
      <w:numFmt w:val="lowerLetter"/>
      <w:start w:val="1"/>
    </w:lvl>
    <w:lvl w:ilvl="1">
      <w:lvlJc w:val="left"/>
      <w:lvlText w:val="(%2)"/>
      <w:numFmt w:val="lowerRoman"/>
      <w:start w:val="1"/>
    </w:lvl>
  </w:abstractNum>
  <w:abstractNum w:abstractNumId="84">
    <w:nsid w:val="61E74EA3"/>
    <w:multiLevelType w:val="hybridMultilevel"/>
    <w:lvl w:ilvl="0">
      <w:lvlJc w:val="left"/>
      <w:lvlText w:val="(%1)"/>
      <w:numFmt w:val="lowerRoman"/>
      <w:start w:val="3"/>
    </w:lvl>
  </w:abstractNum>
  <w:abstractNum w:abstractNumId="85">
    <w:nsid w:val="597B4D84"/>
    <w:multiLevelType w:val="hybridMultilevel"/>
    <w:lvl w:ilvl="0">
      <w:lvlJc w:val="left"/>
      <w:lvlText w:val="%1"/>
      <w:numFmt w:val="lowerLetter"/>
      <w:start w:val="1"/>
    </w:lvl>
    <w:lvl w:ilvl="1">
      <w:lvlJc w:val="left"/>
      <w:lvlText w:val="(%2)"/>
      <w:numFmt w:val="lowerRoman"/>
      <w:start w:val="8"/>
    </w:lvl>
  </w:abstractNum>
  <w:abstractNum w:abstractNumId="86">
    <w:nsid w:val="F819E7F"/>
    <w:multiLevelType w:val="hybridMultilevel"/>
    <w:lvl w:ilvl="0">
      <w:lvlJc w:val="left"/>
      <w:lvlText w:val="(%1)"/>
      <w:numFmt w:val="lowerLetter"/>
      <w:start w:val="2"/>
    </w:lvl>
    <w:lvl w:ilvl="1">
      <w:lvlJc w:val="left"/>
      <w:lvlText w:val="%2"/>
      <w:numFmt w:val="lowerRoman"/>
      <w:start w:val="1"/>
    </w:lvl>
  </w:abstractNum>
  <w:abstractNum w:abstractNumId="87">
    <w:nsid w:val="57C7D42D"/>
    <w:multiLevelType w:val="hybridMultilevel"/>
    <w:lvl w:ilvl="0">
      <w:lvlJc w:val="left"/>
      <w:lvlText w:val="(%1)"/>
      <w:numFmt w:val="lowerLetter"/>
      <w:start w:val="4"/>
    </w:lvl>
    <w:lvl w:ilvl="1">
      <w:lvlJc w:val="left"/>
      <w:lvlText w:val="(%2)"/>
      <w:numFmt w:val="lowerRoman"/>
      <w:start w:val="1"/>
    </w:lvl>
  </w:abstractNum>
  <w:abstractNum w:abstractNumId="88">
    <w:nsid w:val="312167AD"/>
    <w:multiLevelType w:val="hybridMultilevel"/>
    <w:lvl w:ilvl="0">
      <w:lvlJc w:val="left"/>
      <w:lvlText w:val="%1"/>
      <w:numFmt w:val="lowerLetter"/>
      <w:start w:val="1"/>
    </w:lvl>
    <w:lvl w:ilvl="1">
      <w:lvlJc w:val="left"/>
      <w:lvlText w:val="(%2)"/>
      <w:numFmt w:val="lowerRoman"/>
      <w:start w:val="3"/>
    </w:lvl>
  </w:abstractNum>
  <w:abstractNum w:abstractNumId="89">
    <w:nsid w:val="631B64D4"/>
    <w:multiLevelType w:val="hybridMultilevel"/>
    <w:lvl w:ilvl="0">
      <w:lvlJc w:val="left"/>
      <w:lvlText w:val="(%1)"/>
      <w:numFmt w:val="lowerLetter"/>
      <w:start w:val="5"/>
    </w:lvl>
    <w:lvl w:ilvl="1">
      <w:lvlJc w:val="left"/>
      <w:lvlText w:val="%2"/>
      <w:numFmt w:val="lowerRoman"/>
      <w:start w:val="1"/>
    </w:lvl>
  </w:abstractNum>
  <w:abstractNum w:abstractNumId="90">
    <w:nsid w:val="78B5E776"/>
    <w:multiLevelType w:val="hybridMultilevel"/>
    <w:lvl w:ilvl="0">
      <w:lvlJc w:val="left"/>
      <w:lvlText w:val="(%1)"/>
      <w:numFmt w:val="lowerLetter"/>
      <w:start w:val="1"/>
    </w:lvl>
    <w:lvl w:ilvl="1">
      <w:lvlJc w:val="left"/>
      <w:lvlText w:val="(%2)"/>
      <w:numFmt w:val="lowerLetter"/>
      <w:start w:val="9"/>
    </w:lvl>
  </w:abstractNum>
  <w:abstractNum w:abstractNumId="91">
    <w:nsid w:val="75486E47"/>
    <w:multiLevelType w:val="hybridMultilevel"/>
    <w:lvl w:ilvl="0">
      <w:lvlJc w:val="left"/>
      <w:lvlText w:val="(%1)"/>
      <w:numFmt w:val="lowerRoman"/>
      <w:start w:val="2"/>
    </w:lvl>
    <w:lvl w:ilvl="1">
      <w:lvlJc w:val="left"/>
      <w:lvlText w:val="(%2)"/>
      <w:numFmt w:val="upperLetter"/>
      <w:start w:val="1"/>
    </w:lvl>
  </w:abstractNum>
  <w:abstractNum w:abstractNumId="92">
    <w:nsid w:val="6E534CDE"/>
    <w:multiLevelType w:val="hybridMultilevel"/>
    <w:lvl w:ilvl="0">
      <w:lvlJc w:val="left"/>
      <w:lvlText w:val="%1"/>
      <w:numFmt w:val="lowerLetter"/>
      <w:start w:val="1"/>
    </w:lvl>
    <w:lvl w:ilvl="1">
      <w:lvlJc w:val="left"/>
      <w:lvlText w:val="(%2)"/>
      <w:numFmt w:val="lowerRoman"/>
      <w:start w:val="4"/>
    </w:lvl>
  </w:abstractNum>
  <w:abstractNum w:abstractNumId="93">
    <w:nsid w:val="1A0DDE32"/>
    <w:multiLevelType w:val="hybridMultilevel"/>
    <w:lvl w:ilvl="0">
      <w:lvlJc w:val="left"/>
      <w:lvlText w:val="(%1)"/>
      <w:numFmt w:val="lowerLetter"/>
      <w:start w:val="2"/>
    </w:lvl>
    <w:lvl w:ilvl="1">
      <w:lvlJc w:val="left"/>
      <w:lvlText w:val="%2"/>
      <w:numFmt w:val="lowerRoman"/>
      <w:start w:val="1"/>
    </w:lvl>
  </w:abstractNum>
  <w:abstractNum w:abstractNumId="94">
    <w:nsid w:val="65968C1C"/>
    <w:multiLevelType w:val="hybridMultilevel"/>
    <w:lvl w:ilvl="0">
      <w:lvlJc w:val="left"/>
      <w:lvlText w:val="(%1)"/>
      <w:numFmt w:val="lowerLetter"/>
      <w:start w:val="1"/>
    </w:lvl>
  </w:abstractNum>
  <w:abstractNum w:abstractNumId="95">
    <w:nsid w:val="46263DEC"/>
    <w:multiLevelType w:val="hybridMultilevel"/>
    <w:lvl w:ilvl="0">
      <w:lvlJc w:val="left"/>
      <w:lvlText w:val="(%1)"/>
      <w:numFmt w:val="lowerLetter"/>
      <w:start w:val="2"/>
    </w:lvl>
  </w:abstractNum>
  <w:abstractNum w:abstractNumId="96">
    <w:nsid w:val="260D8C4A"/>
    <w:multiLevelType w:val="hybridMultilevel"/>
    <w:lvl w:ilvl="0">
      <w:lvlJc w:val="left"/>
      <w:lvlText w:val="%1"/>
      <w:numFmt w:val="lowerLetter"/>
      <w:start w:val="1"/>
    </w:lvl>
    <w:lvl w:ilvl="1">
      <w:lvlJc w:val="left"/>
      <w:lvlText w:val="(%2)"/>
      <w:numFmt w:val="lowerRoman"/>
      <w:start w:val="1"/>
    </w:lvl>
  </w:abstractNum>
  <w:abstractNum w:abstractNumId="97">
    <w:nsid w:val="73D4D3C4"/>
    <w:multiLevelType w:val="hybridMultilevel"/>
    <w:lvl w:ilvl="0">
      <w:lvlJc w:val="left"/>
      <w:lvlText w:val="(%1)"/>
      <w:numFmt w:val="lowerLetter"/>
      <w:start w:val="2"/>
    </w:lvl>
    <w:lvl w:ilvl="1">
      <w:lvlJc w:val="left"/>
      <w:lvlText w:val="%2"/>
      <w:numFmt w:val="lowerRoman"/>
      <w:start w:val="1"/>
    </w:lvl>
  </w:abstractNum>
  <w:abstractNum w:abstractNumId="98">
    <w:nsid w:val="746F2E30"/>
    <w:multiLevelType w:val="hybridMultilevel"/>
    <w:lvl w:ilvl="0">
      <w:lvlJc w:val="left"/>
      <w:lvlText w:val="(%1)"/>
      <w:numFmt w:val="lowerRoman"/>
      <w:start w:val="2"/>
    </w:lvl>
  </w:abstractNum>
  <w:abstractNum w:abstractNumId="99">
    <w:nsid w:val="6FDE8AF6"/>
    <w:multiLevelType w:val="hybridMultilevel"/>
    <w:lvl w:ilvl="0">
      <w:lvlJc w:val="left"/>
      <w:lvlText w:val="%1"/>
      <w:numFmt w:val="lowerLetter"/>
      <w:start w:val="1"/>
    </w:lvl>
    <w:lvl w:ilvl="1">
      <w:lvlJc w:val="left"/>
      <w:lvlText w:val="(%2)"/>
      <w:numFmt w:val="lowerLetter"/>
      <w:start w:val="35"/>
    </w:lvl>
  </w:abstractNum>
  <w:abstractNum w:abstractNumId="100">
    <w:nsid w:val="3FC32E20"/>
    <w:multiLevelType w:val="hybridMultilevel"/>
    <w:lvl w:ilvl="0">
      <w:lvlJc w:val="left"/>
      <w:lvlText w:val="(%1)"/>
      <w:numFmt w:val="lowerLetter"/>
      <w:start w:val="4"/>
    </w:lvl>
    <w:lvl w:ilvl="1">
      <w:lvlJc w:val="left"/>
      <w:lvlText w:val="(%2)"/>
      <w:numFmt w:val="lowerLetter"/>
      <w:start w:val="9"/>
    </w:lvl>
  </w:abstractNum>
  <w:abstractNum w:abstractNumId="101">
    <w:nsid w:val="49C0E823"/>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102">
    <w:nsid w:val="14D53685"/>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lvl w:ilvl="3">
      <w:lvlJc w:val="left"/>
      <w:lvlText w:val="(%4)"/>
      <w:numFmt w:val="decimal"/>
      <w:start w:val="4"/>
    </w:lvl>
  </w:abstractNum>
  <w:abstractNum w:abstractNumId="103">
    <w:nsid w:val="230F856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04">
    <w:nsid w:val="6EAA85FB"/>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05">
    <w:nsid w:val="3F06ECB2"/>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106">
    <w:nsid w:val="3B594807"/>
    <w:multiLevelType w:val="hybridMultilevel"/>
    <w:lvl w:ilvl="0">
      <w:lvlJc w:val="left"/>
      <w:lvlText w:val="(%1)"/>
      <w:numFmt w:val="lowerLetter"/>
      <w:start w:val="7"/>
    </w:lvl>
  </w:abstractNum>
  <w:abstractNum w:abstractNumId="107">
    <w:nsid w:val="6CAA2304"/>
    <w:multiLevelType w:val="hybridMultilevel"/>
    <w:lvl w:ilvl="0">
      <w:lvlJc w:val="left"/>
      <w:lvlText w:val="(%1)"/>
      <w:numFmt w:val="lowerRoman"/>
      <w:start w:val="10"/>
    </w:lvl>
  </w:abstractNum>
  <w:abstractNum w:abstractNumId="108">
    <w:nsid w:val="3F7C2FF4"/>
    <w:multiLevelType w:val="hybridMultilevel"/>
    <w:lvl w:ilvl="0">
      <w:lvlJc w:val="left"/>
      <w:lvlText w:val="(%1)"/>
      <w:numFmt w:val="lowerRoman"/>
      <w:start w:val="1"/>
    </w:lvl>
  </w:abstractNum>
  <w:abstractNum w:abstractNumId="109">
    <w:nsid w:val="25413BEC"/>
    <w:multiLevelType w:val="hybridMultilevel"/>
    <w:lvl w:ilvl="0">
      <w:lvlJc w:val="left"/>
      <w:lvlText w:val="(%1)"/>
      <w:numFmt w:val="lowerLetter"/>
      <w:start w:val="2"/>
    </w:lvl>
  </w:abstractNum>
  <w:abstractNum w:abstractNumId="110">
    <w:nsid w:val="17180B0B"/>
    <w:multiLevelType w:val="hybridMultilevel"/>
    <w:lvl w:ilvl="0">
      <w:lvlJc w:val="left"/>
      <w:lvlText w:val="(%1)"/>
      <w:numFmt w:val="lowerLetter"/>
      <w:start w:val="3"/>
    </w:lvl>
  </w:abstractNum>
  <w:abstractNum w:abstractNumId="111">
    <w:nsid w:val="579328B9"/>
    <w:multiLevelType w:val="hybridMultilevel"/>
    <w:lvl w:ilvl="0">
      <w:lvlJc w:val="left"/>
      <w:lvlText w:val="(%1)"/>
      <w:numFmt w:val="lowerLetter"/>
      <w:start w:val="1"/>
    </w:lvl>
  </w:abstractNum>
  <w:abstractNum w:abstractNumId="112">
    <w:nsid w:val="5D205E20"/>
    <w:multiLevelType w:val="hybridMultilevel"/>
    <w:lvl w:ilvl="0">
      <w:lvlJc w:val="left"/>
      <w:lvlText w:val="(%1)"/>
      <w:numFmt w:val="lowerLetter"/>
      <w:start w:val="3"/>
    </w:lvl>
  </w:abstractNum>
  <w:abstractNum w:abstractNumId="113">
    <w:nsid w:val="11CCA8BA"/>
    <w:multiLevelType w:val="hybridMultilevel"/>
    <w:lvl w:ilvl="0">
      <w:lvlJc w:val="left"/>
      <w:lvlText w:val="(%1)"/>
      <w:numFmt w:val="lowerLetter"/>
      <w:start w:val="1"/>
    </w:lvl>
  </w:abstractNum>
  <w:abstractNum w:abstractNumId="114">
    <w:nsid w:val="4D32AB8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5">
    <w:nsid w:val="3F07ACC3"/>
    <w:multiLevelType w:val="hybridMultilevel"/>
    <w:lvl w:ilvl="0">
      <w:lvlJc w:val="left"/>
      <w:lvlText w:val="(%1)"/>
      <w:numFmt w:val="lowerRoman"/>
      <w:start w:val="5"/>
    </w:lvl>
  </w:abstractNum>
  <w:abstractNum w:abstractNumId="116">
    <w:nsid w:val="6B47F63E"/>
    <w:multiLevelType w:val="hybridMultilevel"/>
    <w:lvl w:ilvl="0">
      <w:lvlJc w:val="left"/>
      <w:lvlText w:val="(%1)"/>
      <w:numFmt w:val="lowerRoman"/>
      <w:start w:val="11"/>
    </w:lvl>
  </w:abstractNum>
  <w:abstractNum w:abstractNumId="117">
    <w:nsid w:val="5CB44A05"/>
    <w:multiLevelType w:val="hybridMultilevel"/>
    <w:lvl w:ilvl="0">
      <w:lvlJc w:val="left"/>
      <w:lvlText w:val="(%1)"/>
      <w:numFmt w:val="lowerLetter"/>
      <w:start w:val="2"/>
    </w:lvl>
    <w:lvl w:ilvl="1">
      <w:lvlJc w:val="left"/>
      <w:lvlText w:val="(%2)"/>
      <w:numFmt w:val="lowerLetter"/>
      <w:start w:val="35"/>
    </w:lvl>
  </w:abstractNum>
  <w:abstractNum w:abstractNumId="118">
    <w:nsid w:val="16CF80F1"/>
    <w:multiLevelType w:val="hybridMultilevel"/>
    <w:lvl w:ilvl="0">
      <w:lvlJc w:val="left"/>
      <w:lvlText w:val="(%1)"/>
      <w:numFmt w:val="lowerLetter"/>
      <w:start w:val="1"/>
    </w:lvl>
  </w:abstractNum>
  <w:abstractNum w:abstractNumId="119">
    <w:nsid w:val="1C695DEC"/>
    <w:multiLevelType w:val="hybridMultilevel"/>
    <w:lvl w:ilvl="0">
      <w:lvlJc w:val="left"/>
      <w:lvlText w:val="(%1)"/>
      <w:numFmt w:val="lowerLetter"/>
      <w:start w:val="2"/>
    </w:lvl>
  </w:abstractNum>
  <w:abstractNum w:abstractNumId="120">
    <w:nsid w:val="3FCFAED9"/>
    <w:multiLevelType w:val="hybridMultilevel"/>
    <w:lvl w:ilvl="0">
      <w:lvlJc w:val="left"/>
      <w:lvlText w:val="(%1)"/>
      <w:numFmt w:val="lowerLetter"/>
      <w:start w:val="1"/>
    </w:lvl>
  </w:abstractNum>
  <w:abstractNum w:abstractNumId="121">
    <w:nsid w:val="F856867"/>
    <w:multiLevelType w:val="hybridMultilevel"/>
    <w:lvl w:ilvl="0">
      <w:lvlJc w:val="left"/>
      <w:lvlText w:val="%1"/>
      <w:numFmt w:val="lowerLetter"/>
      <w:start w:val="1"/>
    </w:lvl>
    <w:lvl w:ilvl="1">
      <w:lvlJc w:val="left"/>
      <w:lvlText w:val="(%2)"/>
      <w:numFmt w:val="lowerLetter"/>
      <w:start w:val="1"/>
    </w:lvl>
  </w:abstractNum>
  <w:abstractNum w:abstractNumId="122">
    <w:nsid w:val="11B1CC33"/>
    <w:multiLevelType w:val="hybridMultilevel"/>
    <w:lvl w:ilvl="0">
      <w:lvlJc w:val="left"/>
      <w:lvlText w:val="(%1)"/>
      <w:numFmt w:val="lowerLetter"/>
      <w:start w:val="5"/>
    </w:lvl>
    <w:lvl w:ilvl="1">
      <w:lvlJc w:val="left"/>
      <w:lvlText w:val="%2"/>
      <w:numFmt w:val="lowerLetter"/>
      <w:start w:val="1"/>
    </w:lvl>
  </w:abstractNum>
  <w:abstractNum w:abstractNumId="123">
    <w:nsid w:val="2E22FBB7"/>
    <w:multiLevelType w:val="hybridMultilevel"/>
    <w:lvl w:ilvl="0">
      <w:lvlJc w:val="left"/>
      <w:lvlText w:val="(%1)"/>
      <w:numFmt w:val="lowerLetter"/>
      <w:start w:val="61"/>
    </w:lvl>
    <w:lvl w:ilvl="1">
      <w:lvlJc w:val="left"/>
      <w:lvlText w:val="(%2)"/>
      <w:numFmt w:val="lowerLetter"/>
      <w:start w:val="2"/>
    </w:lvl>
  </w:abstractNum>
  <w:abstractNum w:abstractNumId="124">
    <w:nsid w:val="29934699"/>
    <w:multiLevelType w:val="hybridMultilevel"/>
    <w:lvl w:ilvl="0">
      <w:lvlJc w:val="left"/>
      <w:lvlText w:val="(%1)"/>
      <w:numFmt w:val="lowerLetter"/>
      <w:start w:val="1"/>
    </w:lvl>
  </w:abstractNum>
  <w:abstractNum w:abstractNumId="125">
    <w:nsid w:val="77485850"/>
    <w:multiLevelType w:val="hybridMultilevel"/>
    <w:lvl w:ilvl="0">
      <w:lvlJc w:val="left"/>
      <w:lvlText w:val="(%1)"/>
      <w:numFmt w:val="lowerLetter"/>
      <w:start w:val="2"/>
    </w:lvl>
  </w:abstractNum>
  <w:abstractNum w:abstractNumId="126">
    <w:nsid w:val="744939A3"/>
    <w:multiLevelType w:val="hybridMultilevel"/>
    <w:lvl w:ilvl="0">
      <w:lvlJc w:val="left"/>
      <w:lvlText w:val="(%1)"/>
      <w:numFmt w:val="lowerLetter"/>
      <w:start w:val="1"/>
    </w:lvl>
  </w:abstractNum>
  <w:abstractNum w:abstractNumId="127">
    <w:nsid w:val="4FA0D2E3"/>
    <w:multiLevelType w:val="hybridMultilevel"/>
    <w:lvl w:ilvl="0">
      <w:lvlJc w:val="left"/>
      <w:lvlText w:val="(%1)"/>
      <w:numFmt w:val="lowerLetter"/>
      <w:start w:val="1"/>
    </w:lvl>
  </w:abstractNum>
  <w:abstractNum w:abstractNumId="128">
    <w:nsid w:val="6B1D2C14"/>
    <w:multiLevelType w:val="hybridMultilevel"/>
    <w:lvl w:ilvl="0">
      <w:lvlJc w:val="left"/>
      <w:lvlText w:val="(%1)"/>
      <w:numFmt w:val="lowerLetter"/>
      <w:start w:val="2"/>
    </w:lvl>
  </w:abstractNum>
  <w:abstractNum w:abstractNumId="129">
    <w:nsid w:val="68B867D3"/>
    <w:multiLevelType w:val="hybridMultilevel"/>
    <w:lvl w:ilvl="0">
      <w:lvlJc w:val="left"/>
      <w:lvlText w:val="%1"/>
      <w:numFmt w:val="lowerLetter"/>
      <w:start w:val="1"/>
    </w:lvl>
    <w:lvl w:ilvl="1">
      <w:lvlJc w:val="left"/>
      <w:lvlText w:val="(%2)"/>
      <w:numFmt w:val="lowerLetter"/>
      <w:start w:val="9"/>
    </w:lvl>
  </w:abstractNum>
  <w:abstractNum w:abstractNumId="130">
    <w:nsid w:val="3F7F5DD9"/>
    <w:multiLevelType w:val="hybridMultilevel"/>
    <w:lvl w:ilvl="0">
      <w:lvlJc w:val="left"/>
      <w:lvlText w:val="(%1)"/>
      <w:numFmt w:val="lowerLetter"/>
      <w:start w:val="9"/>
    </w:lvl>
    <w:lvl w:ilvl="1">
      <w:lvlJc w:val="left"/>
      <w:lvlText w:val="%2"/>
      <w:numFmt w:val="lowerLetter"/>
      <w:start w:val="1"/>
    </w:lvl>
  </w:abstractNum>
  <w:abstractNum w:abstractNumId="131">
    <w:nsid w:val="2AE05A34"/>
    <w:multiLevelType w:val="hybridMultilevel"/>
    <w:lvl w:ilvl="0">
      <w:lvlJc w:val="left"/>
      <w:lvlText w:val="(%1)"/>
      <w:numFmt w:val="lowerRoman"/>
      <w:start w:val="2"/>
    </w:lvl>
  </w:abstractNum>
  <w:abstractNum w:abstractNumId="132">
    <w:nsid w:val="32794FF7"/>
    <w:multiLevelType w:val="hybridMultilevel"/>
    <w:lvl w:ilvl="0">
      <w:lvlJc w:val="left"/>
      <w:lvlText w:val="(%1)"/>
      <w:numFmt w:val="lowerLetter"/>
      <w:start w:val="1"/>
    </w:lvl>
  </w:abstractNum>
  <w:abstractNum w:abstractNumId="133">
    <w:nsid w:val="5454945E"/>
    <w:multiLevelType w:val="hybridMultilevel"/>
    <w:lvl w:ilvl="0">
      <w:lvlJc w:val="left"/>
      <w:lvlText w:val="(%1)"/>
      <w:numFmt w:val="lowerLetter"/>
      <w:start w:val="4"/>
    </w:lvl>
  </w:abstractNum>
  <w:abstractNum w:abstractNumId="134">
    <w:nsid w:val="4DEFDFA0"/>
    <w:multiLevelType w:val="hybridMultilevel"/>
    <w:lvl w:ilvl="0">
      <w:lvlJc w:val="left"/>
      <w:lvlText w:val="(%1)"/>
      <w:numFmt w:val="lowerLetter"/>
      <w:start w:val="2"/>
    </w:lvl>
  </w:abstractNum>
  <w:abstractNum w:abstractNumId="135">
    <w:nsid w:val="2123D5F2"/>
    <w:multiLevelType w:val="hybridMultilevel"/>
    <w:lvl w:ilvl="0">
      <w:lvlJc w:val="left"/>
      <w:lvlText w:val="%1"/>
      <w:numFmt w:val="decimal"/>
      <w:start w:val="1"/>
    </w:lvl>
    <w:lvl w:ilvl="1">
      <w:lvlJc w:val="left"/>
      <w:lvlText w:val="(%2)"/>
      <w:numFmt w:val="lowerLetter"/>
      <w:start w:val="1"/>
    </w:lvl>
  </w:abstractNum>
  <w:abstractNum w:abstractNumId="136">
    <w:nsid w:val="135B8110"/>
    <w:multiLevelType w:val="hybridMultilevel"/>
    <w:lvl w:ilvl="0">
      <w:lvlJc w:val="left"/>
      <w:lvlText w:val="(%1)"/>
      <w:numFmt w:val="decimal"/>
      <w:start w:val="10"/>
    </w:lvl>
    <w:lvl w:ilvl="1">
      <w:lvlJc w:val="left"/>
      <w:lvlText w:val="(%2)"/>
      <w:numFmt w:val="lowerLetter"/>
      <w:start w:val="2"/>
    </w:lvl>
  </w:abstractNum>
  <w:abstractNum w:abstractNumId="137">
    <w:nsid w:val="94927A8"/>
    <w:multiLevelType w:val="hybridMultilevel"/>
    <w:lvl w:ilvl="0">
      <w:lvlJc w:val="left"/>
      <w:lvlText w:val="(%1)"/>
      <w:numFmt w:val="lowerLetter"/>
      <w:start w:val="1"/>
    </w:lvl>
  </w:abstractNum>
  <w:abstractNum w:abstractNumId="138">
    <w:nsid w:val="DCDF8F6"/>
    <w:multiLevelType w:val="hybridMultilevel"/>
    <w:lvl w:ilvl="0">
      <w:lvlJc w:val="left"/>
      <w:lvlText w:val="(%1)"/>
      <w:numFmt w:val="lowerLetter"/>
      <w:start w:val="1"/>
    </w:lvl>
  </w:abstractNum>
  <w:abstractNum w:abstractNumId="139">
    <w:nsid w:val="52D7B105"/>
    <w:multiLevelType w:val="hybridMultilevel"/>
    <w:lvl w:ilvl="0">
      <w:lvlJc w:val="left"/>
      <w:lvlText w:val="(%1)"/>
      <w:numFmt w:val="lowerLetter"/>
      <w:start w:val="2"/>
    </w:lvl>
  </w:abstractNum>
  <w:abstractNum w:abstractNumId="140">
    <w:nsid w:val="2E8A6394"/>
    <w:multiLevelType w:val="hybridMultilevel"/>
    <w:lvl w:ilvl="0">
      <w:lvlJc w:val="left"/>
      <w:lvlText w:val="(%1)"/>
      <w:numFmt w:val="lowerLetter"/>
      <w:start w:val="1"/>
    </w:lvl>
  </w:abstractNum>
  <w:abstractNum w:abstractNumId="141">
    <w:nsid w:val="24E60401"/>
    <w:multiLevelType w:val="hybridMultilevel"/>
    <w:lvl w:ilvl="0">
      <w:lvlJc w:val="left"/>
      <w:lvlText w:val="(%1)"/>
      <w:numFmt w:val="lowerLetter"/>
      <w:start w:val="3"/>
    </w:lvl>
    <w:lvl w:ilvl="1">
      <w:lvlJc w:val="left"/>
      <w:lvlText w:val="(%2)"/>
      <w:numFmt w:val="lowerRoman"/>
      <w:start w:val="1"/>
    </w:lvl>
  </w:abstractNum>
  <w:abstractNum w:abstractNumId="142">
    <w:nsid w:val="2A6AD9BE"/>
    <w:multiLevelType w:val="hybridMultilevel"/>
    <w:lvl w:ilvl="0">
      <w:lvlJc w:val="left"/>
      <w:lvlText w:val="(%1)"/>
      <w:numFmt w:val="lowerRoman"/>
      <w:start w:val="7"/>
    </w:lvl>
  </w:abstractNum>
  <w:abstractNum w:abstractNumId="143">
    <w:nsid w:val="BAAC1B4"/>
    <w:multiLevelType w:val="hybridMultilevel"/>
    <w:lvl w:ilvl="0">
      <w:lvlJc w:val="left"/>
      <w:lvlText w:val="(%1)"/>
      <w:numFmt w:val="lowerLetter"/>
      <w:start w:val="6"/>
    </w:lvl>
  </w:abstractNum>
  <w:abstractNum w:abstractNumId="144">
    <w:nsid w:val="36B2ACBC"/>
    <w:multiLevelType w:val="hybridMultilevel"/>
    <w:lvl w:ilvl="0">
      <w:lvlJc w:val="left"/>
      <w:lvlText w:val="%1"/>
      <w:numFmt w:val="lowerLetter"/>
      <w:start w:val="1"/>
    </w:lvl>
    <w:lvl w:ilvl="1">
      <w:lvlJc w:val="left"/>
      <w:lvlText w:val="(%2)"/>
      <w:numFmt w:val="lowerLetter"/>
      <w:start w:val="7"/>
    </w:lvl>
  </w:abstractNum>
  <w:abstractNum w:abstractNumId="145">
    <w:nsid w:val="779D8544"/>
    <w:multiLevelType w:val="hybridMultilevel"/>
    <w:lvl w:ilvl="0">
      <w:lvlJc w:val="left"/>
      <w:lvlText w:val="(%1)"/>
      <w:numFmt w:val="lowerLetter"/>
      <w:start w:val="9"/>
    </w:lvl>
    <w:lvl w:ilvl="1">
      <w:lvlJc w:val="left"/>
      <w:lvlText w:val="(%2)"/>
      <w:numFmt w:val="lowerLetter"/>
      <w:start w:val="8"/>
    </w:lvl>
  </w:abstractNum>
  <w:abstractNum w:abstractNumId="146">
    <w:nsid w:val="4AB26E78"/>
    <w:multiLevelType w:val="hybridMultilevel"/>
    <w:lvl w:ilvl="0">
      <w:lvlJc w:val="left"/>
      <w:lvlText w:val="(%1)"/>
      <w:numFmt w:val="lowerLetter"/>
      <w:start w:val="1"/>
    </w:lvl>
  </w:abstractNum>
  <w:abstractNum w:abstractNumId="147">
    <w:nsid w:val="21FAA2FA"/>
    <w:multiLevelType w:val="hybridMultilevel"/>
    <w:lvl w:ilvl="0">
      <w:lvlJc w:val="left"/>
      <w:lvlText w:val="(%1)"/>
      <w:numFmt w:val="lowerLetter"/>
      <w:start w:val="1"/>
    </w:lvl>
  </w:abstractNum>
  <w:abstractNum w:abstractNumId="148">
    <w:nsid w:val="5451CF49"/>
    <w:multiLevelType w:val="hybridMultilevel"/>
    <w:lvl w:ilvl="0">
      <w:lvlJc w:val="left"/>
      <w:lvlText w:val="(%1)"/>
      <w:numFmt w:val="lowerLetter"/>
      <w:start w:val="13"/>
    </w:lvl>
  </w:abstractNum>
  <w:abstractNum w:abstractNumId="149">
    <w:nsid w:val="6181EF69"/>
    <w:multiLevelType w:val="hybridMultilevel"/>
    <w:lvl w:ilvl="0">
      <w:lvlJc w:val="left"/>
      <w:lvlText w:val="(%1)"/>
      <w:numFmt w:val="lowerLetter"/>
      <w:start w:val="1"/>
    </w:lvl>
  </w:abstractNum>
  <w:abstractNum w:abstractNumId="150">
    <w:nsid w:val="3E6400E6"/>
    <w:multiLevelType w:val="hybridMultilevel"/>
    <w:lvl w:ilvl="0">
      <w:lvlJc w:val="left"/>
      <w:lvlText w:val="(%1)"/>
      <w:numFmt w:val="lowerLetter"/>
      <w:start w:val="7"/>
    </w:lvl>
  </w:abstractNum>
  <w:abstractNum w:abstractNumId="151">
    <w:nsid w:val="14217E23"/>
    <w:multiLevelType w:val="hybridMultilevel"/>
    <w:lvl w:ilvl="0">
      <w:lvlJc w:val="left"/>
      <w:lvlText w:val="(%1)"/>
      <w:numFmt w:val="lowerLetter"/>
      <w:start w:val="13"/>
    </w:lvl>
  </w:abstractNum>
  <w:abstractNum w:abstractNumId="152">
    <w:nsid w:val="710757D0"/>
    <w:multiLevelType w:val="hybridMultilevel"/>
    <w:lvl w:ilvl="0">
      <w:lvlJc w:val="left"/>
      <w:lvlText w:val="(%1)"/>
      <w:numFmt w:val="lowerLetter"/>
      <w:start w:val="1"/>
    </w:lvl>
    <w:lvl w:ilvl="1">
      <w:lvlJc w:val="left"/>
      <w:lvlText w:val="(%2)"/>
      <w:numFmt w:val="lowerRoman"/>
      <w:start w:val="1"/>
    </w:lvl>
  </w:abstractNum>
  <w:abstractNum w:abstractNumId="153">
    <w:nsid w:val="5015CD1A"/>
    <w:multiLevelType w:val="hybridMultilevel"/>
    <w:lvl w:ilvl="0">
      <w:lvlJc w:val="left"/>
      <w:lvlText w:val="(%1)"/>
      <w:numFmt w:val="lowerRoman"/>
      <w:start w:val="14"/>
    </w:lvl>
  </w:abstractNum>
  <w:abstractNum w:abstractNumId="154">
    <w:nsid w:val="424479DA"/>
    <w:multiLevelType w:val="hybridMultilevel"/>
    <w:lvl w:ilvl="0">
      <w:lvlJc w:val="left"/>
      <w:lvlText w:val="(%1)"/>
      <w:numFmt w:val="lowerLetter"/>
      <w:start w:val="2"/>
    </w:lvl>
    <w:lvl w:ilvl="1">
      <w:lvlJc w:val="left"/>
      <w:lvlText w:val="(%2)"/>
      <w:numFmt w:val="lowerRoman"/>
      <w:start w:val="1"/>
    </w:lvl>
  </w:abstractNum>
  <w:abstractNum w:abstractNumId="155">
    <w:nsid w:val="1A9A9E69"/>
    <w:multiLevelType w:val="hybridMultilevel"/>
    <w:lvl w:ilvl="0">
      <w:lvlJc w:val="left"/>
      <w:lvlText w:val="(%1)"/>
      <w:numFmt w:val="lowerRoman"/>
      <w:start w:val="7"/>
    </w:lvl>
  </w:abstractNum>
  <w:abstractNum w:abstractNumId="156">
    <w:nsid w:val="475E256A"/>
    <w:multiLevelType w:val="hybridMultilevel"/>
    <w:lvl w:ilvl="0">
      <w:lvlJc w:val="left"/>
      <w:lvlText w:val="(%1)"/>
      <w:numFmt w:val="lowerLetter"/>
      <w:start w:val="1"/>
    </w:lvl>
  </w:abstractNum>
  <w:abstractNum w:abstractNumId="157">
    <w:nsid w:val="368DB37E"/>
    <w:multiLevelType w:val="hybridMultilevel"/>
    <w:lvl w:ilvl="0">
      <w:lvlJc w:val="left"/>
      <w:lvlText w:val="(%1)"/>
      <w:numFmt w:val="lowerLetter"/>
      <w:start w:val="1"/>
    </w:lvl>
  </w:abstractNum>
  <w:abstractNum w:abstractNumId="158">
    <w:nsid w:val="6A3B714C"/>
    <w:multiLevelType w:val="hybridMultilevel"/>
    <w:lvl w:ilvl="0">
      <w:lvlJc w:val="left"/>
      <w:lvlText w:val="%1"/>
      <w:numFmt w:val="lowerLetter"/>
      <w:start w:val="1"/>
    </w:lvl>
    <w:lvl w:ilvl="1">
      <w:lvlJc w:val="left"/>
      <w:lvlText w:val="(%2)"/>
      <w:numFmt w:val="lowerLetter"/>
      <w:start w:val="4"/>
    </w:lvl>
  </w:abstractNum>
  <w:abstractNum w:abstractNumId="159">
    <w:nsid w:val="327B517E"/>
    <w:multiLevelType w:val="hybridMultilevel"/>
    <w:lvl w:ilvl="0">
      <w:lvlJc w:val="left"/>
      <w:lvlText w:val="(%1)"/>
      <w:numFmt w:val="lowerLetter"/>
      <w:start w:val="9"/>
    </w:lvl>
    <w:lvl w:ilvl="1">
      <w:lvlJc w:val="left"/>
      <w:lvlText w:val="(%2)"/>
      <w:numFmt w:val="lowerLetter"/>
      <w:start w:val="10"/>
    </w:lvl>
  </w:abstractNum>
  <w:abstractNum w:abstractNumId="160">
    <w:nsid w:val="1F461B51"/>
    <w:multiLevelType w:val="hybridMultilevel"/>
    <w:lvl w:ilvl="0">
      <w:lvlJc w:val="left"/>
      <w:lvlText w:val="%1"/>
      <w:numFmt w:val="lowerLetter"/>
      <w:start w:val="1"/>
    </w:lvl>
    <w:lvl w:ilvl="1">
      <w:lvlJc w:val="left"/>
      <w:lvlText w:val="(%2)"/>
      <w:numFmt w:val="lowerLetter"/>
      <w:start w:val="1"/>
    </w:lvl>
  </w:abstractNum>
  <w:abstractNum w:abstractNumId="161">
    <w:nsid w:val="29BACF25"/>
    <w:multiLevelType w:val="hybridMultilevel"/>
    <w:lvl w:ilvl="0">
      <w:lvlJc w:val="left"/>
      <w:lvlText w:val="(%1)"/>
      <w:numFmt w:val="lowerLetter"/>
      <w:start w:val="61"/>
    </w:lvl>
    <w:lvl w:ilvl="1">
      <w:lvlJc w:val="left"/>
      <w:lvlText w:val="%2"/>
      <w:numFmt w:val="lowerLetter"/>
      <w:start w:val="1"/>
    </w:lvl>
  </w:abstractNum>
  <w:abstractNum w:abstractNumId="162">
    <w:nsid w:val="5D5BABB3"/>
    <w:multiLevelType w:val="hybridMultilevel"/>
    <w:lvl w:ilvl="0">
      <w:lvlJc w:val="left"/>
      <w:lvlText w:val="%1"/>
      <w:numFmt w:val="lowerLetter"/>
      <w:start w:val="1"/>
    </w:lvl>
    <w:lvl w:ilvl="1">
      <w:lvlJc w:val="left"/>
      <w:lvlText w:val="(%2)"/>
      <w:numFmt w:val="lowerLetter"/>
      <w:start w:val="5"/>
    </w:lvl>
  </w:abstractNum>
  <w:abstractNum w:abstractNumId="163">
    <w:nsid w:val="51BF6B48"/>
    <w:multiLevelType w:val="hybridMultilevel"/>
    <w:lvl w:ilvl="0">
      <w:lvlJc w:val="left"/>
      <w:lvlText w:val="(%1)"/>
      <w:numFmt w:val="lowerLetter"/>
      <w:start w:val="9"/>
    </w:lvl>
    <w:lvl w:ilvl="1">
      <w:lvlJc w:val="left"/>
      <w:lvlText w:val="%2"/>
      <w:numFmt w:val="lowerLetter"/>
      <w:start w:val="1"/>
    </w:lvl>
  </w:abstractNum>
  <w:abstractNum w:abstractNumId="164">
    <w:nsid w:val="7E0F6384"/>
    <w:multiLevelType w:val="hybridMultilevel"/>
    <w:lvl w:ilvl="0">
      <w:lvlJc w:val="left"/>
      <w:lvlText w:val="(%1)"/>
      <w:numFmt w:val="lowerRoman"/>
      <w:start w:val="2"/>
    </w:lvl>
  </w:abstractNum>
  <w:abstractNum w:abstractNumId="165">
    <w:nsid w:val="2B4B8B53"/>
    <w:multiLevelType w:val="hybridMultilevel"/>
    <w:lvl w:ilvl="0">
      <w:lvlJc w:val="left"/>
      <w:lvlText w:val="(%1)"/>
      <w:numFmt w:val="lowerLetter"/>
      <w:start w:val="1"/>
    </w:lvl>
  </w:abstractNum>
  <w:abstractNum w:abstractNumId="166">
    <w:nsid w:val="72E3413A"/>
    <w:multiLevelType w:val="hybridMultilevel"/>
    <w:lvl w:ilvl="0">
      <w:lvlJc w:val="left"/>
      <w:lvlText w:val="(%1)"/>
      <w:numFmt w:val="lowerLetter"/>
      <w:start w:val="1"/>
    </w:lvl>
  </w:abstractNum>
  <w:abstractNum w:abstractNumId="167">
    <w:nsid w:val="116AE494"/>
    <w:multiLevelType w:val="hybridMultilevel"/>
    <w:lvl w:ilvl="0">
      <w:lvlJc w:val="left"/>
      <w:lvlText w:val="(%1)"/>
      <w:numFmt w:val="lowerLetter"/>
      <w:start w:val="1"/>
    </w:lvl>
  </w:abstractNum>
  <w:abstractNum w:abstractNumId="168">
    <w:nsid w:val="3494B2FB"/>
    <w:multiLevelType w:val="hybridMultilevel"/>
    <w:lvl w:ilvl="0">
      <w:lvlJc w:val="left"/>
      <w:lvlText w:val="(%1)"/>
      <w:numFmt w:val="lowerLetter"/>
      <w:start w:val="1"/>
    </w:lvl>
    <w:lvl w:ilvl="1">
      <w:lvlJc w:val="left"/>
      <w:lvlText w:val="(%2)"/>
      <w:numFmt w:val="lowerLetter"/>
      <w:start w:val="9"/>
    </w:lvl>
  </w:abstractNum>
  <w:abstractNum w:abstractNumId="169">
    <w:nsid w:val="B13A3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70">
    <w:nsid w:val="6442959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71">
    <w:nsid w:val="631F1690"/>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1"/>
    </w:lvl>
  </w:abstractNum>
  <w:abstractNum w:abstractNumId="172">
    <w:nsid w:val="25973E32"/>
    <w:multiLevelType w:val="hybridMultilevel"/>
    <w:lvl w:ilvl="0">
      <w:lvlJc w:val="left"/>
      <w:lvlText w:val="(%1)"/>
      <w:numFmt w:val="lowerRoman"/>
      <w:start w:val="1"/>
    </w:lvl>
    <w:lvl w:ilvl="1">
      <w:lvlJc w:val="left"/>
      <w:lvlText w:val="(%2)"/>
      <w:numFmt w:val="lowerRoman"/>
      <w:start w:val="1"/>
    </w:lvl>
  </w:abstractNum>
  <w:abstractNum w:abstractNumId="173">
    <w:nsid w:val="EAD6F57"/>
    <w:multiLevelType w:val="hybridMultilevel"/>
    <w:lvl w:ilvl="0">
      <w:lvlJc w:val="left"/>
      <w:lvlText w:val="%1"/>
      <w:numFmt w:val="decimal"/>
      <w:start w:val="1"/>
    </w:lvl>
    <w:lvl w:ilvl="1">
      <w:lvlJc w:val="left"/>
      <w:lvlText w:val="(%2)"/>
      <w:numFmt w:val="lowerLetter"/>
      <w:start w:val="10"/>
    </w:lvl>
  </w:abstractNum>
  <w:abstractNum w:abstractNumId="174">
    <w:nsid w:val="6EC9D844"/>
    <w:multiLevelType w:val="hybridMultilevel"/>
    <w:lvl w:ilvl="0">
      <w:lvlJc w:val="left"/>
      <w:lvlText w:val="(%1)"/>
      <w:numFmt w:val="decimal"/>
      <w:start w:val="8"/>
    </w:lvl>
    <w:lvl w:ilvl="1">
      <w:lvlJc w:val="left"/>
      <w:lvlText w:val="%2"/>
      <w:numFmt w:val="lowerLetter"/>
      <w:start w:val="1"/>
    </w:lvl>
  </w:abstractNum>
  <w:abstractNum w:abstractNumId="175">
    <w:nsid w:val="5C49EAEE"/>
    <w:multiLevelType w:val="hybridMultilevel"/>
    <w:lvl w:ilvl="0">
      <w:lvlJc w:val="left"/>
      <w:lvlText w:val="(%1)"/>
      <w:numFmt w:val="lowerLetter"/>
      <w:start w:val="11"/>
    </w:lvl>
  </w:abstractNum>
  <w:abstractNum w:abstractNumId="176">
    <w:nsid w:val="64AF49B"/>
    <w:multiLevelType w:val="hybridMultilevel"/>
    <w:lvl w:ilvl="0">
      <w:lvlJc w:val="left"/>
      <w:lvlText w:val="(%1)"/>
      <w:numFmt w:val="lowerLetter"/>
      <w:start w:val="1"/>
    </w:lvl>
  </w:abstractNum>
  <w:abstractNum w:abstractNumId="177">
    <w:nsid w:val="397C46BC"/>
    <w:multiLevelType w:val="hybridMultilevel"/>
    <w:lvl w:ilvl="0">
      <w:lvlJc w:val="left"/>
      <w:lvlText w:val="(%1)"/>
      <w:numFmt w:val="lowerRoman"/>
      <w:start w:val="10"/>
    </w:lvl>
  </w:abstractNum>
  <w:abstractNum w:abstractNumId="178">
    <w:nsid w:val="7E448DE9"/>
    <w:multiLevelType w:val="hybridMultilevel"/>
    <w:lvl w:ilvl="0">
      <w:lvlJc w:val="left"/>
      <w:lvlText w:val="(%1)"/>
      <w:numFmt w:val="lowerLetter"/>
      <w:start w:val="2"/>
    </w:lvl>
  </w:abstractNum>
  <w:abstractNum w:abstractNumId="179">
    <w:nsid w:val="5A9CC3E5"/>
    <w:multiLevelType w:val="hybridMultilevel"/>
    <w:lvl w:ilvl="0">
      <w:lvlJc w:val="left"/>
      <w:lvlText w:val="(%1)"/>
      <w:numFmt w:val="lowerRoman"/>
      <w:start w:val="4"/>
    </w:lvl>
  </w:abstractNum>
  <w:abstractNum w:abstractNumId="180">
    <w:nsid w:val="1AFE3625"/>
    <w:multiLevelType w:val="hybridMultilevel"/>
    <w:lvl w:ilvl="0">
      <w:lvlJc w:val="left"/>
      <w:lvlText w:val="(%1)"/>
      <w:numFmt w:val="lowerLetter"/>
      <w:start w:val="1"/>
    </w:lvl>
  </w:abstractNum>
  <w:abstractNum w:abstractNumId="181">
    <w:nsid w:val="3CA88ECF"/>
    <w:multiLevelType w:val="hybridMultilevel"/>
    <w:lvl w:ilvl="0">
      <w:lvlJc w:val="left"/>
      <w:lvlText w:val="(%1)"/>
      <w:numFmt w:val="lowerLetter"/>
      <w:start w:val="1"/>
    </w:lvl>
    <w:lvl w:ilvl="1">
      <w:lvlJc w:val="left"/>
      <w:lvlText w:val="(%2)"/>
      <w:numFmt w:val="lowerRoman"/>
      <w:start w:val="1"/>
    </w:lvl>
  </w:abstractNum>
  <w:abstractNum w:abstractNumId="182">
    <w:nsid w:val="6EBE4208"/>
    <w:multiLevelType w:val="hybridMultilevel"/>
    <w:lvl w:ilvl="0">
      <w:lvlJc w:val="left"/>
      <w:lvlText w:val="(%1)"/>
      <w:numFmt w:val="lowerLetter"/>
      <w:start w:val="1"/>
    </w:lvl>
  </w:abstractNum>
  <w:abstractNum w:abstractNumId="183">
    <w:nsid w:val="C058DF5"/>
    <w:multiLevelType w:val="hybridMultilevel"/>
    <w:lvl w:ilvl="0">
      <w:lvlJc w:val="left"/>
      <w:lvlText w:val="(%1)"/>
      <w:numFmt w:val="lowerLetter"/>
      <w:start w:val="1"/>
    </w:lvl>
  </w:abstractNum>
  <w:abstractNum w:abstractNumId="184">
    <w:nsid w:val="CBE5BE9"/>
    <w:multiLevelType w:val="hybridMultilevel"/>
    <w:lvl w:ilvl="0">
      <w:lvlJc w:val="left"/>
      <w:lvlText w:val="(%1)"/>
      <w:numFmt w:val="lowerLetter"/>
      <w:start w:val="5"/>
    </w:lvl>
  </w:abstractNum>
  <w:abstractNum w:abstractNumId="185">
    <w:nsid w:val="3102BBE2"/>
    <w:multiLevelType w:val="hybridMultilevel"/>
    <w:lvl w:ilvl="0">
      <w:lvlJc w:val="left"/>
      <w:lvlText w:val="(%1)"/>
      <w:numFmt w:val="lowerRoman"/>
      <w:start w:val="1"/>
    </w:lvl>
  </w:abstractNum>
  <w:abstractNum w:abstractNumId="186">
    <w:nsid w:val="26A02C5E"/>
    <w:multiLevelType w:val="hybridMultilevel"/>
    <w:lvl w:ilvl="0">
      <w:lvlJc w:val="left"/>
      <w:lvlText w:val="(%1)"/>
      <w:numFmt w:val="lowerLetter"/>
      <w:start w:val="2"/>
    </w:lvl>
  </w:abstractNum>
  <w:abstractNum w:abstractNumId="187">
    <w:nsid w:val="541C8153"/>
    <w:multiLevelType w:val="hybridMultilevel"/>
    <w:lvl w:ilvl="0">
      <w:lvlJc w:val="left"/>
      <w:lvlText w:val="(%1)"/>
      <w:numFmt w:val="lowerLetter"/>
      <w:start w:val="3"/>
    </w:lvl>
  </w:abstractNum>
  <w:abstractNum w:abstractNumId="188">
    <w:nsid w:val="67906F60"/>
    <w:multiLevelType w:val="hybridMultilevel"/>
    <w:lvl w:ilvl="0">
      <w:lvlJc w:val="left"/>
      <w:lvlText w:val="(%1)"/>
      <w:numFmt w:val="lowerLetter"/>
      <w:start w:val="2"/>
    </w:lvl>
  </w:abstractNum>
  <w:abstractNum w:abstractNumId="189">
    <w:nsid w:val="10DB9DAA"/>
    <w:multiLevelType w:val="hybridMultilevel"/>
    <w:lvl w:ilvl="0">
      <w:lvlJc w:val="left"/>
      <w:lvlText w:val="(%1)"/>
      <w:numFmt w:val="lowerLetter"/>
      <w:start w:val="3"/>
    </w:lvl>
  </w:abstractNum>
  <w:abstractNum w:abstractNumId="190">
    <w:nsid w:val="697D2D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1">
    <w:nsid w:val="6D68AB2"/>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92">
    <w:nsid w:val="3A966CD0"/>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193">
    <w:nsid w:val="63F37E85"/>
    <w:multiLevelType w:val="hybridMultilevel"/>
    <w:lvl w:ilvl="0">
      <w:lvlJc w:val="left"/>
      <w:lvlText w:val="%1"/>
      <w:numFmt w:val="lowerLetter"/>
      <w:start w:val="1"/>
    </w:lvl>
    <w:lvl w:ilvl="1">
      <w:lvlJc w:val="left"/>
      <w:lvlText w:val="(%2)"/>
      <w:numFmt w:val="lowerRoman"/>
      <w:start w:val="6"/>
    </w:lvl>
  </w:abstractNum>
  <w:abstractNum w:abstractNumId="194">
    <w:nsid w:val="5895F5FA"/>
    <w:multiLevelType w:val="hybridMultilevel"/>
    <w:lvl w:ilvl="0">
      <w:lvlJc w:val="left"/>
      <w:lvlText w:val="(%1)"/>
      <w:numFmt w:val="lowerLetter"/>
      <w:start w:val="3"/>
    </w:lvl>
    <w:lvl w:ilvl="1">
      <w:lvlJc w:val="left"/>
      <w:lvlText w:val="%2"/>
      <w:numFmt w:val="lowerRoman"/>
      <w:start w:val="1"/>
    </w:lvl>
  </w:abstractNum>
  <w:abstractNum w:abstractNumId="195">
    <w:nsid w:val="38A5D054"/>
    <w:multiLevelType w:val="hybridMultilevel"/>
    <w:lvl w:ilvl="0">
      <w:lvlJc w:val="left"/>
      <w:lvlText w:val="(%1)"/>
      <w:numFmt w:val="lowerLetter"/>
      <w:start w:val="5"/>
    </w:lvl>
  </w:abstractNum>
  <w:abstractNum w:abstractNumId="196">
    <w:nsid w:val="F3F09D8"/>
    <w:multiLevelType w:val="hybridMultilevel"/>
    <w:lvl w:ilvl="0">
      <w:lvlJc w:val="left"/>
      <w:lvlText w:val="(%1)"/>
      <w:numFmt w:val="lowerLetter"/>
      <w:start w:val="6"/>
    </w:lvl>
  </w:abstractNum>
  <w:abstractNum w:abstractNumId="197">
    <w:nsid w:val="4B793735"/>
    <w:multiLevelType w:val="hybridMultilevel"/>
    <w:lvl w:ilvl="0">
      <w:lvlJc w:val="left"/>
      <w:lvlText w:val="(%1)"/>
      <w:numFmt w:val="lowerLetter"/>
      <w:start w:val="1"/>
    </w:lvl>
  </w:abstractNum>
  <w:abstractNum w:abstractNumId="198">
    <w:nsid w:val="4A10B4E8"/>
    <w:multiLevelType w:val="hybridMultilevel"/>
    <w:lvl w:ilvl="0">
      <w:lvlJc w:val="left"/>
      <w:lvlText w:val="(%1)"/>
      <w:numFmt w:val="lowerLetter"/>
      <w:start w:val="3"/>
    </w:lvl>
  </w:abstractNum>
  <w:abstractNum w:abstractNumId="199">
    <w:nsid w:val="43D3BCD4"/>
    <w:multiLevelType w:val="hybridMultilevel"/>
    <w:lvl w:ilvl="0">
      <w:lvlJc w:val="left"/>
      <w:lvlText w:val="(%1)"/>
      <w:numFmt w:val="lowerLetter"/>
      <w:start w:val="1"/>
    </w:lvl>
  </w:abstractNum>
  <w:abstractNum w:abstractNumId="200">
    <w:nsid w:val="4C2A7166"/>
    <w:multiLevelType w:val="hybridMultilevel"/>
    <w:lvl w:ilvl="0">
      <w:lvlJc w:val="left"/>
      <w:lvlText w:val="(%1)"/>
      <w:numFmt w:val="lowerLetter"/>
      <w:start w:val="4"/>
    </w:lvl>
  </w:abstractNum>
  <w:abstractNum w:abstractNumId="201">
    <w:nsid w:val="2E534A82"/>
    <w:multiLevelType w:val="hybridMultilevel"/>
    <w:lvl w:ilvl="0">
      <w:lvlJc w:val="left"/>
      <w:lvlText w:val="(%1)"/>
      <w:numFmt w:val="lowerLetter"/>
      <w:start w:val="1"/>
    </w:lvl>
    <w:lvl w:ilvl="1">
      <w:lvlJc w:val="left"/>
      <w:lvlText w:val="(%2)"/>
      <w:numFmt w:val="lowerLetter"/>
      <w:start w:val="9"/>
    </w:lvl>
  </w:abstractNum>
  <w:abstractNum w:abstractNumId="202">
    <w:nsid w:val="26F2D364"/>
    <w:multiLevelType w:val="hybridMultilevel"/>
    <w:lvl w:ilvl="0">
      <w:lvlJc w:val="left"/>
      <w:lvlText w:val="(%1)"/>
      <w:numFmt w:val="lowerRoman"/>
      <w:start w:val="2"/>
    </w:lvl>
  </w:abstractNum>
  <w:abstractNum w:abstractNumId="203">
    <w:nsid w:val="71C1AF9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2019-12-06T04:51:50Z</dcterms:created>
  <dcterms:modified xsi:type="dcterms:W3CDTF">2019-12-06T04:51:50Z</dcterms:modified>
</cp:coreProperties>
</file>