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86"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Date of Report (Date of earliest event reported):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7"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2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9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48"/>
        </w:trPr>
        <w:tc>
          <w:tcPr>
            <w:tcW w:w="556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3"/>
              </w:rPr>
              <w:t>6210 Ardrey Kell Road, Suite 600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3640" w:type="dxa"/>
            <w:vAlign w:val="bottom"/>
          </w:tcPr>
          <w:p>
            <w:pPr>
              <w:jc w:val="center"/>
              <w:ind w:right="11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400" w:type="dxa"/>
            <w:vAlign w:val="bottom"/>
          </w:tcPr>
          <w:p>
            <w:pPr>
              <w:spacing w:after="0"/>
              <w:rPr>
                <w:sz w:val="17"/>
                <w:szCs w:val="17"/>
                <w:color w:val="auto"/>
              </w:rPr>
            </w:pPr>
          </w:p>
        </w:tc>
      </w:tr>
    </w:tbl>
    <w:p>
      <w:pPr>
        <w:spacing w:after="0" w:line="13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32385</wp:posOffset>
            </wp:positionV>
            <wp:extent cx="212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279"/>
        <w:spacing w:after="0" w:line="235"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15" w:lineRule="exact"/>
        <w:rPr>
          <w:rFonts w:ascii="MS PGothic" w:cs="MS PGothic" w:eastAsia="MS PGothic" w:hAnsi="MS PGothic"/>
          <w:sz w:val="17"/>
          <w:szCs w:val="17"/>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19"/>
          </w:cols>
          <w:pgMar w:left="1340" w:top="1295" w:right="1440" w:bottom="1440" w:gutter="0" w:footer="0" w:header="0"/>
        </w:sectPr>
      </w:pPr>
    </w:p>
    <w:p>
      <w:pPr>
        <w:spacing w:after="0" w:line="59" w:lineRule="exact"/>
        <w:rPr>
          <w:sz w:val="24"/>
          <w:szCs w:val="24"/>
          <w:color w:val="auto"/>
        </w:rPr>
      </w:pPr>
    </w:p>
    <w:p>
      <w:pPr>
        <w:ind w:left="120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20" w:space="720"/>
            <w:col w:w="1340" w:space="720"/>
            <w:col w:w="2919"/>
          </w:cols>
          <w:pgMar w:left="1340" w:top="1295" w:right="1440"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19"/>
          </w:cols>
          <w:pgMar w:left="1340" w:top="1295" w:right="1440" w:bottom="1440" w:gutter="0" w:footer="0" w:header="0"/>
          <w:type w:val="continuous"/>
        </w:sectPr>
      </w:pPr>
    </w:p>
    <w:p>
      <w:pPr>
        <w:spacing w:after="0" w:line="253" w:lineRule="exact"/>
        <w:rPr>
          <w:sz w:val="24"/>
          <w:szCs w:val="24"/>
          <w:color w:val="auto"/>
        </w:rPr>
      </w:pPr>
    </w:p>
    <w:p>
      <w:pPr>
        <w:ind w:right="79"/>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322"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28"/>
          <w:szCs w:val="28"/>
          <w:color w:val="auto"/>
          <w:vertAlign w:val="subscript"/>
        </w:rPr>
        <w:t>☐</w:t>
      </w:r>
    </w:p>
    <w:p>
      <w:pPr>
        <w:spacing w:after="0" w:line="55" w:lineRule="exact"/>
        <w:rPr>
          <w:sz w:val="24"/>
          <w:szCs w:val="24"/>
          <w:color w:val="auto"/>
        </w:rPr>
      </w:pPr>
    </w:p>
    <w:p>
      <w:pPr>
        <w:ind w:right="139"/>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746760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622300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19"/>
          </w:cols>
          <w:pgMar w:left="1340" w:top="1295" w:right="1440" w:bottom="1440" w:gutter="0" w:footer="0" w:header="0"/>
          <w:type w:val="continuous"/>
        </w:sectPr>
      </w:pPr>
    </w:p>
    <w:bookmarkStart w:id="1" w:name="page2"/>
    <w:bookmarkEnd w:id="1"/>
    <w:p>
      <w:pPr>
        <w:spacing w:after="0" w:line="209" w:lineRule="auto"/>
        <w:framePr w:w="400" w:h="160" w:wrap="auto" w:vAnchor="page" w:hAnchor="page" w:x="440" w:y="4286"/>
        <w:rPr>
          <w:rFonts w:ascii="Arial" w:cs="Arial" w:eastAsia="Arial" w:hAnsi="Arial"/>
          <w:sz w:val="16"/>
          <w:szCs w:val="16"/>
          <w:color w:val="auto"/>
        </w:rPr>
      </w:pPr>
      <w:r>
        <w:rPr>
          <w:rFonts w:ascii="Arial" w:cs="Arial" w:eastAsia="Arial" w:hAnsi="Arial"/>
          <w:sz w:val="16"/>
          <w:szCs w:val="16"/>
          <w:color w:val="auto"/>
        </w:rPr>
        <w:t>99.1</w:t>
      </w:r>
    </w:p>
    <w:p>
      <w:pPr>
        <w:spacing w:after="0" w:line="205" w:lineRule="auto"/>
        <w:framePr w:w="540" w:h="128" w:wrap="auto" w:vAnchor="page" w:hAnchor="page" w:x="380" w:y="3954"/>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Exhibit</w:t>
      </w:r>
    </w:p>
    <w:p>
      <w:pPr>
        <w:spacing w:after="0" w:line="205" w:lineRule="auto"/>
        <w:framePr w:w="300" w:h="128" w:wrap="auto" w:vAnchor="page" w:hAnchor="page" w:x="500" w:y="4089"/>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No.</w:t>
      </w: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67" w:lineRule="exact"/>
        <w:rPr>
          <w:rFonts w:ascii="Arial" w:cs="Arial" w:eastAsia="Arial" w:hAnsi="Arial"/>
          <w:sz w:val="13"/>
          <w:szCs w:val="13"/>
          <w:b w:val="1"/>
          <w:bCs w:val="1"/>
          <w:u w:val="single" w:color="auto"/>
          <w:color w:val="auto"/>
        </w:rPr>
      </w:pPr>
    </w:p>
    <w:p>
      <w:pPr>
        <w:ind w:right="200" w:firstLine="648"/>
        <w:spacing w:after="0" w:line="277" w:lineRule="auto"/>
        <w:rPr>
          <w:sz w:val="20"/>
          <w:szCs w:val="20"/>
          <w:color w:val="auto"/>
        </w:rPr>
      </w:pPr>
      <w:r>
        <w:rPr>
          <w:rFonts w:ascii="Arial" w:cs="Arial" w:eastAsia="Arial" w:hAnsi="Arial"/>
          <w:sz w:val="18"/>
          <w:szCs w:val="18"/>
          <w:color w:val="auto"/>
        </w:rPr>
        <w:t>On August 4, 2022, NN, Inc. (the “Company”) issued a press release announcing the Company’s financial results for the quarter ended June 30, 2022. The full text of the press release is furnished as Exhibit 99.1 and is incorporated herein by reference.</w:t>
      </w:r>
    </w:p>
    <w:p>
      <w:pPr>
        <w:spacing w:after="0" w:line="197" w:lineRule="exact"/>
        <w:rPr>
          <w:rFonts w:ascii="Arial" w:cs="Arial" w:eastAsia="Arial" w:hAnsi="Arial"/>
          <w:sz w:val="13"/>
          <w:szCs w:val="13"/>
          <w:b w:val="1"/>
          <w:bCs w:val="1"/>
          <w:u w:val="single" w:color="auto"/>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9" w:lineRule="exact"/>
        <w:rPr>
          <w:rFonts w:ascii="Arial" w:cs="Arial" w:eastAsia="Arial" w:hAnsi="Arial"/>
          <w:sz w:val="13"/>
          <w:szCs w:val="13"/>
          <w:b w:val="1"/>
          <w:bCs w:val="1"/>
          <w:u w:val="single" w:color="auto"/>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rFonts w:ascii="Arial" w:cs="Arial" w:eastAsia="Arial" w:hAnsi="Arial"/>
          <w:sz w:val="13"/>
          <w:szCs w:val="13"/>
          <w:b w:val="1"/>
          <w:bCs w:val="1"/>
          <w:u w:val="single" w:color="auto"/>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325" w:lineRule="exact"/>
        <w:rPr>
          <w:rFonts w:ascii="Arial" w:cs="Arial" w:eastAsia="Arial" w:hAnsi="Arial"/>
          <w:sz w:val="13"/>
          <w:szCs w:val="13"/>
          <w:b w:val="1"/>
          <w:bCs w:val="1"/>
          <w:u w:val="single" w:color="auto"/>
          <w:color w:val="auto"/>
        </w:rPr>
      </w:pPr>
    </w:p>
    <w:p>
      <w:pPr>
        <w:ind w:left="880"/>
        <w:spacing w:after="0"/>
        <w:rPr>
          <w:sz w:val="20"/>
          <w:szCs w:val="20"/>
          <w:color w:val="auto"/>
        </w:rPr>
      </w:pPr>
      <w:r>
        <w:rPr>
          <w:rFonts w:ascii="Arial" w:cs="Arial" w:eastAsia="Arial" w:hAnsi="Arial"/>
          <w:sz w:val="14"/>
          <w:szCs w:val="14"/>
          <w:b w:val="1"/>
          <w:bCs w:val="1"/>
          <w:u w:val="single" w:color="auto"/>
          <w:color w:val="auto"/>
        </w:rPr>
        <w:t>Description of Exhibit</w:t>
      </w:r>
    </w:p>
    <w:p>
      <w:pPr>
        <w:spacing w:after="0" w:line="63" w:lineRule="exact"/>
        <w:rPr>
          <w:rFonts w:ascii="Arial" w:cs="Arial" w:eastAsia="Arial" w:hAnsi="Arial"/>
          <w:sz w:val="13"/>
          <w:szCs w:val="13"/>
          <w:b w:val="1"/>
          <w:bCs w:val="1"/>
          <w:u w:val="single" w:color="auto"/>
          <w:color w:val="auto"/>
        </w:rPr>
      </w:pPr>
    </w:p>
    <w:p>
      <w:pPr>
        <w:ind w:left="8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by NN, Inc., dated August 4, 2022</w:t>
        </w:r>
      </w:hyperlink>
    </w:p>
    <w:p>
      <w:pPr>
        <w:spacing w:after="0" w:line="23" w:lineRule="exact"/>
        <w:rPr>
          <w:rFonts w:ascii="Arial" w:cs="Arial" w:eastAsia="Arial" w:hAnsi="Arial"/>
          <w:sz w:val="13"/>
          <w:szCs w:val="13"/>
          <w:b w:val="1"/>
          <w:bCs w:val="1"/>
          <w:u w:val="single" w:color="auto"/>
          <w:color w:val="auto"/>
        </w:rPr>
      </w:pPr>
    </w:p>
    <w:p>
      <w:pPr>
        <w:ind w:left="20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August 4, 2022</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9220"/>
          </w:cols>
          <w:pgMar w:left="1340" w:top="891" w:right="1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SECOND QUARTER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makes continued progress despite challenging macroeconomic conditions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20"/>
          <w:szCs w:val="20"/>
          <w:b w:val="1"/>
          <w:bCs w:val="1"/>
          <w:color w:val="auto"/>
        </w:rPr>
        <w:t xml:space="preserve">CHARLOTTE, N.C., August 4, 2022 </w:t>
      </w:r>
      <w:r>
        <w:rPr>
          <w:rFonts w:ascii="Arial" w:cs="Arial" w:eastAsia="Arial" w:hAnsi="Arial"/>
          <w:sz w:val="20"/>
          <w:szCs w:val="20"/>
          <w:color w:val="auto"/>
        </w:rPr>
        <w:t>– NN, Inc. (NASDAQ: NNBR), a global diversified industrial company that manufactures</w:t>
      </w:r>
      <w:r>
        <w:rPr>
          <w:rFonts w:ascii="Arial" w:cs="Arial" w:eastAsia="Arial" w:hAnsi="Arial"/>
          <w:sz w:val="20"/>
          <w:szCs w:val="20"/>
          <w:b w:val="1"/>
          <w:bCs w:val="1"/>
          <w:color w:val="auto"/>
        </w:rPr>
        <w:t xml:space="preserve"> </w:t>
      </w:r>
      <w:r>
        <w:rPr>
          <w:rFonts w:ascii="Arial" w:cs="Arial" w:eastAsia="Arial" w:hAnsi="Arial"/>
          <w:sz w:val="20"/>
          <w:szCs w:val="20"/>
          <w:color w:val="auto"/>
        </w:rPr>
        <w:t>high-precision components and assemblies for a variety of markets including electric vehicles and the power grid, today reported its financial results for the second quarter ended June 30, 2022.</w:t>
      </w:r>
    </w:p>
    <w:p>
      <w:pPr>
        <w:spacing w:after="0" w:line="398"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Warren Veltman, President and Chief Executive Officer, said, “I am pleased with our team’s focus and commitment during the second quarter, and we made meaningful progress towards achieving our long-term strategic goals. While supply chain disruptions have persisted longer than anticipated and inflation has created additional cost and pricing pressures, we delivered a net sales increase of 1.8% versus the second quarter of 2021. We remain focused on the growth opportunities created by the transition to electric vehicles and the transformation of the electric grid, and we are determined to convert our growing pipeline of opportunities into new business wins as we leverage capabilities across our Power and Mobile Solutions businesses. As we evaluate the evolving state of the global economy, we are committed to improving our overall cost structure through facility and labor optimization initiatives to provide flexibility for any economic downturn and to improve overall margins, while continuing to exceed our customers’ expectations. We firmly believe our unique manufacturing capabilities and global platform will enable us to grow and create increased value for all our stakeholders.”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GAAP Results</w:t>
      </w:r>
    </w:p>
    <w:p>
      <w:pPr>
        <w:spacing w:after="0" w:line="78"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Net sales were $125.4 million, an increase of 1.8% from the second quarter of 2021, primarily due to increased pricing to recover certain inflationary costs and underutilized fixed costs caused by lower-than-expected customer demand. These increases were partially offset by lower volume demand in Mobile Solutions, which was adversely impacted by the war in Ukraine, COVID-19 disruptions in China, continued supply chain disruptions, and unfavorable foreign exchange effects of $0.5 million.</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Loss from operations was $4.5 million compared to loss from operations of $1.6 million in the second quarter of 2021. Loss from operations increased primarily due to inflationary costs and higher selling, general and administrative expenses due primarily to $1.8 million of increased stock compensation expense, and $0.4 million increase in legal expenses associated with a recently settled shareholder litigation, partially offset by lower severance and retention costs compared to the prior year.</w:t>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for the Power Solutions segment was $1.4 million compared to $2.9 million for the same period in 2021.</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Income from operations for Mobile Solutions was $1.7 million compared to $2.5 million for the same period in 2021.</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Net loss was $8.6 million compared to a net loss of $5.4 million for the same period in 2021. The increase in net loss was primarily driven by higher input costs and increased selling, general, and administrative expenses. Net loss was also affected by reduced income from the Company’s China Joint Venture whose operations were negatively impacted during the quarter by an increase in COVID-19 cases in the region where the operations are located, and culminating in the temporary closure of that facility in June.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Adjusted Results</w:t>
      </w:r>
    </w:p>
    <w:p>
      <w:pPr>
        <w:spacing w:after="0" w:line="9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Adjusted income from operations for the second quarter of 2022 was $0.1 million compared to adjusted income from operations of $3.2 million for the same period in 2021. Adjusted EBITDA was $10.9 million, or 8.7% of sales, compared to $13.4 million, or 10.9% of sales, for the same period in 2021. Adjusted net loss was $3.6 million, or $0.09 per diluted share, compared to adjusted net loss of $0.2 million, or $0.00 per diluted share, for the same period in 2021.</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Free cash flow was a use of cash of $2.8 million compared to a use of cash of $7.5 million for the same period in 2021. The improvement in free cash flow was primarily driven by a tax payment of $9.2 million related to the sale of Life Sciences that was made in the prior year.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Power Solutions</w:t>
      </w:r>
    </w:p>
    <w:p>
      <w:pPr>
        <w:spacing w:after="0" w:line="91"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Net sales for the second quarter of 2022 were $52.0 million compared to $49.3 million in the second quarter of 2021, an increase of 5.6% or $2.8 million. The increase in sales was the result of increased electric component sales, which were up 15.6% year over year, primarily due to higher customer pricing to recover inflationary costs and improved volume, offset by lower sales to automotive and aerospace and defense customers. Adjusted income from operations was $4.6 million compared to $5.7 million in the second quarter of 2021. The decrease in adjusted income from operations was primarily due to inflationary costs which were not fully recovered from pricing, variable cost inefficiencies associated with supply chain disruptions, and uneven customer ordering patterns.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Mobile Solutions</w:t>
      </w:r>
    </w:p>
    <w:p>
      <w:pPr>
        <w:spacing w:after="0" w:line="59"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Net sales for the second quarter of 2022 were $73.4 million compared to $73.9 million in the second quarter of 2021, a decrease of 0.7% or $0.5 million. The decrease in sales was primarily due to lower European demand, which was impacted by the war in Ukraine, pandemic interruptions in China, and unfavorable foreign exchange effects of $0.5 million. Adjusted income from operations was $2.6 million compared to $ 3.3 million of adjusted income from operations in the second quarter of 2021. The decrease was due to lower volume as well as increased material and other inflationary costs which were not fully recovered from pricing, variable cost inefficiencies associated with supply chain disruptions, and uneven customer ordering patterns.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2022 Outlook</w:t>
      </w:r>
    </w:p>
    <w:p>
      <w:pPr>
        <w:spacing w:after="0" w:line="280"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color w:val="auto"/>
        </w:rPr>
        <w:t>Warren Veltman commented, “While our results for the second quarter did not meet our expectations, our team managed through a number of difficult macroeconomic challenges including inflationary conditions, supply chain disruptions and labor shortages that continue to impact our business in 2022. As we look to the remainder of the year and to address these challenges, we have taken actions to improve our cost structure, and we remain proactive in our approach to address evolving economic, market and supply chain conditions as they arise. Given this uncertain backdrop, we have adjusted our full-year outlook as follows:”</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$510 million to $525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$51 million to $57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the range of breakeven to $5 million</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outlook does not include CARES Act tax refund of ~$10 million due to uncertain timing</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Additionally, we have received and evaluated financial information from the acquirer of the Life Sciences business that was sold in October 2020 and concluded a contingent payment will not be made as the minimum threshold for an earn out will not be met.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78" w:lineRule="exact"/>
        <w:rPr>
          <w:sz w:val="20"/>
          <w:szCs w:val="20"/>
          <w:color w:val="auto"/>
        </w:rPr>
      </w:pPr>
    </w:p>
    <w:p>
      <w:pPr>
        <w:ind w:right="260" w:firstLine="8"/>
        <w:spacing w:after="0" w:line="230"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August 5, 2022, at 9:00 a.m. ET. The call and supplemental presentation may be accessed via NN's website, www.nninc.com. The conference call can also be accessed by dialing 1-877-317-6789 or 1-412-317-6789, Conference ID: 10167967. For those who are unavailable to listen to the live broadcast, a replay will be available shortly after the call until August 5, 2023.</w:t>
      </w:r>
    </w:p>
    <w:p>
      <w:pPr>
        <w:spacing w:after="0" w:line="239" w:lineRule="exact"/>
        <w:rPr>
          <w:sz w:val="20"/>
          <w:szCs w:val="20"/>
          <w:color w:val="auto"/>
        </w:rPr>
      </w:pPr>
    </w:p>
    <w:p>
      <w:pPr>
        <w:ind w:right="100" w:firstLine="8"/>
        <w:spacing w:after="0" w:line="255" w:lineRule="auto"/>
        <w:tabs>
          <w:tab w:leader="none" w:pos="341"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69"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9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China.</w:t>
      </w:r>
    </w:p>
    <w:p>
      <w:pPr>
        <w:spacing w:after="0" w:line="14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presentation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including, but not limited to, inflation, rising interest rates and labor shortages;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supply chain shortages and disruptions; economic, social, political and geopolitical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or failing to recognize the expected benefits of divestitures;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33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2021 and when filed, the Company’s Quarterly Report on Form 10-Q for the three months ended June 30, 2022.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40" w:type="dxa"/>
            <w:vAlign w:val="bottom"/>
            <w:gridSpan w:val="4"/>
          </w:tcPr>
          <w:p>
            <w:pPr>
              <w:jc w:val="right"/>
              <w:ind w:right="59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125,362</w:t>
            </w:r>
          </w:p>
        </w:tc>
        <w:tc>
          <w:tcPr>
            <w:tcW w:w="12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123,157</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253,429</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249,961</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w w:val="95"/>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103,889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199,485</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14,794</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13,585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28,248</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28,160</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23,255</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1,879</w:t>
            </w:r>
          </w:p>
        </w:tc>
        <w:tc>
          <w:tcPr>
            <w:tcW w:w="10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3,488</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3,573</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6,927</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146"/>
        </w:trPr>
        <w:tc>
          <w:tcPr>
            <w:tcW w:w="5900" w:type="dxa"/>
            <w:vAlign w:val="bottom"/>
          </w:tcPr>
          <w:p>
            <w:pPr>
              <w:ind w:left="20"/>
              <w:spacing w:after="0" w:line="146" w:lineRule="exact"/>
              <w:rPr>
                <w:sz w:val="20"/>
                <w:szCs w:val="20"/>
                <w:color w:val="auto"/>
              </w:rPr>
            </w:pPr>
            <w:r>
              <w:rPr>
                <w:rFonts w:ascii="Arial" w:cs="Arial" w:eastAsia="Arial" w:hAnsi="Arial"/>
                <w:sz w:val="16"/>
                <w:szCs w:val="16"/>
                <w:color w:val="auto"/>
              </w:rPr>
              <w:t>Loss before benefit (provision) for income taxes and share of net income from joint</w:t>
            </w: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(7,935)</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(11,798)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(13,905)</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venture</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13"/>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(8,567)</w:t>
            </w:r>
          </w:p>
        </w:tc>
        <w:tc>
          <w:tcPr>
            <w:tcW w:w="12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(5,391)</w:t>
            </w:r>
          </w:p>
        </w:tc>
        <w:tc>
          <w:tcPr>
            <w:tcW w:w="10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(11,869)</w:t>
            </w:r>
          </w:p>
        </w:tc>
        <w:tc>
          <w:tcPr>
            <w:tcW w:w="10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(10,304)</w:t>
            </w:r>
          </w:p>
        </w:tc>
        <w:tc>
          <w:tcPr>
            <w:tcW w:w="0" w:type="dxa"/>
            <w:vAlign w:val="bottom"/>
          </w:tcPr>
          <w:p>
            <w:pPr>
              <w:spacing w:after="0"/>
              <w:rPr>
                <w:sz w:val="1"/>
                <w:szCs w:val="1"/>
                <w:color w:val="auto"/>
              </w:rPr>
            </w:pPr>
          </w:p>
        </w:tc>
      </w:tr>
      <w:tr>
        <w:trPr>
          <w:trHeight w:val="193"/>
        </w:trPr>
        <w:tc>
          <w:tcPr>
            <w:tcW w:w="59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Foreign currency transaction gain (loss)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(8,490)</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4,409</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(5,890)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Interest rate swap:</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560"/>
              <w:spacing w:after="0"/>
              <w:rPr>
                <w:sz w:val="20"/>
                <w:szCs w:val="20"/>
                <w:color w:val="auto"/>
              </w:rPr>
            </w:pPr>
            <w:r>
              <w:rPr>
                <w:rFonts w:ascii="Arial" w:cs="Arial" w:eastAsia="Arial" w:hAnsi="Arial"/>
                <w:sz w:val="16"/>
                <w:szCs w:val="16"/>
                <w:color w:val="auto"/>
              </w:rPr>
              <w:t>Change in fair value, net of tax</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00" w:type="dxa"/>
            <w:vAlign w:val="bottom"/>
          </w:tcPr>
          <w:p>
            <w:pPr>
              <w:ind w:left="560"/>
              <w:spacing w:after="0"/>
              <w:rPr>
                <w:sz w:val="20"/>
                <w:szCs w:val="20"/>
                <w:color w:val="auto"/>
              </w:rPr>
            </w:pPr>
            <w:r>
              <w:rPr>
                <w:rFonts w:ascii="Arial" w:cs="Arial" w:eastAsia="Arial" w:hAnsi="Arial"/>
                <w:sz w:val="16"/>
                <w:szCs w:val="16"/>
                <w:color w:val="auto"/>
              </w:rPr>
              <w:t>Reclassification adjustment for losses included in net loss, net of tax</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590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(8,086)</w:t>
            </w:r>
          </w:p>
        </w:tc>
        <w:tc>
          <w:tcPr>
            <w:tcW w:w="120" w:type="dxa"/>
            <w:vAlign w:val="bottom"/>
            <w:tcBorders>
              <w:top w:val="single" w:sz="8" w:color="BFE4FF"/>
            </w:tcBorders>
            <w:shd w:val="clear" w:color="auto" w:fill="BFE4FF"/>
          </w:tcPr>
          <w:p>
            <w:pPr>
              <w:spacing w:after="0"/>
              <w:rPr>
                <w:sz w:val="18"/>
                <w:szCs w:val="18"/>
                <w:color w:val="auto"/>
              </w:rPr>
            </w:pPr>
          </w:p>
        </w:tc>
        <w:tc>
          <w:tcPr>
            <w:tcW w:w="360" w:type="dxa"/>
            <w:vAlign w:val="bottom"/>
            <w:tcBorders>
              <w:top w:val="single" w:sz="8" w:color="auto"/>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Borders>
              <w:top w:val="single" w:sz="8" w:color="BFE4FF"/>
            </w:tcBorders>
            <w:shd w:val="clear" w:color="auto" w:fill="BFE4FF"/>
          </w:tcPr>
          <w:p>
            <w:pPr>
              <w:spacing w:after="0"/>
              <w:rPr>
                <w:sz w:val="18"/>
                <w:szCs w:val="18"/>
                <w:color w:val="auto"/>
              </w:rPr>
            </w:pP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(4,265)</w:t>
            </w:r>
          </w:p>
        </w:tc>
        <w:tc>
          <w:tcPr>
            <w:tcW w:w="100" w:type="dxa"/>
            <w:vAlign w:val="bottom"/>
            <w:tcBorders>
              <w:top w:val="single" w:sz="8" w:color="BFE4FF"/>
            </w:tcBorders>
            <w:shd w:val="clear" w:color="auto" w:fill="BFE4FF"/>
          </w:tcPr>
          <w:p>
            <w:pPr>
              <w:spacing w:after="0"/>
              <w:rPr>
                <w:sz w:val="18"/>
                <w:szCs w:val="18"/>
                <w:color w:val="auto"/>
              </w:rPr>
            </w:pPr>
          </w:p>
        </w:tc>
        <w:tc>
          <w:tcPr>
            <w:tcW w:w="360" w:type="dxa"/>
            <w:vAlign w:val="bottom"/>
            <w:tcBorders>
              <w:top w:val="single" w:sz="8" w:color="auto"/>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3,913</w:t>
            </w: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Basic net loss per common share:</w:t>
            </w:r>
          </w:p>
        </w:tc>
        <w:tc>
          <w:tcPr>
            <w:tcW w:w="280" w:type="dxa"/>
            <w:vAlign w:val="bottom"/>
            <w:tcBorders>
              <w:bottom w:val="single" w:sz="8" w:color="auto"/>
            </w:tcBorders>
            <w:shd w:val="clear" w:color="auto" w:fill="BFE4FF"/>
          </w:tcPr>
          <w:p>
            <w:pPr>
              <w:spacing w:after="0"/>
              <w:rPr>
                <w:sz w:val="16"/>
                <w:szCs w:val="16"/>
                <w:color w:val="auto"/>
              </w:rPr>
            </w:pPr>
          </w:p>
        </w:tc>
        <w:tc>
          <w:tcPr>
            <w:tcW w:w="960" w:type="dxa"/>
            <w:vAlign w:val="bottom"/>
            <w:tcBorders>
              <w:bottom w:val="single" w:sz="8" w:color="auto"/>
            </w:tcBorders>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360" w:type="dxa"/>
            <w:vAlign w:val="bottom"/>
            <w:tcBorders>
              <w:bottom w:val="single" w:sz="8" w:color="auto"/>
            </w:tcBorders>
            <w:shd w:val="clear" w:color="auto" w:fill="BFE4FF"/>
          </w:tcPr>
          <w:p>
            <w:pPr>
              <w:spacing w:after="0"/>
              <w:rPr>
                <w:sz w:val="16"/>
                <w:szCs w:val="16"/>
                <w:color w:val="auto"/>
              </w:rPr>
            </w:pPr>
          </w:p>
        </w:tc>
        <w:tc>
          <w:tcPr>
            <w:tcW w:w="900" w:type="dxa"/>
            <w:vAlign w:val="bottom"/>
            <w:tcBorders>
              <w:bottom w:val="single" w:sz="8" w:color="auto"/>
            </w:tcBorders>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280" w:type="dxa"/>
            <w:vAlign w:val="bottom"/>
            <w:tcBorders>
              <w:bottom w:val="single" w:sz="8" w:color="auto"/>
            </w:tcBorders>
            <w:shd w:val="clear" w:color="auto" w:fill="BFE4FF"/>
          </w:tcPr>
          <w:p>
            <w:pPr>
              <w:spacing w:after="0"/>
              <w:rPr>
                <w:sz w:val="16"/>
                <w:szCs w:val="16"/>
                <w:color w:val="auto"/>
              </w:rPr>
            </w:pPr>
          </w:p>
        </w:tc>
        <w:tc>
          <w:tcPr>
            <w:tcW w:w="980" w:type="dxa"/>
            <w:vAlign w:val="bottom"/>
            <w:tcBorders>
              <w:bottom w:val="single" w:sz="8" w:color="auto"/>
            </w:tcBorders>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360" w:type="dxa"/>
            <w:vAlign w:val="bottom"/>
            <w:tcBorders>
              <w:bottom w:val="single" w:sz="8" w:color="auto"/>
            </w:tcBorders>
            <w:shd w:val="clear" w:color="auto" w:fill="BFE4FF"/>
          </w:tcPr>
          <w:p>
            <w:pPr>
              <w:spacing w:after="0"/>
              <w:rPr>
                <w:sz w:val="16"/>
                <w:szCs w:val="16"/>
                <w:color w:val="auto"/>
              </w:rPr>
            </w:pPr>
          </w:p>
        </w:tc>
        <w:tc>
          <w:tcPr>
            <w:tcW w:w="900" w:type="dxa"/>
            <w:vAlign w:val="bottom"/>
            <w:tcBorders>
              <w:bottom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00" w:type="dxa"/>
            <w:vAlign w:val="bottom"/>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44,708</w:t>
            </w:r>
          </w:p>
        </w:tc>
        <w:tc>
          <w:tcPr>
            <w:tcW w:w="12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44,440</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44,649</w:t>
            </w:r>
          </w:p>
        </w:tc>
        <w:tc>
          <w:tcPr>
            <w:tcW w:w="100" w:type="dxa"/>
            <w:vAlign w:val="bottom"/>
            <w:shd w:val="clear" w:color="auto" w:fill="BFE4FF"/>
          </w:tcPr>
          <w:p>
            <w:pPr>
              <w:spacing w:after="0"/>
              <w:rPr>
                <w:sz w:val="18"/>
                <w:szCs w:val="18"/>
                <w:color w:val="auto"/>
              </w:rPr>
            </w:pPr>
          </w:p>
        </w:tc>
        <w:tc>
          <w:tcPr>
            <w:tcW w:w="36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43,561</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Diluted net loss per common share: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5900" w:type="dxa"/>
            <w:vAlign w:val="bottom"/>
            <w:tcBorders>
              <w:top w:val="single" w:sz="8" w:color="BFE4FF"/>
              <w:bottom w:val="single" w:sz="8" w:color="BFE4FF"/>
            </w:tcBorders>
            <w:vMerge w:val="restart"/>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43,561</w:t>
            </w:r>
          </w:p>
        </w:tc>
        <w:tc>
          <w:tcPr>
            <w:tcW w:w="0" w:type="dxa"/>
            <w:vAlign w:val="bottom"/>
          </w:tcPr>
          <w:p>
            <w:pPr>
              <w:spacing w:after="0"/>
              <w:rPr>
                <w:sz w:val="1"/>
                <w:szCs w:val="1"/>
                <w:color w:val="auto"/>
              </w:rPr>
            </w:pPr>
          </w:p>
        </w:tc>
      </w:tr>
      <w:tr>
        <w:trPr>
          <w:trHeight w:val="604"/>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BFE4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54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11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15,186</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71,419</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84,726</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75,027</w:t>
            </w: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11,808</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13,267</w:t>
            </w:r>
          </w:p>
        </w:tc>
        <w:tc>
          <w:tcPr>
            <w:tcW w:w="10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207"/>
        </w:trPr>
        <w:tc>
          <w:tcPr>
            <w:tcW w:w="85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206,731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196,282</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202,239</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209,105</w:t>
            </w:r>
          </w:p>
        </w:tc>
        <w:tc>
          <w:tcPr>
            <w:tcW w:w="0" w:type="dxa"/>
            <w:vAlign w:val="bottom"/>
          </w:tcPr>
          <w:p>
            <w:pPr>
              <w:spacing w:after="0"/>
              <w:rPr>
                <w:sz w:val="1"/>
                <w:szCs w:val="1"/>
                <w:color w:val="auto"/>
              </w:rPr>
            </w:pPr>
          </w:p>
        </w:tc>
      </w:tr>
      <w:tr>
        <w:trPr>
          <w:trHeight w:val="213"/>
        </w:trPr>
        <w:tc>
          <w:tcPr>
            <w:tcW w:w="854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46,443</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81,545</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88,718</w:t>
            </w:r>
          </w:p>
        </w:tc>
        <w:tc>
          <w:tcPr>
            <w:tcW w:w="0" w:type="dxa"/>
            <w:vAlign w:val="bottom"/>
          </w:tcPr>
          <w:p>
            <w:pPr>
              <w:spacing w:after="0"/>
              <w:rPr>
                <w:sz w:val="1"/>
                <w:szCs w:val="1"/>
                <w:color w:val="auto"/>
              </w:rPr>
            </w:pPr>
          </w:p>
        </w:tc>
      </w:tr>
      <w:tr>
        <w:trPr>
          <w:trHeight w:val="213"/>
        </w:trPr>
        <w:tc>
          <w:tcPr>
            <w:tcW w:w="854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34,045</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35"/>
        </w:trPr>
        <w:tc>
          <w:tcPr>
            <w:tcW w:w="85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573,157</w:t>
            </w:r>
          </w:p>
        </w:tc>
        <w:tc>
          <w:tcPr>
            <w:tcW w:w="100" w:type="dxa"/>
            <w:vAlign w:val="bottom"/>
            <w:tcBorders>
              <w:bottom w:val="single" w:sz="8" w:color="BFE4FF"/>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0"/>
        </w:trPr>
        <w:tc>
          <w:tcPr>
            <w:tcW w:w="854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47,859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36,710</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15,217</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17,739</w:t>
            </w: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BFE4FF"/>
          </w:tcPr>
          <w:p>
            <w:pPr>
              <w:spacing w:after="0"/>
              <w:rPr>
                <w:sz w:val="19"/>
                <w:szCs w:val="19"/>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12,439</w:t>
            </w:r>
          </w:p>
        </w:tc>
        <w:tc>
          <w:tcPr>
            <w:tcW w:w="10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06"/>
        </w:trPr>
        <w:tc>
          <w:tcPr>
            <w:tcW w:w="85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84,444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74,017</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8,141</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213"/>
        </w:trPr>
        <w:tc>
          <w:tcPr>
            <w:tcW w:w="854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151,052</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50,899</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51,295</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13,031</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17,289</w:t>
            </w:r>
          </w:p>
        </w:tc>
        <w:tc>
          <w:tcPr>
            <w:tcW w:w="0" w:type="dxa"/>
            <w:vAlign w:val="bottom"/>
          </w:tcPr>
          <w:p>
            <w:pPr>
              <w:spacing w:after="0"/>
              <w:rPr>
                <w:sz w:val="1"/>
                <w:szCs w:val="1"/>
                <w:color w:val="auto"/>
              </w:rPr>
            </w:pPr>
          </w:p>
        </w:tc>
      </w:tr>
      <w:tr>
        <w:trPr>
          <w:trHeight w:val="213"/>
        </w:trPr>
        <w:tc>
          <w:tcPr>
            <w:tcW w:w="854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307,832</w:t>
            </w:r>
          </w:p>
        </w:tc>
        <w:tc>
          <w:tcPr>
            <w:tcW w:w="100" w:type="dxa"/>
            <w:vAlign w:val="bottom"/>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301,109</w:t>
            </w:r>
          </w:p>
        </w:tc>
        <w:tc>
          <w:tcPr>
            <w:tcW w:w="0" w:type="dxa"/>
            <w:vAlign w:val="bottom"/>
          </w:tcPr>
          <w:p>
            <w:pPr>
              <w:spacing w:after="0"/>
              <w:rPr>
                <w:sz w:val="1"/>
                <w:szCs w:val="1"/>
                <w:color w:val="auto"/>
              </w:rPr>
            </w:pPr>
          </w:p>
        </w:tc>
      </w:tr>
      <w:tr>
        <w:trPr>
          <w:trHeight w:val="193"/>
        </w:trPr>
        <w:tc>
          <w:tcPr>
            <w:tcW w:w="854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40" w:type="dxa"/>
            <w:vAlign w:val="bottom"/>
            <w:shd w:val="clear" w:color="auto" w:fill="BFE4FF"/>
          </w:tcPr>
          <w:p>
            <w:pPr>
              <w:ind w:left="140"/>
              <w:spacing w:after="0" w:line="169" w:lineRule="exact"/>
              <w:rPr>
                <w:sz w:val="20"/>
                <w:szCs w:val="20"/>
                <w:color w:val="auto"/>
              </w:rPr>
            </w:pPr>
            <w:r>
              <w:rPr>
                <w:rFonts w:ascii="Arial" w:cs="Arial" w:eastAsia="Arial" w:hAnsi="Arial"/>
                <w:sz w:val="16"/>
                <w:szCs w:val="16"/>
                <w:color w:val="auto"/>
                <w:w w:val="90"/>
              </w:rPr>
              <w:t>Series D perpetual preferred stock - $0.01 par value per share, 65 shares authorized, issued and outstanding at June 30, 2022 and</w:t>
            </w:r>
          </w:p>
        </w:tc>
        <w:tc>
          <w:tcPr>
            <w:tcW w:w="220" w:type="dxa"/>
            <w:vAlign w:val="bottom"/>
            <w:shd w:val="clear" w:color="auto" w:fill="BFE4FF"/>
          </w:tcPr>
          <w:p>
            <w:pPr>
              <w:spacing w:after="0"/>
              <w:rPr>
                <w:sz w:val="14"/>
                <w:szCs w:val="14"/>
                <w:color w:val="auto"/>
              </w:rPr>
            </w:pPr>
          </w:p>
        </w:tc>
        <w:tc>
          <w:tcPr>
            <w:tcW w:w="10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59,003</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53,807</w:t>
            </w:r>
          </w:p>
        </w:tc>
        <w:tc>
          <w:tcPr>
            <w:tcW w:w="0" w:type="dxa"/>
            <w:vAlign w:val="bottom"/>
          </w:tcPr>
          <w:p>
            <w:pPr>
              <w:spacing w:after="0"/>
              <w:rPr>
                <w:sz w:val="1"/>
                <w:szCs w:val="1"/>
                <w:color w:val="auto"/>
              </w:rPr>
            </w:pPr>
          </w:p>
        </w:tc>
      </w:tr>
      <w:tr>
        <w:trPr>
          <w:trHeight w:val="212"/>
        </w:trPr>
        <w:tc>
          <w:tcPr>
            <w:tcW w:w="854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December 31, 2021, respectively</w:t>
            </w:r>
          </w:p>
        </w:tc>
        <w:tc>
          <w:tcPr>
            <w:tcW w:w="220" w:type="dxa"/>
            <w:vAlign w:val="bottom"/>
            <w:shd w:val="clear" w:color="auto" w:fill="BFE4FF"/>
          </w:tcPr>
          <w:p>
            <w:pPr>
              <w:spacing w:after="0"/>
              <w:rPr>
                <w:sz w:val="18"/>
                <w:szCs w:val="18"/>
                <w:color w:val="auto"/>
              </w:rPr>
            </w:pPr>
          </w:p>
        </w:tc>
        <w:tc>
          <w:tcPr>
            <w:tcW w:w="10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1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540" w:type="dxa"/>
            <w:vAlign w:val="bottom"/>
            <w:shd w:val="clear" w:color="auto" w:fill="BFE4FF"/>
          </w:tcPr>
          <w:p>
            <w:pPr>
              <w:ind w:left="360"/>
              <w:spacing w:after="0" w:line="169" w:lineRule="exact"/>
              <w:rPr>
                <w:sz w:val="20"/>
                <w:szCs w:val="20"/>
                <w:color w:val="auto"/>
              </w:rPr>
            </w:pPr>
            <w:r>
              <w:rPr>
                <w:rFonts w:ascii="Arial" w:cs="Arial" w:eastAsia="Arial" w:hAnsi="Arial"/>
                <w:sz w:val="16"/>
                <w:szCs w:val="16"/>
                <w:color w:val="auto"/>
                <w:w w:val="93"/>
              </w:rPr>
              <w:t>Common stock - $0.01 par value per share, 90,000 shares authorized, 43,884 and 43,027 shares issued and outstanding at</w:t>
            </w:r>
          </w:p>
        </w:tc>
        <w:tc>
          <w:tcPr>
            <w:tcW w:w="220" w:type="dxa"/>
            <w:vAlign w:val="bottom"/>
            <w:shd w:val="clear" w:color="auto" w:fill="BFE4FF"/>
          </w:tcPr>
          <w:p>
            <w:pPr>
              <w:spacing w:after="0"/>
              <w:rPr>
                <w:sz w:val="14"/>
                <w:szCs w:val="14"/>
                <w:color w:val="auto"/>
              </w:rPr>
            </w:pPr>
          </w:p>
        </w:tc>
        <w:tc>
          <w:tcPr>
            <w:tcW w:w="10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1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2"/>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June 30, 2022 and December 31, 2021, respectively</w:t>
            </w:r>
          </w:p>
        </w:tc>
        <w:tc>
          <w:tcPr>
            <w:tcW w:w="220" w:type="dxa"/>
            <w:vAlign w:val="bottom"/>
            <w:shd w:val="clear" w:color="auto" w:fill="BFE4FF"/>
          </w:tcPr>
          <w:p>
            <w:pPr>
              <w:spacing w:after="0"/>
              <w:rPr>
                <w:sz w:val="18"/>
                <w:szCs w:val="18"/>
                <w:color w:val="auto"/>
              </w:rPr>
            </w:pPr>
          </w:p>
        </w:tc>
        <w:tc>
          <w:tcPr>
            <w:tcW w:w="10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1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474,757</w:t>
            </w:r>
          </w:p>
        </w:tc>
        <w:tc>
          <w:tcPr>
            <w:tcW w:w="0" w:type="dxa"/>
            <w:vAlign w:val="bottom"/>
          </w:tcPr>
          <w:p>
            <w:pPr>
              <w:spacing w:after="0"/>
              <w:rPr>
                <w:sz w:val="1"/>
                <w:szCs w:val="1"/>
                <w:color w:val="auto"/>
              </w:rPr>
            </w:pPr>
          </w:p>
        </w:tc>
      </w:tr>
      <w:tr>
        <w:trPr>
          <w:trHeight w:val="219"/>
        </w:trPr>
        <w:tc>
          <w:tcPr>
            <w:tcW w:w="854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BFE4FF"/>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(230,969)</w:t>
            </w: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(219,100)</w:t>
            </w:r>
          </w:p>
        </w:tc>
        <w:tc>
          <w:tcPr>
            <w:tcW w:w="0" w:type="dxa"/>
            <w:vAlign w:val="bottom"/>
          </w:tcPr>
          <w:p>
            <w:pPr>
              <w:spacing w:after="0"/>
              <w:rPr>
                <w:sz w:val="1"/>
                <w:szCs w:val="1"/>
                <w:color w:val="auto"/>
              </w:rPr>
            </w:pPr>
          </w:p>
        </w:tc>
      </w:tr>
      <w:tr>
        <w:trPr>
          <w:trHeight w:val="213"/>
        </w:trPr>
        <w:tc>
          <w:tcPr>
            <w:tcW w:w="854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(36,167)</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(31,902)</w:t>
            </w:r>
          </w:p>
        </w:tc>
        <w:tc>
          <w:tcPr>
            <w:tcW w:w="0" w:type="dxa"/>
            <w:vAlign w:val="bottom"/>
          </w:tcPr>
          <w:p>
            <w:pPr>
              <w:spacing w:after="0"/>
              <w:rPr>
                <w:sz w:val="1"/>
                <w:szCs w:val="1"/>
                <w:color w:val="auto"/>
              </w:rPr>
            </w:pPr>
          </w:p>
        </w:tc>
      </w:tr>
      <w:tr>
        <w:trPr>
          <w:trHeight w:val="213"/>
        </w:trPr>
        <w:tc>
          <w:tcPr>
            <w:tcW w:w="854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BFE4FF"/>
          </w:tcPr>
          <w:p>
            <w:pPr>
              <w:spacing w:after="0"/>
              <w:rPr>
                <w:sz w:val="18"/>
                <w:szCs w:val="18"/>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206,322</w:t>
            </w:r>
          </w:p>
        </w:tc>
        <w:tc>
          <w:tcPr>
            <w:tcW w:w="100" w:type="dxa"/>
            <w:vAlign w:val="bottom"/>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224,185</w:t>
            </w:r>
          </w:p>
        </w:tc>
        <w:tc>
          <w:tcPr>
            <w:tcW w:w="0" w:type="dxa"/>
            <w:vAlign w:val="bottom"/>
          </w:tcPr>
          <w:p>
            <w:pPr>
              <w:spacing w:after="0"/>
              <w:rPr>
                <w:sz w:val="1"/>
                <w:szCs w:val="1"/>
                <w:color w:val="auto"/>
              </w:rPr>
            </w:pPr>
          </w:p>
        </w:tc>
      </w:tr>
      <w:tr>
        <w:trPr>
          <w:trHeight w:val="207"/>
        </w:trPr>
        <w:tc>
          <w:tcPr>
            <w:tcW w:w="8540" w:type="dxa"/>
            <w:vAlign w:val="bottom"/>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573,157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12"/>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36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(11,869)</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(10,304)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22,769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662</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718</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Total derivative loss (gain), net of cash settlements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(3,237)</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3,973</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Share of net income from joint venture, net of cash dividends received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(2,614)</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3,555</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1,649</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(2,763)</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(1,154)</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(13,264)</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2,685</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(12,052)</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11,960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9,441</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(6,326)</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(905)</w:t>
            </w:r>
          </w:p>
        </w:tc>
        <w:tc>
          <w:tcPr>
            <w:tcW w:w="140" w:type="dxa"/>
            <w:vAlign w:val="bottom"/>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(2,713)</w:t>
            </w:r>
          </w:p>
        </w:tc>
      </w:tr>
      <w:tr>
        <w:trPr>
          <w:trHeight w:val="207"/>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140" w:type="dxa"/>
            <w:vAlign w:val="bottom"/>
            <w:tcBorders>
              <w:bottom w:val="single" w:sz="8" w:color="BFE4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36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(11,015)</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(cash paid for post-closing adjustments on) sale of business, net of cash sold</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(3,880)</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(15,420)</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(9,281)</w:t>
            </w:r>
          </w:p>
        </w:tc>
        <w:tc>
          <w:tcPr>
            <w:tcW w:w="140" w:type="dxa"/>
            <w:vAlign w:val="bottom"/>
            <w:tcBorders>
              <w:bottom w:val="single" w:sz="8" w:color="BFE4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(30,241)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360" w:type="dxa"/>
            <w:vAlign w:val="bottom"/>
            <w:shd w:val="clear" w:color="auto" w:fill="BFE4FF"/>
          </w:tcPr>
          <w:p>
            <w:pPr>
              <w:spacing w:after="0"/>
              <w:rPr>
                <w:sz w:val="17"/>
                <w:szCs w:val="17"/>
                <w:color w:val="auto"/>
              </w:rPr>
            </w:pPr>
          </w:p>
        </w:tc>
        <w:tc>
          <w:tcPr>
            <w:tcW w:w="100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paid for debt issuance costs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(6,981)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61,793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Redemption of preferred stock</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(122,434)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20,000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156,000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(77,442)</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short-term debt, net</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(1,321)</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14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r>
      <w:tr>
        <w:trPr>
          <w:trHeight w:val="212"/>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(1,010)</w:t>
            </w:r>
          </w:p>
        </w:tc>
        <w:tc>
          <w:tcPr>
            <w:tcW w:w="140" w:type="dxa"/>
            <w:vAlign w:val="bottom"/>
            <w:shd w:val="clear" w:color="auto" w:fill="BFE4FF"/>
          </w:tcPr>
          <w:p>
            <w:pPr>
              <w:spacing w:after="0"/>
              <w:rPr>
                <w:sz w:val="18"/>
                <w:szCs w:val="18"/>
                <w:color w:val="auto"/>
              </w:rPr>
            </w:pPr>
          </w:p>
        </w:tc>
        <w:tc>
          <w:tcPr>
            <w:tcW w:w="360" w:type="dxa"/>
            <w:vAlign w:val="bottom"/>
            <w:tcBorders>
              <w:bottom w:val="single" w:sz="8" w:color="auto"/>
            </w:tcBorders>
            <w:shd w:val="clear" w:color="auto" w:fill="BFE4FF"/>
          </w:tcPr>
          <w:p>
            <w:pPr>
              <w:spacing w:after="0"/>
              <w:rPr>
                <w:sz w:val="18"/>
                <w:szCs w:val="18"/>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6,930</w:t>
            </w:r>
          </w:p>
        </w:tc>
      </w:tr>
      <w:tr>
        <w:trPr>
          <w:trHeight w:val="207"/>
        </w:trPr>
        <w:tc>
          <w:tcPr>
            <w:tcW w:w="8380" w:type="dxa"/>
            <w:vAlign w:val="bottom"/>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(13,470)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(16,595)</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28,656</w:t>
            </w:r>
          </w:p>
        </w:tc>
        <w:tc>
          <w:tcPr>
            <w:tcW w:w="140" w:type="dxa"/>
            <w:vAlign w:val="bottom"/>
            <w:tcBorders>
              <w:bottom w:val="single" w:sz="8" w:color="BFE4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48,138</w:t>
            </w:r>
          </w:p>
        </w:tc>
      </w:tr>
      <w:tr>
        <w:trPr>
          <w:trHeight w:val="234"/>
        </w:trPr>
        <w:tc>
          <w:tcPr>
            <w:tcW w:w="83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15,186</w:t>
            </w:r>
          </w:p>
        </w:tc>
        <w:tc>
          <w:tcPr>
            <w:tcW w:w="140" w:type="dxa"/>
            <w:vAlign w:val="bottom"/>
            <w:tcBorders>
              <w:bottom w:val="single" w:sz="8" w:color="BFE4FF"/>
            </w:tcBorders>
            <w:shd w:val="clear" w:color="auto" w:fill="BFE4FF"/>
          </w:tcPr>
          <w:p>
            <w:pPr>
              <w:spacing w:after="0"/>
              <w:rPr>
                <w:sz w:val="19"/>
                <w:szCs w:val="19"/>
                <w:color w:val="auto"/>
              </w:rPr>
            </w:pPr>
          </w:p>
        </w:tc>
        <w:tc>
          <w:tcPr>
            <w:tcW w:w="360" w:type="dxa"/>
            <w:vAlign w:val="bottom"/>
            <w:tcBorders>
              <w:bottom w:val="single" w:sz="8" w:color="auto"/>
            </w:tcBorders>
            <w:shd w:val="clear" w:color="auto" w:fill="BFE4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31,543</w:t>
            </w:r>
          </w:p>
        </w:tc>
      </w:tr>
      <w:tr>
        <w:trPr>
          <w:trHeight w:val="20"/>
        </w:trPr>
        <w:tc>
          <w:tcPr>
            <w:tcW w:w="838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Reconciliation of GAAP Income (Loss) from Operations to Non-GAAP Adjusted Income (Loss) from Operations</w:t>
      </w: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$000s</w:t>
            </w: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color w:val="auto"/>
              </w:rPr>
              <w:t>NN, Inc. Consolidated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0"/>
                <w:szCs w:val="20"/>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240" w:type="dxa"/>
            <w:vAlign w:val="bottom"/>
          </w:tcPr>
          <w:p>
            <w:pPr>
              <w:spacing w:after="0"/>
              <w:rPr>
                <w:sz w:val="20"/>
                <w:szCs w:val="20"/>
                <w:color w:val="auto"/>
              </w:rPr>
            </w:pPr>
          </w:p>
        </w:tc>
        <w:tc>
          <w:tcPr>
            <w:tcW w:w="2580" w:type="dxa"/>
            <w:vAlign w:val="bottom"/>
            <w:gridSpan w:val="4"/>
            <w:vMerge w:val="restart"/>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0" w:type="dxa"/>
            <w:vAlign w:val="bottom"/>
          </w:tcPr>
          <w:p>
            <w:pPr>
              <w:spacing w:after="0"/>
              <w:rPr>
                <w:sz w:val="1"/>
                <w:szCs w:val="1"/>
                <w:color w:val="auto"/>
              </w:rPr>
            </w:pPr>
          </w:p>
        </w:tc>
      </w:tr>
      <w:tr>
        <w:trPr>
          <w:trHeight w:val="102"/>
        </w:trPr>
        <w:tc>
          <w:tcPr>
            <w:tcW w:w="2740" w:type="dxa"/>
            <w:vAlign w:val="bottom"/>
            <w:tcBorders>
              <w:bottom w:val="single" w:sz="8" w:color="BFE4FF"/>
            </w:tcBorders>
            <w:vMerge w:val="restart"/>
            <w:shd w:val="clear" w:color="auto" w:fill="BFE4FF"/>
          </w:tcPr>
          <w:p>
            <w:pPr>
              <w:spacing w:after="0"/>
              <w:rPr>
                <w:sz w:val="20"/>
                <w:szCs w:val="20"/>
                <w:color w:val="auto"/>
              </w:rPr>
            </w:pPr>
            <w:r>
              <w:rPr>
                <w:rFonts w:ascii="Arial" w:cs="Arial" w:eastAsia="Arial" w:hAnsi="Arial"/>
                <w:sz w:val="16"/>
                <w:szCs w:val="16"/>
                <w:color w:val="auto"/>
              </w:rPr>
              <w:t>GAAP income (loss) from operations</w:t>
            </w:r>
          </w:p>
        </w:tc>
        <w:tc>
          <w:tcPr>
            <w:tcW w:w="240" w:type="dxa"/>
            <w:vAlign w:val="bottom"/>
            <w:tcBorders>
              <w:bottom w:val="single" w:sz="8" w:color="BFE4FF"/>
            </w:tcBorders>
            <w:vMerge w:val="restart"/>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BFE4FF"/>
            </w:tcBorders>
            <w:vMerge w:val="restart"/>
            <w:shd w:val="clear" w:color="auto" w:fill="BFE4FF"/>
          </w:tcPr>
          <w:p>
            <w:pPr>
              <w:jc w:val="right"/>
              <w:ind w:right="99"/>
              <w:spacing w:after="0"/>
              <w:rPr>
                <w:sz w:val="20"/>
                <w:szCs w:val="20"/>
                <w:color w:val="auto"/>
              </w:rPr>
            </w:pPr>
            <w:r>
              <w:rPr>
                <w:rFonts w:ascii="Arial" w:cs="Arial" w:eastAsia="Arial" w:hAnsi="Arial"/>
                <w:sz w:val="16"/>
                <w:szCs w:val="16"/>
                <w:color w:val="auto"/>
              </w:rPr>
              <w:t>(4,514)</w:t>
            </w:r>
          </w:p>
        </w:tc>
        <w:tc>
          <w:tcPr>
            <w:tcW w:w="100" w:type="dxa"/>
            <w:vAlign w:val="bottom"/>
            <w:tcBorders>
              <w:bottom w:val="single" w:sz="8" w:color="BFE4FF"/>
            </w:tcBorders>
            <w:shd w:val="clear" w:color="auto" w:fill="BFE4FF"/>
          </w:tcPr>
          <w:p>
            <w:pPr>
              <w:spacing w:after="0"/>
              <w:rPr>
                <w:sz w:val="8"/>
                <w:szCs w:val="8"/>
                <w:color w:val="auto"/>
              </w:rPr>
            </w:pPr>
          </w:p>
        </w:tc>
        <w:tc>
          <w:tcPr>
            <w:tcW w:w="300" w:type="dxa"/>
            <w:vAlign w:val="bottom"/>
            <w:tcBorders>
              <w:bottom w:val="single" w:sz="8" w:color="BFE4FF"/>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FE4FF"/>
            </w:tcBorders>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(1,588)</w:t>
            </w:r>
          </w:p>
        </w:tc>
        <w:tc>
          <w:tcPr>
            <w:tcW w:w="4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shd w:val="clear" w:color="auto" w:fill="BFE4FF"/>
          </w:tcPr>
          <w:p>
            <w:pPr>
              <w:spacing w:after="0"/>
              <w:rPr>
                <w:sz w:val="9"/>
                <w:szCs w:val="9"/>
                <w:color w:val="auto"/>
              </w:rPr>
            </w:pPr>
          </w:p>
        </w:tc>
        <w:tc>
          <w:tcPr>
            <w:tcW w:w="240" w:type="dxa"/>
            <w:vAlign w:val="bottom"/>
            <w:vMerge w:val="continue"/>
            <w:shd w:val="clear" w:color="auto" w:fill="BFE4FF"/>
          </w:tcPr>
          <w:p>
            <w:pPr>
              <w:spacing w:after="0"/>
              <w:rPr>
                <w:sz w:val="9"/>
                <w:szCs w:val="9"/>
                <w:color w:val="auto"/>
              </w:rPr>
            </w:pPr>
          </w:p>
        </w:tc>
        <w:tc>
          <w:tcPr>
            <w:tcW w:w="1140" w:type="dxa"/>
            <w:vAlign w:val="bottom"/>
            <w:vMerge w:val="continue"/>
            <w:shd w:val="clear" w:color="auto" w:fill="BFE4FF"/>
          </w:tcPr>
          <w:p>
            <w:pPr>
              <w:spacing w:after="0"/>
              <w:rPr>
                <w:sz w:val="9"/>
                <w:szCs w:val="9"/>
                <w:color w:val="auto"/>
              </w:rPr>
            </w:pPr>
          </w:p>
        </w:tc>
        <w:tc>
          <w:tcPr>
            <w:tcW w:w="100" w:type="dxa"/>
            <w:vAlign w:val="bottom"/>
            <w:shd w:val="clear" w:color="auto" w:fill="BFE4FF"/>
          </w:tcPr>
          <w:p>
            <w:pPr>
              <w:spacing w:after="0"/>
              <w:rPr>
                <w:sz w:val="9"/>
                <w:szCs w:val="9"/>
                <w:color w:val="auto"/>
              </w:rPr>
            </w:pPr>
          </w:p>
        </w:tc>
        <w:tc>
          <w:tcPr>
            <w:tcW w:w="300" w:type="dxa"/>
            <w:vAlign w:val="bottom"/>
            <w:vMerge w:val="continue"/>
            <w:shd w:val="clear" w:color="auto" w:fill="BFE4FF"/>
          </w:tcPr>
          <w:p>
            <w:pPr>
              <w:spacing w:after="0"/>
              <w:rPr>
                <w:sz w:val="9"/>
                <w:szCs w:val="9"/>
                <w:color w:val="auto"/>
              </w:rPr>
            </w:pPr>
          </w:p>
        </w:tc>
        <w:tc>
          <w:tcPr>
            <w:tcW w:w="1040" w:type="dxa"/>
            <w:vAlign w:val="bottom"/>
            <w:vMerge w:val="continue"/>
            <w:shd w:val="clear" w:color="auto" w:fill="BFE4FF"/>
          </w:tcPr>
          <w:p>
            <w:pPr>
              <w:spacing w:after="0"/>
              <w:rPr>
                <w:sz w:val="9"/>
                <w:szCs w:val="9"/>
                <w:color w:val="auto"/>
              </w:rPr>
            </w:pPr>
          </w:p>
        </w:tc>
        <w:tc>
          <w:tcPr>
            <w:tcW w:w="40" w:type="dxa"/>
            <w:vAlign w:val="bottom"/>
          </w:tcPr>
          <w:p>
            <w:pPr>
              <w:spacing w:after="0"/>
              <w:rPr>
                <w:sz w:val="9"/>
                <w:szCs w:val="9"/>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Mobile Solutions</w:t>
            </w:r>
          </w:p>
        </w:tc>
        <w:tc>
          <w:tcPr>
            <w:tcW w:w="240" w:type="dxa"/>
            <w:vAlign w:val="bottom"/>
          </w:tcPr>
          <w:p>
            <w:pPr>
              <w:spacing w:after="0"/>
              <w:rPr>
                <w:sz w:val="9"/>
                <w:szCs w:val="9"/>
                <w:color w:val="auto"/>
              </w:rPr>
            </w:pPr>
          </w:p>
        </w:tc>
        <w:tc>
          <w:tcPr>
            <w:tcW w:w="11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28"/>
        </w:trPr>
        <w:tc>
          <w:tcPr>
            <w:tcW w:w="2740" w:type="dxa"/>
            <w:vAlign w:val="bottom"/>
            <w:vMerge w:val="restart"/>
          </w:tcPr>
          <w:p>
            <w:pPr>
              <w:spacing w:after="0"/>
              <w:rPr>
                <w:sz w:val="20"/>
                <w:szCs w:val="20"/>
                <w:color w:val="auto"/>
              </w:rPr>
            </w:pPr>
            <w:r>
              <w:rPr>
                <w:rFonts w:ascii="Arial" w:cs="Arial" w:eastAsia="Arial" w:hAnsi="Arial"/>
                <w:sz w:val="16"/>
                <w:szCs w:val="16"/>
                <w:color w:val="auto"/>
              </w:rPr>
              <w:t>Acquisition and transition expense*</w:t>
            </w:r>
          </w:p>
        </w:tc>
        <w:tc>
          <w:tcPr>
            <w:tcW w:w="240" w:type="dxa"/>
            <w:vAlign w:val="bottom"/>
          </w:tcPr>
          <w:p>
            <w:pPr>
              <w:spacing w:after="0"/>
              <w:rPr>
                <w:sz w:val="11"/>
                <w:szCs w:val="11"/>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1,151</w:t>
            </w:r>
          </w:p>
        </w:tc>
        <w:tc>
          <w:tcPr>
            <w:tcW w:w="40" w:type="dxa"/>
            <w:vAlign w:val="bottom"/>
          </w:tcPr>
          <w:p>
            <w:pPr>
              <w:spacing w:after="0"/>
              <w:rPr>
                <w:sz w:val="11"/>
                <w:szCs w:val="11"/>
                <w:color w:val="auto"/>
              </w:rPr>
            </w:pPr>
          </w:p>
        </w:tc>
        <w:tc>
          <w:tcPr>
            <w:tcW w:w="2760" w:type="dxa"/>
            <w:vAlign w:val="bottom"/>
            <w:tcBorders>
              <w:bottom w:val="single" w:sz="8" w:color="BFE4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240" w:type="dxa"/>
            <w:vAlign w:val="bottom"/>
            <w:vMerge w:val="restart"/>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1,729</w:t>
            </w:r>
          </w:p>
        </w:tc>
        <w:tc>
          <w:tcPr>
            <w:tcW w:w="100" w:type="dxa"/>
            <w:vAlign w:val="bottom"/>
            <w:shd w:val="clear" w:color="auto" w:fill="BFE4FF"/>
          </w:tcPr>
          <w:p>
            <w:pPr>
              <w:spacing w:after="0"/>
              <w:rPr>
                <w:sz w:val="7"/>
                <w:szCs w:val="7"/>
                <w:color w:val="auto"/>
              </w:rPr>
            </w:pPr>
          </w:p>
        </w:tc>
        <w:tc>
          <w:tcPr>
            <w:tcW w:w="3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2,509</w:t>
            </w:r>
          </w:p>
        </w:tc>
        <w:tc>
          <w:tcPr>
            <w:tcW w:w="0" w:type="dxa"/>
            <w:vAlign w:val="bottom"/>
          </w:tcPr>
          <w:p>
            <w:pPr>
              <w:spacing w:after="0"/>
              <w:rPr>
                <w:sz w:val="1"/>
                <w:szCs w:val="1"/>
                <w:color w:val="auto"/>
              </w:rPr>
            </w:pPr>
          </w:p>
        </w:tc>
      </w:tr>
      <w:tr>
        <w:trPr>
          <w:trHeight w:val="141"/>
        </w:trPr>
        <w:tc>
          <w:tcPr>
            <w:tcW w:w="2740" w:type="dxa"/>
            <w:vAlign w:val="bottom"/>
            <w:vMerge w:val="restart"/>
            <w:shd w:val="clear" w:color="auto" w:fill="BFE4FF"/>
          </w:tcPr>
          <w:p>
            <w:pPr>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BFE4FF"/>
          </w:tcPr>
          <w:p>
            <w:pPr>
              <w:spacing w:after="0"/>
              <w:rPr>
                <w:sz w:val="12"/>
                <w:szCs w:val="12"/>
                <w:color w:val="auto"/>
              </w:rPr>
            </w:pPr>
          </w:p>
        </w:tc>
        <w:tc>
          <w:tcPr>
            <w:tcW w:w="1140" w:type="dxa"/>
            <w:vAlign w:val="bottom"/>
            <w:vMerge w:val="restart"/>
            <w:shd w:val="clear" w:color="auto" w:fill="BFE4FF"/>
          </w:tcPr>
          <w:p>
            <w:pPr>
              <w:jc w:val="right"/>
              <w:ind w:right="139"/>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spacing w:after="0"/>
              <w:rPr>
                <w:sz w:val="12"/>
                <w:szCs w:val="12"/>
                <w:color w:val="auto"/>
              </w:rPr>
            </w:pPr>
          </w:p>
        </w:tc>
        <w:tc>
          <w:tcPr>
            <w:tcW w:w="104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3,588</w:t>
            </w:r>
          </w:p>
        </w:tc>
        <w:tc>
          <w:tcPr>
            <w:tcW w:w="40" w:type="dxa"/>
            <w:vAlign w:val="bottom"/>
          </w:tcPr>
          <w:p>
            <w:pPr>
              <w:spacing w:after="0"/>
              <w:rPr>
                <w:sz w:val="12"/>
                <w:szCs w:val="12"/>
                <w:color w:val="auto"/>
              </w:rPr>
            </w:pPr>
          </w:p>
        </w:tc>
        <w:tc>
          <w:tcPr>
            <w:tcW w:w="2760" w:type="dxa"/>
            <w:vAlign w:val="bottom"/>
            <w:vMerge w:val="continue"/>
            <w:shd w:val="clear" w:color="auto" w:fill="BFE4FF"/>
          </w:tcPr>
          <w:p>
            <w:pPr>
              <w:spacing w:after="0"/>
              <w:rPr>
                <w:sz w:val="12"/>
                <w:szCs w:val="12"/>
                <w:color w:val="auto"/>
              </w:rPr>
            </w:pPr>
          </w:p>
        </w:tc>
        <w:tc>
          <w:tcPr>
            <w:tcW w:w="240" w:type="dxa"/>
            <w:vAlign w:val="bottom"/>
            <w:vMerge w:val="continue"/>
            <w:shd w:val="clear" w:color="auto" w:fill="BFE4FF"/>
          </w:tcPr>
          <w:p>
            <w:pPr>
              <w:spacing w:after="0"/>
              <w:rPr>
                <w:sz w:val="12"/>
                <w:szCs w:val="12"/>
                <w:color w:val="auto"/>
              </w:rPr>
            </w:pPr>
          </w:p>
        </w:tc>
        <w:tc>
          <w:tcPr>
            <w:tcW w:w="1140" w:type="dxa"/>
            <w:vAlign w:val="bottom"/>
            <w:vMerge w:val="continue"/>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320" w:type="dxa"/>
            <w:vAlign w:val="bottom"/>
            <w:vMerge w:val="continue"/>
            <w:shd w:val="clear" w:color="auto" w:fill="BFE4FF"/>
          </w:tcPr>
          <w:p>
            <w:pPr>
              <w:spacing w:after="0"/>
              <w:rPr>
                <w:sz w:val="12"/>
                <w:szCs w:val="12"/>
                <w:color w:val="auto"/>
              </w:rPr>
            </w:pPr>
          </w:p>
        </w:tc>
        <w:tc>
          <w:tcPr>
            <w:tcW w:w="1020" w:type="dxa"/>
            <w:vAlign w:val="bottom"/>
            <w:vMerge w:val="continue"/>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40" w:type="dxa"/>
            <w:vAlign w:val="bottom"/>
            <w:vMerge w:val="continue"/>
            <w:shd w:val="clear" w:color="auto" w:fill="BFE4FF"/>
          </w:tcPr>
          <w:p>
            <w:pPr>
              <w:spacing w:after="0"/>
              <w:rPr>
                <w:sz w:val="9"/>
                <w:szCs w:val="9"/>
                <w:color w:val="auto"/>
              </w:rPr>
            </w:pPr>
          </w:p>
        </w:tc>
        <w:tc>
          <w:tcPr>
            <w:tcW w:w="240" w:type="dxa"/>
            <w:vAlign w:val="bottom"/>
            <w:shd w:val="clear" w:color="auto" w:fill="BFE4FF"/>
          </w:tcPr>
          <w:p>
            <w:pPr>
              <w:spacing w:after="0"/>
              <w:rPr>
                <w:sz w:val="9"/>
                <w:szCs w:val="9"/>
                <w:color w:val="auto"/>
              </w:rPr>
            </w:pPr>
          </w:p>
        </w:tc>
        <w:tc>
          <w:tcPr>
            <w:tcW w:w="1140" w:type="dxa"/>
            <w:vAlign w:val="bottom"/>
            <w:vMerge w:val="continue"/>
            <w:shd w:val="clear" w:color="auto" w:fill="BFE4FF"/>
          </w:tcPr>
          <w:p>
            <w:pPr>
              <w:spacing w:after="0"/>
              <w:rPr>
                <w:sz w:val="9"/>
                <w:szCs w:val="9"/>
                <w:color w:val="auto"/>
              </w:rPr>
            </w:pPr>
          </w:p>
        </w:tc>
        <w:tc>
          <w:tcPr>
            <w:tcW w:w="100" w:type="dxa"/>
            <w:vAlign w:val="bottom"/>
            <w:shd w:val="clear" w:color="auto" w:fill="BFE4FF"/>
          </w:tcPr>
          <w:p>
            <w:pPr>
              <w:spacing w:after="0"/>
              <w:rPr>
                <w:sz w:val="9"/>
                <w:szCs w:val="9"/>
                <w:color w:val="auto"/>
              </w:rPr>
            </w:pPr>
          </w:p>
        </w:tc>
        <w:tc>
          <w:tcPr>
            <w:tcW w:w="300" w:type="dxa"/>
            <w:vAlign w:val="bottom"/>
            <w:shd w:val="clear" w:color="auto" w:fill="BFE4FF"/>
          </w:tcPr>
          <w:p>
            <w:pPr>
              <w:spacing w:after="0"/>
              <w:rPr>
                <w:sz w:val="9"/>
                <w:szCs w:val="9"/>
                <w:color w:val="auto"/>
              </w:rPr>
            </w:pPr>
          </w:p>
        </w:tc>
        <w:tc>
          <w:tcPr>
            <w:tcW w:w="1040" w:type="dxa"/>
            <w:vAlign w:val="bottom"/>
            <w:vMerge w:val="continue"/>
            <w:shd w:val="clear" w:color="auto" w:fill="BFE4FF"/>
          </w:tcPr>
          <w:p>
            <w:pPr>
              <w:spacing w:after="0"/>
              <w:rPr>
                <w:sz w:val="9"/>
                <w:szCs w:val="9"/>
                <w:color w:val="auto"/>
              </w:rPr>
            </w:pPr>
          </w:p>
        </w:tc>
        <w:tc>
          <w:tcPr>
            <w:tcW w:w="40" w:type="dxa"/>
            <w:vAlign w:val="bottom"/>
          </w:tcPr>
          <w:p>
            <w:pPr>
              <w:spacing w:after="0"/>
              <w:rPr>
                <w:sz w:val="9"/>
                <w:szCs w:val="9"/>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Acquisition and transition expense</w:t>
            </w:r>
          </w:p>
        </w:tc>
        <w:tc>
          <w:tcPr>
            <w:tcW w:w="240" w:type="dxa"/>
            <w:vAlign w:val="bottom"/>
          </w:tcPr>
          <w:p>
            <w:pPr>
              <w:spacing w:after="0"/>
              <w:rPr>
                <w:sz w:val="9"/>
                <w:szCs w:val="9"/>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2"/>
        </w:trPr>
        <w:tc>
          <w:tcPr>
            <w:tcW w:w="2740" w:type="dxa"/>
            <w:vAlign w:val="bottom"/>
            <w:vMerge w:val="restart"/>
          </w:tcPr>
          <w:p>
            <w:pPr>
              <w:spacing w:after="0"/>
              <w:rPr>
                <w:sz w:val="20"/>
                <w:szCs w:val="20"/>
                <w:color w:val="auto"/>
              </w:rPr>
            </w:pPr>
            <w:r>
              <w:rPr>
                <w:rFonts w:ascii="Arial" w:cs="Arial" w:eastAsia="Arial" w:hAnsi="Arial"/>
                <w:sz w:val="16"/>
                <w:szCs w:val="16"/>
                <w:color w:val="auto"/>
              </w:rPr>
              <w:t>Fixed asset impairments</w:t>
            </w:r>
          </w:p>
        </w:tc>
        <w:tc>
          <w:tcPr>
            <w:tcW w:w="240" w:type="dxa"/>
            <w:vAlign w:val="bottom"/>
          </w:tcPr>
          <w:p>
            <w:pPr>
              <w:spacing w:after="0"/>
              <w:rPr>
                <w:sz w:val="11"/>
                <w:szCs w:val="11"/>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740" w:type="dxa"/>
            <w:vAlign w:val="bottom"/>
            <w:tcBorders>
              <w:bottom w:val="single" w:sz="8" w:color="BFE4FF"/>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BFE4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276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BFE4FF"/>
            </w:tcBorders>
            <w:shd w:val="clear" w:color="auto" w:fill="BFE4FF"/>
          </w:tcPr>
          <w:p>
            <w:pPr>
              <w:spacing w:after="0"/>
              <w:rPr>
                <w:sz w:val="9"/>
                <w:szCs w:val="9"/>
                <w:color w:val="auto"/>
              </w:rPr>
            </w:pPr>
          </w:p>
        </w:tc>
        <w:tc>
          <w:tcPr>
            <w:tcW w:w="1140" w:type="dxa"/>
            <w:vAlign w:val="bottom"/>
            <w:tcBorders>
              <w:bottom w:val="single" w:sz="8" w:color="BFE4FF"/>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BFE4FF"/>
            </w:tcBorders>
            <w:shd w:val="clear" w:color="auto" w:fill="BFE4FF"/>
          </w:tcPr>
          <w:p>
            <w:pPr>
              <w:spacing w:after="0"/>
              <w:rPr>
                <w:sz w:val="9"/>
                <w:szCs w:val="9"/>
                <w:color w:val="auto"/>
              </w:rPr>
            </w:pPr>
          </w:p>
        </w:tc>
        <w:tc>
          <w:tcPr>
            <w:tcW w:w="320" w:type="dxa"/>
            <w:vAlign w:val="bottom"/>
            <w:tcBorders>
              <w:bottom w:val="single" w:sz="8" w:color="BFE4FF"/>
            </w:tcBorders>
            <w:shd w:val="clear" w:color="auto" w:fill="BFE4FF"/>
          </w:tcPr>
          <w:p>
            <w:pPr>
              <w:spacing w:after="0"/>
              <w:rPr>
                <w:sz w:val="9"/>
                <w:szCs w:val="9"/>
                <w:color w:val="auto"/>
              </w:rPr>
            </w:pPr>
          </w:p>
        </w:tc>
        <w:tc>
          <w:tcPr>
            <w:tcW w:w="1020" w:type="dxa"/>
            <w:vAlign w:val="bottom"/>
            <w:tcBorders>
              <w:bottom w:val="single" w:sz="8" w:color="BFE4FF"/>
            </w:tcBorders>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21"/>
        </w:trPr>
        <w:tc>
          <w:tcPr>
            <w:tcW w:w="2740" w:type="dxa"/>
            <w:vAlign w:val="bottom"/>
            <w:vMerge w:val="restart"/>
            <w:shd w:val="clear" w:color="auto" w:fill="BFE4FF"/>
          </w:tcPr>
          <w:p>
            <w:pPr>
              <w:spacing w:after="0"/>
              <w:rPr>
                <w:sz w:val="20"/>
                <w:szCs w:val="20"/>
                <w:color w:val="auto"/>
              </w:rPr>
            </w:pPr>
            <w:r>
              <w:rPr>
                <w:rFonts w:ascii="Arial" w:cs="Arial" w:eastAsia="Arial" w:hAnsi="Arial"/>
                <w:sz w:val="16"/>
                <w:szCs w:val="16"/>
                <w:color w:val="auto"/>
                <w:w w:val="97"/>
              </w:rPr>
              <w:t>Non-GAAP adjusted income (loss) from</w:t>
            </w:r>
          </w:p>
        </w:tc>
        <w:tc>
          <w:tcPr>
            <w:tcW w:w="240" w:type="dxa"/>
            <w:vAlign w:val="bottom"/>
            <w:shd w:val="clear" w:color="auto" w:fill="BFE4FF"/>
          </w:tcPr>
          <w:p>
            <w:pPr>
              <w:spacing w:after="0"/>
              <w:rPr>
                <w:sz w:val="10"/>
                <w:szCs w:val="10"/>
                <w:color w:val="auto"/>
              </w:rPr>
            </w:pPr>
          </w:p>
        </w:tc>
        <w:tc>
          <w:tcPr>
            <w:tcW w:w="114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300" w:type="dxa"/>
            <w:vAlign w:val="bottom"/>
            <w:shd w:val="clear" w:color="auto" w:fill="BFE4FF"/>
          </w:tcPr>
          <w:p>
            <w:pPr>
              <w:spacing w:after="0"/>
              <w:rPr>
                <w:sz w:val="10"/>
                <w:szCs w:val="10"/>
                <w:color w:val="auto"/>
              </w:rPr>
            </w:pPr>
          </w:p>
        </w:tc>
        <w:tc>
          <w:tcPr>
            <w:tcW w:w="1040" w:type="dxa"/>
            <w:vAlign w:val="bottom"/>
            <w:shd w:val="clear" w:color="auto" w:fill="BFE4FF"/>
          </w:tcPr>
          <w:p>
            <w:pPr>
              <w:spacing w:after="0"/>
              <w:rPr>
                <w:sz w:val="10"/>
                <w:szCs w:val="10"/>
                <w:color w:val="auto"/>
              </w:rPr>
            </w:pPr>
          </w:p>
        </w:tc>
        <w:tc>
          <w:tcPr>
            <w:tcW w:w="40" w:type="dxa"/>
            <w:vAlign w:val="bottom"/>
          </w:tcPr>
          <w:p>
            <w:pPr>
              <w:spacing w:after="0"/>
              <w:rPr>
                <w:sz w:val="10"/>
                <w:szCs w:val="10"/>
                <w:color w:val="auto"/>
              </w:rPr>
            </w:pPr>
          </w:p>
        </w:tc>
        <w:tc>
          <w:tcPr>
            <w:tcW w:w="2760" w:type="dxa"/>
            <w:vAlign w:val="bottom"/>
            <w:vMerge w:val="continue"/>
            <w:shd w:val="clear" w:color="auto" w:fill="BFE4FF"/>
          </w:tcPr>
          <w:p>
            <w:pPr>
              <w:spacing w:after="0"/>
              <w:rPr>
                <w:sz w:val="10"/>
                <w:szCs w:val="10"/>
                <w:color w:val="auto"/>
              </w:rPr>
            </w:pPr>
          </w:p>
        </w:tc>
        <w:tc>
          <w:tcPr>
            <w:tcW w:w="240" w:type="dxa"/>
            <w:vAlign w:val="bottom"/>
            <w:shd w:val="clear" w:color="auto" w:fill="BFE4FF"/>
          </w:tcPr>
          <w:p>
            <w:pPr>
              <w:spacing w:after="0"/>
              <w:rPr>
                <w:sz w:val="10"/>
                <w:szCs w:val="10"/>
                <w:color w:val="auto"/>
              </w:rPr>
            </w:pPr>
          </w:p>
        </w:tc>
        <w:tc>
          <w:tcPr>
            <w:tcW w:w="1140" w:type="dxa"/>
            <w:vAlign w:val="bottom"/>
            <w:vMerge w:val="continue"/>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320" w:type="dxa"/>
            <w:vAlign w:val="bottom"/>
            <w:shd w:val="clear" w:color="auto" w:fill="BFE4FF"/>
          </w:tcPr>
          <w:p>
            <w:pPr>
              <w:spacing w:after="0"/>
              <w:rPr>
                <w:sz w:val="10"/>
                <w:szCs w:val="10"/>
                <w:color w:val="auto"/>
              </w:rPr>
            </w:pPr>
          </w:p>
        </w:tc>
        <w:tc>
          <w:tcPr>
            <w:tcW w:w="102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740" w:type="dxa"/>
            <w:vAlign w:val="bottom"/>
            <w:vMerge w:val="continue"/>
            <w:shd w:val="clear" w:color="auto" w:fill="BFE4FF"/>
          </w:tcPr>
          <w:p>
            <w:pPr>
              <w:spacing w:after="0"/>
              <w:rPr>
                <w:sz w:val="6"/>
                <w:szCs w:val="6"/>
                <w:color w:val="auto"/>
              </w:rPr>
            </w:pPr>
          </w:p>
        </w:tc>
        <w:tc>
          <w:tcPr>
            <w:tcW w:w="240" w:type="dxa"/>
            <w:vAlign w:val="bottom"/>
            <w:vMerge w:val="restart"/>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BFE4FF"/>
          </w:tcPr>
          <w:p>
            <w:pPr>
              <w:jc w:val="right"/>
              <w:ind w:right="1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BFE4FF"/>
          </w:tcPr>
          <w:p>
            <w:pPr>
              <w:spacing w:after="0"/>
              <w:rPr>
                <w:sz w:val="6"/>
                <w:szCs w:val="6"/>
                <w:color w:val="auto"/>
              </w:rPr>
            </w:pPr>
          </w:p>
        </w:tc>
        <w:tc>
          <w:tcPr>
            <w:tcW w:w="30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3,151</w:t>
            </w:r>
          </w:p>
        </w:tc>
        <w:tc>
          <w:tcPr>
            <w:tcW w:w="40" w:type="dxa"/>
            <w:vAlign w:val="bottom"/>
          </w:tcPr>
          <w:p>
            <w:pPr>
              <w:spacing w:after="0"/>
              <w:rPr>
                <w:sz w:val="6"/>
                <w:szCs w:val="6"/>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Fixed asset impairments</w:t>
            </w:r>
          </w:p>
        </w:tc>
        <w:tc>
          <w:tcPr>
            <w:tcW w:w="240" w:type="dxa"/>
            <w:vAlign w:val="bottom"/>
          </w:tcPr>
          <w:p>
            <w:pPr>
              <w:spacing w:after="0"/>
              <w:rPr>
                <w:sz w:val="6"/>
                <w:szCs w:val="6"/>
                <w:color w:val="auto"/>
              </w:rPr>
            </w:pP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2740" w:type="dxa"/>
            <w:vAlign w:val="bottom"/>
            <w:tcBorders>
              <w:bottom w:val="single" w:sz="8" w:color="BFE4FF"/>
            </w:tcBorders>
            <w:shd w:val="clear" w:color="auto" w:fill="BFE4FF"/>
          </w:tcPr>
          <w:p>
            <w:pPr>
              <w:spacing w:after="0" w:line="172" w:lineRule="exact"/>
              <w:rPr>
                <w:sz w:val="20"/>
                <w:szCs w:val="20"/>
                <w:color w:val="auto"/>
              </w:rPr>
            </w:pPr>
            <w:r>
              <w:rPr>
                <w:rFonts w:ascii="Arial" w:cs="Arial" w:eastAsia="Arial" w:hAnsi="Arial"/>
                <w:sz w:val="16"/>
                <w:szCs w:val="16"/>
                <w:color w:val="auto"/>
              </w:rPr>
              <w:t>operations (a)</w:t>
            </w:r>
          </w:p>
        </w:tc>
        <w:tc>
          <w:tcPr>
            <w:tcW w:w="240" w:type="dxa"/>
            <w:vAlign w:val="bottom"/>
            <w:tcBorders>
              <w:bottom w:val="single" w:sz="8" w:color="BFE4FF"/>
            </w:tcBorders>
            <w:vMerge w:val="continue"/>
            <w:shd w:val="clear" w:color="auto" w:fill="BFE4FF"/>
          </w:tcPr>
          <w:p>
            <w:pPr>
              <w:spacing w:after="0"/>
              <w:rPr>
                <w:sz w:val="23"/>
                <w:szCs w:val="23"/>
                <w:color w:val="auto"/>
              </w:rPr>
            </w:pPr>
          </w:p>
        </w:tc>
        <w:tc>
          <w:tcPr>
            <w:tcW w:w="1140" w:type="dxa"/>
            <w:vAlign w:val="bottom"/>
            <w:tcBorders>
              <w:bottom w:val="single" w:sz="8" w:color="BFE4FF"/>
            </w:tcBorders>
            <w:vMerge w:val="continue"/>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vMerge w:val="continue"/>
            <w:shd w:val="clear" w:color="auto" w:fill="BFE4FF"/>
          </w:tcPr>
          <w:p>
            <w:pPr>
              <w:spacing w:after="0"/>
              <w:rPr>
                <w:sz w:val="23"/>
                <w:szCs w:val="23"/>
                <w:color w:val="auto"/>
              </w:rPr>
            </w:pPr>
          </w:p>
        </w:tc>
        <w:tc>
          <w:tcPr>
            <w:tcW w:w="1040" w:type="dxa"/>
            <w:vAlign w:val="bottom"/>
            <w:tcBorders>
              <w:bottom w:val="single" w:sz="8" w:color="BFE4FF"/>
            </w:tcBorders>
            <w:vMerge w:val="continue"/>
            <w:shd w:val="clear" w:color="auto" w:fill="BFE4FF"/>
          </w:tcPr>
          <w:p>
            <w:pPr>
              <w:spacing w:after="0"/>
              <w:rPr>
                <w:sz w:val="23"/>
                <w:szCs w:val="23"/>
                <w:color w:val="auto"/>
              </w:rPr>
            </w:pPr>
          </w:p>
        </w:tc>
        <w:tc>
          <w:tcPr>
            <w:tcW w:w="40" w:type="dxa"/>
            <w:vAlign w:val="bottom"/>
          </w:tcPr>
          <w:p>
            <w:pPr>
              <w:spacing w:after="0"/>
              <w:rPr>
                <w:sz w:val="23"/>
                <w:szCs w:val="23"/>
                <w:color w:val="auto"/>
              </w:rPr>
            </w:pPr>
          </w:p>
        </w:tc>
        <w:tc>
          <w:tcPr>
            <w:tcW w:w="2760" w:type="dxa"/>
            <w:vAlign w:val="bottom"/>
            <w:tcBorders>
              <w:bottom w:val="single" w:sz="8" w:color="BFE4FF"/>
            </w:tcBorders>
            <w:vMerge w:val="continue"/>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BFE4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2740" w:type="dxa"/>
            <w:vAlign w:val="bottom"/>
            <w:tcBorders>
              <w:top w:val="single" w:sz="8" w:color="BFE4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Borders>
              <w:top w:val="single" w:sz="8" w:color="BFE4FF"/>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tcBorders>
              <w:top w:val="single" w:sz="8" w:color="BFE4FF"/>
            </w:tcBorders>
            <w:shd w:val="clear" w:color="auto" w:fill="BFE4FF"/>
          </w:tcPr>
          <w:p>
            <w:pPr>
              <w:ind w:left="20"/>
              <w:spacing w:after="0" w:line="86" w:lineRule="exact"/>
              <w:rPr>
                <w:sz w:val="20"/>
                <w:szCs w:val="20"/>
                <w:color w:val="auto"/>
              </w:rPr>
            </w:pPr>
            <w:r>
              <w:rPr>
                <w:rFonts w:ascii="Arial" w:cs="Arial" w:eastAsia="Arial" w:hAnsi="Arial"/>
                <w:sz w:val="9"/>
                <w:szCs w:val="9"/>
                <w:color w:val="auto"/>
              </w:rPr>
              <w:t>Non-GAAP adjusted income (loss) from</w:t>
            </w:r>
          </w:p>
        </w:tc>
        <w:tc>
          <w:tcPr>
            <w:tcW w:w="240" w:type="dxa"/>
            <w:vAlign w:val="bottom"/>
            <w:tcBorders>
              <w:top w:val="single" w:sz="8" w:color="BFE4FF"/>
            </w:tcBorders>
            <w:shd w:val="clear" w:color="auto" w:fill="BFE4FF"/>
          </w:tcPr>
          <w:p>
            <w:pPr>
              <w:spacing w:after="0"/>
              <w:rPr>
                <w:sz w:val="7"/>
                <w:szCs w:val="7"/>
                <w:color w:val="auto"/>
              </w:rPr>
            </w:pPr>
          </w:p>
        </w:tc>
        <w:tc>
          <w:tcPr>
            <w:tcW w:w="1140" w:type="dxa"/>
            <w:vAlign w:val="bottom"/>
            <w:tcBorders>
              <w:top w:val="single" w:sz="8" w:color="BFE4FF"/>
            </w:tcBorders>
            <w:shd w:val="clear" w:color="auto" w:fill="BFE4FF"/>
          </w:tcPr>
          <w:p>
            <w:pPr>
              <w:spacing w:after="0"/>
              <w:rPr>
                <w:sz w:val="7"/>
                <w:szCs w:val="7"/>
                <w:color w:val="auto"/>
              </w:rPr>
            </w:pPr>
          </w:p>
        </w:tc>
        <w:tc>
          <w:tcPr>
            <w:tcW w:w="100" w:type="dxa"/>
            <w:vAlign w:val="bottom"/>
            <w:tcBorders>
              <w:top w:val="single" w:sz="8" w:color="BFE4FF"/>
            </w:tcBorders>
            <w:shd w:val="clear" w:color="auto" w:fill="BFE4FF"/>
          </w:tcPr>
          <w:p>
            <w:pPr>
              <w:spacing w:after="0"/>
              <w:rPr>
                <w:sz w:val="7"/>
                <w:szCs w:val="7"/>
                <w:color w:val="auto"/>
              </w:rPr>
            </w:pPr>
          </w:p>
        </w:tc>
        <w:tc>
          <w:tcPr>
            <w:tcW w:w="320" w:type="dxa"/>
            <w:vAlign w:val="bottom"/>
            <w:tcBorders>
              <w:top w:val="single" w:sz="8" w:color="BFE4FF"/>
            </w:tcBorders>
            <w:shd w:val="clear" w:color="auto" w:fill="BFE4FF"/>
          </w:tcPr>
          <w:p>
            <w:pPr>
              <w:spacing w:after="0"/>
              <w:rPr>
                <w:sz w:val="7"/>
                <w:szCs w:val="7"/>
                <w:color w:val="auto"/>
              </w:rPr>
            </w:pPr>
          </w:p>
        </w:tc>
        <w:tc>
          <w:tcPr>
            <w:tcW w:w="1020" w:type="dxa"/>
            <w:vAlign w:val="bottom"/>
            <w:tcBorders>
              <w:top w:val="single" w:sz="8" w:color="BFE4FF"/>
            </w:tcBorders>
            <w:shd w:val="clear" w:color="auto" w:fill="BFE4FF"/>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76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rPr>
              <w:t>operations (a)</w:t>
            </w:r>
          </w:p>
        </w:tc>
        <w:tc>
          <w:tcPr>
            <w:tcW w:w="240" w:type="dxa"/>
            <w:vAlign w:val="bottom"/>
            <w:shd w:val="clear" w:color="auto" w:fill="BFE4FF"/>
          </w:tcPr>
          <w:p>
            <w:pPr>
              <w:spacing w:after="0"/>
              <w:rPr>
                <w:sz w:val="5"/>
                <w:szCs w:val="5"/>
                <w:color w:val="auto"/>
              </w:rPr>
            </w:pPr>
          </w:p>
        </w:tc>
        <w:tc>
          <w:tcPr>
            <w:tcW w:w="114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2,613</w:t>
            </w:r>
          </w:p>
        </w:tc>
        <w:tc>
          <w:tcPr>
            <w:tcW w:w="100" w:type="dxa"/>
            <w:vAlign w:val="bottom"/>
            <w:vMerge w:val="restart"/>
            <w:shd w:val="clear" w:color="auto" w:fill="BFE4FF"/>
          </w:tcPr>
          <w:p>
            <w:pPr>
              <w:spacing w:after="0"/>
              <w:rPr>
                <w:sz w:val="5"/>
                <w:szCs w:val="5"/>
                <w:color w:val="auto"/>
              </w:rPr>
            </w:pPr>
          </w:p>
        </w:tc>
        <w:tc>
          <w:tcPr>
            <w:tcW w:w="320" w:type="dxa"/>
            <w:vAlign w:val="bottom"/>
            <w:shd w:val="clear" w:color="auto" w:fill="BFE4FF"/>
          </w:tcPr>
          <w:p>
            <w:pPr>
              <w:spacing w:after="0"/>
              <w:rPr>
                <w:sz w:val="5"/>
                <w:szCs w:val="5"/>
                <w:color w:val="auto"/>
              </w:rPr>
            </w:pPr>
          </w:p>
        </w:tc>
        <w:tc>
          <w:tcPr>
            <w:tcW w:w="10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159"/>
        </w:trPr>
        <w:tc>
          <w:tcPr>
            <w:tcW w:w="2740" w:type="dxa"/>
            <w:vAlign w:val="bottom"/>
            <w:tcBorders>
              <w:bottom w:val="single" w:sz="8" w:color="BFE4FF"/>
            </w:tcBorders>
            <w:shd w:val="clear" w:color="auto" w:fill="BFE4FF"/>
          </w:tcPr>
          <w:p>
            <w:pPr>
              <w:spacing w:after="0" w:line="155" w:lineRule="exact"/>
              <w:rPr>
                <w:sz w:val="20"/>
                <w:szCs w:val="20"/>
                <w:color w:val="auto"/>
              </w:rPr>
            </w:pPr>
            <w:r>
              <w:rPr>
                <w:rFonts w:ascii="Arial" w:cs="Arial" w:eastAsia="Arial" w:hAnsi="Arial"/>
                <w:sz w:val="16"/>
                <w:szCs w:val="16"/>
                <w:color w:val="auto"/>
              </w:rPr>
              <w:t>Non-GAAP adjusted operating margin</w:t>
            </w:r>
          </w:p>
        </w:tc>
        <w:tc>
          <w:tcPr>
            <w:tcW w:w="240" w:type="dxa"/>
            <w:vAlign w:val="bottom"/>
            <w:tcBorders>
              <w:bottom w:val="single" w:sz="8" w:color="BFE4FF"/>
            </w:tcBorders>
            <w:shd w:val="clear" w:color="auto" w:fill="BFE4FF"/>
          </w:tcPr>
          <w:p>
            <w:pPr>
              <w:spacing w:after="0"/>
              <w:rPr>
                <w:sz w:val="13"/>
                <w:szCs w:val="13"/>
                <w:color w:val="auto"/>
              </w:rPr>
            </w:pPr>
          </w:p>
        </w:tc>
        <w:tc>
          <w:tcPr>
            <w:tcW w:w="1140" w:type="dxa"/>
            <w:vAlign w:val="bottom"/>
            <w:tcBorders>
              <w:bottom w:val="single" w:sz="8" w:color="BFE4FF"/>
            </w:tcBorders>
            <w:shd w:val="clear" w:color="auto" w:fill="BFE4FF"/>
          </w:tcPr>
          <w:p>
            <w:pPr>
              <w:spacing w:after="0"/>
              <w:rPr>
                <w:sz w:val="13"/>
                <w:szCs w:val="13"/>
                <w:color w:val="auto"/>
              </w:rPr>
            </w:pPr>
          </w:p>
        </w:tc>
        <w:tc>
          <w:tcPr>
            <w:tcW w:w="100" w:type="dxa"/>
            <w:vAlign w:val="bottom"/>
            <w:tcBorders>
              <w:bottom w:val="single" w:sz="8" w:color="BFE4FF"/>
            </w:tcBorders>
            <w:shd w:val="clear" w:color="auto" w:fill="BFE4FF"/>
          </w:tcPr>
          <w:p>
            <w:pPr>
              <w:spacing w:after="0"/>
              <w:rPr>
                <w:sz w:val="13"/>
                <w:szCs w:val="13"/>
                <w:color w:val="auto"/>
              </w:rPr>
            </w:pPr>
          </w:p>
        </w:tc>
        <w:tc>
          <w:tcPr>
            <w:tcW w:w="300" w:type="dxa"/>
            <w:vAlign w:val="bottom"/>
            <w:tcBorders>
              <w:bottom w:val="single" w:sz="8" w:color="BFE4FF"/>
            </w:tcBorders>
            <w:shd w:val="clear" w:color="auto" w:fill="BFE4FF"/>
          </w:tcPr>
          <w:p>
            <w:pPr>
              <w:spacing w:after="0"/>
              <w:rPr>
                <w:sz w:val="13"/>
                <w:szCs w:val="13"/>
                <w:color w:val="auto"/>
              </w:rPr>
            </w:pPr>
          </w:p>
        </w:tc>
        <w:tc>
          <w:tcPr>
            <w:tcW w:w="1040" w:type="dxa"/>
            <w:vAlign w:val="bottom"/>
            <w:tcBorders>
              <w:bottom w:val="single" w:sz="8" w:color="BFE4FF"/>
            </w:tcBorders>
            <w:shd w:val="clear" w:color="auto" w:fill="BFE4FF"/>
          </w:tcPr>
          <w:p>
            <w:pPr>
              <w:spacing w:after="0"/>
              <w:rPr>
                <w:sz w:val="13"/>
                <w:szCs w:val="13"/>
                <w:color w:val="auto"/>
              </w:rPr>
            </w:pPr>
          </w:p>
        </w:tc>
        <w:tc>
          <w:tcPr>
            <w:tcW w:w="40" w:type="dxa"/>
            <w:vAlign w:val="bottom"/>
            <w:vMerge w:val="continue"/>
          </w:tcPr>
          <w:p>
            <w:pPr>
              <w:spacing w:after="0"/>
              <w:rPr>
                <w:sz w:val="13"/>
                <w:szCs w:val="13"/>
                <w:color w:val="auto"/>
              </w:rPr>
            </w:pPr>
          </w:p>
        </w:tc>
        <w:tc>
          <w:tcPr>
            <w:tcW w:w="2760" w:type="dxa"/>
            <w:vAlign w:val="bottom"/>
            <w:vMerge w:val="continue"/>
            <w:shd w:val="clear" w:color="auto" w:fill="BFE4FF"/>
          </w:tcPr>
          <w:p>
            <w:pPr>
              <w:spacing w:after="0"/>
              <w:rPr>
                <w:sz w:val="13"/>
                <w:szCs w:val="13"/>
                <w:color w:val="auto"/>
              </w:rPr>
            </w:pPr>
          </w:p>
        </w:tc>
        <w:tc>
          <w:tcPr>
            <w:tcW w:w="240" w:type="dxa"/>
            <w:vAlign w:val="bottom"/>
            <w:tcBorders>
              <w:bottom w:val="single" w:sz="8" w:color="auto"/>
            </w:tcBorders>
            <w:shd w:val="clear" w:color="auto" w:fill="BFE4FF"/>
          </w:tcPr>
          <w:p>
            <w:pPr>
              <w:spacing w:after="0"/>
              <w:rPr>
                <w:sz w:val="13"/>
                <w:szCs w:val="13"/>
                <w:color w:val="auto"/>
              </w:rPr>
            </w:pPr>
          </w:p>
        </w:tc>
        <w:tc>
          <w:tcPr>
            <w:tcW w:w="1140" w:type="dxa"/>
            <w:vAlign w:val="bottom"/>
            <w:tcBorders>
              <w:bottom w:val="single" w:sz="8" w:color="auto"/>
            </w:tcBorders>
            <w:vMerge w:val="continue"/>
            <w:shd w:val="clear" w:color="auto" w:fill="BFE4FF"/>
          </w:tcPr>
          <w:p>
            <w:pPr>
              <w:spacing w:after="0"/>
              <w:rPr>
                <w:sz w:val="13"/>
                <w:szCs w:val="13"/>
                <w:color w:val="auto"/>
              </w:rPr>
            </w:pPr>
          </w:p>
        </w:tc>
        <w:tc>
          <w:tcPr>
            <w:tcW w:w="100" w:type="dxa"/>
            <w:vAlign w:val="bottom"/>
            <w:vMerge w:val="continue"/>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vMerge w:val="continue"/>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7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2.6 %</w:t>
            </w:r>
          </w:p>
        </w:tc>
        <w:tc>
          <w:tcPr>
            <w:tcW w:w="40" w:type="dxa"/>
            <w:vAlign w:val="bottom"/>
          </w:tcPr>
          <w:p>
            <w:pPr>
              <w:spacing w:after="0"/>
              <w:rPr>
                <w:sz w:val="20"/>
                <w:szCs w:val="20"/>
                <w:color w:val="auto"/>
              </w:rPr>
            </w:pPr>
          </w:p>
        </w:tc>
        <w:tc>
          <w:tcPr>
            <w:tcW w:w="2760" w:type="dxa"/>
            <w:vAlign w:val="bottom"/>
            <w:tcBorders>
              <w:bottom w:val="single" w:sz="8" w:color="BFE4FF"/>
            </w:tcBorders>
          </w:tcPr>
          <w:p>
            <w:pPr>
              <w:spacing w:after="0"/>
              <w:rPr>
                <w:sz w:val="20"/>
                <w:szCs w:val="20"/>
                <w:color w:val="auto"/>
              </w:rPr>
            </w:pPr>
          </w:p>
        </w:tc>
        <w:tc>
          <w:tcPr>
            <w:tcW w:w="240" w:type="dxa"/>
            <w:vAlign w:val="bottom"/>
            <w:tcBorders>
              <w:bottom w:val="single" w:sz="8" w:color="BFE4FF"/>
            </w:tcBorders>
          </w:tcPr>
          <w:p>
            <w:pPr>
              <w:spacing w:after="0"/>
              <w:rPr>
                <w:sz w:val="20"/>
                <w:szCs w:val="20"/>
                <w:color w:val="auto"/>
              </w:rPr>
            </w:pPr>
          </w:p>
        </w:tc>
        <w:tc>
          <w:tcPr>
            <w:tcW w:w="1140" w:type="dxa"/>
            <w:vAlign w:val="bottom"/>
            <w:tcBorders>
              <w:bottom w:val="single" w:sz="8" w:color="BFE4FF"/>
            </w:tcBorders>
          </w:tcPr>
          <w:p>
            <w:pPr>
              <w:spacing w:after="0"/>
              <w:rPr>
                <w:sz w:val="20"/>
                <w:szCs w:val="20"/>
                <w:color w:val="auto"/>
              </w:rPr>
            </w:pPr>
          </w:p>
        </w:tc>
        <w:tc>
          <w:tcPr>
            <w:tcW w:w="100" w:type="dxa"/>
            <w:vAlign w:val="bottom"/>
            <w:tcBorders>
              <w:bottom w:val="single" w:sz="8" w:color="BFE4FF"/>
            </w:tcBorders>
          </w:tcPr>
          <w:p>
            <w:pPr>
              <w:spacing w:after="0"/>
              <w:rPr>
                <w:sz w:val="20"/>
                <w:szCs w:val="20"/>
                <w:color w:val="auto"/>
              </w:rPr>
            </w:pPr>
          </w:p>
        </w:tc>
        <w:tc>
          <w:tcPr>
            <w:tcW w:w="320" w:type="dxa"/>
            <w:vAlign w:val="bottom"/>
            <w:tcBorders>
              <w:bottom w:val="single" w:sz="8" w:color="BFE4FF"/>
            </w:tcBorders>
          </w:tcPr>
          <w:p>
            <w:pPr>
              <w:spacing w:after="0"/>
              <w:rPr>
                <w:sz w:val="20"/>
                <w:szCs w:val="20"/>
                <w:color w:val="auto"/>
              </w:rPr>
            </w:pPr>
          </w:p>
        </w:tc>
        <w:tc>
          <w:tcPr>
            <w:tcW w:w="1020" w:type="dxa"/>
            <w:vAlign w:val="bottom"/>
            <w:tcBorders>
              <w:bottom w:val="single" w:sz="8" w:color="BFE4FF"/>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spacing w:after="0"/>
              <w:rPr>
                <w:sz w:val="20"/>
                <w:szCs w:val="20"/>
                <w:color w:val="auto"/>
              </w:rPr>
            </w:pPr>
            <w:r>
              <w:rPr>
                <w:rFonts w:ascii="Arial" w:cs="Arial" w:eastAsia="Arial" w:hAnsi="Arial"/>
                <w:sz w:val="16"/>
                <w:szCs w:val="16"/>
                <w:color w:val="auto"/>
              </w:rPr>
              <w:t>GAAP net sales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color w:val="auto"/>
              </w:rPr>
              <w:t>125,362</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123,157</w:t>
            </w:r>
          </w:p>
        </w:tc>
        <w:tc>
          <w:tcPr>
            <w:tcW w:w="40" w:type="dxa"/>
            <w:vAlign w:val="bottom"/>
          </w:tcPr>
          <w:p>
            <w:pPr>
              <w:spacing w:after="0"/>
              <w:rPr>
                <w:sz w:val="14"/>
                <w:szCs w:val="14"/>
                <w:color w:val="auto"/>
              </w:rPr>
            </w:pPr>
          </w:p>
        </w:tc>
        <w:tc>
          <w:tcPr>
            <w:tcW w:w="2760" w:type="dxa"/>
            <w:vAlign w:val="bottom"/>
            <w:shd w:val="clear" w:color="auto" w:fill="BFE4FF"/>
          </w:tcPr>
          <w:p>
            <w:pPr>
              <w:ind w:left="20"/>
              <w:spacing w:after="0" w:line="156" w:lineRule="exact"/>
              <w:rPr>
                <w:sz w:val="20"/>
                <w:szCs w:val="20"/>
                <w:color w:val="auto"/>
              </w:rPr>
            </w:pPr>
            <w:r>
              <w:rPr>
                <w:rFonts w:ascii="Arial" w:cs="Arial" w:eastAsia="Arial" w:hAnsi="Arial"/>
                <w:sz w:val="16"/>
                <w:szCs w:val="16"/>
                <w:color w:val="auto"/>
              </w:rPr>
              <w:t>Share of net income from joint venture</w:t>
            </w:r>
          </w:p>
        </w:tc>
        <w:tc>
          <w:tcPr>
            <w:tcW w:w="24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ind w:right="119"/>
              <w:spacing w:after="0" w:line="156" w:lineRule="exact"/>
              <w:rPr>
                <w:sz w:val="20"/>
                <w:szCs w:val="20"/>
                <w:color w:val="auto"/>
              </w:rPr>
            </w:pPr>
            <w:r>
              <w:rPr>
                <w:rFonts w:ascii="Arial" w:cs="Arial" w:eastAsia="Arial" w:hAnsi="Arial"/>
                <w:sz w:val="16"/>
                <w:szCs w:val="16"/>
                <w:color w:val="auto"/>
              </w:rPr>
              <w:t>419</w:t>
            </w:r>
          </w:p>
        </w:tc>
        <w:tc>
          <w:tcPr>
            <w:tcW w:w="10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20" w:type="dxa"/>
            <w:vAlign w:val="bottom"/>
            <w:tcBorders>
              <w:bottom w:val="single" w:sz="8" w:color="auto"/>
            </w:tcBorders>
            <w:shd w:val="clear" w:color="auto" w:fill="BFE4FF"/>
          </w:tcPr>
          <w:p>
            <w:pPr>
              <w:jc w:val="right"/>
              <w:ind w:right="119"/>
              <w:spacing w:after="0" w:line="156" w:lineRule="exact"/>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55"/>
        </w:trPr>
        <w:tc>
          <w:tcPr>
            <w:tcW w:w="27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760" w:type="dxa"/>
            <w:vAlign w:val="bottom"/>
            <w:vMerge w:val="restart"/>
          </w:tcPr>
          <w:p>
            <w:pPr>
              <w:ind w:left="20"/>
              <w:spacing w:after="0" w:line="146" w:lineRule="exact"/>
              <w:rPr>
                <w:sz w:val="20"/>
                <w:szCs w:val="20"/>
                <w:color w:val="auto"/>
              </w:rPr>
            </w:pPr>
            <w:r>
              <w:rPr>
                <w:rFonts w:ascii="Arial" w:cs="Arial" w:eastAsia="Arial" w:hAnsi="Arial"/>
                <w:sz w:val="16"/>
                <w:szCs w:val="16"/>
                <w:color w:val="auto"/>
                <w:w w:val="97"/>
              </w:rPr>
              <w:t>Non-GAAP adjusted income (loss) from</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4"/>
                <w:szCs w:val="4"/>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6"/>
                <w:szCs w:val="16"/>
                <w:color w:val="auto"/>
              </w:rPr>
              <w:t>operations with JV</w:t>
            </w:r>
          </w:p>
        </w:tc>
        <w:tc>
          <w:tcPr>
            <w:tcW w:w="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shd w:val="clear" w:color="auto" w:fill="BFE4FF"/>
          </w:tcPr>
          <w:p>
            <w:pPr>
              <w:spacing w:after="0"/>
              <w:rPr>
                <w:sz w:val="15"/>
                <w:szCs w:val="15"/>
                <w:color w:val="auto"/>
              </w:rPr>
            </w:pPr>
          </w:p>
        </w:tc>
        <w:tc>
          <w:tcPr>
            <w:tcW w:w="240" w:type="dxa"/>
            <w:vAlign w:val="bottom"/>
            <w:shd w:val="clear" w:color="auto" w:fill="BFE4FF"/>
          </w:tcPr>
          <w:p>
            <w:pPr>
              <w:spacing w:after="0"/>
              <w:rPr>
                <w:sz w:val="15"/>
                <w:szCs w:val="15"/>
                <w:color w:val="auto"/>
              </w:rPr>
            </w:pPr>
          </w:p>
        </w:tc>
        <w:tc>
          <w:tcPr>
            <w:tcW w:w="114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$000s</w:t>
            </w:r>
          </w:p>
        </w:tc>
        <w:tc>
          <w:tcPr>
            <w:tcW w:w="240" w:type="dxa"/>
            <w:vAlign w:val="bottom"/>
          </w:tcPr>
          <w:p>
            <w:pPr>
              <w:spacing w:after="0"/>
              <w:rPr>
                <w:sz w:val="14"/>
                <w:szCs w:val="14"/>
                <w:color w:val="auto"/>
              </w:rPr>
            </w:pPr>
          </w:p>
        </w:tc>
        <w:tc>
          <w:tcPr>
            <w:tcW w:w="2580" w:type="dxa"/>
            <w:vAlign w:val="bottom"/>
            <w:gridSpan w:val="4"/>
            <w:vMerge w:val="restart"/>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40" w:type="dxa"/>
            <w:vAlign w:val="bottom"/>
          </w:tcPr>
          <w:p>
            <w:pPr>
              <w:spacing w:after="0"/>
              <w:rPr>
                <w:sz w:val="14"/>
                <w:szCs w:val="14"/>
                <w:color w:val="auto"/>
              </w:rPr>
            </w:pPr>
          </w:p>
        </w:tc>
        <w:tc>
          <w:tcPr>
            <w:tcW w:w="2760" w:type="dxa"/>
            <w:vAlign w:val="bottom"/>
          </w:tcPr>
          <w:p>
            <w:pPr>
              <w:ind w:left="20"/>
              <w:spacing w:after="0" w:line="166" w:lineRule="exact"/>
              <w:rPr>
                <w:sz w:val="20"/>
                <w:szCs w:val="20"/>
                <w:color w:val="auto"/>
              </w:rPr>
            </w:pPr>
            <w:r>
              <w:rPr>
                <w:rFonts w:ascii="Arial" w:cs="Arial" w:eastAsia="Arial" w:hAnsi="Arial"/>
                <w:sz w:val="16"/>
                <w:szCs w:val="16"/>
                <w:color w:val="auto"/>
              </w:rPr>
              <w:t>Non-GAAP adjusted operating margin</w:t>
            </w: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158"/>
        </w:trPr>
        <w:tc>
          <w:tcPr>
            <w:tcW w:w="274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vMerge w:val="continue"/>
          </w:tcPr>
          <w:p>
            <w:pPr>
              <w:spacing w:after="0"/>
              <w:rPr>
                <w:sz w:val="13"/>
                <w:szCs w:val="13"/>
                <w:color w:val="auto"/>
              </w:rPr>
            </w:pPr>
          </w:p>
        </w:tc>
        <w:tc>
          <w:tcPr>
            <w:tcW w:w="2800" w:type="dxa"/>
            <w:vAlign w:val="bottom"/>
            <w:gridSpan w:val="2"/>
          </w:tcPr>
          <w:p>
            <w:pPr>
              <w:ind w:left="60"/>
              <w:spacing w:after="0" w:line="138"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Power Solutions</w:t>
            </w:r>
          </w:p>
        </w:tc>
        <w:tc>
          <w:tcPr>
            <w:tcW w:w="240" w:type="dxa"/>
            <w:vAlign w:val="bottom"/>
          </w:tcPr>
          <w:p>
            <w:pPr>
              <w:spacing w:after="0"/>
              <w:rPr>
                <w:sz w:val="2"/>
                <w:szCs w:val="2"/>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Borders>
              <w:bottom w:val="single" w:sz="8" w:color="BFE4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BFE4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24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73,350</w:t>
            </w:r>
          </w:p>
        </w:tc>
        <w:tc>
          <w:tcPr>
            <w:tcW w:w="100" w:type="dxa"/>
            <w:vAlign w:val="bottom"/>
            <w:tcBorders>
              <w:bottom w:val="single" w:sz="8" w:color="BFE4FF"/>
            </w:tcBorders>
            <w:shd w:val="clear" w:color="auto" w:fill="BFE4FF"/>
          </w:tcPr>
          <w:p>
            <w:pPr>
              <w:spacing w:after="0"/>
              <w:rPr>
                <w:sz w:val="17"/>
                <w:szCs w:val="17"/>
                <w:color w:val="auto"/>
              </w:rPr>
            </w:pPr>
          </w:p>
        </w:tc>
        <w:tc>
          <w:tcPr>
            <w:tcW w:w="32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73,886</w:t>
            </w:r>
          </w:p>
        </w:tc>
        <w:tc>
          <w:tcPr>
            <w:tcW w:w="0" w:type="dxa"/>
            <w:vAlign w:val="bottom"/>
          </w:tcPr>
          <w:p>
            <w:pPr>
              <w:spacing w:after="0"/>
              <w:rPr>
                <w:sz w:val="1"/>
                <w:szCs w:val="1"/>
                <w:color w:val="auto"/>
              </w:rPr>
            </w:pPr>
          </w:p>
        </w:tc>
      </w:tr>
      <w:tr>
        <w:trPr>
          <w:trHeight w:val="223"/>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GAAP income (loss) from operations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2,875</w:t>
            </w:r>
          </w:p>
        </w:tc>
        <w:tc>
          <w:tcPr>
            <w:tcW w:w="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740" w:type="dxa"/>
            <w:vAlign w:val="bottom"/>
          </w:tcPr>
          <w:p>
            <w:pPr>
              <w:spacing w:after="0"/>
              <w:rPr>
                <w:sz w:val="20"/>
                <w:szCs w:val="20"/>
                <w:color w:val="auto"/>
              </w:rPr>
            </w:pPr>
            <w:r>
              <w:rPr>
                <w:rFonts w:ascii="Arial" w:cs="Arial" w:eastAsia="Arial" w:hAnsi="Arial"/>
                <w:sz w:val="16"/>
                <w:szCs w:val="16"/>
                <w:color w:val="auto"/>
              </w:rPr>
              <w:t>Acquisition and transition expense</w:t>
            </w:r>
          </w:p>
        </w:tc>
        <w:tc>
          <w:tcPr>
            <w:tcW w:w="24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auto"/>
            </w:tcBorders>
            <w:shd w:val="clear" w:color="auto" w:fill="BFE4FF"/>
          </w:tcPr>
          <w:p>
            <w:pPr>
              <w:spacing w:after="0"/>
              <w:rPr>
                <w:sz w:val="21"/>
                <w:szCs w:val="21"/>
                <w:color w:val="auto"/>
              </w:rPr>
            </w:pPr>
          </w:p>
        </w:tc>
        <w:tc>
          <w:tcPr>
            <w:tcW w:w="11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spacing w:after="0"/>
              <w:rPr>
                <w:sz w:val="21"/>
                <w:szCs w:val="21"/>
                <w:color w:val="auto"/>
              </w:rPr>
            </w:pPr>
          </w:p>
        </w:tc>
        <w:tc>
          <w:tcPr>
            <w:tcW w:w="104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2,749</w:t>
            </w:r>
          </w:p>
        </w:tc>
        <w:tc>
          <w:tcPr>
            <w:tcW w:w="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Arial" w:cs="Arial" w:eastAsia="Arial" w:hAnsi="Arial"/>
                <w:sz w:val="16"/>
                <w:szCs w:val="16"/>
                <w:color w:val="auto"/>
                <w:w w:val="97"/>
              </w:rPr>
              <w:t>Non-GAAP adjusted income (loss) from</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5,729</w:t>
            </w:r>
          </w:p>
        </w:tc>
        <w:tc>
          <w:tcPr>
            <w:tcW w:w="4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$000s</w:t>
            </w:r>
          </w:p>
        </w:tc>
        <w:tc>
          <w:tcPr>
            <w:tcW w:w="240" w:type="dxa"/>
            <w:vAlign w:val="bottom"/>
          </w:tcPr>
          <w:p>
            <w:pPr>
              <w:spacing w:after="0"/>
              <w:rPr>
                <w:sz w:val="17"/>
                <w:szCs w:val="17"/>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June 30,</w:t>
            </w:r>
          </w:p>
        </w:tc>
        <w:tc>
          <w:tcPr>
            <w:tcW w:w="0" w:type="dxa"/>
            <w:vAlign w:val="bottom"/>
          </w:tcPr>
          <w:p>
            <w:pPr>
              <w:spacing w:after="0"/>
              <w:rPr>
                <w:sz w:val="1"/>
                <w:szCs w:val="1"/>
                <w:color w:val="auto"/>
              </w:rPr>
            </w:pPr>
          </w:p>
        </w:tc>
      </w:tr>
      <w:tr>
        <w:trPr>
          <w:trHeight w:val="68"/>
        </w:trPr>
        <w:tc>
          <w:tcPr>
            <w:tcW w:w="2740" w:type="dxa"/>
            <w:vAlign w:val="bottom"/>
            <w:vMerge w:val="restart"/>
          </w:tcPr>
          <w:p>
            <w:pPr>
              <w:spacing w:after="0"/>
              <w:rPr>
                <w:sz w:val="20"/>
                <w:szCs w:val="20"/>
                <w:color w:val="auto"/>
              </w:rPr>
            </w:pPr>
            <w:r>
              <w:rPr>
                <w:rFonts w:ascii="Arial" w:cs="Arial" w:eastAsia="Arial" w:hAnsi="Arial"/>
                <w:sz w:val="16"/>
                <w:szCs w:val="16"/>
                <w:color w:val="auto"/>
              </w:rPr>
              <w:t>operations (a)</w:t>
            </w:r>
          </w:p>
        </w:tc>
        <w:tc>
          <w:tcPr>
            <w:tcW w:w="2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740" w:type="dxa"/>
            <w:vAlign w:val="bottom"/>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Elimination</w:t>
            </w:r>
          </w:p>
        </w:tc>
        <w:tc>
          <w:tcPr>
            <w:tcW w:w="240" w:type="dxa"/>
            <w:vAlign w:val="bottom"/>
          </w:tcPr>
          <w:p>
            <w:pPr>
              <w:spacing w:after="0"/>
              <w:rPr>
                <w:sz w:val="8"/>
                <w:szCs w:val="8"/>
                <w:color w:val="auto"/>
              </w:rPr>
            </w:pPr>
          </w:p>
        </w:tc>
        <w:tc>
          <w:tcPr>
            <w:tcW w:w="11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74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7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740" w:type="dxa"/>
            <w:vAlign w:val="bottom"/>
            <w:tcBorders>
              <w:bottom w:val="single" w:sz="8" w:color="BFE4FF"/>
            </w:tcBorders>
            <w:shd w:val="clear" w:color="auto" w:fill="BFE4FF"/>
          </w:tcPr>
          <w:p>
            <w:pPr>
              <w:spacing w:after="0"/>
              <w:rPr>
                <w:sz w:val="5"/>
                <w:szCs w:val="5"/>
                <w:color w:val="auto"/>
              </w:rPr>
            </w:pPr>
          </w:p>
        </w:tc>
        <w:tc>
          <w:tcPr>
            <w:tcW w:w="240" w:type="dxa"/>
            <w:vAlign w:val="bottom"/>
            <w:tcBorders>
              <w:bottom w:val="single" w:sz="8" w:color="BFE4FF"/>
            </w:tcBorders>
            <w:shd w:val="clear" w:color="auto" w:fill="BFE4FF"/>
          </w:tcPr>
          <w:p>
            <w:pPr>
              <w:spacing w:after="0"/>
              <w:rPr>
                <w:sz w:val="5"/>
                <w:szCs w:val="5"/>
                <w:color w:val="auto"/>
              </w:rPr>
            </w:pPr>
          </w:p>
        </w:tc>
        <w:tc>
          <w:tcPr>
            <w:tcW w:w="1140" w:type="dxa"/>
            <w:vAlign w:val="bottom"/>
            <w:tcBorders>
              <w:bottom w:val="single" w:sz="8" w:color="BFE4FF"/>
            </w:tcBorders>
            <w:shd w:val="clear" w:color="auto" w:fill="BFE4FF"/>
          </w:tcPr>
          <w:p>
            <w:pPr>
              <w:spacing w:after="0"/>
              <w:rPr>
                <w:sz w:val="5"/>
                <w:szCs w:val="5"/>
                <w:color w:val="auto"/>
              </w:rPr>
            </w:pPr>
          </w:p>
        </w:tc>
        <w:tc>
          <w:tcPr>
            <w:tcW w:w="100" w:type="dxa"/>
            <w:vAlign w:val="bottom"/>
            <w:tcBorders>
              <w:bottom w:val="single" w:sz="8" w:color="BFE4FF"/>
            </w:tcBorders>
            <w:shd w:val="clear" w:color="auto" w:fill="BFE4FF"/>
          </w:tcPr>
          <w:p>
            <w:pPr>
              <w:spacing w:after="0"/>
              <w:rPr>
                <w:sz w:val="5"/>
                <w:szCs w:val="5"/>
                <w:color w:val="auto"/>
              </w:rPr>
            </w:pPr>
          </w:p>
        </w:tc>
        <w:tc>
          <w:tcPr>
            <w:tcW w:w="300" w:type="dxa"/>
            <w:vAlign w:val="bottom"/>
            <w:tcBorders>
              <w:bottom w:val="single" w:sz="8" w:color="BFE4FF"/>
            </w:tcBorders>
            <w:shd w:val="clear" w:color="auto" w:fill="BFE4FF"/>
          </w:tcPr>
          <w:p>
            <w:pPr>
              <w:spacing w:after="0"/>
              <w:rPr>
                <w:sz w:val="5"/>
                <w:szCs w:val="5"/>
                <w:color w:val="auto"/>
              </w:rPr>
            </w:pPr>
          </w:p>
        </w:tc>
        <w:tc>
          <w:tcPr>
            <w:tcW w:w="1040" w:type="dxa"/>
            <w:vAlign w:val="bottom"/>
            <w:tcBorders>
              <w:bottom w:val="single" w:sz="8" w:color="BFE4FF"/>
            </w:tcBorders>
            <w:shd w:val="clear" w:color="auto" w:fill="BFE4FF"/>
          </w:tcPr>
          <w:p>
            <w:pPr>
              <w:spacing w:after="0"/>
              <w:rPr>
                <w:sz w:val="5"/>
                <w:szCs w:val="5"/>
                <w:color w:val="auto"/>
              </w:rPr>
            </w:pPr>
          </w:p>
        </w:tc>
        <w:tc>
          <w:tcPr>
            <w:tcW w:w="40" w:type="dxa"/>
            <w:vAlign w:val="bottom"/>
            <w:vMerge w:val="continue"/>
          </w:tcPr>
          <w:p>
            <w:pPr>
              <w:spacing w:after="0"/>
              <w:rPr>
                <w:sz w:val="5"/>
                <w:szCs w:val="5"/>
                <w:color w:val="auto"/>
              </w:rPr>
            </w:pPr>
          </w:p>
        </w:tc>
        <w:tc>
          <w:tcPr>
            <w:tcW w:w="2760" w:type="dxa"/>
            <w:vAlign w:val="bottom"/>
            <w:tcBorders>
              <w:bottom w:val="single" w:sz="8" w:color="BFE4FF"/>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BFE4FF"/>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740" w:type="dxa"/>
            <w:vAlign w:val="bottom"/>
            <w:shd w:val="clear" w:color="auto" w:fill="BFE4FF"/>
          </w:tcPr>
          <w:p>
            <w:pPr>
              <w:spacing w:after="0"/>
              <w:rPr>
                <w:sz w:val="8"/>
                <w:szCs w:val="8"/>
                <w:color w:val="auto"/>
              </w:rPr>
            </w:pPr>
          </w:p>
        </w:tc>
        <w:tc>
          <w:tcPr>
            <w:tcW w:w="240" w:type="dxa"/>
            <w:vAlign w:val="bottom"/>
            <w:shd w:val="clear" w:color="auto" w:fill="BFE4FF"/>
          </w:tcPr>
          <w:p>
            <w:pPr>
              <w:spacing w:after="0"/>
              <w:rPr>
                <w:sz w:val="8"/>
                <w:szCs w:val="8"/>
                <w:color w:val="auto"/>
              </w:rPr>
            </w:pPr>
          </w:p>
        </w:tc>
        <w:tc>
          <w:tcPr>
            <w:tcW w:w="1140" w:type="dxa"/>
            <w:vAlign w:val="bottom"/>
            <w:shd w:val="clear" w:color="auto" w:fill="BFE4FF"/>
          </w:tcPr>
          <w:p>
            <w:pPr>
              <w:spacing w:after="0"/>
              <w:rPr>
                <w:sz w:val="8"/>
                <w:szCs w:val="8"/>
                <w:color w:val="auto"/>
              </w:rPr>
            </w:pPr>
          </w:p>
        </w:tc>
        <w:tc>
          <w:tcPr>
            <w:tcW w:w="100" w:type="dxa"/>
            <w:vAlign w:val="bottom"/>
            <w:shd w:val="clear" w:color="auto" w:fill="BFE4FF"/>
          </w:tcPr>
          <w:p>
            <w:pPr>
              <w:spacing w:after="0"/>
              <w:rPr>
                <w:sz w:val="8"/>
                <w:szCs w:val="8"/>
                <w:color w:val="auto"/>
              </w:rPr>
            </w:pPr>
          </w:p>
        </w:tc>
        <w:tc>
          <w:tcPr>
            <w:tcW w:w="300" w:type="dxa"/>
            <w:vAlign w:val="bottom"/>
            <w:shd w:val="clear" w:color="auto" w:fill="BFE4FF"/>
          </w:tcPr>
          <w:p>
            <w:pPr>
              <w:spacing w:after="0"/>
              <w:rPr>
                <w:sz w:val="8"/>
                <w:szCs w:val="8"/>
                <w:color w:val="auto"/>
              </w:rPr>
            </w:pPr>
          </w:p>
        </w:tc>
        <w:tc>
          <w:tcPr>
            <w:tcW w:w="1040" w:type="dxa"/>
            <w:vAlign w:val="bottom"/>
            <w:shd w:val="clear" w:color="auto" w:fill="BFE4FF"/>
          </w:tcPr>
          <w:p>
            <w:pPr>
              <w:spacing w:after="0"/>
              <w:rPr>
                <w:sz w:val="8"/>
                <w:szCs w:val="8"/>
                <w:color w:val="auto"/>
              </w:rPr>
            </w:pPr>
          </w:p>
        </w:tc>
        <w:tc>
          <w:tcPr>
            <w:tcW w:w="40" w:type="dxa"/>
            <w:vAlign w:val="bottom"/>
            <w:vMerge w:val="restart"/>
          </w:tcPr>
          <w:p>
            <w:pPr>
              <w:spacing w:after="0"/>
              <w:rPr>
                <w:sz w:val="8"/>
                <w:szCs w:val="8"/>
                <w:color w:val="auto"/>
              </w:rPr>
            </w:pPr>
          </w:p>
        </w:tc>
        <w:tc>
          <w:tcPr>
            <w:tcW w:w="2760" w:type="dxa"/>
            <w:vAlign w:val="bottom"/>
            <w:vMerge w:val="restart"/>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240" w:type="dxa"/>
            <w:vAlign w:val="bottom"/>
            <w:vMerge w:val="restart"/>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BFE4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vMerge w:val="restart"/>
            <w:shd w:val="clear" w:color="auto" w:fill="BFE4FF"/>
          </w:tcPr>
          <w:p>
            <w:pPr>
              <w:spacing w:after="0"/>
              <w:rPr>
                <w:sz w:val="8"/>
                <w:szCs w:val="8"/>
                <w:color w:val="auto"/>
              </w:rPr>
            </w:pPr>
          </w:p>
        </w:tc>
        <w:tc>
          <w:tcPr>
            <w:tcW w:w="3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740" w:type="dxa"/>
            <w:vAlign w:val="bottom"/>
            <w:vMerge w:val="restart"/>
          </w:tcPr>
          <w:p>
            <w:pPr>
              <w:spacing w:after="0"/>
              <w:rPr>
                <w:sz w:val="20"/>
                <w:szCs w:val="20"/>
                <w:color w:val="auto"/>
              </w:rPr>
            </w:pPr>
            <w:r>
              <w:rPr>
                <w:rFonts w:ascii="Arial" w:cs="Arial" w:eastAsia="Arial" w:hAnsi="Arial"/>
                <w:sz w:val="16"/>
                <w:szCs w:val="16"/>
                <w:color w:val="auto"/>
              </w:rPr>
              <w:t>Non-GAAP adjusted operating margin</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2760" w:type="dxa"/>
            <w:vAlign w:val="bottom"/>
            <w:vMerge w:val="continue"/>
            <w:shd w:val="clear" w:color="auto" w:fill="BFE4FF"/>
          </w:tcPr>
          <w:p>
            <w:pPr>
              <w:spacing w:after="0"/>
              <w:rPr>
                <w:sz w:val="11"/>
                <w:szCs w:val="11"/>
                <w:color w:val="auto"/>
              </w:rPr>
            </w:pPr>
          </w:p>
        </w:tc>
        <w:tc>
          <w:tcPr>
            <w:tcW w:w="240" w:type="dxa"/>
            <w:vAlign w:val="bottom"/>
            <w:vMerge w:val="continue"/>
            <w:shd w:val="clear" w:color="auto" w:fill="BFE4FF"/>
          </w:tcPr>
          <w:p>
            <w:pPr>
              <w:spacing w:after="0"/>
              <w:rPr>
                <w:sz w:val="11"/>
                <w:szCs w:val="11"/>
                <w:color w:val="auto"/>
              </w:rPr>
            </w:pPr>
          </w:p>
        </w:tc>
        <w:tc>
          <w:tcPr>
            <w:tcW w:w="1140" w:type="dxa"/>
            <w:vAlign w:val="bottom"/>
            <w:vMerge w:val="continue"/>
            <w:shd w:val="clear" w:color="auto" w:fill="BFE4FF"/>
          </w:tcPr>
          <w:p>
            <w:pPr>
              <w:spacing w:after="0"/>
              <w:rPr>
                <w:sz w:val="11"/>
                <w:szCs w:val="11"/>
                <w:color w:val="auto"/>
              </w:rPr>
            </w:pPr>
          </w:p>
        </w:tc>
        <w:tc>
          <w:tcPr>
            <w:tcW w:w="100" w:type="dxa"/>
            <w:vAlign w:val="bottom"/>
            <w:vMerge w:val="continue"/>
            <w:shd w:val="clear" w:color="auto" w:fill="BFE4FF"/>
          </w:tcPr>
          <w:p>
            <w:pPr>
              <w:spacing w:after="0"/>
              <w:rPr>
                <w:sz w:val="11"/>
                <w:szCs w:val="11"/>
                <w:color w:val="auto"/>
              </w:rPr>
            </w:pPr>
          </w:p>
        </w:tc>
        <w:tc>
          <w:tcPr>
            <w:tcW w:w="320" w:type="dxa"/>
            <w:vAlign w:val="bottom"/>
            <w:vMerge w:val="continue"/>
            <w:shd w:val="clear" w:color="auto" w:fill="BFE4FF"/>
          </w:tcPr>
          <w:p>
            <w:pPr>
              <w:spacing w:after="0"/>
              <w:rPr>
                <w:sz w:val="11"/>
                <w:szCs w:val="11"/>
                <w:color w:val="auto"/>
              </w:rPr>
            </w:pPr>
          </w:p>
        </w:tc>
        <w:tc>
          <w:tcPr>
            <w:tcW w:w="10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11.6 %</w:t>
            </w: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BFE4FF"/>
          </w:tcPr>
          <w:p>
            <w:pPr>
              <w:spacing w:after="0"/>
              <w:rPr>
                <w:sz w:val="20"/>
                <w:szCs w:val="20"/>
                <w:color w:val="auto"/>
              </w:rPr>
            </w:pPr>
            <w:r>
              <w:rPr>
                <w:rFonts w:ascii="Arial" w:cs="Arial" w:eastAsia="Arial" w:hAnsi="Arial"/>
                <w:sz w:val="16"/>
                <w:szCs w:val="16"/>
                <w:color w:val="auto"/>
              </w:rPr>
              <w:t>GAAP net sales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ind w:right="139"/>
              <w:spacing w:after="0"/>
              <w:rPr>
                <w:sz w:val="20"/>
                <w:szCs w:val="20"/>
                <w:color w:val="auto"/>
              </w:rPr>
            </w:pPr>
            <w:r>
              <w:rPr>
                <w:rFonts w:ascii="Arial" w:cs="Arial" w:eastAsia="Arial" w:hAnsi="Arial"/>
                <w:sz w:val="16"/>
                <w:szCs w:val="16"/>
                <w:color w:val="auto"/>
              </w:rPr>
              <w:t>52,049</w:t>
            </w:r>
          </w:p>
        </w:tc>
        <w:tc>
          <w:tcPr>
            <w:tcW w:w="100" w:type="dxa"/>
            <w:vAlign w:val="bottom"/>
            <w:shd w:val="clear" w:color="auto" w:fill="BFE4FF"/>
          </w:tcPr>
          <w:p>
            <w:pPr>
              <w:spacing w:after="0"/>
              <w:rPr>
                <w:sz w:val="21"/>
                <w:szCs w:val="21"/>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49,271</w:t>
            </w:r>
          </w:p>
        </w:tc>
        <w:tc>
          <w:tcPr>
            <w:tcW w:w="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59" w:lineRule="exact"/>
        <w:rPr>
          <w:sz w:val="20"/>
          <w:szCs w:val="20"/>
          <w:color w:val="auto"/>
        </w:rPr>
      </w:pPr>
    </w:p>
    <w:p>
      <w:pPr>
        <w:ind w:left="80" w:right="100" w:hanging="80"/>
        <w:spacing w:after="0" w:line="275" w:lineRule="auto"/>
        <w:rPr>
          <w:sz w:val="20"/>
          <w:szCs w:val="20"/>
          <w:color w:val="auto"/>
        </w:rPr>
      </w:pPr>
      <w:r>
        <w:rPr>
          <w:rFonts w:ascii="Arial" w:cs="Arial" w:eastAsia="Arial" w:hAnsi="Arial"/>
          <w:sz w:val="16"/>
          <w:szCs w:val="16"/>
          <w:color w:val="auto"/>
        </w:rPr>
        <w:t>*2022 expense includes $0.5 million of professional fees and $0.5 million of integration &amp; transformation fees. 2021 expense includes $0.2 million of professional fees and $0.9 million of integration &amp; transformation fees.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90" w:right="339" w:bottom="1440" w:gutter="0" w:footer="0" w:header="0"/>
          <w:type w:val="continuous"/>
        </w:sectPr>
      </w:pPr>
    </w:p>
    <w:bookmarkStart w:id="11" w:name="page12"/>
    <w:bookmarkEnd w:id="11"/>
    <w:p>
      <w:pPr>
        <w:spacing w:after="0" w:line="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149"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w w:val="98"/>
              </w:rPr>
              <w:t>Three Months Ended June 30,</w:t>
            </w:r>
          </w:p>
        </w:tc>
        <w:tc>
          <w:tcPr>
            <w:tcW w:w="0" w:type="dxa"/>
            <w:vAlign w:val="bottom"/>
          </w:tcPr>
          <w:p>
            <w:pPr>
              <w:spacing w:after="0"/>
              <w:rPr>
                <w:sz w:val="1"/>
                <w:szCs w:val="1"/>
                <w:color w:val="auto"/>
              </w:rPr>
            </w:pPr>
          </w:p>
        </w:tc>
      </w:tr>
      <w:tr>
        <w:trPr>
          <w:trHeight w:val="114"/>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000's</w:t>
            </w:r>
          </w:p>
        </w:tc>
        <w:tc>
          <w:tcPr>
            <w:tcW w:w="6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4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6"/>
                <w:szCs w:val="16"/>
                <w:color w:val="auto"/>
              </w:rPr>
              <w:t>GAAP net income (loss)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473"/>
        </w:trPr>
        <w:tc>
          <w:tcPr>
            <w:tcW w:w="446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w w:val="98"/>
              </w:rPr>
              <w:t>Change in fair value of preferred stock derivatives and warrants</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11,340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11,687</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Acquisition and transition expense</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Non-cash stock compensation</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w w:val="99"/>
              </w:rPr>
              <w:t>Non-cash foreign exchange (gain) loss on inter-company loans</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46"/>
        </w:trPr>
        <w:tc>
          <w:tcPr>
            <w:tcW w:w="4460" w:type="dxa"/>
            <w:vAlign w:val="bottom"/>
            <w:gridSpan w:val="2"/>
          </w:tcPr>
          <w:p>
            <w:pPr>
              <w:spacing w:after="0"/>
              <w:rPr>
                <w:sz w:val="20"/>
                <w:szCs w:val="20"/>
                <w:color w:val="auto"/>
              </w:rPr>
            </w:pPr>
            <w:r>
              <w:rPr>
                <w:rFonts w:ascii="Arial" w:cs="Arial" w:eastAsia="Arial" w:hAnsi="Arial"/>
                <w:sz w:val="16"/>
                <w:szCs w:val="16"/>
                <w:color w:val="auto"/>
              </w:rPr>
              <w:t>Costs related to divested businesses and litigation settlement</w:t>
            </w:r>
          </w:p>
        </w:tc>
        <w:tc>
          <w:tcPr>
            <w:tcW w:w="6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6"/>
                <w:szCs w:val="16"/>
                <w:color w:val="auto"/>
                <w:w w:val="76"/>
              </w:rPr>
              <w:t>Fixed</w:t>
            </w:r>
          </w:p>
        </w:tc>
        <w:tc>
          <w:tcPr>
            <w:tcW w:w="4140" w:type="dxa"/>
            <w:vAlign w:val="bottom"/>
            <w:shd w:val="clear" w:color="auto" w:fill="BFE4FF"/>
          </w:tcPr>
          <w:p>
            <w:pPr>
              <w:ind w:left="100"/>
              <w:spacing w:after="0"/>
              <w:rPr>
                <w:sz w:val="20"/>
                <w:szCs w:val="20"/>
                <w:color w:val="auto"/>
              </w:rPr>
            </w:pPr>
            <w:r>
              <w:rPr>
                <w:rFonts w:ascii="Arial" w:cs="Arial" w:eastAsia="Arial" w:hAnsi="Arial"/>
                <w:sz w:val="16"/>
                <w:szCs w:val="16"/>
                <w:color w:val="auto"/>
              </w:rPr>
              <w:t>asset impairments</w:t>
            </w:r>
          </w:p>
        </w:tc>
        <w:tc>
          <w:tcPr>
            <w:tcW w:w="640" w:type="dxa"/>
            <w:vAlign w:val="bottom"/>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BFE4FF"/>
          </w:tcPr>
          <w:p>
            <w:pPr>
              <w:spacing w:after="0"/>
              <w:rPr>
                <w:sz w:val="18"/>
                <w:szCs w:val="18"/>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(b)</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64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4140" w:type="dxa"/>
            <w:vAlign w:val="bottom"/>
            <w:shd w:val="clear" w:color="auto" w:fill="BFE4FF"/>
          </w:tcPr>
          <w:p>
            <w:pPr>
              <w:spacing w:after="0"/>
              <w:rPr>
                <w:sz w:val="19"/>
                <w:szCs w:val="19"/>
                <w:color w:val="auto"/>
              </w:rPr>
            </w:pPr>
          </w:p>
        </w:tc>
        <w:tc>
          <w:tcPr>
            <w:tcW w:w="64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color w:val="auto"/>
              </w:rPr>
              <w:t>Non-GAAP adjusted EBITDA margin (2)</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6"/>
                <w:szCs w:val="16"/>
                <w:color w:val="auto"/>
              </w:rPr>
              <w:t>GAAP net sales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125,362$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-2241550</wp:posOffset>
            </wp:positionV>
            <wp:extent cx="478345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8345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-1932940</wp:posOffset>
            </wp:positionV>
            <wp:extent cx="478345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3455"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-1658620</wp:posOffset>
            </wp:positionV>
            <wp:extent cx="478345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-1367155</wp:posOffset>
            </wp:positionV>
            <wp:extent cx="478345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-1058545</wp:posOffset>
            </wp:positionV>
            <wp:extent cx="478345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3455"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-149860</wp:posOffset>
            </wp:positionV>
            <wp:extent cx="478345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3455" cy="154305"/>
                    </a:xfrm>
                    <a:prstGeom prst="rect">
                      <a:avLst/>
                    </a:prstGeom>
                    <a:noFill/>
                  </pic:spPr>
                </pic:pic>
              </a:graphicData>
            </a:graphic>
          </wp:anchor>
        </w:drawing>
      </w:r>
    </w:p>
    <w:p>
      <w:pPr>
        <w:spacing w:after="0" w:line="197" w:lineRule="exact"/>
        <w:rPr>
          <w:sz w:val="20"/>
          <w:szCs w:val="20"/>
          <w:color w:val="auto"/>
        </w:rPr>
      </w:pPr>
    </w:p>
    <w:p>
      <w:pPr>
        <w:ind w:left="820" w:hanging="312"/>
        <w:spacing w:after="0"/>
        <w:tabs>
          <w:tab w:leader="none" w:pos="8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60" w:right="1380"/>
        <w:spacing w:after="0" w:line="329" w:lineRule="auto"/>
        <w:rPr>
          <w:sz w:val="20"/>
          <w:szCs w:val="20"/>
          <w:color w:val="auto"/>
        </w:rPr>
      </w:pPr>
      <w:r>
        <w:rPr>
          <w:rFonts w:ascii="Arial" w:cs="Arial" w:eastAsia="Arial" w:hAnsi="Arial"/>
          <w:sz w:val="17"/>
          <w:szCs w:val="17"/>
          <w:b w:val="1"/>
          <w:bCs w:val="1"/>
          <w:color w:val="auto"/>
        </w:rPr>
        <w:t>Reconciliation of GAAP Net Income (Loss) to Non-GAAP Adjusted Net Income and GAAP Net Income (Loss) per Diluted Common Share to Non-GAAP Adjusted Net Income (Loss) per Diluted Common Share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1440" w:right="339" w:bottom="1440" w:gutter="0" w:footer="0" w:header="0"/>
        </w:sectPr>
      </w:pPr>
    </w:p>
    <w:bookmarkStart w:id="12" w:name="page13"/>
    <w:bookmarkEnd w:id="12"/>
    <w:tbl>
      <w:tblPr>
        <w:tblLayout w:type="fixed"/>
        <w:tblInd w:w="16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7"/>
              </w:rPr>
              <w:t>Three Months Ended June 30,</w:t>
            </w:r>
          </w:p>
        </w:tc>
      </w:tr>
      <w:tr>
        <w:trPr>
          <w:trHeight w:val="213"/>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000's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12"/>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(8,567)</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(5,391)</w:t>
            </w: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1,151</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672</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3,900</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impairments of fixed asset costs</w:t>
            </w:r>
          </w:p>
        </w:tc>
        <w:tc>
          <w:tcPr>
            <w:tcW w:w="2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Tax effect of adjustments reflected above (c)</w:t>
            </w:r>
          </w:p>
        </w:tc>
        <w:tc>
          <w:tcPr>
            <w:tcW w:w="2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(1,382)</w:t>
            </w:r>
          </w:p>
        </w:tc>
      </w:tr>
      <w:tr>
        <w:trPr>
          <w:trHeight w:val="213"/>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color w:val="auto"/>
              </w:rPr>
              <w:t>Non-GAAP discrete tax adjustments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12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rPr>
              <w:t>Non-GAAP adjusted net income (loss) (d)</w:t>
            </w:r>
          </w:p>
        </w:tc>
        <w:tc>
          <w:tcPr>
            <w:tcW w:w="240" w:type="dxa"/>
            <w:vAlign w:val="bottom"/>
            <w:tcBorders>
              <w:bottom w:val="single" w:sz="8" w:color="auto"/>
            </w:tcBorders>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(3,606)</w:t>
            </w:r>
          </w:p>
        </w:tc>
        <w:tc>
          <w:tcPr>
            <w:tcW w:w="1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(193)</w:t>
            </w:r>
          </w:p>
        </w:tc>
      </w:tr>
      <w:tr>
        <w:trPr>
          <w:trHeight w:val="20"/>
        </w:trPr>
        <w:tc>
          <w:tcPr>
            <w:tcW w:w="58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380" w:type="dxa"/>
            <w:vAlign w:val="bottom"/>
            <w:tcBorders>
              <w:top w:val="single" w:sz="8" w:color="BFE4FF"/>
              <w:bottom w:val="single" w:sz="8" w:color="auto"/>
            </w:tcBorders>
            <w:gridSpan w:val="2"/>
          </w:tcPr>
          <w:p>
            <w:pPr>
              <w:spacing w:after="0" w:line="20" w:lineRule="exact"/>
              <w:rPr>
                <w:sz w:val="1"/>
                <w:szCs w:val="1"/>
                <w:color w:val="auto"/>
              </w:rPr>
            </w:pPr>
          </w:p>
        </w:tc>
      </w:tr>
      <w:tr>
        <w:trPr>
          <w:trHeight w:val="427"/>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7"/>
              </w:rPr>
              <w:t>Three Months Ended June 30,</w:t>
            </w:r>
          </w:p>
        </w:tc>
      </w:tr>
      <w:tr>
        <w:trPr>
          <w:trHeight w:val="213"/>
        </w:trPr>
        <w:tc>
          <w:tcPr>
            <w:tcW w:w="5820" w:type="dxa"/>
            <w:vAlign w:val="bottom"/>
            <w:tcBorders>
              <w:bottom w:val="single" w:sz="8" w:color="BFE4FF"/>
            </w:tcBorders>
          </w:tcPr>
          <w:p>
            <w:pPr>
              <w:spacing w:after="0"/>
              <w:rPr>
                <w:sz w:val="20"/>
                <w:szCs w:val="20"/>
                <w:color w:val="auto"/>
              </w:rPr>
            </w:pPr>
            <w:r>
              <w:rPr>
                <w:rFonts w:ascii="Arial" w:cs="Arial" w:eastAsia="Arial" w:hAnsi="Arial"/>
                <w:sz w:val="16"/>
                <w:szCs w:val="16"/>
                <w:b w:val="1"/>
                <w:bCs w:val="1"/>
                <w:i w:val="1"/>
                <w:iCs w:val="1"/>
                <w:color w:val="auto"/>
              </w:rPr>
              <w:t>Per diluted common share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12"/>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GAAP net income (loss) per diluted common share</w:t>
            </w:r>
          </w:p>
        </w:tc>
        <w:tc>
          <w:tcPr>
            <w:tcW w:w="24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(0.17)</w:t>
            </w: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acquisition and transition expense</w:t>
            </w:r>
          </w:p>
        </w:tc>
        <w:tc>
          <w:tcPr>
            <w:tcW w:w="2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foreign exchange (gain) loss on inter-company loans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amortization of intangibles and deferred financing costs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Pre-tax impairments of fixed asset costs</w:t>
            </w:r>
          </w:p>
        </w:tc>
        <w:tc>
          <w:tcPr>
            <w:tcW w:w="24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Pre-tax costs related to divested businesses and litigation settlement</w:t>
            </w:r>
          </w:p>
        </w:tc>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19"/>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Tax effect of adjustments reflected above (c)</w:t>
            </w:r>
          </w:p>
        </w:tc>
        <w:tc>
          <w:tcPr>
            <w:tcW w:w="2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(0.03)</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Non-GAAP discrete tax adjustments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Preferred stock cumulative dividends and deemed dividends</w:t>
            </w:r>
          </w:p>
        </w:tc>
        <w:tc>
          <w:tcPr>
            <w:tcW w:w="24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BFE4FF"/>
          </w:tcPr>
          <w:p>
            <w:pPr>
              <w:spacing w:after="0"/>
              <w:rPr>
                <w:sz w:val="18"/>
                <w:szCs w:val="18"/>
                <w:color w:val="auto"/>
              </w:rPr>
            </w:pPr>
          </w:p>
        </w:tc>
        <w:tc>
          <w:tcPr>
            <w:tcW w:w="30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Non-GAAP adjusted net income (loss) per diluted common share (d)</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r>
      <w:tr>
        <w:trPr>
          <w:trHeight w:val="20"/>
        </w:trPr>
        <w:tc>
          <w:tcPr>
            <w:tcW w:w="582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BFE4FF"/>
          </w:tcPr>
          <w:p>
            <w:pPr>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44,708</w:t>
            </w:r>
          </w:p>
        </w:tc>
        <w:tc>
          <w:tcPr>
            <w:tcW w:w="12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1435"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0’s</w:t>
      </w:r>
    </w:p>
    <w:p>
      <w:pPr>
        <w:spacing w:after="0" w:line="46" w:lineRule="exact"/>
        <w:rPr>
          <w:sz w:val="20"/>
          <w:szCs w:val="20"/>
          <w:color w:val="auto"/>
        </w:rPr>
      </w:pPr>
    </w:p>
    <w:p>
      <w:pPr>
        <w:spacing w:after="0" w:line="352" w:lineRule="auto"/>
        <w:rPr>
          <w:sz w:val="20"/>
          <w:szCs w:val="20"/>
          <w:color w:val="auto"/>
        </w:rPr>
      </w:pPr>
      <w:r>
        <w:rPr>
          <w:rFonts w:ascii="Arial" w:cs="Arial" w:eastAsia="Arial" w:hAnsi="Arial"/>
          <w:sz w:val="14"/>
          <w:szCs w:val="14"/>
          <w:color w:val="auto"/>
        </w:rPr>
        <w:t>t cash provided by (used in) operating activities quisition of property, plant and equipment</w:t>
      </w:r>
    </w:p>
    <w:p>
      <w:pPr>
        <w:ind w:left="20"/>
        <w:spacing w:after="0"/>
        <w:rPr>
          <w:sz w:val="20"/>
          <w:szCs w:val="20"/>
          <w:color w:val="auto"/>
        </w:rPr>
      </w:pPr>
      <w:r>
        <w:rPr>
          <w:rFonts w:ascii="Arial" w:cs="Arial" w:eastAsia="Arial" w:hAnsi="Arial"/>
          <w:sz w:val="16"/>
          <w:szCs w:val="16"/>
          <w:color w:val="auto"/>
        </w:rPr>
        <w:t>e cash flow</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Operating Cash Flow to Free Cash Flow</w:t>
      </w:r>
    </w:p>
    <w:p>
      <w:pPr>
        <w:spacing w:after="0" w:line="31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Three Months Ended</w:t>
      </w:r>
    </w:p>
    <w:p>
      <w:pPr>
        <w:ind w:left="206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06"/>
        </w:trPr>
        <w:tc>
          <w:tcPr>
            <w:tcW w:w="300" w:type="dxa"/>
            <w:vAlign w:val="bottom"/>
          </w:tcPr>
          <w:p>
            <w:pPr>
              <w:spacing w:after="0"/>
              <w:rPr>
                <w:sz w:val="17"/>
                <w:szCs w:val="17"/>
                <w:color w:val="auto"/>
              </w:rPr>
            </w:pPr>
          </w:p>
        </w:tc>
        <w:tc>
          <w:tcPr>
            <w:tcW w:w="1340" w:type="dxa"/>
            <w:vAlign w:val="bottom"/>
          </w:tcPr>
          <w:p>
            <w:pPr>
              <w:jc w:val="center"/>
              <w:ind w:left="739"/>
              <w:spacing w:after="0"/>
              <w:rPr>
                <w:sz w:val="20"/>
                <w:szCs w:val="20"/>
                <w:color w:val="auto"/>
              </w:rPr>
            </w:pPr>
            <w:r>
              <w:rPr>
                <w:rFonts w:ascii="Arial" w:cs="Arial" w:eastAsia="Arial" w:hAnsi="Arial"/>
                <w:sz w:val="16"/>
                <w:szCs w:val="16"/>
                <w:color w:val="auto"/>
                <w:w w:val="89"/>
              </w:rPr>
              <w:t>2,661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(1,986)</w:t>
            </w:r>
          </w:p>
        </w:tc>
      </w:tr>
      <w:tr>
        <w:trPr>
          <w:trHeight w:val="216"/>
        </w:trPr>
        <w:tc>
          <w:tcPr>
            <w:tcW w:w="300" w:type="dxa"/>
            <w:vAlign w:val="bottom"/>
          </w:tcPr>
          <w:p>
            <w:pPr>
              <w:spacing w:after="0"/>
              <w:rPr>
                <w:sz w:val="18"/>
                <w:szCs w:val="18"/>
                <w:color w:val="auto"/>
              </w:rPr>
            </w:pPr>
          </w:p>
        </w:tc>
        <w:tc>
          <w:tcPr>
            <w:tcW w:w="13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0"/>
              </w:rPr>
              <w:t>(5,441)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(5,547)</w:t>
            </w:r>
          </w:p>
        </w:tc>
      </w:tr>
      <w:tr>
        <w:trPr>
          <w:trHeight w:val="213"/>
        </w:trPr>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77"/>
              </w:rPr>
              <w:t>(2,780)$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(7,533)</w:t>
            </w:r>
          </w:p>
        </w:tc>
      </w:tr>
      <w:tr>
        <w:trPr>
          <w:trHeight w:val="23"/>
        </w:trPr>
        <w:tc>
          <w:tcPr>
            <w:tcW w:w="3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-462280</wp:posOffset>
            </wp:positionV>
            <wp:extent cx="451739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1739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-179705</wp:posOffset>
            </wp:positionV>
            <wp:extent cx="45173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420"/>
            <w:col w:w="7840"/>
          </w:cols>
          <w:pgMar w:left="2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1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340"/>
          </w:cols>
          <w:pgMar w:left="220" w:top="1440" w:right="339" w:bottom="1440" w:gutter="0" w:footer="0" w:header="0"/>
          <w:type w:val="continuous"/>
        </w:sectPr>
      </w:pPr>
    </w:p>
    <w:bookmarkStart w:id="14" w:name="page15"/>
    <w:bookmarkEnd w:id="14"/>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4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9"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40"/>
    </w:lvl>
  </w:abstractNum>
  <w:abstractNum w:abstractNumId="4">
    <w:nsid w:val="507ED7AB"/>
    <w:multiLevelType w:val="hybridMultilevel"/>
    <w:lvl w:ilvl="0">
      <w:lvlJc w:val="left"/>
      <w:lvlText w:val="%1"/>
      <w:numFmt w:val="upperLetter"/>
      <w:start w:val="40"/>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2022-08-04T16:22:05Z</dcterms:created>
  <dcterms:modified xsi:type="dcterms:W3CDTF">2022-08-04T16:22:05Z</dcterms:modified>
</cp:coreProperties>
</file>