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line="646" w:lineRule="auto"/>
        <w:rPr>
          <w:sz w:val="20"/>
          <w:szCs w:val="20"/>
          <w:color w:val="auto"/>
        </w:rPr>
      </w:pPr>
      <w:r>
        <w:rPr>
          <w:rFonts w:ascii="Courier New" w:cs="Courier New" w:eastAsia="Courier New" w:hAnsi="Courier New"/>
          <w:sz w:val="16"/>
          <w:szCs w:val="16"/>
          <w:color w:val="auto"/>
        </w:rPr>
        <w:t>================================================================================ UNITED STATES SECURITIES AND EXCHANGE COMMISSION Washington, D.C. 20549</w:t>
      </w:r>
    </w:p>
    <w:p>
      <w:pPr>
        <w:spacing w:after="0" w:line="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FORM 10-Q</w:t>
      </w:r>
    </w:p>
    <w:p>
      <w:pPr>
        <w:spacing w:after="0" w:line="237" w:lineRule="exact"/>
        <w:rPr>
          <w:sz w:val="24"/>
          <w:szCs w:val="24"/>
          <w:color w:val="auto"/>
        </w:rPr>
      </w:pPr>
    </w:p>
    <w:p>
      <w:pPr>
        <w:ind w:left="540" w:right="2739" w:hanging="539"/>
        <w:spacing w:after="0" w:line="336" w:lineRule="auto"/>
        <w:tabs>
          <w:tab w:leader="none" w:pos="520" w:val="left"/>
        </w:tabs>
        <w:rPr>
          <w:sz w:val="20"/>
          <w:szCs w:val="20"/>
          <w:color w:val="auto"/>
        </w:rPr>
      </w:pPr>
      <w:r>
        <w:rPr>
          <w:rFonts w:ascii="Courier New" w:cs="Courier New" w:eastAsia="Courier New" w:hAnsi="Courier New"/>
          <w:sz w:val="18"/>
          <w:szCs w:val="18"/>
          <w:color w:val="auto"/>
        </w:rPr>
        <w:t>|X|</w:t>
        <w:tab/>
        <w:t>QUARTERLY REPORT PURSUANT TO SECTION 13 OR 15(d) OF THE SECURITIES EXCHANGE ACT OF 1934</w:t>
      </w:r>
    </w:p>
    <w:p>
      <w:pPr>
        <w:spacing w:after="0" w:line="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 xml:space="preserve">For the quarterly period ended </w:t>
      </w:r>
      <w:r>
        <w:rPr>
          <w:rFonts w:ascii="Courier New" w:cs="Courier New" w:eastAsia="Courier New" w:hAnsi="Courier New"/>
          <w:sz w:val="18"/>
          <w:szCs w:val="18"/>
          <w:b w:val="1"/>
          <w:bCs w:val="1"/>
          <w:color w:val="auto"/>
        </w:rPr>
        <w:t>June 30, 2002</w:t>
      </w:r>
    </w:p>
    <w:p>
      <w:pPr>
        <w:spacing w:after="0" w:line="67"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b w:val="1"/>
          <w:bCs w:val="1"/>
          <w:color w:val="auto"/>
        </w:rPr>
        <w:t>-------------</w:t>
      </w:r>
    </w:p>
    <w:p>
      <w:pPr>
        <w:spacing w:after="0" w:line="16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540" w:right="2619" w:hanging="532"/>
        <w:spacing w:after="0" w:line="347" w:lineRule="auto"/>
        <w:tabs>
          <w:tab w:leader="none" w:pos="3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the transition period from _________ to _________</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0-23486</w:t>
      </w:r>
    </w:p>
    <w:p>
      <w:pPr>
        <w:spacing w:after="0" w:line="36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spacing w:after="0" w:line="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20" w:right="1440" w:bottom="0" w:gutter="0" w:footer="0" w:header="0"/>
        </w:sectPr>
      </w:pPr>
    </w:p>
    <w:p>
      <w:pPr>
        <w:spacing w:after="0" w:line="13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b w:val="1"/>
          <w:bCs w:val="1"/>
          <w:color w:val="auto"/>
        </w:rPr>
        <w:t>Delaware</w:t>
      </w:r>
    </w:p>
    <w:p>
      <w:pPr>
        <w:spacing w:after="0" w:line="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b w:val="1"/>
          <w:bCs w:val="1"/>
          <w:color w:val="auto"/>
        </w:rPr>
        <w:t>62-1096725</w:t>
      </w:r>
    </w:p>
    <w:p>
      <w:pPr>
        <w:spacing w:after="0" w:line="6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56" w:lineRule="exact"/>
        <w:rPr>
          <w:sz w:val="24"/>
          <w:szCs w:val="24"/>
          <w:color w:val="auto"/>
        </w:rPr>
      </w:pPr>
    </w:p>
    <w:p>
      <w:pPr>
        <w:sectPr>
          <w:pgSz w:w="11900" w:h="16838" w:orient="portrait"/>
          <w:cols w:equalWidth="0" w:num="2">
            <w:col w:w="5180" w:space="720"/>
            <w:col w:w="4319"/>
          </w:cols>
          <w:pgMar w:left="240" w:top="420" w:right="1440" w:bottom="0" w:gutter="0" w:footer="0" w:header="0"/>
          <w:type w:val="continuous"/>
        </w:sectPr>
      </w:pPr>
    </w:p>
    <w:p>
      <w:pPr>
        <w:ind w:left="3060"/>
        <w:spacing w:after="0"/>
        <w:rPr>
          <w:sz w:val="20"/>
          <w:szCs w:val="20"/>
          <w:color w:val="auto"/>
        </w:rPr>
      </w:pPr>
      <w:r>
        <w:rPr>
          <w:rFonts w:ascii="Courier New" w:cs="Courier New" w:eastAsia="Courier New" w:hAnsi="Courier New"/>
          <w:sz w:val="18"/>
          <w:szCs w:val="18"/>
          <w:b w:val="1"/>
          <w:bCs w:val="1"/>
          <w:color w:val="auto"/>
        </w:rPr>
        <w:t>2000 Waters Edge Drive</w:t>
      </w:r>
    </w:p>
    <w:p>
      <w:pPr>
        <w:spacing w:after="0" w:line="65"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b w:val="1"/>
          <w:bCs w:val="1"/>
          <w:color w:val="auto"/>
        </w:rPr>
        <w:t>Building C, Suite 12</w:t>
      </w:r>
    </w:p>
    <w:p>
      <w:pPr>
        <w:ind w:left="2740"/>
        <w:spacing w:after="0" w:line="238" w:lineRule="auto"/>
        <w:rPr>
          <w:sz w:val="20"/>
          <w:szCs w:val="20"/>
          <w:color w:val="auto"/>
        </w:rPr>
      </w:pPr>
      <w:r>
        <w:rPr>
          <w:rFonts w:ascii="Courier New" w:cs="Courier New" w:eastAsia="Courier New" w:hAnsi="Courier New"/>
          <w:sz w:val="18"/>
          <w:szCs w:val="18"/>
          <w:b w:val="1"/>
          <w:bCs w:val="1"/>
          <w:color w:val="auto"/>
        </w:rPr>
        <w:t>Johnson City, Tennessee 37604</w:t>
      </w: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13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(423) 743-9151</w:t>
      </w:r>
    </w:p>
    <w:p>
      <w:pPr>
        <w:spacing w:after="0" w:line="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37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w:t>
      </w:r>
    </w:p>
    <w:p>
      <w:pPr>
        <w:spacing w:after="0" w:line="90" w:lineRule="exact"/>
        <w:rPr>
          <w:sz w:val="24"/>
          <w:szCs w:val="24"/>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As of August, 13, 2002 there were 15,367,773 of the registrant's common stock, par value $0.01 per share, outstanding.</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NN, Inc.</w:t>
      </w:r>
    </w:p>
    <w:p>
      <w:pPr>
        <w:spacing w:after="0" w:line="6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INDEX</w:t>
      </w:r>
    </w:p>
    <w:p>
      <w:pPr>
        <w:spacing w:after="0" w:line="372" w:lineRule="exact"/>
        <w:rPr>
          <w:sz w:val="24"/>
          <w:szCs w:val="24"/>
          <w:color w:val="auto"/>
        </w:rPr>
      </w:pPr>
    </w:p>
    <w:p>
      <w:pPr>
        <w:jc w:val="right"/>
        <w:ind w:right="519"/>
        <w:spacing w:after="0"/>
        <w:rPr>
          <w:sz w:val="20"/>
          <w:szCs w:val="20"/>
          <w:color w:val="auto"/>
        </w:rPr>
      </w:pPr>
      <w:r>
        <w:rPr>
          <w:rFonts w:ascii="Courier New" w:cs="Courier New" w:eastAsia="Courier New" w:hAnsi="Courier New"/>
          <w:sz w:val="18"/>
          <w:szCs w:val="18"/>
          <w:u w:val="single" w:color="auto"/>
          <w:color w:val="auto"/>
        </w:rPr>
        <w:t>Page No.</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Part I. Financial Information</w:t>
      </w:r>
    </w:p>
    <w:p>
      <w:pPr>
        <w:spacing w:after="0" w:line="23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Consolidated Statements of Income and Comprehensive Income for the three</w:t>
      </w:r>
    </w:p>
    <w:p>
      <w:pPr>
        <w:spacing w:after="0" w:line="31" w:lineRule="exact"/>
        <w:rPr>
          <w:sz w:val="24"/>
          <w:szCs w:val="24"/>
          <w:color w:val="auto"/>
        </w:rPr>
      </w:pPr>
    </w:p>
    <w:p>
      <w:pPr>
        <w:ind w:left="740"/>
        <w:spacing w:after="0"/>
        <w:tabs>
          <w:tab w:leader="dot" w:pos="9360" w:val="left"/>
        </w:tabs>
        <w:rPr>
          <w:sz w:val="20"/>
          <w:szCs w:val="20"/>
          <w:color w:val="auto"/>
        </w:rPr>
      </w:pPr>
      <w:r>
        <w:rPr>
          <w:rFonts w:ascii="Courier New" w:cs="Courier New" w:eastAsia="Courier New" w:hAnsi="Courier New"/>
          <w:sz w:val="18"/>
          <w:szCs w:val="18"/>
          <w:color w:val="auto"/>
        </w:rPr>
        <w:t>and six months ended June 30, 2002 and 2001</w:t>
      </w:r>
      <w:r>
        <w:rPr>
          <w:sz w:val="20"/>
          <w:szCs w:val="20"/>
          <w:color w:val="auto"/>
        </w:rPr>
        <w:tab/>
      </w:r>
      <w:r>
        <w:rPr>
          <w:rFonts w:ascii="Courier New" w:cs="Courier New" w:eastAsia="Courier New" w:hAnsi="Courier New"/>
          <w:sz w:val="16"/>
          <w:szCs w:val="16"/>
          <w:color w:val="auto"/>
        </w:rPr>
        <w:t>2</w:t>
      </w:r>
    </w:p>
    <w:p>
      <w:pPr>
        <w:spacing w:after="0" w:line="169" w:lineRule="exact"/>
        <w:rPr>
          <w:sz w:val="24"/>
          <w:szCs w:val="24"/>
          <w:color w:val="auto"/>
        </w:rPr>
      </w:pPr>
    </w:p>
    <w:p>
      <w:pPr>
        <w:ind w:left="420"/>
        <w:spacing w:after="0"/>
        <w:tabs>
          <w:tab w:leader="dot" w:pos="9360" w:val="left"/>
        </w:tabs>
        <w:rPr>
          <w:sz w:val="20"/>
          <w:szCs w:val="20"/>
          <w:color w:val="auto"/>
        </w:rPr>
      </w:pPr>
      <w:r>
        <w:rPr>
          <w:rFonts w:ascii="Courier New" w:cs="Courier New" w:eastAsia="Courier New" w:hAnsi="Courier New"/>
          <w:sz w:val="18"/>
          <w:szCs w:val="18"/>
          <w:color w:val="auto"/>
        </w:rPr>
        <w:t>Condensed Consolidated Balance Sheets at June 30, 2002 and December 31, 2001</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Consolidated Statements of Changes in Stockholders' Equity for the six</w:t>
      </w:r>
    </w:p>
    <w:p>
      <w:pPr>
        <w:spacing w:after="0" w:line="31" w:lineRule="exact"/>
        <w:rPr>
          <w:sz w:val="24"/>
          <w:szCs w:val="24"/>
          <w:color w:val="auto"/>
        </w:rPr>
      </w:pPr>
    </w:p>
    <w:p>
      <w:pPr>
        <w:ind w:left="740"/>
        <w:spacing w:after="0"/>
        <w:tabs>
          <w:tab w:leader="dot" w:pos="9360" w:val="left"/>
        </w:tabs>
        <w:rPr>
          <w:sz w:val="20"/>
          <w:szCs w:val="20"/>
          <w:color w:val="auto"/>
        </w:rPr>
      </w:pPr>
      <w:r>
        <w:rPr>
          <w:rFonts w:ascii="Courier New" w:cs="Courier New" w:eastAsia="Courier New" w:hAnsi="Courier New"/>
          <w:sz w:val="18"/>
          <w:szCs w:val="18"/>
          <w:color w:val="auto"/>
        </w:rPr>
        <w:t>months ended June 30, 2002 and 2001</w:t>
      </w:r>
      <w:r>
        <w:rPr>
          <w:sz w:val="20"/>
          <w:szCs w:val="20"/>
          <w:color w:val="auto"/>
        </w:rPr>
        <w:tab/>
      </w:r>
      <w:r>
        <w:rPr>
          <w:rFonts w:ascii="Courier New" w:cs="Courier New" w:eastAsia="Courier New" w:hAnsi="Courier New"/>
          <w:sz w:val="16"/>
          <w:szCs w:val="16"/>
          <w:color w:val="auto"/>
        </w:rPr>
        <w:t>4</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Consolidated Statements of Cash Flows for the six months ended</w:t>
      </w:r>
    </w:p>
    <w:p>
      <w:pPr>
        <w:spacing w:after="0" w:line="31" w:lineRule="exact"/>
        <w:rPr>
          <w:sz w:val="24"/>
          <w:szCs w:val="24"/>
          <w:color w:val="auto"/>
        </w:rPr>
      </w:pPr>
    </w:p>
    <w:p>
      <w:pPr>
        <w:ind w:left="740"/>
        <w:spacing w:after="0"/>
        <w:tabs>
          <w:tab w:leader="dot" w:pos="9360" w:val="left"/>
        </w:tabs>
        <w:rPr>
          <w:sz w:val="20"/>
          <w:szCs w:val="20"/>
          <w:color w:val="auto"/>
        </w:rPr>
      </w:pPr>
      <w:r>
        <w:rPr>
          <w:rFonts w:ascii="Courier New" w:cs="Courier New" w:eastAsia="Courier New" w:hAnsi="Courier New"/>
          <w:sz w:val="18"/>
          <w:szCs w:val="18"/>
          <w:color w:val="auto"/>
        </w:rPr>
        <w:t>June 30, 2002 and 2001</w:t>
      </w:r>
      <w:r>
        <w:rPr>
          <w:sz w:val="20"/>
          <w:szCs w:val="20"/>
          <w:color w:val="auto"/>
        </w:rPr>
        <w:tab/>
      </w:r>
      <w:r>
        <w:rPr>
          <w:rFonts w:ascii="Courier New" w:cs="Courier New" w:eastAsia="Courier New" w:hAnsi="Courier New"/>
          <w:sz w:val="16"/>
          <w:szCs w:val="16"/>
          <w:color w:val="auto"/>
        </w:rPr>
        <w:t>5</w:t>
      </w:r>
    </w:p>
    <w:p>
      <w:pPr>
        <w:spacing w:after="0" w:line="169" w:lineRule="exact"/>
        <w:rPr>
          <w:sz w:val="24"/>
          <w:szCs w:val="24"/>
          <w:color w:val="auto"/>
        </w:rPr>
      </w:pPr>
    </w:p>
    <w:p>
      <w:pPr>
        <w:ind w:left="420"/>
        <w:spacing w:after="0"/>
        <w:tabs>
          <w:tab w:leader="dot" w:pos="9360" w:val="left"/>
        </w:tabs>
        <w:rPr>
          <w:sz w:val="20"/>
          <w:szCs w:val="20"/>
          <w:color w:val="auto"/>
        </w:rPr>
      </w:pPr>
      <w:r>
        <w:rPr>
          <w:rFonts w:ascii="Courier New" w:cs="Courier New" w:eastAsia="Courier New" w:hAnsi="Courier New"/>
          <w:sz w:val="18"/>
          <w:szCs w:val="18"/>
          <w:color w:val="auto"/>
        </w:rPr>
        <w:t>Notes to Consolidated Financial Statements</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Management's Discussion and Analysis of Financial</w:t>
      </w:r>
    </w:p>
    <w:p>
      <w:pPr>
        <w:spacing w:after="0" w:line="31" w:lineRule="exact"/>
        <w:rPr>
          <w:sz w:val="24"/>
          <w:szCs w:val="24"/>
          <w:color w:val="auto"/>
        </w:rPr>
      </w:pPr>
    </w:p>
    <w:p>
      <w:pPr>
        <w:ind w:left="420"/>
        <w:spacing w:after="0"/>
        <w:tabs>
          <w:tab w:leader="dot" w:pos="9260" w:val="left"/>
        </w:tabs>
        <w:rPr>
          <w:sz w:val="20"/>
          <w:szCs w:val="20"/>
          <w:color w:val="auto"/>
        </w:rPr>
      </w:pPr>
      <w:r>
        <w:rPr>
          <w:rFonts w:ascii="Courier New" w:cs="Courier New" w:eastAsia="Courier New" w:hAnsi="Courier New"/>
          <w:sz w:val="18"/>
          <w:szCs w:val="18"/>
          <w:color w:val="auto"/>
        </w:rPr>
        <w:t>Condition and Results of Operations</w:t>
      </w:r>
      <w:r>
        <w:rPr>
          <w:sz w:val="20"/>
          <w:szCs w:val="20"/>
          <w:color w:val="auto"/>
        </w:rPr>
        <w:tab/>
      </w:r>
      <w:r>
        <w:rPr>
          <w:rFonts w:ascii="Courier New" w:cs="Courier New" w:eastAsia="Courier New" w:hAnsi="Courier New"/>
          <w:sz w:val="16"/>
          <w:szCs w:val="16"/>
          <w:color w:val="auto"/>
        </w:rPr>
        <w:t>12</w:t>
      </w:r>
    </w:p>
    <w:p>
      <w:pPr>
        <w:sectPr>
          <w:pgSz w:w="11900" w:h="16838" w:orient="portrait"/>
          <w:cols w:equalWidth="0" w:num="1">
            <w:col w:w="10219"/>
          </w:cols>
          <w:pgMar w:left="240" w:top="420"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54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86"/>
              </w:rPr>
              <w:t>Quantitative and Qualitative Disclosures about Market Risk......................</w:t>
            </w:r>
          </w:p>
        </w:tc>
        <w:tc>
          <w:tcPr>
            <w:tcW w:w="30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816"/>
        </w:trPr>
        <w:tc>
          <w:tcPr>
            <w:tcW w:w="516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Part II. Other Information</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4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73"/>
              </w:rPr>
              <w:t>Legal Proceedings................................................................</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jc w:val="right"/>
              <w:ind w:right="1732"/>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4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Submission of Matters to a Vote of Security Holders</w:t>
            </w: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3080" w:type="dxa"/>
            <w:vAlign w:val="bottom"/>
          </w:tcPr>
          <w:p>
            <w:pPr>
              <w:jc w:val="right"/>
              <w:ind w:right="1732"/>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4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73"/>
              </w:rPr>
              <w:t>Exhibits and Reports on Form 8-K.................................................</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jc w:val="right"/>
              <w:ind w:right="1732"/>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405"/>
        </w:trPr>
        <w:tc>
          <w:tcPr>
            <w:tcW w:w="6220" w:type="dxa"/>
            <w:vAlign w:val="bottom"/>
            <w:gridSpan w:val="3"/>
          </w:tcPr>
          <w:p>
            <w:pPr>
              <w:spacing w:after="0"/>
              <w:rPr>
                <w:sz w:val="20"/>
                <w:szCs w:val="20"/>
                <w:color w:val="auto"/>
              </w:rPr>
            </w:pPr>
            <w:r>
              <w:rPr>
                <w:rFonts w:ascii="Courier New" w:cs="Courier New" w:eastAsia="Courier New" w:hAnsi="Courier New"/>
                <w:sz w:val="16"/>
                <w:szCs w:val="16"/>
                <w:color w:val="auto"/>
                <w:w w:val="72"/>
              </w:rPr>
              <w:t>Signatures...............................................................................</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jc w:val="right"/>
              <w:ind w:right="1732"/>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1013"/>
        </w:trPr>
        <w:tc>
          <w:tcPr>
            <w:tcW w:w="800" w:type="dxa"/>
            <w:vAlign w:val="bottom"/>
          </w:tcPr>
          <w:p>
            <w:pPr>
              <w:spacing w:after="0"/>
              <w:rPr>
                <w:sz w:val="24"/>
                <w:szCs w:val="24"/>
                <w:color w:val="auto"/>
              </w:rPr>
            </w:pPr>
          </w:p>
        </w:tc>
        <w:tc>
          <w:tcPr>
            <w:tcW w:w="4360" w:type="dxa"/>
            <w:vAlign w:val="bottom"/>
          </w:tcPr>
          <w:p>
            <w:pPr>
              <w:ind w:left="3320"/>
              <w:spacing w:after="0"/>
              <w:rPr>
                <w:sz w:val="20"/>
                <w:szCs w:val="20"/>
                <w:color w:val="auto"/>
              </w:rPr>
            </w:pPr>
            <w:r>
              <w:rPr>
                <w:rFonts w:ascii="Courier New" w:cs="Courier New" w:eastAsia="Courier New" w:hAnsi="Courier New"/>
                <w:sz w:val="18"/>
                <w:szCs w:val="18"/>
                <w:color w:val="auto"/>
              </w:rPr>
              <w:t>1</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gridSpan w:val="2"/>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1258"/>
        </w:trPr>
        <w:tc>
          <w:tcPr>
            <w:tcW w:w="800" w:type="dxa"/>
            <w:vAlign w:val="bottom"/>
          </w:tcPr>
          <w:p>
            <w:pPr>
              <w:spacing w:after="0"/>
              <w:rPr>
                <w:sz w:val="24"/>
                <w:szCs w:val="24"/>
                <w:color w:val="auto"/>
              </w:rPr>
            </w:pPr>
          </w:p>
        </w:tc>
        <w:tc>
          <w:tcPr>
            <w:tcW w:w="5420" w:type="dxa"/>
            <w:vAlign w:val="bottom"/>
            <w:gridSpan w:val="2"/>
          </w:tcPr>
          <w:p>
            <w:pPr>
              <w:jc w:val="right"/>
              <w:ind w:right="432"/>
              <w:spacing w:after="0"/>
              <w:rPr>
                <w:sz w:val="20"/>
                <w:szCs w:val="20"/>
                <w:color w:val="auto"/>
              </w:rPr>
            </w:pPr>
            <w:r>
              <w:rPr>
                <w:rFonts w:ascii="Courier New" w:cs="Courier New" w:eastAsia="Courier New" w:hAnsi="Courier New"/>
                <w:sz w:val="18"/>
                <w:szCs w:val="18"/>
                <w:b w:val="1"/>
                <w:bCs w:val="1"/>
                <w:color w:val="auto"/>
              </w:rPr>
              <w:t>PART I. FINANCIAL INFORMATION</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00" w:type="dxa"/>
            <w:vAlign w:val="bottom"/>
          </w:tcPr>
          <w:p>
            <w:pPr>
              <w:spacing w:after="0"/>
              <w:rPr>
                <w:sz w:val="24"/>
                <w:szCs w:val="24"/>
                <w:color w:val="auto"/>
              </w:rPr>
            </w:pPr>
          </w:p>
        </w:tc>
        <w:tc>
          <w:tcPr>
            <w:tcW w:w="4360" w:type="dxa"/>
            <w:vAlign w:val="bottom"/>
          </w:tcPr>
          <w:p>
            <w:pPr>
              <w:ind w:left="3000"/>
              <w:spacing w:after="0"/>
              <w:rPr>
                <w:sz w:val="20"/>
                <w:szCs w:val="20"/>
                <w:color w:val="auto"/>
              </w:rPr>
            </w:pPr>
            <w:r>
              <w:rPr>
                <w:rFonts w:ascii="Courier New" w:cs="Courier New" w:eastAsia="Courier New" w:hAnsi="Courier New"/>
                <w:sz w:val="18"/>
                <w:szCs w:val="18"/>
                <w:b w:val="1"/>
                <w:bCs w:val="1"/>
                <w:color w:val="auto"/>
              </w:rPr>
              <w:t>NN, Inc.</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58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b w:val="1"/>
                <w:bCs w:val="1"/>
                <w:color w:val="auto"/>
                <w:w w:val="98"/>
              </w:rPr>
              <w:t>Consolidated Statements of Income and Comprehensive Income</w:t>
            </w:r>
          </w:p>
        </w:tc>
        <w:tc>
          <w:tcPr>
            <w:tcW w:w="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4"/>
                <w:szCs w:val="24"/>
                <w:color w:val="auto"/>
              </w:rPr>
            </w:pPr>
          </w:p>
        </w:tc>
        <w:tc>
          <w:tcPr>
            <w:tcW w:w="4360" w:type="dxa"/>
            <w:vAlign w:val="bottom"/>
          </w:tcPr>
          <w:p>
            <w:pPr>
              <w:ind w:left="2900"/>
              <w:spacing w:after="0"/>
              <w:rPr>
                <w:sz w:val="20"/>
                <w:szCs w:val="20"/>
                <w:color w:val="auto"/>
              </w:rPr>
            </w:pPr>
            <w:r>
              <w:rPr>
                <w:rFonts w:ascii="Courier New" w:cs="Courier New" w:eastAsia="Courier New" w:hAnsi="Courier New"/>
                <w:sz w:val="18"/>
                <w:szCs w:val="18"/>
                <w:b w:val="1"/>
                <w:bCs w:val="1"/>
                <w:color w:val="auto"/>
              </w:rPr>
              <w:t>(Unaudited)</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220" w:type="dxa"/>
            <w:vAlign w:val="bottom"/>
            <w:gridSpan w:val="2"/>
          </w:tcPr>
          <w:p>
            <w:pPr>
              <w:jc w:val="right"/>
              <w:ind w:right="235"/>
              <w:spacing w:after="0"/>
              <w:rPr>
                <w:sz w:val="20"/>
                <w:szCs w:val="20"/>
                <w:color w:val="auto"/>
              </w:rPr>
            </w:pPr>
            <w:r>
              <w:rPr>
                <w:rFonts w:ascii="Courier New" w:cs="Courier New" w:eastAsia="Courier New" w:hAnsi="Courier New"/>
                <w:sz w:val="18"/>
                <w:szCs w:val="18"/>
                <w:b w:val="1"/>
                <w:bCs w:val="1"/>
                <w:color w:val="auto"/>
                <w:w w:val="96"/>
              </w:rPr>
              <w:t>Three Months Ended</w:t>
            </w:r>
          </w:p>
        </w:tc>
        <w:tc>
          <w:tcPr>
            <w:tcW w:w="4040" w:type="dxa"/>
            <w:vAlign w:val="bottom"/>
            <w:gridSpan w:val="2"/>
          </w:tcPr>
          <w:p>
            <w:pPr>
              <w:jc w:val="right"/>
              <w:ind w:right="2272"/>
              <w:spacing w:after="0"/>
              <w:rPr>
                <w:sz w:val="20"/>
                <w:szCs w:val="20"/>
                <w:color w:val="auto"/>
              </w:rPr>
            </w:pPr>
            <w:r>
              <w:rPr>
                <w:rFonts w:ascii="Courier New" w:cs="Courier New" w:eastAsia="Courier New" w:hAnsi="Courier New"/>
                <w:sz w:val="18"/>
                <w:szCs w:val="18"/>
                <w:b w:val="1"/>
                <w:bCs w:val="1"/>
                <w:color w:val="auto"/>
                <w:w w:val="96"/>
              </w:rPr>
              <w:t>Six Months Ended</w:t>
            </w:r>
          </w:p>
        </w:tc>
        <w:tc>
          <w:tcPr>
            <w:tcW w:w="0" w:type="dxa"/>
            <w:vAlign w:val="bottom"/>
          </w:tcPr>
          <w:p>
            <w:pPr>
              <w:spacing w:after="0"/>
              <w:rPr>
                <w:sz w:val="1"/>
                <w:szCs w:val="1"/>
                <w:color w:val="auto"/>
              </w:rPr>
            </w:pPr>
          </w:p>
        </w:tc>
      </w:tr>
      <w:tr>
        <w:trPr>
          <w:trHeight w:val="203"/>
        </w:trPr>
        <w:tc>
          <w:tcPr>
            <w:tcW w:w="5160" w:type="dxa"/>
            <w:vAlign w:val="bottom"/>
            <w:gridSpan w:val="2"/>
            <w:vMerge w:val="restart"/>
          </w:tcPr>
          <w:p>
            <w:pPr>
              <w:spacing w:after="0"/>
              <w:rPr>
                <w:sz w:val="20"/>
                <w:szCs w:val="20"/>
                <w:color w:val="auto"/>
              </w:rPr>
            </w:pPr>
            <w:r>
              <w:rPr>
                <w:rFonts w:ascii="Courier New" w:cs="Courier New" w:eastAsia="Courier New" w:hAnsi="Courier New"/>
                <w:sz w:val="18"/>
                <w:szCs w:val="18"/>
                <w:b w:val="1"/>
                <w:bCs w:val="1"/>
                <w:color w:val="auto"/>
              </w:rPr>
              <w:t>Thousands of Dollars, Except Per Share Data</w:t>
            </w:r>
          </w:p>
        </w:tc>
        <w:tc>
          <w:tcPr>
            <w:tcW w:w="2220" w:type="dxa"/>
            <w:vAlign w:val="bottom"/>
            <w:gridSpan w:val="2"/>
          </w:tcPr>
          <w:p>
            <w:pPr>
              <w:jc w:val="right"/>
              <w:ind w:right="855"/>
              <w:spacing w:after="0" w:line="203" w:lineRule="exact"/>
              <w:rPr>
                <w:sz w:val="20"/>
                <w:szCs w:val="20"/>
                <w:color w:val="auto"/>
              </w:rPr>
            </w:pPr>
            <w:r>
              <w:rPr>
                <w:rFonts w:ascii="Courier New" w:cs="Courier New" w:eastAsia="Courier New" w:hAnsi="Courier New"/>
                <w:sz w:val="18"/>
                <w:szCs w:val="18"/>
                <w:b w:val="1"/>
                <w:bCs w:val="1"/>
                <w:color w:val="auto"/>
              </w:rPr>
              <w:t>June 30,</w:t>
            </w:r>
          </w:p>
        </w:tc>
        <w:tc>
          <w:tcPr>
            <w:tcW w:w="4040" w:type="dxa"/>
            <w:vAlign w:val="bottom"/>
            <w:gridSpan w:val="2"/>
          </w:tcPr>
          <w:p>
            <w:pPr>
              <w:jc w:val="right"/>
              <w:ind w:right="2572"/>
              <w:spacing w:after="0" w:line="203" w:lineRule="exact"/>
              <w:rPr>
                <w:sz w:val="20"/>
                <w:szCs w:val="20"/>
                <w:color w:val="auto"/>
              </w:rPr>
            </w:pPr>
            <w:r>
              <w:rPr>
                <w:rFonts w:ascii="Courier New" w:cs="Courier New" w:eastAsia="Courier New" w:hAnsi="Courier New"/>
                <w:sz w:val="18"/>
                <w:szCs w:val="18"/>
                <w:b w:val="1"/>
                <w:bCs w:val="1"/>
                <w:color w:val="auto"/>
              </w:rPr>
              <w:t>June 30,</w:t>
            </w:r>
          </w:p>
        </w:tc>
        <w:tc>
          <w:tcPr>
            <w:tcW w:w="0" w:type="dxa"/>
            <w:vAlign w:val="bottom"/>
          </w:tcPr>
          <w:p>
            <w:pPr>
              <w:spacing w:after="0"/>
              <w:rPr>
                <w:sz w:val="1"/>
                <w:szCs w:val="1"/>
                <w:color w:val="auto"/>
              </w:rPr>
            </w:pPr>
          </w:p>
        </w:tc>
      </w:tr>
      <w:tr>
        <w:trPr>
          <w:trHeight w:val="259"/>
        </w:trPr>
        <w:tc>
          <w:tcPr>
            <w:tcW w:w="5160" w:type="dxa"/>
            <w:vAlign w:val="bottom"/>
            <w:gridSpan w:val="2"/>
            <w:vMerge w:val="continue"/>
          </w:tcPr>
          <w:p>
            <w:pPr>
              <w:spacing w:after="0"/>
              <w:rPr>
                <w:sz w:val="22"/>
                <w:szCs w:val="22"/>
                <w:color w:val="auto"/>
              </w:rPr>
            </w:pPr>
          </w:p>
        </w:tc>
        <w:tc>
          <w:tcPr>
            <w:tcW w:w="1060" w:type="dxa"/>
            <w:vAlign w:val="bottom"/>
          </w:tcPr>
          <w:p>
            <w:pPr>
              <w:jc w:val="right"/>
              <w:ind w:right="432"/>
              <w:spacing w:after="0"/>
              <w:rPr>
                <w:sz w:val="20"/>
                <w:szCs w:val="20"/>
                <w:color w:val="auto"/>
              </w:rPr>
            </w:pPr>
            <w:r>
              <w:rPr>
                <w:rFonts w:ascii="Courier New" w:cs="Courier New" w:eastAsia="Courier New" w:hAnsi="Courier New"/>
                <w:sz w:val="18"/>
                <w:szCs w:val="18"/>
                <w:b w:val="1"/>
                <w:bCs w:val="1"/>
                <w:color w:val="auto"/>
              </w:rPr>
              <w:t>2002</w:t>
            </w:r>
          </w:p>
        </w:tc>
        <w:tc>
          <w:tcPr>
            <w:tcW w:w="1160" w:type="dxa"/>
            <w:vAlign w:val="bottom"/>
          </w:tcPr>
          <w:p>
            <w:pPr>
              <w:jc w:val="right"/>
              <w:ind w:right="555"/>
              <w:spacing w:after="0"/>
              <w:rPr>
                <w:sz w:val="20"/>
                <w:szCs w:val="20"/>
                <w:color w:val="auto"/>
              </w:rPr>
            </w:pPr>
            <w:r>
              <w:rPr>
                <w:rFonts w:ascii="Courier New" w:cs="Courier New" w:eastAsia="Courier New" w:hAnsi="Courier New"/>
                <w:sz w:val="18"/>
                <w:szCs w:val="18"/>
                <w:b w:val="1"/>
                <w:bCs w:val="1"/>
                <w:color w:val="auto"/>
              </w:rPr>
              <w:t>2001</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b w:val="1"/>
                <w:bCs w:val="1"/>
                <w:color w:val="auto"/>
              </w:rPr>
              <w:t>2002</w:t>
            </w:r>
          </w:p>
        </w:tc>
        <w:tc>
          <w:tcPr>
            <w:tcW w:w="3080" w:type="dxa"/>
            <w:vAlign w:val="bottom"/>
          </w:tcPr>
          <w:p>
            <w:pPr>
              <w:jc w:val="right"/>
              <w:ind w:right="2272"/>
              <w:spacing w:after="0"/>
              <w:rPr>
                <w:sz w:val="20"/>
                <w:szCs w:val="20"/>
                <w:color w:val="auto"/>
              </w:rPr>
            </w:pPr>
            <w:r>
              <w:rPr>
                <w:rFonts w:ascii="Courier New" w:cs="Courier New" w:eastAsia="Courier New" w:hAnsi="Courier New"/>
                <w:sz w:val="18"/>
                <w:szCs w:val="18"/>
                <w:b w:val="1"/>
                <w:bCs w:val="1"/>
                <w:color w:val="auto"/>
              </w:rPr>
              <w:t>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-1814195</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-1814195</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line="171" w:lineRule="exact"/>
              <w:rPr>
                <w:sz w:val="20"/>
                <w:szCs w:val="20"/>
                <w:color w:val="auto"/>
              </w:rPr>
            </w:pPr>
            <w:r>
              <w:rPr>
                <w:rFonts w:ascii="Courier New" w:cs="Courier New" w:eastAsia="Courier New" w:hAnsi="Courier New"/>
                <w:sz w:val="18"/>
                <w:szCs w:val="18"/>
                <w:color w:val="auto"/>
              </w:rPr>
              <w:t>Net sales</w:t>
            </w:r>
          </w:p>
        </w:tc>
        <w:tc>
          <w:tcPr>
            <w:tcW w:w="1160" w:type="dxa"/>
            <w:vAlign w:val="bottom"/>
            <w:gridSpan w:val="2"/>
          </w:tcPr>
          <w:p>
            <w:pPr>
              <w:jc w:val="right"/>
              <w:ind w:right="132"/>
              <w:spacing w:after="0" w:line="171" w:lineRule="exact"/>
              <w:rPr>
                <w:sz w:val="20"/>
                <w:szCs w:val="20"/>
                <w:color w:val="auto"/>
              </w:rPr>
            </w:pPr>
            <w:r>
              <w:rPr>
                <w:rFonts w:ascii="Courier New" w:cs="Courier New" w:eastAsia="Courier New" w:hAnsi="Courier New"/>
                <w:sz w:val="18"/>
                <w:szCs w:val="18"/>
                <w:color w:val="auto"/>
              </w:rPr>
              <w:t>$ 49,186</w:t>
            </w:r>
          </w:p>
        </w:tc>
        <w:tc>
          <w:tcPr>
            <w:tcW w:w="1160" w:type="dxa"/>
            <w:vAlign w:val="bottom"/>
            <w:gridSpan w:val="2"/>
          </w:tcPr>
          <w:p>
            <w:pPr>
              <w:jc w:val="right"/>
              <w:ind w:right="132"/>
              <w:spacing w:after="0" w:line="171" w:lineRule="exact"/>
              <w:rPr>
                <w:sz w:val="20"/>
                <w:szCs w:val="20"/>
                <w:color w:val="auto"/>
              </w:rPr>
            </w:pPr>
            <w:r>
              <w:rPr>
                <w:rFonts w:ascii="Courier New" w:cs="Courier New" w:eastAsia="Courier New" w:hAnsi="Courier New"/>
                <w:sz w:val="18"/>
                <w:szCs w:val="18"/>
                <w:color w:val="auto"/>
              </w:rPr>
              <w:t>$ 47,350</w:t>
            </w:r>
          </w:p>
        </w:tc>
        <w:tc>
          <w:tcPr>
            <w:tcW w:w="1160" w:type="dxa"/>
            <w:vAlign w:val="bottom"/>
            <w:gridSpan w:val="2"/>
          </w:tcPr>
          <w:p>
            <w:pPr>
              <w:jc w:val="right"/>
              <w:ind w:right="132"/>
              <w:spacing w:after="0" w:line="171" w:lineRule="exact"/>
              <w:rPr>
                <w:sz w:val="20"/>
                <w:szCs w:val="20"/>
                <w:color w:val="auto"/>
              </w:rPr>
            </w:pPr>
            <w:r>
              <w:rPr>
                <w:rFonts w:ascii="Courier New" w:cs="Courier New" w:eastAsia="Courier New" w:hAnsi="Courier New"/>
                <w:sz w:val="18"/>
                <w:szCs w:val="18"/>
                <w:color w:val="auto"/>
              </w:rPr>
              <w:t>$ 96,386</w:t>
            </w:r>
          </w:p>
        </w:tc>
        <w:tc>
          <w:tcPr>
            <w:tcW w:w="1040" w:type="dxa"/>
            <w:vAlign w:val="bottom"/>
            <w:gridSpan w:val="2"/>
          </w:tcPr>
          <w:p>
            <w:pPr>
              <w:jc w:val="right"/>
              <w:ind w:right="12"/>
              <w:spacing w:after="0" w:line="171" w:lineRule="exact"/>
              <w:rPr>
                <w:sz w:val="20"/>
                <w:szCs w:val="20"/>
                <w:color w:val="auto"/>
              </w:rPr>
            </w:pPr>
            <w:r>
              <w:rPr>
                <w:rFonts w:ascii="Courier New" w:cs="Courier New" w:eastAsia="Courier New" w:hAnsi="Courier New"/>
                <w:sz w:val="18"/>
                <w:szCs w:val="18"/>
                <w:color w:val="auto"/>
              </w:rPr>
              <w:t>$ 97,577</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36,139</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35,228</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71,670</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73,319</w:t>
            </w:r>
          </w:p>
        </w:tc>
        <w:tc>
          <w:tcPr>
            <w:tcW w:w="0" w:type="dxa"/>
            <w:vAlign w:val="bottom"/>
          </w:tcPr>
          <w:p>
            <w:pPr>
              <w:spacing w:after="0"/>
              <w:rPr>
                <w:sz w:val="1"/>
                <w:szCs w:val="1"/>
                <w:color w:val="auto"/>
              </w:rPr>
            </w:pPr>
          </w:p>
        </w:tc>
      </w:tr>
      <w:tr>
        <w:trPr>
          <w:trHeight w:val="203"/>
        </w:trPr>
        <w:tc>
          <w:tcPr>
            <w:tcW w:w="4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Gross profit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13,047</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12,122</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24,716</w:t>
            </w:r>
          </w:p>
        </w:tc>
        <w:tc>
          <w:tcPr>
            <w:tcW w:w="3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24,258</w:t>
            </w: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4,819</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3,978</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9,317</w:t>
            </w:r>
          </w:p>
        </w:tc>
        <w:tc>
          <w:tcPr>
            <w:tcW w:w="3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8,085</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2,795</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3,386</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5,620</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6,696</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w:t>
            </w:r>
          </w:p>
        </w:tc>
        <w:tc>
          <w:tcPr>
            <w:tcW w:w="32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5,433</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4,758</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9,701</w:t>
            </w:r>
          </w:p>
        </w:tc>
        <w:tc>
          <w:tcPr>
            <w:tcW w:w="3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9,477</w:t>
            </w: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539</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1,112</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1,140</w:t>
            </w:r>
          </w:p>
        </w:tc>
        <w:tc>
          <w:tcPr>
            <w:tcW w:w="3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2,294</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loss of unconsolidated</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23</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affiliates</w:t>
            </w: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gain on involuntary conversion</w:t>
            </w: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(2,542)</w:t>
            </w: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(2,542)</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w:t>
            </w:r>
          </w:p>
        </w:tc>
        <w:tc>
          <w:tcPr>
            <w:tcW w:w="0" w:type="dxa"/>
            <w:vAlign w:val="bottom"/>
          </w:tcPr>
          <w:p>
            <w:pPr>
              <w:spacing w:after="0"/>
              <w:rPr>
                <w:sz w:val="1"/>
                <w:szCs w:val="1"/>
                <w:color w:val="auto"/>
              </w:rPr>
            </w:pPr>
          </w:p>
        </w:tc>
      </w:tr>
      <w:tr>
        <w:trPr>
          <w:trHeight w:val="203"/>
        </w:trPr>
        <w:tc>
          <w:tcPr>
            <w:tcW w:w="496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5,035</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6,509</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9,057</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10,227</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1,840</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2,437</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3,345</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4,073</w:t>
            </w: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Minority interest of consolidated subsidiaries</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787</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566</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1,454</w:t>
            </w:r>
          </w:p>
        </w:tc>
        <w:tc>
          <w:tcPr>
            <w:tcW w:w="3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1,102</w:t>
            </w:r>
          </w:p>
        </w:tc>
        <w:tc>
          <w:tcPr>
            <w:tcW w:w="0" w:type="dxa"/>
            <w:vAlign w:val="bottom"/>
          </w:tcPr>
          <w:p>
            <w:pPr>
              <w:spacing w:after="0"/>
              <w:rPr>
                <w:sz w:val="1"/>
                <w:szCs w:val="1"/>
                <w:color w:val="auto"/>
              </w:rPr>
            </w:pPr>
          </w:p>
        </w:tc>
      </w:tr>
      <w:tr>
        <w:trPr>
          <w:trHeight w:val="296"/>
        </w:trPr>
        <w:tc>
          <w:tcPr>
            <w:tcW w:w="4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Income before cumulative effect of change</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9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2,408</w:t>
            </w:r>
          </w:p>
        </w:tc>
        <w:tc>
          <w:tcPr>
            <w:tcW w:w="320" w:type="dxa"/>
            <w:vAlign w:val="bottom"/>
          </w:tcPr>
          <w:p>
            <w:pPr>
              <w:spacing w:after="0"/>
              <w:rPr>
                <w:sz w:val="9"/>
                <w:szCs w:val="9"/>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3,506</w:t>
            </w:r>
          </w:p>
        </w:tc>
        <w:tc>
          <w:tcPr>
            <w:tcW w:w="320" w:type="dxa"/>
            <w:vAlign w:val="bottom"/>
          </w:tcPr>
          <w:p>
            <w:pPr>
              <w:spacing w:after="0"/>
              <w:rPr>
                <w:sz w:val="9"/>
                <w:szCs w:val="9"/>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4,258</w:t>
            </w:r>
          </w:p>
        </w:tc>
        <w:tc>
          <w:tcPr>
            <w:tcW w:w="320" w:type="dxa"/>
            <w:vAlign w:val="bottom"/>
          </w:tcPr>
          <w:p>
            <w:pPr>
              <w:spacing w:after="0"/>
              <w:rPr>
                <w:sz w:val="9"/>
                <w:szCs w:val="9"/>
                <w:color w:val="auto"/>
              </w:rPr>
            </w:pP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5,052</w:t>
            </w:r>
          </w:p>
        </w:tc>
        <w:tc>
          <w:tcPr>
            <w:tcW w:w="0" w:type="dxa"/>
            <w:vAlign w:val="bottom"/>
          </w:tcPr>
          <w:p>
            <w:pPr>
              <w:spacing w:after="0"/>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principle, net of income tax benefit of</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$112 and related minority interest impact</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98</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$84</w:t>
            </w: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income</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2,408</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3,506</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4,258</w:t>
            </w:r>
          </w:p>
        </w:tc>
        <w:tc>
          <w:tcPr>
            <w:tcW w:w="3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4,954</w:t>
            </w: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comprehensive income (loss):</w:t>
            </w:r>
          </w:p>
        </w:tc>
        <w:tc>
          <w:tcPr>
            <w:tcW w:w="320" w:type="dxa"/>
            <w:vAlign w:val="bottom"/>
          </w:tcPr>
          <w:p>
            <w:pPr>
              <w:spacing w:after="0"/>
              <w:rPr>
                <w:sz w:val="24"/>
                <w:szCs w:val="24"/>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1,413</w:t>
            </w:r>
          </w:p>
        </w:tc>
        <w:tc>
          <w:tcPr>
            <w:tcW w:w="320" w:type="dxa"/>
            <w:vAlign w:val="bottom"/>
          </w:tcPr>
          <w:p>
            <w:pPr>
              <w:spacing w:after="0"/>
              <w:rPr>
                <w:sz w:val="24"/>
                <w:szCs w:val="24"/>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205</w:t>
            </w:r>
          </w:p>
        </w:tc>
        <w:tc>
          <w:tcPr>
            <w:tcW w:w="320" w:type="dxa"/>
            <w:vAlign w:val="bottom"/>
          </w:tcPr>
          <w:p>
            <w:pPr>
              <w:spacing w:after="0"/>
              <w:rPr>
                <w:sz w:val="24"/>
                <w:szCs w:val="24"/>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1,333</w:t>
            </w:r>
          </w:p>
        </w:tc>
        <w:tc>
          <w:tcPr>
            <w:tcW w:w="3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(3,181)</w:t>
            </w:r>
          </w:p>
        </w:tc>
        <w:tc>
          <w:tcPr>
            <w:tcW w:w="0" w:type="dxa"/>
            <w:vAlign w:val="bottom"/>
          </w:tcPr>
          <w:p>
            <w:pPr>
              <w:spacing w:after="0"/>
              <w:rPr>
                <w:sz w:val="1"/>
                <w:szCs w:val="1"/>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Comprehensive income</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$ 3,821</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$ 3,711</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$ 5,591</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$ 1,773</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717"/>
        </w:trPr>
        <w:tc>
          <w:tcPr>
            <w:tcW w:w="4960" w:type="dxa"/>
            <w:vAlign w:val="bottom"/>
          </w:tcPr>
          <w:p>
            <w:pPr>
              <w:spacing w:after="0"/>
              <w:rPr>
                <w:sz w:val="20"/>
                <w:szCs w:val="20"/>
                <w:color w:val="auto"/>
              </w:rPr>
            </w:pPr>
            <w:r>
              <w:rPr>
                <w:rFonts w:ascii="Courier New" w:cs="Courier New" w:eastAsia="Courier New" w:hAnsi="Courier New"/>
                <w:sz w:val="18"/>
                <w:szCs w:val="18"/>
                <w:color w:val="auto"/>
              </w:rPr>
              <w:t>Basic income per common share: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 change</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0.16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0.23</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0.28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0.33</w:t>
            </w:r>
          </w:p>
        </w:tc>
        <w:tc>
          <w:tcPr>
            <w:tcW w:w="0" w:type="dxa"/>
            <w:vAlign w:val="bottom"/>
          </w:tcPr>
          <w:p>
            <w:pPr>
              <w:spacing w:after="0"/>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principle</w:t>
            </w: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0.32</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0"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420" w:type="dxa"/>
            <w:vAlign w:val="bottom"/>
          </w:tcPr>
          <w:p>
            <w:pPr>
              <w:spacing w:after="0"/>
              <w:rPr>
                <w:sz w:val="17"/>
                <w:szCs w:val="17"/>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15,359</w:t>
            </w:r>
          </w:p>
        </w:tc>
        <w:tc>
          <w:tcPr>
            <w:tcW w:w="320" w:type="dxa"/>
            <w:vAlign w:val="bottom"/>
          </w:tcPr>
          <w:p>
            <w:pPr>
              <w:spacing w:after="0"/>
              <w:rPr>
                <w:sz w:val="17"/>
                <w:szCs w:val="17"/>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15,253</w:t>
            </w:r>
          </w:p>
        </w:tc>
        <w:tc>
          <w:tcPr>
            <w:tcW w:w="320" w:type="dxa"/>
            <w:vAlign w:val="bottom"/>
          </w:tcPr>
          <w:p>
            <w:pPr>
              <w:spacing w:after="0"/>
              <w:rPr>
                <w:sz w:val="17"/>
                <w:szCs w:val="17"/>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15,336</w:t>
            </w:r>
          </w:p>
        </w:tc>
        <w:tc>
          <w:tcPr>
            <w:tcW w:w="320" w:type="dxa"/>
            <w:vAlign w:val="bottom"/>
          </w:tcPr>
          <w:p>
            <w:pPr>
              <w:spacing w:after="0"/>
              <w:rPr>
                <w:sz w:val="17"/>
                <w:szCs w:val="17"/>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15,251</w:t>
            </w:r>
          </w:p>
        </w:tc>
        <w:tc>
          <w:tcPr>
            <w:tcW w:w="0" w:type="dxa"/>
            <w:vAlign w:val="bottom"/>
          </w:tcPr>
          <w:p>
            <w:pPr>
              <w:spacing w:after="0"/>
              <w:rPr>
                <w:sz w:val="1"/>
                <w:szCs w:val="1"/>
                <w:color w:val="auto"/>
              </w:rPr>
            </w:pPr>
          </w:p>
        </w:tc>
      </w:tr>
      <w:tr>
        <w:trPr>
          <w:trHeight w:val="296"/>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Diluted income per common share:</w:t>
            </w:r>
          </w:p>
        </w:tc>
        <w:tc>
          <w:tcPr>
            <w:tcW w:w="1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8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 change</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0.15</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0.23</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0.27</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0.33</w:t>
            </w:r>
          </w:p>
        </w:tc>
        <w:tc>
          <w:tcPr>
            <w:tcW w:w="0" w:type="dxa"/>
            <w:vAlign w:val="bottom"/>
          </w:tcPr>
          <w:p>
            <w:pPr>
              <w:spacing w:after="0"/>
              <w:rPr>
                <w:sz w:val="1"/>
                <w:szCs w:val="1"/>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4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principle</w:t>
            </w: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0.32</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4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15,868</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15,532</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15,798</w:t>
            </w:r>
          </w:p>
        </w:tc>
        <w:tc>
          <w:tcPr>
            <w:tcW w:w="3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15,522</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b w:val="1"/>
          <w:bCs w:val="1"/>
          <w:color w:val="auto"/>
        </w:rPr>
        <w:t>See accompanying notes.</w:t>
      </w: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spacing w:after="0" w:line="6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Condensed Consolidated Balance Sheets</w:t>
      </w:r>
    </w:p>
    <w:p>
      <w:pPr>
        <w:spacing w:after="0" w:line="336" w:lineRule="exact"/>
        <w:rPr>
          <w:sz w:val="20"/>
          <w:szCs w:val="20"/>
          <w:color w:val="auto"/>
        </w:rPr>
      </w:pPr>
    </w:p>
    <w:p>
      <w:pPr>
        <w:ind w:left="5380"/>
        <w:spacing w:after="0"/>
        <w:tabs>
          <w:tab w:leader="none" w:pos="6420" w:val="left"/>
        </w:tabs>
        <w:rPr>
          <w:sz w:val="20"/>
          <w:szCs w:val="20"/>
          <w:color w:val="auto"/>
        </w:rPr>
      </w:pPr>
      <w:r>
        <w:rPr>
          <w:rFonts w:ascii="Courier New" w:cs="Courier New" w:eastAsia="Courier New" w:hAnsi="Courier New"/>
          <w:sz w:val="18"/>
          <w:szCs w:val="18"/>
          <w:b w:val="1"/>
          <w:bCs w:val="1"/>
          <w:color w:val="auto"/>
        </w:rPr>
        <w:t>June 30,</w:t>
      </w:r>
      <w:r>
        <w:rPr>
          <w:sz w:val="20"/>
          <w:szCs w:val="20"/>
          <w:color w:val="auto"/>
        </w:rPr>
        <w:tab/>
      </w:r>
      <w:r>
        <w:rPr>
          <w:rFonts w:ascii="Courier New" w:cs="Courier New" w:eastAsia="Courier New" w:hAnsi="Courier New"/>
          <w:sz w:val="16"/>
          <w:szCs w:val="16"/>
          <w:b w:val="1"/>
          <w:bCs w:val="1"/>
          <w:color w:val="auto"/>
        </w:rPr>
        <w:t>December 31,</w:t>
      </w:r>
    </w:p>
    <w:p>
      <w:pPr>
        <w:spacing w:after="0" w:line="65" w:lineRule="exact"/>
        <w:rPr>
          <w:sz w:val="20"/>
          <w:szCs w:val="20"/>
          <w:color w:val="auto"/>
        </w:rPr>
      </w:pPr>
    </w:p>
    <w:p>
      <w:pPr>
        <w:ind w:left="5480"/>
        <w:spacing w:after="0"/>
        <w:tabs>
          <w:tab w:leader="none" w:pos="6720" w:val="left"/>
        </w:tabs>
        <w:rPr>
          <w:sz w:val="20"/>
          <w:szCs w:val="20"/>
          <w:color w:val="auto"/>
        </w:rPr>
      </w:pPr>
      <w:r>
        <w:rPr>
          <w:rFonts w:ascii="Courier New" w:cs="Courier New" w:eastAsia="Courier New" w:hAnsi="Courier New"/>
          <w:sz w:val="18"/>
          <w:szCs w:val="18"/>
          <w:b w:val="1"/>
          <w:bCs w:val="1"/>
          <w:color w:val="auto"/>
        </w:rPr>
        <w:t>2002</w:t>
      </w:r>
      <w:r>
        <w:rPr>
          <w:sz w:val="20"/>
          <w:szCs w:val="20"/>
          <w:color w:val="auto"/>
        </w:rPr>
        <w:tab/>
      </w:r>
      <w:r>
        <w:rPr>
          <w:rFonts w:ascii="Courier New" w:cs="Courier New" w:eastAsia="Courier New" w:hAnsi="Courier New"/>
          <w:sz w:val="18"/>
          <w:szCs w:val="18"/>
          <w:b w:val="1"/>
          <w:bCs w:val="1"/>
          <w:color w:val="auto"/>
        </w:rPr>
        <w:t>2001</w:t>
      </w:r>
    </w:p>
    <w:p>
      <w:pPr>
        <w:spacing w:after="0"/>
        <w:tabs>
          <w:tab w:leader="none" w:pos="1460" w:val="left"/>
          <w:tab w:leader="none" w:pos="5140" w:val="left"/>
        </w:tabs>
        <w:rPr>
          <w:sz w:val="20"/>
          <w:szCs w:val="20"/>
          <w:color w:val="auto"/>
        </w:rPr>
      </w:pPr>
      <w:r>
        <w:rPr>
          <w:rFonts w:ascii="Courier New" w:cs="Courier New" w:eastAsia="Courier New" w:hAnsi="Courier New"/>
          <w:sz w:val="18"/>
          <w:szCs w:val="18"/>
          <w:b w:val="1"/>
          <w:bCs w:val="1"/>
          <w:color w:val="auto"/>
        </w:rPr>
        <w:t>Thousands of</w:t>
        <w:tab/>
        <w:t>Dollars</w:t>
      </w:r>
      <w:r>
        <w:rPr>
          <w:sz w:val="20"/>
          <w:szCs w:val="20"/>
          <w:color w:val="auto"/>
        </w:rPr>
        <w:tab/>
      </w:r>
      <w:r>
        <w:rPr>
          <w:rFonts w:ascii="Courier New" w:cs="Courier New" w:eastAsia="Courier New" w:hAnsi="Courier New"/>
          <w:sz w:val="16"/>
          <w:szCs w:val="16"/>
          <w:b w:val="1"/>
          <w:bCs w:val="1"/>
          <w:color w:val="auto"/>
        </w:rPr>
        <w:t>(Unaudited)</w:t>
      </w:r>
    </w:p>
    <w:p>
      <w:pPr>
        <w:ind w:left="220" w:hanging="212"/>
        <w:spacing w:after="0"/>
        <w:tabs>
          <w:tab w:leader="none" w:pos="220" w:val="left"/>
        </w:tabs>
        <w:numPr>
          <w:ilvl w:val="0"/>
          <w:numId w:val="2"/>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Assets</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color w:val="auto"/>
        </w:rPr>
        <w:t>Current assets:</w:t>
      </w:r>
    </w:p>
    <w:tbl>
      <w:tblPr>
        <w:tblLayout w:type="fixed"/>
        <w:tblInd w:w="0" w:type="dxa"/>
        <w:tblCellMar>
          <w:top w:w="0" w:type="dxa"/>
          <w:left w:w="0" w:type="dxa"/>
          <w:bottom w:w="0" w:type="dxa"/>
          <w:right w:w="0" w:type="dxa"/>
        </w:tblCellMar>
      </w:tblPr>
      <w:tr>
        <w:trPr>
          <w:trHeight w:val="171"/>
        </w:trPr>
        <w:tc>
          <w:tcPr>
            <w:tcW w:w="512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Cash and cash equivalents</w:t>
            </w:r>
          </w:p>
        </w:tc>
        <w:tc>
          <w:tcPr>
            <w:tcW w:w="116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  3,710</w:t>
            </w:r>
          </w:p>
        </w:tc>
        <w:tc>
          <w:tcPr>
            <w:tcW w:w="10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3,024</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24,832</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net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23,418</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4,955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4,343</w:t>
            </w:r>
          </w:p>
        </w:tc>
        <w:tc>
          <w:tcPr>
            <w:tcW w:w="0" w:type="dxa"/>
            <w:vAlign w:val="bottom"/>
          </w:tcPr>
          <w:p>
            <w:pPr>
              <w:spacing w:after="0"/>
              <w:rPr>
                <w:sz w:val="1"/>
                <w:szCs w:val="1"/>
                <w:color w:val="auto"/>
              </w:rPr>
            </w:pPr>
          </w:p>
        </w:tc>
      </w:tr>
      <w:tr>
        <w:trPr>
          <w:trHeight w:val="203"/>
        </w:trPr>
        <w:tc>
          <w:tcPr>
            <w:tcW w:w="51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20" w:type="dxa"/>
            <w:vAlign w:val="bottom"/>
            <w:vMerge w:val="continue"/>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62,162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55,617</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84,756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82,770</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4,348</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41,265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40,282</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5,027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5,118</w:t>
            </w:r>
          </w:p>
        </w:tc>
        <w:tc>
          <w:tcPr>
            <w:tcW w:w="0" w:type="dxa"/>
            <w:vAlign w:val="bottom"/>
          </w:tcPr>
          <w:p>
            <w:pPr>
              <w:spacing w:after="0"/>
              <w:rPr>
                <w:sz w:val="1"/>
                <w:szCs w:val="1"/>
                <w:color w:val="auto"/>
              </w:rPr>
            </w:pPr>
          </w:p>
        </w:tc>
      </w:tr>
      <w:tr>
        <w:trPr>
          <w:trHeight w:val="203"/>
        </w:trPr>
        <w:tc>
          <w:tcPr>
            <w:tcW w:w="51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$196,838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$188,135</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b w:val="1"/>
                <w:bCs w:val="1"/>
                <w:color w:val="auto"/>
              </w:rPr>
              <w:t>Liabilities and Stockholders' Equity</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$ 18,480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$ 14,552</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Bank overdraft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1,141</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&amp; wages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3,813</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3,421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2,377</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Payable to affiliates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1,277</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portion of long-term notes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9,129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7,576</w:t>
            </w:r>
          </w:p>
        </w:tc>
        <w:tc>
          <w:tcPr>
            <w:tcW w:w="0" w:type="dxa"/>
            <w:vAlign w:val="bottom"/>
          </w:tcPr>
          <w:p>
            <w:pPr>
              <w:spacing w:after="0"/>
              <w:rPr>
                <w:sz w:val="1"/>
                <w:szCs w:val="1"/>
                <w:color w:val="auto"/>
              </w:rPr>
            </w:pPr>
          </w:p>
        </w:tc>
      </w:tr>
      <w:tr>
        <w:trPr>
          <w:trHeight w:val="203"/>
        </w:trPr>
        <w:tc>
          <w:tcPr>
            <w:tcW w:w="51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20" w:type="dxa"/>
            <w:vAlign w:val="bottom"/>
            <w:vMerge w:val="continue"/>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46,457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37,736</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subsidiaries</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36,104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30,932</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deferred tax liability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6,499</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37,957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47,661</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pension</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3,315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2,390</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w:t>
            </w:r>
          </w:p>
        </w:tc>
        <w:tc>
          <w:tcPr>
            <w:tcW w:w="0" w:type="dxa"/>
            <w:vAlign w:val="bottom"/>
          </w:tcPr>
          <w:p>
            <w:pPr>
              <w:spacing w:after="0"/>
              <w:rPr>
                <w:sz w:val="1"/>
                <w:szCs w:val="1"/>
                <w:color w:val="auto"/>
              </w:rPr>
            </w:pPr>
          </w:p>
        </w:tc>
      </w:tr>
      <w:tr>
        <w:trPr>
          <w:trHeight w:val="203"/>
        </w:trPr>
        <w:tc>
          <w:tcPr>
            <w:tcW w:w="51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20" w:type="dxa"/>
            <w:vAlign w:val="bottom"/>
            <w:vMerge w:val="continue"/>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131,336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126,096</w:t>
            </w:r>
          </w:p>
        </w:tc>
        <w:tc>
          <w:tcPr>
            <w:tcW w:w="0" w:type="dxa"/>
            <w:vAlign w:val="bottom"/>
          </w:tcPr>
          <w:p>
            <w:pPr>
              <w:spacing w:after="0"/>
              <w:rPr>
                <w:sz w:val="1"/>
                <w:szCs w:val="1"/>
                <w:color w:val="auto"/>
              </w:rPr>
            </w:pPr>
          </w:p>
        </w:tc>
      </w:tr>
      <w:tr>
        <w:trPr>
          <w:trHeight w:val="311"/>
        </w:trPr>
        <w:tc>
          <w:tcPr>
            <w:tcW w:w="5120" w:type="dxa"/>
            <w:vAlign w:val="bottom"/>
          </w:tcPr>
          <w:p>
            <w:pPr>
              <w:ind w:left="540"/>
              <w:spacing w:after="0"/>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65,502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62,039</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12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$196,838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$188,135</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b w:val="1"/>
          <w:bCs w:val="1"/>
          <w:color w:val="auto"/>
        </w:rPr>
        <w:t>See accompanying notes.</w:t>
      </w:r>
    </w:p>
    <w:p>
      <w:pPr>
        <w:sectPr>
          <w:pgSz w:w="11900" w:h="16838" w:orient="portrait"/>
          <w:cols w:equalWidth="0" w:num="1">
            <w:col w:w="10219"/>
          </w:cols>
          <w:pgMar w:left="240" w:top="108" w:right="14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08" w:right="1440" w:bottom="6" w:gutter="0" w:footer="0" w:header="0"/>
          <w:type w:val="continuous"/>
        </w:sectPr>
      </w:pPr>
    </w:p>
    <w:bookmarkStart w:id="3" w:name="page4"/>
    <w:bookmarkEnd w:id="3"/>
    <w:p>
      <w:pPr>
        <w:jc w:val="center"/>
        <w:ind w:right="2000"/>
        <w:spacing w:after="0"/>
        <w:rPr>
          <w:sz w:val="20"/>
          <w:szCs w:val="20"/>
          <w:color w:val="auto"/>
        </w:rPr>
      </w:pPr>
      <w:r>
        <w:rPr>
          <w:rFonts w:ascii="Courier New" w:cs="Courier New" w:eastAsia="Courier New" w:hAnsi="Courier New"/>
          <w:sz w:val="18"/>
          <w:szCs w:val="18"/>
          <w:b w:val="1"/>
          <w:bCs w:val="1"/>
          <w:color w:val="auto"/>
        </w:rPr>
        <w:t>NN, Inc.</w:t>
      </w:r>
    </w:p>
    <w:p>
      <w:pPr>
        <w:spacing w:after="0" w:line="65"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b w:val="1"/>
          <w:bCs w:val="1"/>
          <w:color w:val="auto"/>
        </w:rPr>
        <w:t>Consolidated Statements of Changes in Stockholders' Equity</w:t>
      </w:r>
    </w:p>
    <w:tbl>
      <w:tblPr>
        <w:tblLayout w:type="fixed"/>
        <w:tblInd w:w="0" w:type="dxa"/>
        <w:tblCellMar>
          <w:top w:w="0" w:type="dxa"/>
          <w:left w:w="0" w:type="dxa"/>
          <w:bottom w:w="0" w:type="dxa"/>
          <w:right w:w="0" w:type="dxa"/>
        </w:tblCellMar>
      </w:tblPr>
      <w:tr>
        <w:trPr>
          <w:trHeight w:val="338"/>
        </w:trPr>
        <w:tc>
          <w:tcPr>
            <w:tcW w:w="5480" w:type="dxa"/>
            <w:vAlign w:val="bottom"/>
            <w:gridSpan w:val="2"/>
          </w:tcPr>
          <w:p>
            <w:pPr>
              <w:ind w:left="3700"/>
              <w:spacing w:after="0"/>
              <w:rPr>
                <w:sz w:val="20"/>
                <w:szCs w:val="20"/>
                <w:color w:val="auto"/>
              </w:rPr>
            </w:pPr>
            <w:r>
              <w:rPr>
                <w:rFonts w:ascii="Courier New" w:cs="Courier New" w:eastAsia="Courier New" w:hAnsi="Courier New"/>
                <w:sz w:val="18"/>
                <w:szCs w:val="18"/>
                <w:b w:val="1"/>
                <w:bCs w:val="1"/>
                <w:color w:val="auto"/>
              </w:rPr>
              <w:t>(Unaudited)</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80" w:type="dxa"/>
            <w:vAlign w:val="bottom"/>
            <w:gridSpan w:val="2"/>
          </w:tcPr>
          <w:p>
            <w:pPr>
              <w:ind w:left="3800"/>
              <w:spacing w:after="0"/>
              <w:rPr>
                <w:sz w:val="20"/>
                <w:szCs w:val="20"/>
                <w:color w:val="auto"/>
              </w:rPr>
            </w:pPr>
            <w:r>
              <w:rPr>
                <w:rFonts w:ascii="Courier New" w:cs="Courier New" w:eastAsia="Courier New" w:hAnsi="Courier New"/>
                <w:sz w:val="18"/>
                <w:szCs w:val="18"/>
                <w:b w:val="1"/>
                <w:bCs w:val="1"/>
                <w:color w:val="auto"/>
              </w:rPr>
              <w:t>Common Stock</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vMerge w:val="restart"/>
          </w:tcPr>
          <w:p>
            <w:pPr>
              <w:jc w:val="right"/>
              <w:ind w:right="72"/>
              <w:spacing w:after="0"/>
              <w:rPr>
                <w:sz w:val="20"/>
                <w:szCs w:val="20"/>
                <w:color w:val="auto"/>
              </w:rPr>
            </w:pPr>
            <w:r>
              <w:rPr>
                <w:rFonts w:ascii="Courier New" w:cs="Courier New" w:eastAsia="Courier New" w:hAnsi="Courier New"/>
                <w:sz w:val="18"/>
                <w:szCs w:val="18"/>
                <w:b w:val="1"/>
                <w:bCs w:val="1"/>
                <w:color w:val="auto"/>
              </w:rPr>
              <w:t>Accumulated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448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Thousands of Dollars</w:t>
            </w:r>
          </w:p>
        </w:tc>
        <w:tc>
          <w:tcPr>
            <w:tcW w:w="1000" w:type="dxa"/>
            <w:vAlign w:val="bottom"/>
          </w:tcPr>
          <w:p>
            <w:pPr>
              <w:spacing w:after="0"/>
              <w:rPr>
                <w:sz w:val="6"/>
                <w:szCs w:val="6"/>
                <w:color w:val="auto"/>
              </w:rPr>
            </w:pPr>
          </w:p>
        </w:tc>
        <w:tc>
          <w:tcPr>
            <w:tcW w:w="1420" w:type="dxa"/>
            <w:vAlign w:val="bottom"/>
            <w:vMerge w:val="restart"/>
          </w:tcPr>
          <w:p>
            <w:pPr>
              <w:ind w:left="320"/>
              <w:spacing w:after="0"/>
              <w:rPr>
                <w:sz w:val="20"/>
                <w:szCs w:val="20"/>
                <w:color w:val="auto"/>
              </w:rPr>
            </w:pPr>
            <w:r>
              <w:rPr>
                <w:rFonts w:ascii="Courier New" w:cs="Courier New" w:eastAsia="Courier New" w:hAnsi="Courier New"/>
                <w:sz w:val="18"/>
                <w:szCs w:val="18"/>
                <w:b w:val="1"/>
                <w:bCs w:val="1"/>
                <w:color w:val="auto"/>
                <w:w w:val="99"/>
              </w:rPr>
              <w:t>Additional</w:t>
            </w:r>
          </w:p>
        </w:tc>
        <w:tc>
          <w:tcPr>
            <w:tcW w:w="100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000" w:type="dxa"/>
            <w:vAlign w:val="bottom"/>
            <w:vMerge w:val="restart"/>
          </w:tcPr>
          <w:p>
            <w:pPr>
              <w:ind w:left="160"/>
              <w:spacing w:after="0"/>
              <w:rPr>
                <w:sz w:val="20"/>
                <w:szCs w:val="20"/>
                <w:color w:val="auto"/>
              </w:rPr>
            </w:pPr>
            <w:r>
              <w:rPr>
                <w:rFonts w:ascii="Courier New" w:cs="Courier New" w:eastAsia="Courier New" w:hAnsi="Courier New"/>
                <w:sz w:val="18"/>
                <w:szCs w:val="18"/>
                <w:b w:val="1"/>
                <w:bCs w:val="1"/>
                <w:color w:val="auto"/>
              </w:rPr>
              <w:t>Par</w:t>
            </w:r>
          </w:p>
        </w:tc>
        <w:tc>
          <w:tcPr>
            <w:tcW w:w="1420" w:type="dxa"/>
            <w:vAlign w:val="bottom"/>
            <w:vMerge w:val="continue"/>
          </w:tcPr>
          <w:p>
            <w:pPr>
              <w:spacing w:after="0"/>
              <w:rPr>
                <w:sz w:val="17"/>
                <w:szCs w:val="17"/>
                <w:color w:val="auto"/>
              </w:rPr>
            </w:pPr>
          </w:p>
        </w:tc>
        <w:tc>
          <w:tcPr>
            <w:tcW w:w="1000" w:type="dxa"/>
            <w:vAlign w:val="bottom"/>
            <w:vMerge w:val="restart"/>
          </w:tcPr>
          <w:p>
            <w:pPr>
              <w:ind w:left="60"/>
              <w:spacing w:after="0"/>
              <w:rPr>
                <w:sz w:val="20"/>
                <w:szCs w:val="20"/>
                <w:color w:val="auto"/>
              </w:rPr>
            </w:pPr>
            <w:r>
              <w:rPr>
                <w:rFonts w:ascii="Courier New" w:cs="Courier New" w:eastAsia="Courier New" w:hAnsi="Courier New"/>
                <w:sz w:val="18"/>
                <w:szCs w:val="18"/>
                <w:b w:val="1"/>
                <w:bCs w:val="1"/>
                <w:color w:val="auto"/>
              </w:rPr>
              <w:t>Retained</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b w:val="1"/>
                <w:bCs w:val="1"/>
                <w:color w:val="auto"/>
              </w:rPr>
              <w:t>Other</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3380"/>
              <w:spacing w:after="0" w:line="203" w:lineRule="exact"/>
              <w:rPr>
                <w:sz w:val="20"/>
                <w:szCs w:val="20"/>
                <w:color w:val="auto"/>
              </w:rPr>
            </w:pPr>
            <w:r>
              <w:rPr>
                <w:rFonts w:ascii="Courier New" w:cs="Courier New" w:eastAsia="Courier New" w:hAnsi="Courier New"/>
                <w:sz w:val="18"/>
                <w:szCs w:val="18"/>
                <w:b w:val="1"/>
                <w:bCs w:val="1"/>
                <w:color w:val="auto"/>
              </w:rPr>
              <w:t>Number of</w:t>
            </w:r>
          </w:p>
        </w:tc>
        <w:tc>
          <w:tcPr>
            <w:tcW w:w="1000" w:type="dxa"/>
            <w:vAlign w:val="bottom"/>
            <w:vMerge w:val="continue"/>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b w:val="1"/>
                <w:bCs w:val="1"/>
                <w:color w:val="auto"/>
              </w:rPr>
              <w:t>paid in</w:t>
            </w:r>
          </w:p>
        </w:tc>
        <w:tc>
          <w:tcPr>
            <w:tcW w:w="1000" w:type="dxa"/>
            <w:vAlign w:val="bottom"/>
            <w:vMerge w:val="continue"/>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Comprehensive</w:t>
            </w:r>
          </w:p>
        </w:tc>
        <w:tc>
          <w:tcPr>
            <w:tcW w:w="580" w:type="dxa"/>
            <w:vAlign w:val="bottom"/>
            <w:vMerge w:val="restart"/>
          </w:tcPr>
          <w:p>
            <w:pPr>
              <w:ind w:left="40"/>
              <w:spacing w:after="0"/>
              <w:rPr>
                <w:sz w:val="20"/>
                <w:szCs w:val="20"/>
                <w:color w:val="auto"/>
              </w:rPr>
            </w:pPr>
            <w:r>
              <w:rPr>
                <w:rFonts w:ascii="Courier New" w:cs="Courier New" w:eastAsia="Courier New" w:hAnsi="Courier New"/>
                <w:sz w:val="18"/>
                <w:szCs w:val="18"/>
                <w:b w:val="1"/>
                <w:bCs w:val="1"/>
                <w:color w:val="auto"/>
                <w:w w:val="96"/>
              </w:rPr>
              <w:t>Total</w:t>
            </w:r>
          </w:p>
        </w:tc>
        <w:tc>
          <w:tcPr>
            <w:tcW w:w="0" w:type="dxa"/>
            <w:vAlign w:val="bottom"/>
          </w:tcPr>
          <w:p>
            <w:pPr>
              <w:spacing w:after="0"/>
              <w:rPr>
                <w:sz w:val="1"/>
                <w:szCs w:val="1"/>
                <w:color w:val="auto"/>
              </w:rPr>
            </w:pPr>
          </w:p>
        </w:tc>
      </w:tr>
      <w:tr>
        <w:trPr>
          <w:trHeight w:val="259"/>
        </w:trPr>
        <w:tc>
          <w:tcPr>
            <w:tcW w:w="4480" w:type="dxa"/>
            <w:vAlign w:val="bottom"/>
          </w:tcPr>
          <w:p>
            <w:pPr>
              <w:ind w:left="3480"/>
              <w:spacing w:after="0"/>
              <w:rPr>
                <w:sz w:val="20"/>
                <w:szCs w:val="20"/>
                <w:color w:val="auto"/>
              </w:rPr>
            </w:pPr>
            <w:r>
              <w:rPr>
                <w:rFonts w:ascii="Courier New" w:cs="Courier New" w:eastAsia="Courier New" w:hAnsi="Courier New"/>
                <w:sz w:val="18"/>
                <w:szCs w:val="18"/>
                <w:b w:val="1"/>
                <w:bCs w:val="1"/>
                <w:color w:val="auto"/>
              </w:rPr>
              <w:t>Shares</w:t>
            </w:r>
          </w:p>
        </w:tc>
        <w:tc>
          <w:tcPr>
            <w:tcW w:w="1000" w:type="dxa"/>
            <w:vAlign w:val="bottom"/>
          </w:tcPr>
          <w:p>
            <w:pPr>
              <w:ind w:left="160"/>
              <w:spacing w:after="0"/>
              <w:rPr>
                <w:sz w:val="20"/>
                <w:szCs w:val="20"/>
                <w:color w:val="auto"/>
              </w:rPr>
            </w:pPr>
            <w:r>
              <w:rPr>
                <w:rFonts w:ascii="Courier New" w:cs="Courier New" w:eastAsia="Courier New" w:hAnsi="Courier New"/>
                <w:sz w:val="18"/>
                <w:szCs w:val="18"/>
                <w:b w:val="1"/>
                <w:bCs w:val="1"/>
                <w:color w:val="auto"/>
              </w:rPr>
              <w:t>Value</w:t>
            </w:r>
          </w:p>
        </w:tc>
        <w:tc>
          <w:tcPr>
            <w:tcW w:w="1420" w:type="dxa"/>
            <w:vAlign w:val="bottom"/>
          </w:tcPr>
          <w:p>
            <w:pPr>
              <w:ind w:left="320"/>
              <w:spacing w:after="0"/>
              <w:rPr>
                <w:sz w:val="20"/>
                <w:szCs w:val="20"/>
                <w:color w:val="auto"/>
              </w:rPr>
            </w:pPr>
            <w:r>
              <w:rPr>
                <w:rFonts w:ascii="Courier New" w:cs="Courier New" w:eastAsia="Courier New" w:hAnsi="Courier New"/>
                <w:sz w:val="18"/>
                <w:szCs w:val="18"/>
                <w:b w:val="1"/>
                <w:bCs w:val="1"/>
                <w:color w:val="auto"/>
              </w:rPr>
              <w:t>capital</w:t>
            </w:r>
          </w:p>
        </w:tc>
        <w:tc>
          <w:tcPr>
            <w:tcW w:w="1000" w:type="dxa"/>
            <w:vAlign w:val="bottom"/>
          </w:tcPr>
          <w:p>
            <w:pPr>
              <w:ind w:left="60"/>
              <w:spacing w:after="0"/>
              <w:rPr>
                <w:sz w:val="20"/>
                <w:szCs w:val="20"/>
                <w:color w:val="auto"/>
              </w:rPr>
            </w:pPr>
            <w:r>
              <w:rPr>
                <w:rFonts w:ascii="Courier New" w:cs="Courier New" w:eastAsia="Courier New" w:hAnsi="Courier New"/>
                <w:sz w:val="18"/>
                <w:szCs w:val="18"/>
                <w:b w:val="1"/>
                <w:bCs w:val="1"/>
                <w:color w:val="auto"/>
              </w:rPr>
              <w:t>Earnings</w:t>
            </w:r>
          </w:p>
        </w:tc>
        <w:tc>
          <w:tcPr>
            <w:tcW w:w="1540" w:type="dxa"/>
            <w:vAlign w:val="bottom"/>
          </w:tcPr>
          <w:p>
            <w:pPr>
              <w:jc w:val="right"/>
              <w:ind w:right="492"/>
              <w:spacing w:after="0"/>
              <w:rPr>
                <w:sz w:val="20"/>
                <w:szCs w:val="20"/>
                <w:color w:val="auto"/>
              </w:rPr>
            </w:pPr>
            <w:r>
              <w:rPr>
                <w:rFonts w:ascii="Courier New" w:cs="Courier New" w:eastAsia="Courier New" w:hAnsi="Courier New"/>
                <w:sz w:val="18"/>
                <w:szCs w:val="18"/>
                <w:b w:val="1"/>
                <w:bCs w:val="1"/>
                <w:color w:val="auto"/>
              </w:rPr>
              <w:t>Loss</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b w:val="1"/>
          <w:bCs w:val="1"/>
          <w:color w:val="auto"/>
        </w:rPr>
        <w:t>- -------------------------------------------------------------------------------------------------</w:t>
      </w: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line="192" w:lineRule="exact"/>
              <w:rPr>
                <w:sz w:val="20"/>
                <w:szCs w:val="20"/>
                <w:color w:val="auto"/>
              </w:rPr>
            </w:pPr>
            <w:r>
              <w:rPr>
                <w:rFonts w:ascii="Courier New" w:cs="Courier New" w:eastAsia="Courier New" w:hAnsi="Courier New"/>
                <w:sz w:val="18"/>
                <w:szCs w:val="18"/>
                <w:color w:val="auto"/>
              </w:rPr>
              <w:t>Balance, January 1, 2001</w:t>
            </w:r>
          </w:p>
        </w:tc>
        <w:tc>
          <w:tcPr>
            <w:tcW w:w="11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15,247</w:t>
            </w:r>
          </w:p>
        </w:tc>
        <w:tc>
          <w:tcPr>
            <w:tcW w:w="42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153</w:t>
            </w:r>
          </w:p>
        </w:tc>
        <w:tc>
          <w:tcPr>
            <w:tcW w:w="11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$ 30,414</w:t>
            </w:r>
          </w:p>
        </w:tc>
        <w:tc>
          <w:tcPr>
            <w:tcW w:w="126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rPr>
              <w:t>$ 36,364</w:t>
            </w:r>
          </w:p>
        </w:tc>
        <w:tc>
          <w:tcPr>
            <w:tcW w:w="12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(1,685)</w:t>
            </w:r>
          </w:p>
        </w:tc>
        <w:tc>
          <w:tcPr>
            <w:tcW w:w="110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$ 65,246</w:t>
            </w:r>
          </w:p>
        </w:tc>
        <w:tc>
          <w:tcPr>
            <w:tcW w:w="0" w:type="dxa"/>
            <w:vAlign w:val="bottom"/>
          </w:tcPr>
          <w:p>
            <w:pPr>
              <w:spacing w:after="0"/>
              <w:rPr>
                <w:sz w:val="1"/>
                <w:szCs w:val="1"/>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issued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spacing w:after="0"/>
              <w:rPr>
                <w:sz w:val="17"/>
                <w:szCs w:val="17"/>
                <w:color w:val="auto"/>
              </w:rPr>
            </w:pP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c>
          <w:tcPr>
            <w:tcW w:w="0" w:type="dxa"/>
            <w:vAlign w:val="bottom"/>
          </w:tcPr>
          <w:p>
            <w:pPr>
              <w:spacing w:after="0"/>
              <w:rPr>
                <w:sz w:val="1"/>
                <w:szCs w:val="1"/>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4,954</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4,954</w:t>
            </w:r>
          </w:p>
        </w:tc>
        <w:tc>
          <w:tcPr>
            <w:tcW w:w="0" w:type="dxa"/>
            <w:vAlign w:val="bottom"/>
          </w:tcPr>
          <w:p>
            <w:pPr>
              <w:spacing w:after="0"/>
              <w:rPr>
                <w:sz w:val="1"/>
                <w:szCs w:val="1"/>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(2,440)</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(2,440)</w:t>
            </w:r>
          </w:p>
        </w:tc>
        <w:tc>
          <w:tcPr>
            <w:tcW w:w="0" w:type="dxa"/>
            <w:vAlign w:val="bottom"/>
          </w:tcPr>
          <w:p>
            <w:pPr>
              <w:spacing w:after="0"/>
              <w:rPr>
                <w:sz w:val="1"/>
                <w:szCs w:val="1"/>
                <w:color w:val="auto"/>
              </w:rPr>
            </w:pP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comprehensive loss</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(3,181)</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Balance, June 30, 2001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15,265</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$ 30,515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$ 38,878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(4,866)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$ 64,680</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Balance, January 1, 2002</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15,317</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$ 30,841</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$ 36,139</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(5,095)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$ 62,039</w:t>
            </w:r>
          </w:p>
        </w:tc>
        <w:tc>
          <w:tcPr>
            <w:tcW w:w="0" w:type="dxa"/>
            <w:vAlign w:val="bottom"/>
          </w:tcPr>
          <w:p>
            <w:pPr>
              <w:spacing w:after="0"/>
              <w:rPr>
                <w:sz w:val="1"/>
                <w:szCs w:val="1"/>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issued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420" w:type="dxa"/>
            <w:vAlign w:val="bottom"/>
          </w:tcPr>
          <w:p>
            <w:pPr>
              <w:spacing w:after="0"/>
              <w:rPr>
                <w:sz w:val="17"/>
                <w:szCs w:val="17"/>
                <w:color w:val="auto"/>
              </w:rPr>
            </w:pP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w:t>
            </w:r>
          </w:p>
        </w:tc>
        <w:tc>
          <w:tcPr>
            <w:tcW w:w="0" w:type="dxa"/>
            <w:vAlign w:val="bottom"/>
          </w:tcPr>
          <w:p>
            <w:pPr>
              <w:spacing w:after="0"/>
              <w:rPr>
                <w:sz w:val="1"/>
                <w:szCs w:val="1"/>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4,258</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4,258</w:t>
            </w:r>
          </w:p>
        </w:tc>
        <w:tc>
          <w:tcPr>
            <w:tcW w:w="0" w:type="dxa"/>
            <w:vAlign w:val="bottom"/>
          </w:tcPr>
          <w:p>
            <w:pPr>
              <w:spacing w:after="0"/>
              <w:rPr>
                <w:sz w:val="1"/>
                <w:szCs w:val="1"/>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(2,457)</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(2,457)</w:t>
            </w:r>
          </w:p>
        </w:tc>
        <w:tc>
          <w:tcPr>
            <w:tcW w:w="0" w:type="dxa"/>
            <w:vAlign w:val="bottom"/>
          </w:tcPr>
          <w:p>
            <w:pPr>
              <w:spacing w:after="0"/>
              <w:rPr>
                <w:sz w:val="1"/>
                <w:szCs w:val="1"/>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comprehensive income</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1,333</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Balance, June 30, 2002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15,367</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$ 31,170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$ 37,940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(3,762)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$ 65,502</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b w:val="1"/>
          <w:bCs w:val="1"/>
          <w:color w:val="auto"/>
        </w:rPr>
        <w:t>See accompanying notes.</w:t>
      </w: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b w:val="1"/>
          <w:bCs w:val="1"/>
          <w:color w:val="auto"/>
        </w:rPr>
        <w:t>NN, Inc.</w:t>
      </w:r>
    </w:p>
    <w:p>
      <w:pPr>
        <w:spacing w:after="0" w:line="65"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b w:val="1"/>
          <w:bCs w:val="1"/>
          <w:color w:val="auto"/>
        </w:rPr>
        <w:t>Consolidated Statements of Cash Flows</w:t>
      </w:r>
    </w:p>
    <w:p>
      <w:pPr>
        <w:jc w:val="center"/>
        <w:ind w:right="1900"/>
        <w:spacing w:after="0"/>
        <w:rPr>
          <w:sz w:val="20"/>
          <w:szCs w:val="20"/>
          <w:color w:val="auto"/>
        </w:rPr>
      </w:pPr>
      <w:r>
        <w:rPr>
          <w:rFonts w:ascii="Courier New" w:cs="Courier New" w:eastAsia="Courier New" w:hAnsi="Courier New"/>
          <w:sz w:val="18"/>
          <w:szCs w:val="18"/>
          <w:b w:val="1"/>
          <w:bCs w:val="1"/>
          <w:color w:val="auto"/>
        </w:rPr>
        <w:t>(Unaudited)</w:t>
      </w:r>
    </w:p>
    <w:p>
      <w:pPr>
        <w:spacing w:after="0" w:line="336" w:lineRule="exact"/>
        <w:rPr>
          <w:sz w:val="20"/>
          <w:szCs w:val="20"/>
          <w:color w:val="auto"/>
        </w:rPr>
      </w:pPr>
    </w:p>
    <w:p>
      <w:pPr>
        <w:jc w:val="center"/>
        <w:ind w:left="4400"/>
        <w:spacing w:after="0"/>
        <w:rPr>
          <w:sz w:val="20"/>
          <w:szCs w:val="20"/>
          <w:color w:val="auto"/>
        </w:rPr>
      </w:pPr>
      <w:r>
        <w:rPr>
          <w:rFonts w:ascii="Courier New" w:cs="Courier New" w:eastAsia="Courier New" w:hAnsi="Courier New"/>
          <w:sz w:val="18"/>
          <w:szCs w:val="18"/>
          <w:b w:val="1"/>
          <w:bCs w:val="1"/>
          <w:color w:val="auto"/>
        </w:rPr>
        <w:t>Six Months Ended</w:t>
      </w:r>
    </w:p>
    <w:p>
      <w:pPr>
        <w:spacing w:after="0" w:line="67" w:lineRule="exact"/>
        <w:rPr>
          <w:sz w:val="20"/>
          <w:szCs w:val="20"/>
          <w:color w:val="auto"/>
        </w:rPr>
      </w:pPr>
    </w:p>
    <w:p>
      <w:pPr>
        <w:jc w:val="center"/>
        <w:ind w:left="4400"/>
        <w:spacing w:after="0"/>
        <w:rPr>
          <w:sz w:val="20"/>
          <w:szCs w:val="20"/>
          <w:color w:val="auto"/>
        </w:rPr>
      </w:pPr>
      <w:r>
        <w:rPr>
          <w:rFonts w:ascii="Courier New" w:cs="Courier New" w:eastAsia="Courier New" w:hAnsi="Courier New"/>
          <w:sz w:val="18"/>
          <w:szCs w:val="18"/>
          <w:b w:val="1"/>
          <w:bCs w:val="1"/>
          <w:color w:val="auto"/>
        </w:rPr>
        <w:t>June 30,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00" w:type="dxa"/>
            <w:vAlign w:val="bottom"/>
          </w:tcPr>
          <w:p>
            <w:pPr>
              <w:spacing w:after="0"/>
              <w:rPr>
                <w:sz w:val="20"/>
                <w:szCs w:val="20"/>
                <w:color w:val="auto"/>
              </w:rPr>
            </w:pPr>
            <w:r>
              <w:rPr>
                <w:rFonts w:ascii="Courier New" w:cs="Courier New" w:eastAsia="Courier New" w:hAnsi="Courier New"/>
                <w:sz w:val="18"/>
                <w:szCs w:val="18"/>
                <w:b w:val="1"/>
                <w:bCs w:val="1"/>
                <w:color w:val="auto"/>
              </w:rPr>
              <w:t>Thousands of  Dollars</w:t>
            </w:r>
          </w:p>
        </w:tc>
        <w:tc>
          <w:tcPr>
            <w:tcW w:w="3420" w:type="dxa"/>
            <w:vAlign w:val="bottom"/>
          </w:tcPr>
          <w:p>
            <w:pPr>
              <w:jc w:val="right"/>
              <w:ind w:right="432"/>
              <w:spacing w:after="0"/>
              <w:rPr>
                <w:sz w:val="20"/>
                <w:szCs w:val="20"/>
                <w:color w:val="auto"/>
              </w:rPr>
            </w:pPr>
            <w:r>
              <w:rPr>
                <w:rFonts w:ascii="Courier New" w:cs="Courier New" w:eastAsia="Courier New" w:hAnsi="Courier New"/>
                <w:sz w:val="18"/>
                <w:szCs w:val="18"/>
                <w:b w:val="1"/>
                <w:bCs w:val="1"/>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2001</w:t>
            </w:r>
          </w:p>
        </w:tc>
      </w:tr>
    </w:tbl>
    <w:p>
      <w:pPr>
        <w:ind w:left="220" w:hanging="212"/>
        <w:spacing w:after="0" w:line="238" w:lineRule="auto"/>
        <w:tabs>
          <w:tab w:leader="none" w:pos="220" w:val="left"/>
        </w:tabs>
        <w:numPr>
          <w:ilvl w:val="0"/>
          <w:numId w:val="3"/>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Operating Activities:</w:t>
      </w:r>
    </w:p>
    <w:tbl>
      <w:tblPr>
        <w:tblLayout w:type="fixed"/>
        <w:tblInd w:w="0" w:type="dxa"/>
        <w:tblCellMar>
          <w:top w:w="0" w:type="dxa"/>
          <w:left w:w="0" w:type="dxa"/>
          <w:bottom w:w="0" w:type="dxa"/>
          <w:right w:w="0" w:type="dxa"/>
        </w:tblCellMar>
      </w:tblPr>
      <w:tr>
        <w:trPr>
          <w:trHeight w:val="171"/>
        </w:trPr>
        <w:tc>
          <w:tcPr>
            <w:tcW w:w="680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172"/>
              <w:spacing w:after="0" w:line="171" w:lineRule="exact"/>
              <w:rPr>
                <w:sz w:val="20"/>
                <w:szCs w:val="20"/>
                <w:color w:val="auto"/>
              </w:rPr>
            </w:pPr>
            <w:r>
              <w:rPr>
                <w:rFonts w:ascii="Courier New" w:cs="Courier New" w:eastAsia="Courier New" w:hAnsi="Courier New"/>
                <w:sz w:val="18"/>
                <w:szCs w:val="18"/>
                <w:color w:val="auto"/>
              </w:rPr>
              <w:t>$  4,258</w:t>
            </w:r>
          </w:p>
        </w:tc>
        <w:tc>
          <w:tcPr>
            <w:tcW w:w="112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  4,954</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5,620</w:t>
            </w:r>
          </w:p>
        </w:tc>
        <w:tc>
          <w:tcPr>
            <w:tcW w:w="11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6,696</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Gain on disposals of property, plant and equipment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earnings of unconsolidated affiliate</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Interest income on receivable from unconsolidated affiliate</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Minority interest in consolidated subsidiary</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1,102</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(5,959)</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(5,150)</w:t>
            </w:r>
          </w:p>
        </w:tc>
        <w:tc>
          <w:tcPr>
            <w:tcW w:w="0" w:type="dxa"/>
            <w:vAlign w:val="bottom"/>
          </w:tcPr>
          <w:p>
            <w:pPr>
              <w:spacing w:after="0"/>
              <w:rPr>
                <w:sz w:val="1"/>
                <w:szCs w:val="1"/>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2,714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337</w:t>
            </w:r>
          </w:p>
        </w:tc>
        <w:tc>
          <w:tcPr>
            <w:tcW w:w="0" w:type="dxa"/>
            <w:vAlign w:val="bottom"/>
          </w:tcPr>
          <w:p>
            <w:pPr>
              <w:spacing w:after="0"/>
              <w:rPr>
                <w:sz w:val="1"/>
                <w:szCs w:val="1"/>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w:t>
            </w:r>
          </w:p>
        </w:tc>
        <w:tc>
          <w:tcPr>
            <w:tcW w:w="0" w:type="dxa"/>
            <w:vAlign w:val="bottom"/>
          </w:tcPr>
          <w:p>
            <w:pPr>
              <w:spacing w:after="0"/>
              <w:rPr>
                <w:sz w:val="1"/>
                <w:szCs w:val="1"/>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c>
          <w:tcPr>
            <w:tcW w:w="0" w:type="dxa"/>
            <w:vAlign w:val="bottom"/>
          </w:tcPr>
          <w:p>
            <w:pPr>
              <w:spacing w:after="0"/>
              <w:rPr>
                <w:sz w:val="1"/>
                <w:szCs w:val="1"/>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3,153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3,683</w:t>
            </w:r>
          </w:p>
        </w:tc>
        <w:tc>
          <w:tcPr>
            <w:tcW w:w="0" w:type="dxa"/>
            <w:vAlign w:val="bottom"/>
          </w:tcPr>
          <w:p>
            <w:pPr>
              <w:spacing w:after="0"/>
              <w:rPr>
                <w:sz w:val="1"/>
                <w:szCs w:val="1"/>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1,716</w:t>
            </w:r>
          </w:p>
        </w:tc>
        <w:tc>
          <w:tcPr>
            <w:tcW w:w="0" w:type="dxa"/>
            <w:vAlign w:val="bottom"/>
          </w:tcPr>
          <w:p>
            <w:pPr>
              <w:spacing w:after="0"/>
              <w:rPr>
                <w:sz w:val="1"/>
                <w:szCs w:val="1"/>
                <w:color w:val="auto"/>
              </w:rPr>
            </w:pPr>
          </w:p>
        </w:tc>
      </w:tr>
      <w:tr>
        <w:trPr>
          <w:trHeight w:val="203"/>
        </w:trPr>
        <w:tc>
          <w:tcPr>
            <w:tcW w:w="6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w:t>
            </w:r>
          </w:p>
        </w:tc>
        <w:tc>
          <w:tcPr>
            <w:tcW w:w="0" w:type="dxa"/>
            <w:vAlign w:val="bottom"/>
          </w:tcPr>
          <w:p>
            <w:pPr>
              <w:spacing w:after="0"/>
              <w:rPr>
                <w:sz w:val="1"/>
                <w:szCs w:val="1"/>
                <w:color w:val="auto"/>
              </w:rPr>
            </w:pPr>
          </w:p>
        </w:tc>
      </w:tr>
      <w:tr>
        <w:trPr>
          <w:trHeight w:val="203"/>
        </w:trPr>
        <w:tc>
          <w:tcPr>
            <w:tcW w:w="68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78"/>
        </w:trPr>
        <w:tc>
          <w:tcPr>
            <w:tcW w:w="6800" w:type="dxa"/>
            <w:vAlign w:val="bottom"/>
            <w:vMerge w:val="continue"/>
          </w:tcPr>
          <w:p>
            <w:pPr>
              <w:spacing w:after="0"/>
              <w:rPr>
                <w:sz w:val="15"/>
                <w:szCs w:val="15"/>
                <w:color w:val="auto"/>
              </w:rPr>
            </w:pPr>
          </w:p>
        </w:tc>
        <w:tc>
          <w:tcPr>
            <w:tcW w:w="1260" w:type="dxa"/>
            <w:vAlign w:val="bottom"/>
          </w:tcPr>
          <w:p>
            <w:pPr>
              <w:jc w:val="right"/>
              <w:ind w:right="172"/>
              <w:spacing w:after="0" w:line="178" w:lineRule="exact"/>
              <w:rPr>
                <w:sz w:val="20"/>
                <w:szCs w:val="20"/>
                <w:color w:val="auto"/>
              </w:rPr>
            </w:pPr>
            <w:r>
              <w:rPr>
                <w:rFonts w:ascii="Courier New" w:cs="Courier New" w:eastAsia="Courier New" w:hAnsi="Courier New"/>
                <w:sz w:val="18"/>
                <w:szCs w:val="18"/>
                <w:color w:val="auto"/>
              </w:rPr>
              <w:t>15,018</w:t>
            </w:r>
          </w:p>
        </w:tc>
        <w:tc>
          <w:tcPr>
            <w:tcW w:w="1120" w:type="dxa"/>
            <w:vAlign w:val="bottom"/>
          </w:tcPr>
          <w:p>
            <w:pPr>
              <w:jc w:val="right"/>
              <w:ind w:right="32"/>
              <w:spacing w:after="0" w:line="178" w:lineRule="exact"/>
              <w:rPr>
                <w:sz w:val="20"/>
                <w:szCs w:val="20"/>
                <w:color w:val="auto"/>
              </w:rPr>
            </w:pPr>
            <w:r>
              <w:rPr>
                <w:rFonts w:ascii="Courier New" w:cs="Courier New" w:eastAsia="Courier New" w:hAnsi="Courier New"/>
                <w:sz w:val="18"/>
                <w:szCs w:val="18"/>
                <w:color w:val="auto"/>
              </w:rPr>
              <w:t>13,074</w:t>
            </w:r>
          </w:p>
        </w:tc>
        <w:tc>
          <w:tcPr>
            <w:tcW w:w="0" w:type="dxa"/>
            <w:vAlign w:val="bottom"/>
          </w:tcPr>
          <w:p>
            <w:pPr>
              <w:spacing w:after="0"/>
              <w:rPr>
                <w:sz w:val="1"/>
                <w:szCs w:val="1"/>
                <w:color w:val="auto"/>
              </w:rPr>
            </w:pPr>
          </w:p>
        </w:tc>
      </w:tr>
      <w:tr>
        <w:trPr>
          <w:trHeight w:val="338"/>
        </w:trPr>
        <w:tc>
          <w:tcPr>
            <w:tcW w:w="6800" w:type="dxa"/>
            <w:vAlign w:val="bottom"/>
            <w:vMerge w:val="restart"/>
          </w:tcPr>
          <w:p>
            <w:pPr>
              <w:spacing w:after="0"/>
              <w:rPr>
                <w:sz w:val="20"/>
                <w:szCs w:val="20"/>
                <w:color w:val="auto"/>
              </w:rPr>
            </w:pPr>
            <w:r>
              <w:rPr>
                <w:rFonts w:ascii="Courier New" w:cs="Courier New" w:eastAsia="Courier New" w:hAnsi="Courier New"/>
                <w:sz w:val="18"/>
                <w:szCs w:val="18"/>
                <w:b w:val="1"/>
                <w:bCs w:val="1"/>
                <w:color w:val="auto"/>
              </w:rPr>
              <w:t>Investing Activities: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b w:val="1"/>
                <w:bCs w:val="1"/>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b w:val="1"/>
                <w:bCs w:val="1"/>
                <w:color w:val="auto"/>
              </w:rPr>
              <w:t>--------</w:t>
            </w:r>
          </w:p>
        </w:tc>
        <w:tc>
          <w:tcPr>
            <w:tcW w:w="0" w:type="dxa"/>
            <w:vAlign w:val="bottom"/>
          </w:tcPr>
          <w:p>
            <w:pPr>
              <w:spacing w:after="0"/>
              <w:rPr>
                <w:sz w:val="1"/>
                <w:szCs w:val="1"/>
                <w:color w:val="auto"/>
              </w:rPr>
            </w:pPr>
          </w:p>
        </w:tc>
      </w:tr>
      <w:tr>
        <w:trPr>
          <w:trHeight w:val="91"/>
        </w:trPr>
        <w:tc>
          <w:tcPr>
            <w:tcW w:w="6800" w:type="dxa"/>
            <w:vAlign w:val="bottom"/>
            <w:vMerge w:val="continue"/>
          </w:tcPr>
          <w:p>
            <w:pPr>
              <w:spacing w:after="0"/>
              <w:rPr>
                <w:sz w:val="7"/>
                <w:szCs w:val="7"/>
                <w:color w:val="auto"/>
              </w:rPr>
            </w:pPr>
          </w:p>
        </w:tc>
        <w:tc>
          <w:tcPr>
            <w:tcW w:w="12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(23,674)</w:t>
            </w: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Delta Rubber Company, net of cash acquired</w:t>
            </w:r>
          </w:p>
        </w:tc>
        <w:tc>
          <w:tcPr>
            <w:tcW w:w="12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property, plant, and equipment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(2,939)</w:t>
            </w: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disposals of property, plant and equipment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used by investing activities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78"/>
        </w:trPr>
        <w:tc>
          <w:tcPr>
            <w:tcW w:w="6800" w:type="dxa"/>
            <w:vAlign w:val="bottom"/>
            <w:vMerge w:val="continue"/>
          </w:tcPr>
          <w:p>
            <w:pPr>
              <w:spacing w:after="0"/>
              <w:rPr>
                <w:sz w:val="15"/>
                <w:szCs w:val="15"/>
                <w:color w:val="auto"/>
              </w:rPr>
            </w:pPr>
          </w:p>
        </w:tc>
        <w:tc>
          <w:tcPr>
            <w:tcW w:w="1260" w:type="dxa"/>
            <w:vAlign w:val="bottom"/>
          </w:tcPr>
          <w:p>
            <w:pPr>
              <w:jc w:val="right"/>
              <w:ind w:right="72"/>
              <w:spacing w:after="0" w:line="178" w:lineRule="exact"/>
              <w:rPr>
                <w:sz w:val="20"/>
                <w:szCs w:val="20"/>
                <w:color w:val="auto"/>
              </w:rPr>
            </w:pPr>
            <w:r>
              <w:rPr>
                <w:rFonts w:ascii="Courier New" w:cs="Courier New" w:eastAsia="Courier New" w:hAnsi="Courier New"/>
                <w:sz w:val="18"/>
                <w:szCs w:val="18"/>
                <w:color w:val="auto"/>
              </w:rPr>
              <w:t>(1,819)</w:t>
            </w:r>
          </w:p>
        </w:tc>
        <w:tc>
          <w:tcPr>
            <w:tcW w:w="112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rPr>
              <w:t>(26,613)</w:t>
            </w:r>
          </w:p>
        </w:tc>
        <w:tc>
          <w:tcPr>
            <w:tcW w:w="0" w:type="dxa"/>
            <w:vAlign w:val="bottom"/>
          </w:tcPr>
          <w:p>
            <w:pPr>
              <w:spacing w:after="0"/>
              <w:rPr>
                <w:sz w:val="1"/>
                <w:szCs w:val="1"/>
                <w:color w:val="auto"/>
              </w:rPr>
            </w:pPr>
          </w:p>
        </w:tc>
      </w:tr>
      <w:tr>
        <w:trPr>
          <w:trHeight w:val="338"/>
        </w:trPr>
        <w:tc>
          <w:tcPr>
            <w:tcW w:w="680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b w:val="1"/>
                <w:bCs w:val="1"/>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1">
            <w:col w:w="10440"/>
          </w:cols>
          <w:pgMar w:left="240" w:top="682" w:right="121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8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Financing Activities:</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21,066</w:t>
            </w:r>
          </w:p>
        </w:tc>
        <w:tc>
          <w:tcPr>
            <w:tcW w:w="0" w:type="dxa"/>
            <w:vAlign w:val="bottom"/>
          </w:tcPr>
          <w:p>
            <w:pPr>
              <w:spacing w:after="0"/>
              <w:rPr>
                <w:sz w:val="1"/>
                <w:szCs w:val="1"/>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proceeds</w:t>
            </w:r>
          </w:p>
        </w:tc>
        <w:tc>
          <w:tcPr>
            <w:tcW w:w="5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under revolving credit facility</w:t>
            </w:r>
          </w:p>
        </w:tc>
        <w:tc>
          <w:tcPr>
            <w:tcW w:w="15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Increase (decrease) in bank overdraft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336</w:t>
            </w:r>
          </w:p>
        </w:tc>
        <w:tc>
          <w:tcPr>
            <w:tcW w:w="0" w:type="dxa"/>
            <w:vAlign w:val="bottom"/>
          </w:tcPr>
          <w:p>
            <w:pPr>
              <w:spacing w:after="0"/>
              <w:rPr>
                <w:sz w:val="1"/>
                <w:szCs w:val="1"/>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Repayment of</w:t>
            </w:r>
          </w:p>
        </w:tc>
        <w:tc>
          <w:tcPr>
            <w:tcW w:w="5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(10,683)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(4,456)</w:t>
            </w:r>
          </w:p>
        </w:tc>
        <w:tc>
          <w:tcPr>
            <w:tcW w:w="0" w:type="dxa"/>
            <w:vAlign w:val="bottom"/>
          </w:tcPr>
          <w:p>
            <w:pPr>
              <w:spacing w:after="0"/>
              <w:rPr>
                <w:sz w:val="1"/>
                <w:szCs w:val="1"/>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Repayment of</w:t>
            </w:r>
          </w:p>
        </w:tc>
        <w:tc>
          <w:tcPr>
            <w:tcW w:w="5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short-term debt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03"/>
        </w:trPr>
        <w:tc>
          <w:tcPr>
            <w:tcW w:w="6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 of stock</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329</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w:t>
            </w:r>
          </w:p>
        </w:tc>
        <w:tc>
          <w:tcPr>
            <w:tcW w:w="0" w:type="dxa"/>
            <w:vAlign w:val="bottom"/>
          </w:tcPr>
          <w:p>
            <w:pPr>
              <w:spacing w:after="0"/>
              <w:rPr>
                <w:sz w:val="1"/>
                <w:szCs w:val="1"/>
                <w:color w:val="auto"/>
              </w:rPr>
            </w:pPr>
          </w:p>
        </w:tc>
      </w:tr>
      <w:tr>
        <w:trPr>
          <w:trHeight w:val="203"/>
        </w:trPr>
        <w:tc>
          <w:tcPr>
            <w:tcW w:w="6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Dividends paid</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(2,440)</w:t>
            </w:r>
          </w:p>
        </w:tc>
        <w:tc>
          <w:tcPr>
            <w:tcW w:w="0" w:type="dxa"/>
            <w:vAlign w:val="bottom"/>
          </w:tcPr>
          <w:p>
            <w:pPr>
              <w:spacing w:after="0"/>
              <w:rPr>
                <w:sz w:val="1"/>
                <w:szCs w:val="1"/>
                <w:color w:val="auto"/>
              </w:rPr>
            </w:pPr>
          </w:p>
        </w:tc>
      </w:tr>
      <w:tr>
        <w:trPr>
          <w:trHeight w:val="203"/>
        </w:trPr>
        <w:tc>
          <w:tcPr>
            <w:tcW w:w="6480" w:type="dxa"/>
            <w:vAlign w:val="bottom"/>
            <w:gridSpan w:val="2"/>
            <w:vMerge w:val="restart"/>
          </w:tcPr>
          <w:p>
            <w:pPr>
              <w:ind w:left="960"/>
              <w:spacing w:after="0"/>
              <w:rPr>
                <w:sz w:val="20"/>
                <w:szCs w:val="20"/>
                <w:color w:val="auto"/>
              </w:rPr>
            </w:pPr>
            <w:r>
              <w:rPr>
                <w:rFonts w:ascii="Courier New" w:cs="Courier New" w:eastAsia="Courier New" w:hAnsi="Courier New"/>
                <w:sz w:val="18"/>
                <w:szCs w:val="18"/>
                <w:color w:val="auto"/>
              </w:rPr>
              <w:t>Net cash provided (used) by financing activities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gridSpan w:val="2"/>
            <w:vMerge w:val="continue"/>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(12,894)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12,607</w:t>
            </w:r>
          </w:p>
        </w:tc>
        <w:tc>
          <w:tcPr>
            <w:tcW w:w="0" w:type="dxa"/>
            <w:vAlign w:val="bottom"/>
          </w:tcPr>
          <w:p>
            <w:pPr>
              <w:spacing w:after="0"/>
              <w:rPr>
                <w:sz w:val="1"/>
                <w:szCs w:val="1"/>
                <w:color w:val="auto"/>
              </w:rPr>
            </w:pPr>
          </w:p>
        </w:tc>
      </w:tr>
      <w:tr>
        <w:trPr>
          <w:trHeight w:val="203"/>
        </w:trPr>
        <w:tc>
          <w:tcPr>
            <w:tcW w:w="64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480" w:type="dxa"/>
            <w:vAlign w:val="bottom"/>
            <w:gridSpan w:val="2"/>
            <w:vMerge w:val="continue"/>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381</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(712)</w:t>
            </w:r>
          </w:p>
        </w:tc>
        <w:tc>
          <w:tcPr>
            <w:tcW w:w="0" w:type="dxa"/>
            <w:vAlign w:val="bottom"/>
          </w:tcPr>
          <w:p>
            <w:pPr>
              <w:spacing w:after="0"/>
              <w:rPr>
                <w:sz w:val="1"/>
                <w:szCs w:val="1"/>
                <w:color w:val="auto"/>
              </w:rPr>
            </w:pPr>
          </w:p>
        </w:tc>
      </w:tr>
      <w:tr>
        <w:trPr>
          <w:trHeight w:val="287"/>
        </w:trPr>
        <w:tc>
          <w:tcPr>
            <w:tcW w:w="1440" w:type="dxa"/>
            <w:vAlign w:val="bottom"/>
          </w:tcPr>
          <w:p>
            <w:pPr>
              <w:jc w:val="right"/>
              <w:spacing w:after="0"/>
              <w:rPr>
                <w:sz w:val="20"/>
                <w:szCs w:val="20"/>
                <w:color w:val="auto"/>
              </w:rPr>
            </w:pPr>
            <w:r>
              <w:rPr>
                <w:rFonts w:ascii="Courier New" w:cs="Courier New" w:eastAsia="Courier New" w:hAnsi="Courier New"/>
                <w:sz w:val="18"/>
                <w:szCs w:val="18"/>
                <w:b w:val="1"/>
                <w:bCs w:val="1"/>
                <w:color w:val="auto"/>
                <w:w w:val="96"/>
              </w:rPr>
              <w:t>Net Change in</w:t>
            </w:r>
          </w:p>
        </w:tc>
        <w:tc>
          <w:tcPr>
            <w:tcW w:w="5040" w:type="dxa"/>
            <w:vAlign w:val="bottom"/>
          </w:tcPr>
          <w:p>
            <w:pPr>
              <w:ind w:left="40"/>
              <w:spacing w:after="0"/>
              <w:rPr>
                <w:sz w:val="20"/>
                <w:szCs w:val="20"/>
                <w:color w:val="auto"/>
              </w:rPr>
            </w:pPr>
            <w:r>
              <w:rPr>
                <w:rFonts w:ascii="Courier New" w:cs="Courier New" w:eastAsia="Courier New" w:hAnsi="Courier New"/>
                <w:sz w:val="18"/>
                <w:szCs w:val="18"/>
                <w:b w:val="1"/>
                <w:bCs w:val="1"/>
                <w:color w:val="auto"/>
              </w:rPr>
              <w:t>Cash and Cash Equivalents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686</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(1,644)</w:t>
            </w:r>
          </w:p>
        </w:tc>
        <w:tc>
          <w:tcPr>
            <w:tcW w:w="0" w:type="dxa"/>
            <w:vAlign w:val="bottom"/>
          </w:tcPr>
          <w:p>
            <w:pPr>
              <w:spacing w:after="0"/>
              <w:rPr>
                <w:sz w:val="1"/>
                <w:szCs w:val="1"/>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w w:val="96"/>
              </w:rPr>
              <w:t>Cash and Cash</w:t>
            </w:r>
          </w:p>
        </w:tc>
        <w:tc>
          <w:tcPr>
            <w:tcW w:w="5040" w:type="dxa"/>
            <w:vAlign w:val="bottom"/>
          </w:tcPr>
          <w:p>
            <w:pPr>
              <w:ind w:left="40"/>
              <w:spacing w:after="0" w:line="203" w:lineRule="exact"/>
              <w:rPr>
                <w:sz w:val="20"/>
                <w:szCs w:val="20"/>
                <w:color w:val="auto"/>
              </w:rPr>
            </w:pPr>
            <w:r>
              <w:rPr>
                <w:rFonts w:ascii="Courier New" w:cs="Courier New" w:eastAsia="Courier New" w:hAnsi="Courier New"/>
                <w:sz w:val="18"/>
                <w:szCs w:val="18"/>
                <w:b w:val="1"/>
                <w:bCs w:val="1"/>
                <w:color w:val="auto"/>
              </w:rPr>
              <w:t>Equivalents at Beginning of Period</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3,024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8,273</w:t>
            </w:r>
          </w:p>
        </w:tc>
        <w:tc>
          <w:tcPr>
            <w:tcW w:w="0" w:type="dxa"/>
            <w:vAlign w:val="bottom"/>
          </w:tcPr>
          <w:p>
            <w:pPr>
              <w:spacing w:after="0"/>
              <w:rPr>
                <w:sz w:val="1"/>
                <w:szCs w:val="1"/>
                <w:color w:val="auto"/>
              </w:rPr>
            </w:pPr>
          </w:p>
        </w:tc>
      </w:tr>
      <w:tr>
        <w:trPr>
          <w:trHeight w:val="227"/>
        </w:trPr>
        <w:tc>
          <w:tcPr>
            <w:tcW w:w="1440" w:type="dxa"/>
            <w:vAlign w:val="bottom"/>
            <w:vMerge w:val="restart"/>
          </w:tcPr>
          <w:p>
            <w:pPr>
              <w:jc w:val="right"/>
              <w:spacing w:after="0"/>
              <w:rPr>
                <w:sz w:val="20"/>
                <w:szCs w:val="20"/>
                <w:color w:val="auto"/>
              </w:rPr>
            </w:pPr>
            <w:r>
              <w:rPr>
                <w:rFonts w:ascii="Courier New" w:cs="Courier New" w:eastAsia="Courier New" w:hAnsi="Courier New"/>
                <w:sz w:val="18"/>
                <w:szCs w:val="18"/>
                <w:b w:val="1"/>
                <w:bCs w:val="1"/>
                <w:color w:val="auto"/>
                <w:w w:val="96"/>
              </w:rPr>
              <w:t>Cash and Cash</w:t>
            </w:r>
          </w:p>
        </w:tc>
        <w:tc>
          <w:tcPr>
            <w:tcW w:w="5040" w:type="dxa"/>
            <w:vAlign w:val="bottom"/>
            <w:vMerge w:val="restart"/>
          </w:tcPr>
          <w:p>
            <w:pPr>
              <w:ind w:left="40"/>
              <w:spacing w:after="0"/>
              <w:rPr>
                <w:sz w:val="20"/>
                <w:szCs w:val="20"/>
                <w:color w:val="auto"/>
              </w:rPr>
            </w:pPr>
            <w:r>
              <w:rPr>
                <w:rFonts w:ascii="Courier New" w:cs="Courier New" w:eastAsia="Courier New" w:hAnsi="Courier New"/>
                <w:sz w:val="18"/>
                <w:szCs w:val="18"/>
                <w:b w:val="1"/>
                <w:bCs w:val="1"/>
                <w:color w:val="auto"/>
              </w:rPr>
              <w:t>Equivalents at End of Period</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b w:val="1"/>
                <w:bCs w:val="1"/>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b w:val="1"/>
                <w:bCs w:val="1"/>
                <w:color w:val="auto"/>
              </w:rPr>
              <w:t>--------</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5040" w:type="dxa"/>
            <w:vAlign w:val="bottom"/>
            <w:vMerge w:val="continue"/>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3,710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6,629</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spacing w:after="0" w:line="6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Notes To Consolidated Financial Statements</w:t>
      </w:r>
    </w:p>
    <w:p>
      <w:pPr>
        <w:spacing w:after="0" w:line="33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1.</w:t>
      </w:r>
      <w:r>
        <w:rPr>
          <w:sz w:val="20"/>
          <w:szCs w:val="20"/>
          <w:color w:val="auto"/>
        </w:rPr>
        <w:tab/>
      </w:r>
      <w:r>
        <w:rPr>
          <w:rFonts w:ascii="Courier New" w:cs="Courier New" w:eastAsia="Courier New" w:hAnsi="Courier New"/>
          <w:sz w:val="16"/>
          <w:szCs w:val="16"/>
          <w:b w:val="1"/>
          <w:bCs w:val="1"/>
          <w:color w:val="auto"/>
        </w:rPr>
        <w:t>Interim Financial Statements</w:t>
      </w:r>
    </w:p>
    <w:p>
      <w:pPr>
        <w:spacing w:after="0" w:line="237"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The accompanying consolidated financial statements of NN, Inc. (the "Company") have not been audited by independent accountants, except that the balance sheet at December 31, 2001 is derived from the Company's audited financial statements. In the opinion of the Company's management, the financial statements reflect all adjustments necessary to present fairly the results of operations for the three and six month periods ended June 30, 2002 and 2001, the Company's financial position at June 30, 2002 and December 31, 2001, and the cash flows for the six month periods ended June 30, 2002 and 2001. These adjustments are of a normal recurring nature and are, in the opinion of management, necessary for fair presentation of the financial position and operating results for the interim periods.</w:t>
      </w:r>
    </w:p>
    <w:p>
      <w:pPr>
        <w:spacing w:after="0" w:line="104"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w:t>
      </w:r>
    </w:p>
    <w:p>
      <w:pPr>
        <w:spacing w:after="0" w:line="82"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The results for the first and seconds quarters of 2002 are not necessarily indicative of future results.</w:t>
      </w:r>
    </w:p>
    <w:p>
      <w:pPr>
        <w:spacing w:after="0" w:line="18" w:lineRule="exact"/>
        <w:rPr>
          <w:sz w:val="20"/>
          <w:szCs w:val="20"/>
          <w:color w:val="auto"/>
        </w:rPr>
      </w:pPr>
    </w:p>
    <w:p>
      <w:pPr>
        <w:ind w:right="3039"/>
        <w:spacing w:after="0" w:line="336" w:lineRule="auto"/>
        <w:rPr>
          <w:sz w:val="20"/>
          <w:szCs w:val="20"/>
          <w:color w:val="auto"/>
        </w:rPr>
      </w:pPr>
      <w:r>
        <w:rPr>
          <w:rFonts w:ascii="Courier New" w:cs="Courier New" w:eastAsia="Courier New" w:hAnsi="Courier New"/>
          <w:sz w:val="18"/>
          <w:szCs w:val="18"/>
          <w:color w:val="auto"/>
        </w:rPr>
        <w:t>Certain 2001 amounts have been reclassified to conform with the 2002 presentation.</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2.</w:t>
      </w:r>
      <w:r>
        <w:rPr>
          <w:sz w:val="20"/>
          <w:szCs w:val="20"/>
          <w:color w:val="auto"/>
        </w:rPr>
        <w:tab/>
      </w:r>
      <w:r>
        <w:rPr>
          <w:rFonts w:ascii="Courier New" w:cs="Courier New" w:eastAsia="Courier New" w:hAnsi="Courier New"/>
          <w:sz w:val="16"/>
          <w:szCs w:val="16"/>
          <w:b w:val="1"/>
          <w:bCs w:val="1"/>
          <w:color w:val="auto"/>
        </w:rPr>
        <w:t>Derivative Financial Instruments</w:t>
      </w:r>
    </w:p>
    <w:p>
      <w:pPr>
        <w:spacing w:after="0" w:line="237"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99" w:lineRule="exact"/>
        <w:rPr>
          <w:sz w:val="20"/>
          <w:szCs w:val="20"/>
          <w:color w:val="auto"/>
        </w:rPr>
      </w:pPr>
    </w:p>
    <w:p>
      <w:pPr>
        <w:ind w:right="1879"/>
        <w:spacing w:after="0" w:line="289" w:lineRule="auto"/>
        <w:rPr>
          <w:sz w:val="20"/>
          <w:szCs w:val="20"/>
          <w:color w:val="auto"/>
        </w:rPr>
      </w:pPr>
      <w:r>
        <w:rPr>
          <w:rFonts w:ascii="Courier New" w:cs="Courier New" w:eastAsia="Courier New" w:hAnsi="Courier New"/>
          <w:sz w:val="16"/>
          <w:szCs w:val="16"/>
          <w:color w:val="auto"/>
        </w:rPr>
        <w:t>In connection with a variable Euribor rate debt financing in July 2000, the Company's 54% owned subsidiary, NN Euroball ApS,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June 30, 2002, the fair value of the swap is a loss of approximately</w:t>
      </w:r>
    </w:p>
    <w:p>
      <w:pPr>
        <w:spacing w:after="0" w:line="3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$310,000, which is recorded in other non-current liabilities. The change in fair value during the six month periods ended June 30, 2002 and 2001 was a gain of approximately $97,000 and a gain of approximately $69,000, respectively, which have been included as a component of other income.</w:t>
      </w:r>
    </w:p>
    <w:p>
      <w:pPr>
        <w:sectPr>
          <w:pgSz w:w="11900" w:h="16838" w:orient="portrait"/>
          <w:cols w:equalWidth="0" w:num="1">
            <w:col w:w="10219"/>
          </w:cols>
          <w:pgMar w:left="240" w:top="74" w:right="1440" w:bottom="0" w:gutter="0" w:footer="0" w:header="0"/>
        </w:sectPr>
      </w:pPr>
    </w:p>
    <w:bookmarkStart w:id="5" w:name="page6"/>
    <w:bookmarkEnd w:id="5"/>
    <w:p>
      <w:pPr>
        <w:ind w:left="4120"/>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440"/>
          </w:cols>
          <w:pgMar w:left="240" w:top="718" w:right="1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3.</w:t>
      </w:r>
      <w:r>
        <w:rPr>
          <w:sz w:val="20"/>
          <w:szCs w:val="20"/>
          <w:color w:val="auto"/>
        </w:rPr>
        <w:tab/>
      </w:r>
      <w:r>
        <w:rPr>
          <w:rFonts w:ascii="Courier New" w:cs="Courier New" w:eastAsia="Courier New" w:hAnsi="Courier New"/>
          <w:sz w:val="16"/>
          <w:szCs w:val="16"/>
          <w:b w:val="1"/>
          <w:bCs w:val="1"/>
          <w:color w:val="auto"/>
        </w:rPr>
        <w:t>Inventories</w:t>
      </w:r>
    </w:p>
    <w:p>
      <w:pPr>
        <w:spacing w:after="0" w:line="237" w:lineRule="exact"/>
        <w:rPr>
          <w:sz w:val="20"/>
          <w:szCs w:val="20"/>
          <w:color w:val="auto"/>
        </w:rPr>
      </w:pPr>
    </w:p>
    <w:p>
      <w:pPr>
        <w:ind w:right="2100"/>
        <w:spacing w:after="0" w:line="347" w:lineRule="auto"/>
        <w:rPr>
          <w:sz w:val="20"/>
          <w:szCs w:val="20"/>
          <w:color w:val="auto"/>
        </w:rPr>
      </w:pPr>
      <w:r>
        <w:rPr>
          <w:rFonts w:ascii="Courier New" w:cs="Courier New" w:eastAsia="Courier New" w:hAnsi="Courier New"/>
          <w:sz w:val="18"/>
          <w:szCs w:val="18"/>
          <w:color w:val="auto"/>
        </w:rPr>
        <w:t>Inventories are stated at the lower of cost or market. Cost is being determined using the first-in, first-out method.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are comprised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jc w:val="right"/>
              <w:ind w:right="393"/>
              <w:spacing w:after="0"/>
              <w:rPr>
                <w:sz w:val="20"/>
                <w:szCs w:val="20"/>
                <w:color w:val="auto"/>
              </w:rPr>
            </w:pPr>
            <w:r>
              <w:rPr>
                <w:rFonts w:ascii="Courier New" w:cs="Courier New" w:eastAsia="Courier New" w:hAnsi="Courier New"/>
                <w:sz w:val="18"/>
                <w:szCs w:val="18"/>
                <w:b w:val="1"/>
                <w:bCs w:val="1"/>
                <w:color w:val="auto"/>
              </w:rPr>
              <w:t>June 30,</w:t>
            </w:r>
          </w:p>
        </w:tc>
        <w:tc>
          <w:tcPr>
            <w:tcW w:w="2000" w:type="dxa"/>
            <w:vAlign w:val="bottom"/>
          </w:tcPr>
          <w:p>
            <w:pPr>
              <w:jc w:val="right"/>
              <w:ind w:right="812"/>
              <w:spacing w:after="0"/>
              <w:rPr>
                <w:sz w:val="20"/>
                <w:szCs w:val="20"/>
                <w:color w:val="auto"/>
              </w:rPr>
            </w:pPr>
            <w:r>
              <w:rPr>
                <w:rFonts w:ascii="Courier New" w:cs="Courier New" w:eastAsia="Courier New" w:hAnsi="Courier New"/>
                <w:sz w:val="18"/>
                <w:szCs w:val="18"/>
                <w:b w:val="1"/>
                <w:bCs w:val="1"/>
                <w:color w:val="auto"/>
              </w:rPr>
              <w:t>Dec. 31,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80" w:type="dxa"/>
            <w:vAlign w:val="bottom"/>
          </w:tcPr>
          <w:p>
            <w:pPr>
              <w:ind w:left="680"/>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80" w:type="dxa"/>
            <w:vAlign w:val="bottom"/>
          </w:tcPr>
          <w:p>
            <w:pPr>
              <w:jc w:val="right"/>
              <w:ind w:right="273"/>
              <w:spacing w:after="0"/>
              <w:rPr>
                <w:sz w:val="20"/>
                <w:szCs w:val="20"/>
                <w:color w:val="auto"/>
              </w:rPr>
            </w:pPr>
            <w:r>
              <w:rPr>
                <w:rFonts w:ascii="Courier New" w:cs="Courier New" w:eastAsia="Courier New" w:hAnsi="Courier New"/>
                <w:sz w:val="18"/>
                <w:szCs w:val="18"/>
                <w:b w:val="1"/>
                <w:bCs w:val="1"/>
                <w:color w:val="auto"/>
              </w:rPr>
              <w:t>(Unaudited)</w:t>
            </w:r>
          </w:p>
        </w:tc>
        <w:tc>
          <w:tcPr>
            <w:tcW w:w="20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80" w:type="dxa"/>
            <w:vAlign w:val="bottom"/>
            <w:vMerge w:val="restart"/>
          </w:tcPr>
          <w:p>
            <w:pPr>
              <w:spacing w:after="0"/>
              <w:rPr>
                <w:sz w:val="20"/>
                <w:szCs w:val="20"/>
                <w:color w:val="auto"/>
              </w:rPr>
            </w:pPr>
            <w:r>
              <w:rPr>
                <w:rFonts w:ascii="Courier New" w:cs="Courier New" w:eastAsia="Courier New" w:hAnsi="Courier New"/>
                <w:sz w:val="18"/>
                <w:szCs w:val="18"/>
                <w:color w:val="auto"/>
              </w:rPr>
              <w:t>Raw materials</w:t>
            </w:r>
          </w:p>
        </w:tc>
        <w:tc>
          <w:tcPr>
            <w:tcW w:w="1540" w:type="dxa"/>
            <w:vAlign w:val="bottom"/>
          </w:tcPr>
          <w:p>
            <w:pPr>
              <w:spacing w:after="0"/>
              <w:rPr>
                <w:sz w:val="17"/>
                <w:szCs w:val="17"/>
                <w:color w:val="auto"/>
              </w:rPr>
            </w:pPr>
          </w:p>
        </w:tc>
        <w:tc>
          <w:tcPr>
            <w:tcW w:w="1780" w:type="dxa"/>
            <w:vAlign w:val="bottom"/>
            <w:vMerge w:val="restart"/>
          </w:tcPr>
          <w:p>
            <w:pPr>
              <w:jc w:val="right"/>
              <w:ind w:right="273"/>
              <w:spacing w:after="0"/>
              <w:rPr>
                <w:sz w:val="20"/>
                <w:szCs w:val="20"/>
                <w:color w:val="auto"/>
              </w:rPr>
            </w:pPr>
            <w:r>
              <w:rPr>
                <w:rFonts w:ascii="Courier New" w:cs="Courier New" w:eastAsia="Courier New" w:hAnsi="Courier New"/>
                <w:sz w:val="16"/>
                <w:szCs w:val="16"/>
                <w:color w:val="auto"/>
                <w:w w:val="70"/>
              </w:rPr>
              <w:t>-------------</w:t>
            </w:r>
            <w:r>
              <w:rPr>
                <w:rFonts w:ascii="Courier New" w:cs="Courier New" w:eastAsia="Courier New" w:hAnsi="Courier New"/>
                <w:sz w:val="31"/>
                <w:szCs w:val="31"/>
                <w:color w:val="auto"/>
                <w:w w:val="70"/>
                <w:vertAlign w:val="subscript"/>
              </w:rPr>
              <w:t>$4,665</w:t>
            </w:r>
          </w:p>
        </w:tc>
        <w:tc>
          <w:tcPr>
            <w:tcW w:w="200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$ 5,494</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540" w:type="dxa"/>
            <w:vAlign w:val="bottom"/>
          </w:tcPr>
          <w:p>
            <w:pPr>
              <w:spacing w:after="0"/>
              <w:rPr>
                <w:sz w:val="17"/>
                <w:szCs w:val="17"/>
                <w:color w:val="auto"/>
              </w:rPr>
            </w:pPr>
          </w:p>
        </w:tc>
        <w:tc>
          <w:tcPr>
            <w:tcW w:w="1780" w:type="dxa"/>
            <w:vAlign w:val="bottom"/>
          </w:tcPr>
          <w:p>
            <w:pPr>
              <w:jc w:val="center"/>
              <w:ind w:left="213"/>
              <w:spacing w:after="0" w:line="203" w:lineRule="exact"/>
              <w:rPr>
                <w:sz w:val="20"/>
                <w:szCs w:val="20"/>
                <w:color w:val="auto"/>
              </w:rPr>
            </w:pPr>
            <w:r>
              <w:rPr>
                <w:rFonts w:ascii="Courier New" w:cs="Courier New" w:eastAsia="Courier New" w:hAnsi="Courier New"/>
                <w:sz w:val="18"/>
                <w:szCs w:val="18"/>
                <w:color w:val="auto"/>
                <w:w w:val="96"/>
              </w:rPr>
              <w:t>4,753</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5,016</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1540" w:type="dxa"/>
            <w:vAlign w:val="bottom"/>
          </w:tcPr>
          <w:p>
            <w:pPr>
              <w:spacing w:after="0"/>
              <w:rPr>
                <w:sz w:val="17"/>
                <w:szCs w:val="17"/>
                <w:color w:val="auto"/>
              </w:rPr>
            </w:pPr>
          </w:p>
        </w:tc>
        <w:tc>
          <w:tcPr>
            <w:tcW w:w="1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12,680</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13,065</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inventory reserves</w:t>
            </w:r>
          </w:p>
        </w:tc>
        <w:tc>
          <w:tcPr>
            <w:tcW w:w="1540" w:type="dxa"/>
            <w:vAlign w:val="bottom"/>
          </w:tcPr>
          <w:p>
            <w:pPr>
              <w:spacing w:after="0"/>
              <w:rPr>
                <w:sz w:val="17"/>
                <w:szCs w:val="17"/>
                <w:color w:val="auto"/>
              </w:rPr>
            </w:pPr>
          </w:p>
        </w:tc>
        <w:tc>
          <w:tcPr>
            <w:tcW w:w="1780" w:type="dxa"/>
            <w:vAlign w:val="bottom"/>
          </w:tcPr>
          <w:p>
            <w:pPr>
              <w:jc w:val="center"/>
              <w:ind w:left="213"/>
              <w:spacing w:after="0" w:line="203" w:lineRule="exact"/>
              <w:rPr>
                <w:sz w:val="20"/>
                <w:szCs w:val="20"/>
                <w:color w:val="auto"/>
              </w:rPr>
            </w:pPr>
            <w:r>
              <w:rPr>
                <w:rFonts w:ascii="Courier New" w:cs="Courier New" w:eastAsia="Courier New" w:hAnsi="Courier New"/>
                <w:sz w:val="18"/>
                <w:szCs w:val="18"/>
                <w:color w:val="auto"/>
                <w:w w:val="96"/>
              </w:rPr>
              <w:t>(201)</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(157)</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80" w:type="dxa"/>
            <w:vAlign w:val="bottom"/>
            <w:vMerge w:val="restart"/>
          </w:tcPr>
          <w:p>
            <w:pPr>
              <w:jc w:val="right"/>
              <w:ind w:right="273"/>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$21,897</w:t>
            </w:r>
          </w:p>
        </w:tc>
        <w:tc>
          <w:tcPr>
            <w:tcW w:w="2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$23,418</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jc w:val="right"/>
              <w:ind w:right="273"/>
              <w:spacing w:after="0"/>
              <w:rPr>
                <w:sz w:val="20"/>
                <w:szCs w:val="20"/>
                <w:color w:val="auto"/>
              </w:rPr>
            </w:pPr>
            <w:r>
              <w:rPr>
                <w:rFonts w:ascii="Courier New" w:cs="Courier New" w:eastAsia="Courier New" w:hAnsi="Courier New"/>
                <w:sz w:val="18"/>
                <w:szCs w:val="18"/>
                <w:color w:val="auto"/>
                <w:w w:val="99"/>
              </w:rPr>
              <w:t>=============</w:t>
            </w:r>
          </w:p>
        </w:tc>
        <w:tc>
          <w:tcPr>
            <w:tcW w:w="2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80" w:type="dxa"/>
            <w:vAlign w:val="bottom"/>
          </w:tcPr>
          <w:p>
            <w:pPr>
              <w:spacing w:after="0"/>
              <w:rPr>
                <w:sz w:val="20"/>
                <w:szCs w:val="20"/>
                <w:color w:val="auto"/>
              </w:rPr>
            </w:pPr>
            <w:r>
              <w:rPr>
                <w:rFonts w:ascii="Courier New" w:cs="Courier New" w:eastAsia="Courier New" w:hAnsi="Courier New"/>
                <w:sz w:val="18"/>
                <w:szCs w:val="18"/>
                <w:b w:val="1"/>
                <w:bCs w:val="1"/>
                <w:color w:val="auto"/>
              </w:rPr>
              <w:t>Note 4.  Net Income Per Share</w:t>
            </w: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480" w:type="dxa"/>
            <w:vAlign w:val="bottom"/>
          </w:tcPr>
          <w:p>
            <w:pPr>
              <w:spacing w:after="0"/>
              <w:rPr>
                <w:sz w:val="24"/>
                <w:szCs w:val="24"/>
                <w:color w:val="auto"/>
              </w:rPr>
            </w:pPr>
          </w:p>
        </w:tc>
        <w:tc>
          <w:tcPr>
            <w:tcW w:w="3320" w:type="dxa"/>
            <w:vAlign w:val="bottom"/>
            <w:gridSpan w:val="2"/>
          </w:tcPr>
          <w:p>
            <w:pPr>
              <w:ind w:left="640"/>
              <w:spacing w:after="0"/>
              <w:rPr>
                <w:sz w:val="20"/>
                <w:szCs w:val="20"/>
                <w:color w:val="auto"/>
              </w:rPr>
            </w:pPr>
            <w:r>
              <w:rPr>
                <w:rFonts w:ascii="Courier New" w:cs="Courier New" w:eastAsia="Courier New" w:hAnsi="Courier New"/>
                <w:sz w:val="18"/>
                <w:szCs w:val="18"/>
                <w:b w:val="1"/>
                <w:bCs w:val="1"/>
                <w:color w:val="auto"/>
              </w:rPr>
              <w:t>Three Months Ended</w:t>
            </w:r>
          </w:p>
        </w:tc>
        <w:tc>
          <w:tcPr>
            <w:tcW w:w="3640" w:type="dxa"/>
            <w:vAlign w:val="bottom"/>
            <w:gridSpan w:val="2"/>
          </w:tcPr>
          <w:p>
            <w:pPr>
              <w:jc w:val="right"/>
              <w:ind w:right="752"/>
              <w:spacing w:after="0"/>
              <w:rPr>
                <w:sz w:val="20"/>
                <w:szCs w:val="20"/>
                <w:color w:val="auto"/>
              </w:rPr>
            </w:pPr>
            <w:r>
              <w:rPr>
                <w:rFonts w:ascii="Courier New" w:cs="Courier New" w:eastAsia="Courier New" w:hAnsi="Courier New"/>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3320" w:type="dxa"/>
            <w:vAlign w:val="bottom"/>
            <w:gridSpan w:val="2"/>
          </w:tcPr>
          <w:p>
            <w:pPr>
              <w:jc w:val="right"/>
              <w:ind w:right="1233"/>
              <w:spacing w:after="0" w:line="203" w:lineRule="exact"/>
              <w:rPr>
                <w:sz w:val="20"/>
                <w:szCs w:val="20"/>
                <w:color w:val="auto"/>
              </w:rPr>
            </w:pPr>
            <w:r>
              <w:rPr>
                <w:rFonts w:ascii="Courier New" w:cs="Courier New" w:eastAsia="Courier New" w:hAnsi="Courier New"/>
                <w:sz w:val="18"/>
                <w:szCs w:val="18"/>
                <w:b w:val="1"/>
                <w:bCs w:val="1"/>
                <w:color w:val="auto"/>
              </w:rPr>
              <w:t>June 30,</w:t>
            </w:r>
          </w:p>
        </w:tc>
        <w:tc>
          <w:tcPr>
            <w:tcW w:w="364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b w:val="1"/>
                <w:bCs w:val="1"/>
                <w:color w:val="auto"/>
              </w:rPr>
              <w:t>June 30,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540" w:type="dxa"/>
            <w:vAlign w:val="bottom"/>
          </w:tcPr>
          <w:p>
            <w:pPr>
              <w:jc w:val="right"/>
              <w:ind w:right="494"/>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1780" w:type="dxa"/>
            <w:vAlign w:val="bottom"/>
          </w:tcPr>
          <w:p>
            <w:pPr>
              <w:jc w:val="right"/>
              <w:ind w:right="493"/>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20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0" w:type="dxa"/>
            <w:vAlign w:val="bottom"/>
          </w:tcPr>
          <w:p>
            <w:pPr>
              <w:spacing w:after="0"/>
              <w:rPr>
                <w:sz w:val="1"/>
                <w:szCs w:val="1"/>
                <w:color w:val="auto"/>
              </w:rPr>
            </w:pPr>
          </w:p>
        </w:tc>
      </w:tr>
      <w:tr>
        <w:trPr>
          <w:trHeight w:val="227"/>
        </w:trPr>
        <w:tc>
          <w:tcPr>
            <w:tcW w:w="3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w:t>
            </w:r>
          </w:p>
        </w:tc>
        <w:tc>
          <w:tcPr>
            <w:tcW w:w="1780" w:type="dxa"/>
            <w:vAlign w:val="bottom"/>
          </w:tcPr>
          <w:p>
            <w:pPr>
              <w:jc w:val="center"/>
              <w:ind w:left="213"/>
              <w:spacing w:after="0"/>
              <w:rPr>
                <w:sz w:val="20"/>
                <w:szCs w:val="20"/>
                <w:color w:val="auto"/>
              </w:rPr>
            </w:pPr>
            <w:r>
              <w:rPr>
                <w:rFonts w:ascii="Courier New" w:cs="Courier New" w:eastAsia="Courier New" w:hAnsi="Courier New"/>
                <w:sz w:val="18"/>
                <w:szCs w:val="18"/>
                <w:b w:val="1"/>
                <w:bCs w:val="1"/>
                <w:color w:val="auto"/>
                <w:w w:val="96"/>
              </w:rPr>
              <w:t>-------------</w:t>
            </w:r>
          </w:p>
        </w:tc>
        <w:tc>
          <w:tcPr>
            <w:tcW w:w="2000" w:type="dxa"/>
            <w:vAlign w:val="bottom"/>
          </w:tcPr>
          <w:p>
            <w:pPr>
              <w:ind w:left="480"/>
              <w:spacing w:after="0"/>
              <w:rPr>
                <w:sz w:val="20"/>
                <w:szCs w:val="20"/>
                <w:color w:val="auto"/>
              </w:rPr>
            </w:pPr>
            <w:r>
              <w:rPr>
                <w:rFonts w:ascii="Courier New" w:cs="Courier New" w:eastAsia="Courier New" w:hAnsi="Courier New"/>
                <w:sz w:val="18"/>
                <w:szCs w:val="18"/>
                <w:b w:val="1"/>
                <w:bCs w:val="1"/>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696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Thousands of Dollars, Except Share and Per Share Data</w:t>
            </w:r>
          </w:p>
        </w:tc>
        <w:tc>
          <w:tcPr>
            <w:tcW w:w="0" w:type="dxa"/>
            <w:vAlign w:val="bottom"/>
          </w:tcPr>
          <w:p>
            <w:pPr>
              <w:spacing w:after="0"/>
              <w:rPr>
                <w:sz w:val="1"/>
                <w:szCs w:val="1"/>
                <w:color w:val="auto"/>
              </w:rPr>
            </w:pPr>
          </w:p>
        </w:tc>
      </w:tr>
      <w:tr>
        <w:trPr>
          <w:trHeight w:val="203"/>
        </w:trPr>
        <w:tc>
          <w:tcPr>
            <w:tcW w:w="348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696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1540" w:type="dxa"/>
            <w:vAlign w:val="bottom"/>
          </w:tcPr>
          <w:p>
            <w:pPr>
              <w:jc w:val="right"/>
              <w:ind w:right="74"/>
              <w:spacing w:after="0" w:line="203" w:lineRule="exact"/>
              <w:rPr>
                <w:sz w:val="20"/>
                <w:szCs w:val="20"/>
                <w:color w:val="auto"/>
              </w:rPr>
            </w:pPr>
            <w:r>
              <w:rPr>
                <w:rFonts w:ascii="Courier New" w:cs="Courier New" w:eastAsia="Courier New" w:hAnsi="Courier New"/>
                <w:sz w:val="18"/>
                <w:szCs w:val="18"/>
                <w:color w:val="auto"/>
              </w:rPr>
              <w:t>$2,408</w:t>
            </w:r>
          </w:p>
        </w:tc>
        <w:tc>
          <w:tcPr>
            <w:tcW w:w="1780" w:type="dxa"/>
            <w:vAlign w:val="bottom"/>
          </w:tcPr>
          <w:p>
            <w:pPr>
              <w:jc w:val="right"/>
              <w:ind w:right="73"/>
              <w:spacing w:after="0" w:line="203" w:lineRule="exact"/>
              <w:rPr>
                <w:sz w:val="20"/>
                <w:szCs w:val="20"/>
                <w:color w:val="auto"/>
              </w:rPr>
            </w:pPr>
            <w:r>
              <w:rPr>
                <w:rFonts w:ascii="Courier New" w:cs="Courier New" w:eastAsia="Courier New" w:hAnsi="Courier New"/>
                <w:sz w:val="18"/>
                <w:szCs w:val="18"/>
                <w:color w:val="auto"/>
              </w:rPr>
              <w:t>$3,506</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$4,258</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$4,954</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net income</w:t>
            </w:r>
          </w:p>
        </w:tc>
        <w:tc>
          <w:tcPr>
            <w:tcW w:w="1540" w:type="dxa"/>
            <w:vAlign w:val="bottom"/>
          </w:tcPr>
          <w:p>
            <w:pPr>
              <w:jc w:val="right"/>
              <w:ind w:right="74"/>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73"/>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Net income</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72"/>
              </w:rPr>
              <w:t>-------------</w:t>
            </w:r>
            <w:r>
              <w:rPr>
                <w:rFonts w:ascii="Courier New" w:cs="Courier New" w:eastAsia="Courier New" w:hAnsi="Courier New"/>
                <w:sz w:val="32"/>
                <w:szCs w:val="32"/>
                <w:color w:val="auto"/>
                <w:w w:val="72"/>
                <w:vertAlign w:val="subscript"/>
              </w:rPr>
              <w:t>$2,408</w:t>
            </w:r>
          </w:p>
        </w:tc>
        <w:tc>
          <w:tcPr>
            <w:tcW w:w="1780" w:type="dxa"/>
            <w:vAlign w:val="bottom"/>
          </w:tcPr>
          <w:p>
            <w:pPr>
              <w:jc w:val="center"/>
              <w:ind w:left="213"/>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348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17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$3,506</w:t>
            </w:r>
          </w:p>
        </w:tc>
        <w:tc>
          <w:tcPr>
            <w:tcW w:w="2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$4,258</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$4,954</w:t>
            </w:r>
          </w:p>
        </w:tc>
        <w:tc>
          <w:tcPr>
            <w:tcW w:w="0" w:type="dxa"/>
            <w:vAlign w:val="bottom"/>
          </w:tcPr>
          <w:p>
            <w:pPr>
              <w:spacing w:after="0"/>
              <w:rPr>
                <w:sz w:val="1"/>
                <w:szCs w:val="1"/>
                <w:color w:val="auto"/>
              </w:rPr>
            </w:pPr>
          </w:p>
        </w:tc>
      </w:tr>
      <w:tr>
        <w:trPr>
          <w:trHeight w:val="497"/>
        </w:trPr>
        <w:tc>
          <w:tcPr>
            <w:tcW w:w="3480" w:type="dxa"/>
            <w:vAlign w:val="bottom"/>
          </w:tcPr>
          <w:p>
            <w:pPr>
              <w:spacing w:after="0"/>
              <w:rPr>
                <w:sz w:val="20"/>
                <w:szCs w:val="20"/>
                <w:color w:val="auto"/>
              </w:rPr>
            </w:pPr>
            <w:r>
              <w:rPr>
                <w:rFonts w:ascii="Courier New" w:cs="Courier New" w:eastAsia="Courier New" w:hAnsi="Courier New"/>
                <w:sz w:val="18"/>
                <w:szCs w:val="18"/>
                <w:color w:val="auto"/>
              </w:rPr>
              <w:t>Weighted average basic shares</w:t>
            </w:r>
          </w:p>
        </w:tc>
        <w:tc>
          <w:tcPr>
            <w:tcW w:w="1540" w:type="dxa"/>
            <w:vAlign w:val="bottom"/>
          </w:tcPr>
          <w:p>
            <w:pPr>
              <w:jc w:val="right"/>
              <w:ind w:right="74"/>
              <w:spacing w:after="0"/>
              <w:rPr>
                <w:sz w:val="20"/>
                <w:szCs w:val="20"/>
                <w:color w:val="auto"/>
              </w:rPr>
            </w:pPr>
            <w:r>
              <w:rPr>
                <w:rFonts w:ascii="Courier New" w:cs="Courier New" w:eastAsia="Courier New" w:hAnsi="Courier New"/>
                <w:sz w:val="18"/>
                <w:szCs w:val="18"/>
                <w:color w:val="auto"/>
              </w:rPr>
              <w:t>15,359,173</w:t>
            </w:r>
          </w:p>
        </w:tc>
        <w:tc>
          <w:tcPr>
            <w:tcW w:w="17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15,253,276</w:t>
            </w:r>
          </w:p>
        </w:tc>
        <w:tc>
          <w:tcPr>
            <w:tcW w:w="2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15,336,368</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15,250,547</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1540" w:type="dxa"/>
            <w:vAlign w:val="bottom"/>
          </w:tcPr>
          <w:p>
            <w:pPr>
              <w:jc w:val="right"/>
              <w:ind w:right="74"/>
              <w:spacing w:after="0" w:line="203" w:lineRule="exact"/>
              <w:rPr>
                <w:sz w:val="20"/>
                <w:szCs w:val="20"/>
                <w:color w:val="auto"/>
              </w:rPr>
            </w:pPr>
            <w:r>
              <w:rPr>
                <w:rFonts w:ascii="Courier New" w:cs="Courier New" w:eastAsia="Courier New" w:hAnsi="Courier New"/>
                <w:sz w:val="18"/>
                <w:szCs w:val="18"/>
                <w:color w:val="auto"/>
              </w:rPr>
              <w:t>508,815</w:t>
            </w:r>
          </w:p>
        </w:tc>
        <w:tc>
          <w:tcPr>
            <w:tcW w:w="1780" w:type="dxa"/>
            <w:vAlign w:val="bottom"/>
          </w:tcPr>
          <w:p>
            <w:pPr>
              <w:jc w:val="right"/>
              <w:ind w:right="73"/>
              <w:spacing w:after="0" w:line="203" w:lineRule="exact"/>
              <w:rPr>
                <w:sz w:val="20"/>
                <w:szCs w:val="20"/>
                <w:color w:val="auto"/>
              </w:rPr>
            </w:pPr>
            <w:r>
              <w:rPr>
                <w:rFonts w:ascii="Courier New" w:cs="Courier New" w:eastAsia="Courier New" w:hAnsi="Courier New"/>
                <w:sz w:val="18"/>
                <w:szCs w:val="18"/>
                <w:color w:val="auto"/>
              </w:rPr>
              <w:t>279,147</w:t>
            </w: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461,916</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271,420</w:t>
            </w:r>
          </w:p>
        </w:tc>
        <w:tc>
          <w:tcPr>
            <w:tcW w:w="0" w:type="dxa"/>
            <w:vAlign w:val="bottom"/>
          </w:tcPr>
          <w:p>
            <w:pPr>
              <w:spacing w:after="0"/>
              <w:rPr>
                <w:sz w:val="1"/>
                <w:szCs w:val="1"/>
                <w:color w:val="auto"/>
              </w:rPr>
            </w:pPr>
          </w:p>
        </w:tc>
      </w:tr>
      <w:tr>
        <w:trPr>
          <w:trHeight w:val="203"/>
        </w:trPr>
        <w:tc>
          <w:tcPr>
            <w:tcW w:w="348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dilutive shares</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4"/>
                <w:szCs w:val="24"/>
                <w:color w:val="auto"/>
                <w:w w:val="71"/>
                <w:vertAlign w:val="subscript"/>
              </w:rPr>
              <w:t>15,867,988</w:t>
            </w:r>
          </w:p>
        </w:tc>
        <w:tc>
          <w:tcPr>
            <w:tcW w:w="1780" w:type="dxa"/>
            <w:vAlign w:val="bottom"/>
          </w:tcPr>
          <w:p>
            <w:pPr>
              <w:jc w:val="center"/>
              <w:ind w:left="213"/>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348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17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15,532,423</w:t>
            </w:r>
          </w:p>
        </w:tc>
        <w:tc>
          <w:tcPr>
            <w:tcW w:w="2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15,798,284</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15,521,967</w:t>
            </w:r>
          </w:p>
        </w:tc>
        <w:tc>
          <w:tcPr>
            <w:tcW w:w="0" w:type="dxa"/>
            <w:vAlign w:val="bottom"/>
          </w:tcPr>
          <w:p>
            <w:pPr>
              <w:spacing w:after="0"/>
              <w:rPr>
                <w:sz w:val="1"/>
                <w:szCs w:val="1"/>
                <w:color w:val="auto"/>
              </w:rPr>
            </w:pPr>
          </w:p>
        </w:tc>
      </w:tr>
      <w:tr>
        <w:trPr>
          <w:trHeight w:val="295"/>
        </w:trPr>
        <w:tc>
          <w:tcPr>
            <w:tcW w:w="3480" w:type="dxa"/>
            <w:vAlign w:val="bottom"/>
          </w:tcPr>
          <w:p>
            <w:pPr>
              <w:spacing w:after="0"/>
              <w:rPr>
                <w:sz w:val="20"/>
                <w:szCs w:val="20"/>
                <w:color w:val="auto"/>
              </w:rPr>
            </w:pPr>
            <w:r>
              <w:rPr>
                <w:rFonts w:ascii="Courier New" w:cs="Courier New" w:eastAsia="Courier New" w:hAnsi="Courier New"/>
                <w:sz w:val="18"/>
                <w:szCs w:val="18"/>
                <w:color w:val="auto"/>
              </w:rPr>
              <w:t>Basic net income per share</w:t>
            </w:r>
          </w:p>
        </w:tc>
        <w:tc>
          <w:tcPr>
            <w:tcW w:w="1540" w:type="dxa"/>
            <w:vAlign w:val="bottom"/>
          </w:tcPr>
          <w:p>
            <w:pPr>
              <w:jc w:val="right"/>
              <w:ind w:right="74"/>
              <w:spacing w:after="0"/>
              <w:rPr>
                <w:sz w:val="20"/>
                <w:szCs w:val="20"/>
                <w:color w:val="auto"/>
              </w:rPr>
            </w:pPr>
            <w:r>
              <w:rPr>
                <w:rFonts w:ascii="Courier New" w:cs="Courier New" w:eastAsia="Courier New" w:hAnsi="Courier New"/>
                <w:sz w:val="18"/>
                <w:szCs w:val="18"/>
                <w:color w:val="auto"/>
              </w:rPr>
              <w:t>$0.16</w:t>
            </w:r>
          </w:p>
        </w:tc>
        <w:tc>
          <w:tcPr>
            <w:tcW w:w="17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$0.23</w:t>
            </w:r>
          </w:p>
        </w:tc>
        <w:tc>
          <w:tcPr>
            <w:tcW w:w="2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$0.28</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$0.32</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Diluted net income per share</w:t>
            </w:r>
          </w:p>
        </w:tc>
        <w:tc>
          <w:tcPr>
            <w:tcW w:w="1540" w:type="dxa"/>
            <w:vAlign w:val="bottom"/>
          </w:tcPr>
          <w:p>
            <w:pPr>
              <w:jc w:val="right"/>
              <w:ind w:right="74"/>
              <w:spacing w:after="0"/>
              <w:rPr>
                <w:sz w:val="20"/>
                <w:szCs w:val="20"/>
                <w:color w:val="auto"/>
              </w:rPr>
            </w:pPr>
            <w:r>
              <w:rPr>
                <w:rFonts w:ascii="Courier New" w:cs="Courier New" w:eastAsia="Courier New" w:hAnsi="Courier New"/>
                <w:sz w:val="18"/>
                <w:szCs w:val="18"/>
                <w:color w:val="auto"/>
              </w:rPr>
              <w:t>$0.15</w:t>
            </w:r>
          </w:p>
        </w:tc>
        <w:tc>
          <w:tcPr>
            <w:tcW w:w="1780" w:type="dxa"/>
            <w:vAlign w:val="bottom"/>
          </w:tcPr>
          <w:p>
            <w:pPr>
              <w:jc w:val="right"/>
              <w:ind w:right="73"/>
              <w:spacing w:after="0"/>
              <w:rPr>
                <w:sz w:val="20"/>
                <w:szCs w:val="20"/>
                <w:color w:val="auto"/>
              </w:rPr>
            </w:pPr>
            <w:r>
              <w:rPr>
                <w:rFonts w:ascii="Courier New" w:cs="Courier New" w:eastAsia="Courier New" w:hAnsi="Courier New"/>
                <w:sz w:val="18"/>
                <w:szCs w:val="18"/>
                <w:color w:val="auto"/>
              </w:rPr>
              <w:t>$0.23</w:t>
            </w:r>
          </w:p>
        </w:tc>
        <w:tc>
          <w:tcPr>
            <w:tcW w:w="2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$0.27</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$0.32</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2420"/>
        <w:spacing w:after="0" w:line="341" w:lineRule="auto"/>
        <w:rPr>
          <w:sz w:val="20"/>
          <w:szCs w:val="20"/>
          <w:color w:val="auto"/>
        </w:rPr>
      </w:pPr>
      <w:r>
        <w:rPr>
          <w:rFonts w:ascii="Courier New" w:cs="Courier New" w:eastAsia="Courier New" w:hAnsi="Courier New"/>
          <w:sz w:val="16"/>
          <w:szCs w:val="16"/>
          <w:color w:val="auto"/>
        </w:rPr>
        <w:t>Excluded from the shares outstanding for each of the six month periods ended June 30, 2002 and 2001 were 0 and 10,750 antidilutive options, respectively, which had exercise prices ranging from $9.75 to $11.50 as of June 30, 2001.</w:t>
      </w:r>
    </w:p>
    <w:p>
      <w:pPr>
        <w:spacing w:after="0" w:line="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5.</w:t>
      </w:r>
      <w:r>
        <w:rPr>
          <w:sz w:val="20"/>
          <w:szCs w:val="20"/>
          <w:color w:val="auto"/>
        </w:rPr>
        <w:tab/>
      </w:r>
      <w:r>
        <w:rPr>
          <w:rFonts w:ascii="Courier New" w:cs="Courier New" w:eastAsia="Courier New" w:hAnsi="Courier New"/>
          <w:sz w:val="16"/>
          <w:szCs w:val="16"/>
          <w:b w:val="1"/>
          <w:bCs w:val="1"/>
          <w:color w:val="auto"/>
        </w:rPr>
        <w:t>Segment Information</w:t>
      </w:r>
    </w:p>
    <w:p>
      <w:pPr>
        <w:spacing w:after="0" w:line="237" w:lineRule="exact"/>
        <w:rPr>
          <w:sz w:val="20"/>
          <w:szCs w:val="20"/>
          <w:color w:val="auto"/>
        </w:rPr>
      </w:pPr>
    </w:p>
    <w:p>
      <w:pPr>
        <w:ind w:right="2000"/>
        <w:spacing w:after="0" w:line="244" w:lineRule="auto"/>
        <w:rPr>
          <w:sz w:val="20"/>
          <w:szCs w:val="20"/>
          <w:color w:val="auto"/>
        </w:rPr>
      </w:pPr>
      <w:r>
        <w:rPr>
          <w:rFonts w:ascii="Courier New" w:cs="Courier New" w:eastAsia="Courier New" w:hAnsi="Courier New"/>
          <w:sz w:val="18"/>
          <w:szCs w:val="18"/>
          <w:color w:val="auto"/>
        </w:rPr>
        <w:t>During 2002 and 2001, the Company's reportable segments are based on differences in product lines and geographic locations and are divided among Domestic Ball and Roller, European operations ("Euroball") and Plastics. The Domestic Ball and Roller segment is comprised of two manufacturing facilities in the eastern United States. The Euroball segment was acquired in July 2000 and is comprised of manufacturing facilities located in Kilkenny, Ireland, Eltmann, Germany and Pinerolo, Italy. All of the facilities in the Domestic Ball and Roller and Euroball segments are engaged in the production of precision balls and rollers used primarily in the bearing industry. The Plastics segment is comprised of the Industrial Molding Corporation ("IMC") business, located in Lubbock, Texas, which was acquired in July 1999, NN Arte ("Arte") formed in August of 2000, located in Guadalajara, Mexico and The Delta Rubber Company ("Delta") business, located in Danielson, Connecticut, which was acquired in February 2001. IMC and Arte are engaged in the production of plastic injection molded products for the bearing, automotive, instrumentation, fiber optic and certain consumer markets. Delta is engaged principally in the production of engineered bearing seals used principally in automotive, industrial, agricultural, mining and aerospace applications.</w:t>
      </w:r>
    </w:p>
    <w:p>
      <w:pPr>
        <w:spacing w:after="0" w:line="117" w:lineRule="exact"/>
        <w:rPr>
          <w:sz w:val="20"/>
          <w:szCs w:val="20"/>
          <w:color w:val="auto"/>
        </w:rPr>
      </w:pPr>
    </w:p>
    <w:p>
      <w:pPr>
        <w:ind w:right="2100"/>
        <w:spacing w:after="0" w:line="292" w:lineRule="auto"/>
        <w:rPr>
          <w:sz w:val="20"/>
          <w:szCs w:val="20"/>
          <w:color w:val="auto"/>
        </w:rPr>
      </w:pPr>
      <w:r>
        <w:rPr>
          <w:rFonts w:ascii="Courier New" w:cs="Courier New" w:eastAsia="Courier New" w:hAnsi="Courier New"/>
          <w:sz w:val="18"/>
          <w:szCs w:val="18"/>
          <w:color w:val="auto"/>
        </w:rPr>
        <w:t>The accounting policies of each segment are the same as those described in the summary of significant accounting policies in the December 31, 2001 Form 10-K/A and those policies as discussed in Note 8. The</w:t>
      </w:r>
    </w:p>
    <w:p>
      <w:pPr>
        <w:sectPr>
          <w:pgSz w:w="11900" w:h="16838" w:orient="portrait"/>
          <w:cols w:equalWidth="0" w:num="1">
            <w:col w:w="10440"/>
          </w:cols>
          <w:pgMar w:left="240" w:top="718" w:right="1219" w:bottom="0" w:gutter="0" w:footer="0" w:header="0"/>
          <w:type w:val="continuous"/>
        </w:sectPr>
      </w:pPr>
    </w:p>
    <w:bookmarkStart w:id="6" w:name="page7"/>
    <w:bookmarkEnd w:id="6"/>
    <w:p>
      <w:pPr>
        <w:spacing w:after="0" w:line="1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evaluates segment</w:t>
      </w:r>
    </w:p>
    <w:p>
      <w:pPr>
        <w:spacing w:after="0" w:line="31" w:lineRule="exact"/>
        <w:rPr>
          <w:sz w:val="20"/>
          <w:szCs w:val="20"/>
          <w:color w:val="auto"/>
        </w:rPr>
      </w:pPr>
    </w:p>
    <w:p>
      <w:pPr>
        <w:ind w:right="2000"/>
        <w:spacing w:after="0" w:line="256" w:lineRule="auto"/>
        <w:rPr>
          <w:sz w:val="20"/>
          <w:szCs w:val="20"/>
          <w:color w:val="auto"/>
        </w:rPr>
      </w:pPr>
      <w:r>
        <w:rPr>
          <w:rFonts w:ascii="Courier New" w:cs="Courier New" w:eastAsia="Courier New" w:hAnsi="Courier New"/>
          <w:sz w:val="18"/>
          <w:szCs w:val="18"/>
          <w:color w:val="auto"/>
        </w:rPr>
        <w:t>performance based on profit or loss from operations before income taxes and minority interest not including nonrecurring gains and losses. The Company accounts for inter-segment sales and transfers at current market prices; however, the Company did not have any material inter-segment transactions during the three or six month periods ended June 30, 2002 and 2001.</w:t>
      </w:r>
    </w:p>
    <w:p>
      <w:pPr>
        <w:spacing w:after="0" w:line="60" w:lineRule="exact"/>
        <w:rPr>
          <w:sz w:val="20"/>
          <w:szCs w:val="20"/>
          <w:color w:val="auto"/>
        </w:rPr>
      </w:pPr>
    </w:p>
    <w:tbl>
      <w:tblPr>
        <w:tblLayout w:type="fixed"/>
        <w:tblInd w:w="3480" w:type="dxa"/>
        <w:tblCellMar>
          <w:top w:w="0" w:type="dxa"/>
          <w:left w:w="0" w:type="dxa"/>
          <w:bottom w:w="0" w:type="dxa"/>
          <w:right w:w="0" w:type="dxa"/>
        </w:tblCellMar>
      </w:tblPr>
      <w:tr>
        <w:trPr>
          <w:trHeight w:val="214"/>
        </w:trPr>
        <w:tc>
          <w:tcPr>
            <w:tcW w:w="3060" w:type="dxa"/>
            <w:vAlign w:val="bottom"/>
          </w:tcPr>
          <w:p>
            <w:pPr>
              <w:ind w:left="1800"/>
              <w:spacing w:after="0"/>
              <w:rPr>
                <w:sz w:val="20"/>
                <w:szCs w:val="20"/>
                <w:color w:val="auto"/>
              </w:rPr>
            </w:pPr>
            <w:r>
              <w:rPr>
                <w:rFonts w:ascii="Courier New" w:cs="Courier New" w:eastAsia="Courier New" w:hAnsi="Courier New"/>
                <w:sz w:val="18"/>
                <w:szCs w:val="18"/>
                <w:b w:val="1"/>
                <w:bCs w:val="1"/>
                <w:color w:val="auto"/>
                <w:w w:val="95"/>
              </w:rPr>
              <w:t>Three Months</w:t>
            </w:r>
          </w:p>
        </w:tc>
        <w:tc>
          <w:tcPr>
            <w:tcW w:w="3480" w:type="dxa"/>
            <w:vAlign w:val="bottom"/>
            <w:gridSpan w:val="2"/>
          </w:tcPr>
          <w:p>
            <w:pPr>
              <w:jc w:val="right"/>
              <w:ind w:right="1812"/>
              <w:spacing w:after="0"/>
              <w:rPr>
                <w:sz w:val="20"/>
                <w:szCs w:val="20"/>
                <w:color w:val="auto"/>
              </w:rPr>
            </w:pPr>
            <w:r>
              <w:rPr>
                <w:rFonts w:ascii="Courier New" w:cs="Courier New" w:eastAsia="Courier New" w:hAnsi="Courier New"/>
                <w:sz w:val="18"/>
                <w:szCs w:val="18"/>
                <w:b w:val="1"/>
                <w:bCs w:val="1"/>
                <w:color w:val="auto"/>
              </w:rPr>
              <w:t>Ended June 30,</w:t>
            </w:r>
          </w:p>
        </w:tc>
        <w:tc>
          <w:tcPr>
            <w:tcW w:w="0" w:type="dxa"/>
            <w:vAlign w:val="bottom"/>
          </w:tcPr>
          <w:p>
            <w:pPr>
              <w:spacing w:after="0"/>
              <w:rPr>
                <w:sz w:val="1"/>
                <w:szCs w:val="1"/>
                <w:color w:val="auto"/>
              </w:rPr>
            </w:pPr>
          </w:p>
        </w:tc>
      </w:tr>
      <w:tr>
        <w:trPr>
          <w:trHeight w:val="203"/>
        </w:trPr>
        <w:tc>
          <w:tcPr>
            <w:tcW w:w="3060" w:type="dxa"/>
            <w:vAlign w:val="bottom"/>
          </w:tcPr>
          <w:p>
            <w:pPr>
              <w:ind w:left="1260"/>
              <w:spacing w:after="0" w:line="203" w:lineRule="exact"/>
              <w:rPr>
                <w:sz w:val="20"/>
                <w:szCs w:val="20"/>
                <w:color w:val="auto"/>
              </w:rPr>
            </w:pPr>
            <w:r>
              <w:rPr>
                <w:rFonts w:ascii="Courier New" w:cs="Courier New" w:eastAsia="Courier New" w:hAnsi="Courier New"/>
                <w:sz w:val="18"/>
                <w:szCs w:val="18"/>
                <w:b w:val="1"/>
                <w:bCs w:val="1"/>
                <w:color w:val="auto"/>
              </w:rPr>
              <w:t>2002</w:t>
            </w:r>
          </w:p>
        </w:tc>
        <w:tc>
          <w:tcPr>
            <w:tcW w:w="1480" w:type="dxa"/>
            <w:vAlign w:val="bottom"/>
          </w:tcPr>
          <w:p>
            <w:pPr>
              <w:spacing w:after="0"/>
              <w:rPr>
                <w:sz w:val="17"/>
                <w:szCs w:val="17"/>
                <w:color w:val="auto"/>
              </w:rPr>
            </w:pPr>
          </w:p>
        </w:tc>
        <w:tc>
          <w:tcPr>
            <w:tcW w:w="20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0" w:type="dxa"/>
            <w:vAlign w:val="bottom"/>
          </w:tcPr>
          <w:p>
            <w:pPr>
              <w:spacing w:after="0"/>
              <w:rPr>
                <w:sz w:val="1"/>
                <w:szCs w:val="1"/>
                <w:color w:val="auto"/>
              </w:rPr>
            </w:pPr>
          </w:p>
        </w:tc>
      </w:tr>
      <w:tr>
        <w:trPr>
          <w:trHeight w:val="203"/>
        </w:trPr>
        <w:tc>
          <w:tcPr>
            <w:tcW w:w="4540" w:type="dxa"/>
            <w:vAlign w:val="bottom"/>
            <w:gridSpan w:val="2"/>
          </w:tcPr>
          <w:p>
            <w:pPr>
              <w:jc w:val="center"/>
              <w:ind w:left="2332"/>
              <w:spacing w:after="0" w:line="203" w:lineRule="exact"/>
              <w:rPr>
                <w:sz w:val="20"/>
                <w:szCs w:val="20"/>
                <w:color w:val="auto"/>
              </w:rPr>
            </w:pPr>
            <w:r>
              <w:rPr>
                <w:rFonts w:ascii="Courier New" w:cs="Courier New" w:eastAsia="Courier New" w:hAnsi="Courier New"/>
                <w:sz w:val="18"/>
                <w:szCs w:val="18"/>
                <w:b w:val="1"/>
                <w:bCs w:val="1"/>
                <w:color w:val="auto"/>
                <w:w w:val="98"/>
              </w:rPr>
              <w:t>Thousands of Dollars</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Domestic</w:t>
            </w:r>
          </w:p>
        </w:tc>
        <w:tc>
          <w:tcPr>
            <w:tcW w:w="14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b w:val="1"/>
                <w:bCs w:val="1"/>
                <w:color w:val="auto"/>
                <w:w w:val="97"/>
              </w:rPr>
              <w:t>Domestic</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b w:val="1"/>
                <w:bCs w:val="1"/>
                <w:color w:val="auto"/>
              </w:rPr>
              <w:t>Ball &amp;</w:t>
            </w:r>
          </w:p>
        </w:tc>
        <w:tc>
          <w:tcPr>
            <w:tcW w:w="14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b w:val="1"/>
                <w:bCs w:val="1"/>
                <w:color w:val="auto"/>
                <w:w w:val="98"/>
              </w:rPr>
              <w:t>Ball &amp;</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8"/>
                <w:szCs w:val="18"/>
                <w:b w:val="1"/>
                <w:bCs w:val="1"/>
                <w:color w:val="auto"/>
                <w:w w:val="96"/>
              </w:rPr>
              <w:t>Euroball   Plastics</w:t>
            </w:r>
          </w:p>
        </w:tc>
        <w:tc>
          <w:tcPr>
            <w:tcW w:w="0" w:type="dxa"/>
            <w:vAlign w:val="bottom"/>
          </w:tcPr>
          <w:p>
            <w:pPr>
              <w:spacing w:after="0"/>
              <w:rPr>
                <w:sz w:val="1"/>
                <w:szCs w:val="1"/>
                <w:color w:val="auto"/>
              </w:rPr>
            </w:pPr>
          </w:p>
        </w:tc>
      </w:tr>
      <w:tr>
        <w:trPr>
          <w:trHeight w:val="259"/>
        </w:trPr>
        <w:tc>
          <w:tcPr>
            <w:tcW w:w="3060" w:type="dxa"/>
            <w:vAlign w:val="bottom"/>
          </w:tcPr>
          <w:p>
            <w:pPr>
              <w:ind w:left="100"/>
              <w:spacing w:after="0"/>
              <w:rPr>
                <w:sz w:val="20"/>
                <w:szCs w:val="20"/>
                <w:color w:val="auto"/>
              </w:rPr>
            </w:pPr>
            <w:r>
              <w:rPr>
                <w:rFonts w:ascii="Courier New" w:cs="Courier New" w:eastAsia="Courier New" w:hAnsi="Courier New"/>
                <w:sz w:val="18"/>
                <w:szCs w:val="18"/>
                <w:b w:val="1"/>
                <w:bCs w:val="1"/>
                <w:color w:val="auto"/>
              </w:rPr>
              <w:t>Roller  Euroball  Plastics</w:t>
            </w:r>
          </w:p>
        </w:tc>
        <w:tc>
          <w:tcPr>
            <w:tcW w:w="1480" w:type="dxa"/>
            <w:vAlign w:val="bottom"/>
          </w:tcPr>
          <w:p>
            <w:pPr>
              <w:jc w:val="center"/>
              <w:ind w:right="552"/>
              <w:spacing w:after="0"/>
              <w:rPr>
                <w:sz w:val="20"/>
                <w:szCs w:val="20"/>
                <w:color w:val="auto"/>
              </w:rPr>
            </w:pPr>
            <w:r>
              <w:rPr>
                <w:rFonts w:ascii="Courier New" w:cs="Courier New" w:eastAsia="Courier New" w:hAnsi="Courier New"/>
                <w:sz w:val="18"/>
                <w:szCs w:val="18"/>
                <w:b w:val="1"/>
                <w:bCs w:val="1"/>
                <w:color w:val="auto"/>
                <w:w w:val="98"/>
              </w:rPr>
              <w:t>Roller</w:t>
            </w:r>
          </w:p>
        </w:tc>
        <w:tc>
          <w:tcPr>
            <w:tcW w:w="2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b w:val="1"/>
          <w:bCs w:val="1"/>
          <w:color w:val="auto"/>
        </w:rPr>
        <w:t>- ------------------------------------------------------------------------------------------------</w:t>
      </w: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line="192" w:lineRule="exact"/>
              <w:rPr>
                <w:sz w:val="20"/>
                <w:szCs w:val="20"/>
                <w:color w:val="auto"/>
              </w:rPr>
            </w:pPr>
            <w:r>
              <w:rPr>
                <w:rFonts w:ascii="Courier New" w:cs="Courier New" w:eastAsia="Courier New" w:hAnsi="Courier New"/>
                <w:sz w:val="18"/>
                <w:szCs w:val="18"/>
                <w:color w:val="auto"/>
              </w:rPr>
              <w:t>Revenues from external</w:t>
            </w:r>
          </w:p>
        </w:tc>
        <w:tc>
          <w:tcPr>
            <w:tcW w:w="126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rPr>
              <w:t>$ 13,721</w:t>
            </w:r>
          </w:p>
        </w:tc>
        <w:tc>
          <w:tcPr>
            <w:tcW w:w="100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$ 23,180</w:t>
            </w:r>
          </w:p>
        </w:tc>
        <w:tc>
          <w:tcPr>
            <w:tcW w:w="122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$ 12,285</w:t>
            </w:r>
          </w:p>
        </w:tc>
        <w:tc>
          <w:tcPr>
            <w:tcW w:w="11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$ 14,214</w:t>
            </w:r>
          </w:p>
        </w:tc>
        <w:tc>
          <w:tcPr>
            <w:tcW w:w="1200" w:type="dxa"/>
            <w:vAlign w:val="bottom"/>
          </w:tcPr>
          <w:p>
            <w:pPr>
              <w:jc w:val="right"/>
              <w:ind w:right="112"/>
              <w:spacing w:after="0" w:line="192" w:lineRule="exact"/>
              <w:rPr>
                <w:sz w:val="20"/>
                <w:szCs w:val="20"/>
                <w:color w:val="auto"/>
              </w:rPr>
            </w:pPr>
            <w:r>
              <w:rPr>
                <w:rFonts w:ascii="Courier New" w:cs="Courier New" w:eastAsia="Courier New" w:hAnsi="Courier New"/>
                <w:sz w:val="18"/>
                <w:szCs w:val="18"/>
                <w:color w:val="auto"/>
              </w:rPr>
              <w:t>$ 22,520</w:t>
            </w:r>
          </w:p>
        </w:tc>
        <w:tc>
          <w:tcPr>
            <w:tcW w:w="1160" w:type="dxa"/>
            <w:vAlign w:val="bottom"/>
          </w:tcPr>
          <w:p>
            <w:pPr>
              <w:jc w:val="right"/>
              <w:ind w:right="112"/>
              <w:spacing w:after="0" w:line="192" w:lineRule="exact"/>
              <w:rPr>
                <w:sz w:val="20"/>
                <w:szCs w:val="20"/>
                <w:color w:val="auto"/>
              </w:rPr>
            </w:pPr>
            <w:r>
              <w:rPr>
                <w:rFonts w:ascii="Courier New" w:cs="Courier New" w:eastAsia="Courier New" w:hAnsi="Courier New"/>
                <w:sz w:val="18"/>
                <w:szCs w:val="18"/>
                <w:color w:val="auto"/>
              </w:rPr>
              <w:t>$ 10,616</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customers</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1,434</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2,709</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892</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4,390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2,310</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(191)</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 pretax profit (loss)</w:t>
            </w: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62,552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78,460</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55,826</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58,959</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84,719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57,886</w:t>
            </w:r>
          </w:p>
        </w:tc>
        <w:tc>
          <w:tcPr>
            <w:tcW w:w="0" w:type="dxa"/>
            <w:vAlign w:val="bottom"/>
          </w:tcPr>
          <w:p>
            <w:pPr>
              <w:spacing w:after="0"/>
              <w:rPr>
                <w:sz w:val="1"/>
                <w:szCs w:val="1"/>
                <w:color w:val="auto"/>
              </w:rPr>
            </w:pPr>
          </w:p>
        </w:tc>
      </w:tr>
      <w:tr>
        <w:trPr>
          <w:trHeight w:val="816"/>
        </w:trPr>
        <w:tc>
          <w:tcPr>
            <w:tcW w:w="3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b w:val="1"/>
                <w:bCs w:val="1"/>
                <w:color w:val="auto"/>
              </w:rPr>
              <w:t>2002</w:t>
            </w:r>
          </w:p>
        </w:tc>
        <w:tc>
          <w:tcPr>
            <w:tcW w:w="3580" w:type="dxa"/>
            <w:vAlign w:val="bottom"/>
            <w:gridSpan w:val="3"/>
          </w:tcPr>
          <w:p>
            <w:pPr>
              <w:jc w:val="right"/>
              <w:ind w:right="532"/>
              <w:spacing w:after="0"/>
              <w:rPr>
                <w:sz w:val="20"/>
                <w:szCs w:val="20"/>
                <w:color w:val="auto"/>
              </w:rPr>
            </w:pPr>
            <w:r>
              <w:rPr>
                <w:rFonts w:ascii="Courier New" w:cs="Courier New" w:eastAsia="Courier New" w:hAnsi="Courier New"/>
                <w:sz w:val="18"/>
                <w:szCs w:val="18"/>
                <w:b w:val="1"/>
                <w:bCs w:val="1"/>
                <w:color w:val="auto"/>
              </w:rPr>
              <w:t>Six Months Ended June 30,</w:t>
            </w:r>
          </w:p>
        </w:tc>
        <w:tc>
          <w:tcPr>
            <w:tcW w:w="1160" w:type="dxa"/>
            <w:vAlign w:val="bottom"/>
            <w:vMerge w:val="restart"/>
          </w:tcPr>
          <w:p>
            <w:pPr>
              <w:jc w:val="right"/>
              <w:ind w:right="432"/>
              <w:spacing w:after="0"/>
              <w:rPr>
                <w:sz w:val="20"/>
                <w:szCs w:val="20"/>
                <w:color w:val="auto"/>
              </w:rPr>
            </w:pPr>
            <w:r>
              <w:rPr>
                <w:rFonts w:ascii="Courier New" w:cs="Courier New" w:eastAsia="Courier New" w:hAnsi="Courier New"/>
                <w:sz w:val="18"/>
                <w:szCs w:val="18"/>
                <w:b w:val="1"/>
                <w:bCs w:val="1"/>
                <w:color w:val="auto"/>
              </w:rPr>
              <w:t>2001</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580" w:type="dxa"/>
            <w:vAlign w:val="bottom"/>
            <w:gridSpan w:val="3"/>
            <w:vMerge w:val="restart"/>
          </w:tcPr>
          <w:p>
            <w:pPr>
              <w:jc w:val="right"/>
              <w:ind w:right="852"/>
              <w:spacing w:after="0"/>
              <w:rPr>
                <w:sz w:val="20"/>
                <w:szCs w:val="20"/>
                <w:color w:val="auto"/>
              </w:rPr>
            </w:pPr>
            <w:r>
              <w:rPr>
                <w:rFonts w:ascii="Courier New" w:cs="Courier New" w:eastAsia="Courier New" w:hAnsi="Courier New"/>
                <w:sz w:val="18"/>
                <w:szCs w:val="18"/>
                <w:b w:val="1"/>
                <w:bCs w:val="1"/>
                <w:color w:val="auto"/>
              </w:rPr>
              <w:t>Thousands of Dollars</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3120" w:type="dxa"/>
            <w:vAlign w:val="bottom"/>
          </w:tcPr>
          <w:p>
            <w:pPr>
              <w:spacing w:after="0"/>
              <w:rPr>
                <w:sz w:val="6"/>
                <w:szCs w:val="6"/>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b w:val="1"/>
                <w:bCs w:val="1"/>
                <w:color w:val="auto"/>
              </w:rPr>
              <w:t>Domestic</w:t>
            </w:r>
          </w:p>
        </w:tc>
        <w:tc>
          <w:tcPr>
            <w:tcW w:w="1000" w:type="dxa"/>
            <w:vAlign w:val="bottom"/>
          </w:tcPr>
          <w:p>
            <w:pPr>
              <w:spacing w:after="0"/>
              <w:rPr>
                <w:sz w:val="6"/>
                <w:szCs w:val="6"/>
                <w:color w:val="auto"/>
              </w:rPr>
            </w:pPr>
          </w:p>
        </w:tc>
        <w:tc>
          <w:tcPr>
            <w:tcW w:w="358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ind w:left="140"/>
              <w:spacing w:after="0" w:line="203" w:lineRule="exact"/>
              <w:rPr>
                <w:sz w:val="20"/>
                <w:szCs w:val="20"/>
                <w:color w:val="auto"/>
              </w:rPr>
            </w:pPr>
            <w:r>
              <w:rPr>
                <w:rFonts w:ascii="Courier New" w:cs="Courier New" w:eastAsia="Courier New" w:hAnsi="Courier New"/>
                <w:sz w:val="18"/>
                <w:szCs w:val="18"/>
                <w:b w:val="1"/>
                <w:bCs w:val="1"/>
                <w:color w:val="auto"/>
              </w:rPr>
              <w:t>Domestic</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b w:val="1"/>
                <w:bCs w:val="1"/>
                <w:color w:val="auto"/>
              </w:rPr>
              <w:t>Ball &amp;</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b w:val="1"/>
                <w:bCs w:val="1"/>
                <w:color w:val="auto"/>
              </w:rPr>
              <w:t>Euroball</w:t>
            </w:r>
          </w:p>
        </w:tc>
        <w:tc>
          <w:tcPr>
            <w:tcW w:w="1220" w:type="dxa"/>
            <w:vAlign w:val="bottom"/>
            <w:vMerge w:val="restart"/>
          </w:tcPr>
          <w:p>
            <w:pPr>
              <w:jc w:val="right"/>
              <w:ind w:right="192"/>
              <w:spacing w:after="0"/>
              <w:rPr>
                <w:sz w:val="20"/>
                <w:szCs w:val="20"/>
                <w:color w:val="auto"/>
              </w:rPr>
            </w:pPr>
            <w:r>
              <w:rPr>
                <w:rFonts w:ascii="Courier New" w:cs="Courier New" w:eastAsia="Courier New" w:hAnsi="Courier New"/>
                <w:sz w:val="18"/>
                <w:szCs w:val="18"/>
                <w:b w:val="1"/>
                <w:bCs w:val="1"/>
                <w:color w:val="auto"/>
              </w:rPr>
              <w:t>Plastics</w:t>
            </w:r>
          </w:p>
        </w:tc>
        <w:tc>
          <w:tcPr>
            <w:tcW w:w="1160" w:type="dxa"/>
            <w:vAlign w:val="bottom"/>
          </w:tcPr>
          <w:p>
            <w:pPr>
              <w:ind w:left="140"/>
              <w:spacing w:after="0" w:line="203" w:lineRule="exact"/>
              <w:rPr>
                <w:sz w:val="20"/>
                <w:szCs w:val="20"/>
                <w:color w:val="auto"/>
              </w:rPr>
            </w:pPr>
            <w:r>
              <w:rPr>
                <w:rFonts w:ascii="Courier New" w:cs="Courier New" w:eastAsia="Courier New" w:hAnsi="Courier New"/>
                <w:sz w:val="18"/>
                <w:szCs w:val="18"/>
                <w:b w:val="1"/>
                <w:bCs w:val="1"/>
                <w:color w:val="auto"/>
              </w:rPr>
              <w:t>Ball &amp;</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b w:val="1"/>
                <w:bCs w:val="1"/>
                <w:color w:val="auto"/>
              </w:rPr>
              <w:t>Euroball</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b w:val="1"/>
                <w:bCs w:val="1"/>
                <w:color w:val="auto"/>
              </w:rPr>
              <w:t>Plastics</w:t>
            </w: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b w:val="1"/>
                <w:bCs w:val="1"/>
                <w:color w:val="auto"/>
              </w:rPr>
              <w:t>Roller</w:t>
            </w:r>
          </w:p>
        </w:tc>
        <w:tc>
          <w:tcPr>
            <w:tcW w:w="100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8"/>
                <w:szCs w:val="18"/>
                <w:b w:val="1"/>
                <w:bCs w:val="1"/>
                <w:color w:val="auto"/>
              </w:rPr>
              <w:t>Roller</w:t>
            </w:r>
          </w:p>
        </w:tc>
        <w:tc>
          <w:tcPr>
            <w:tcW w:w="12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b w:val="1"/>
          <w:bCs w:val="1"/>
          <w:color w:val="auto"/>
        </w:rPr>
        <w:t>- -------------------------------------------------------------------------------------------------</w:t>
      </w:r>
    </w:p>
    <w:tbl>
      <w:tblPr>
        <w:tblLayout w:type="fixed"/>
        <w:tblInd w:w="0" w:type="dxa"/>
        <w:tblCellMar>
          <w:top w:w="0" w:type="dxa"/>
          <w:left w:w="0" w:type="dxa"/>
          <w:bottom w:w="0" w:type="dxa"/>
          <w:right w:w="0" w:type="dxa"/>
        </w:tblCellMar>
      </w:tblPr>
      <w:tr>
        <w:trPr>
          <w:trHeight w:val="192"/>
        </w:trPr>
        <w:tc>
          <w:tcPr>
            <w:tcW w:w="312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Revenues from external</w:t>
            </w:r>
          </w:p>
        </w:tc>
        <w:tc>
          <w:tcPr>
            <w:tcW w:w="11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$ 26,925</w:t>
            </w:r>
          </w:p>
        </w:tc>
        <w:tc>
          <w:tcPr>
            <w:tcW w:w="11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$ 44,905</w:t>
            </w:r>
          </w:p>
        </w:tc>
        <w:tc>
          <w:tcPr>
            <w:tcW w:w="11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$ 24,556</w:t>
            </w:r>
          </w:p>
        </w:tc>
        <w:tc>
          <w:tcPr>
            <w:tcW w:w="11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$ 30,013</w:t>
            </w:r>
          </w:p>
        </w:tc>
        <w:tc>
          <w:tcPr>
            <w:tcW w:w="1140" w:type="dxa"/>
            <w:vAlign w:val="bottom"/>
          </w:tcPr>
          <w:p>
            <w:pPr>
              <w:jc w:val="right"/>
              <w:ind w:right="52"/>
              <w:spacing w:after="0" w:line="192" w:lineRule="exact"/>
              <w:rPr>
                <w:sz w:val="20"/>
                <w:szCs w:val="20"/>
                <w:color w:val="auto"/>
              </w:rPr>
            </w:pPr>
            <w:r>
              <w:rPr>
                <w:rFonts w:ascii="Courier New" w:cs="Courier New" w:eastAsia="Courier New" w:hAnsi="Courier New"/>
                <w:sz w:val="18"/>
                <w:szCs w:val="18"/>
                <w:color w:val="auto"/>
              </w:rPr>
              <w:t>$ 47,857</w:t>
            </w:r>
          </w:p>
        </w:tc>
        <w:tc>
          <w:tcPr>
            <w:tcW w:w="112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$ 19,707</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customers</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2,434</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5,059</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1,564</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5,936</w:t>
            </w:r>
          </w:p>
        </w:tc>
        <w:tc>
          <w:tcPr>
            <w:tcW w:w="114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4,968</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(677)</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pretax profit (loss)</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Segment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assets</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62,552</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78,460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55,826</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58,959</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84,719</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57,886</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6.</w:t>
      </w:r>
      <w:r>
        <w:rPr>
          <w:sz w:val="20"/>
          <w:szCs w:val="20"/>
          <w:color w:val="auto"/>
        </w:rPr>
        <w:tab/>
      </w:r>
      <w:r>
        <w:rPr>
          <w:rFonts w:ascii="Courier New" w:cs="Courier New" w:eastAsia="Courier New" w:hAnsi="Courier New"/>
          <w:sz w:val="16"/>
          <w:szCs w:val="16"/>
          <w:b w:val="1"/>
          <w:bCs w:val="1"/>
          <w:color w:val="auto"/>
        </w:rPr>
        <w:t>Acquisitions and Joint Ventures</w:t>
      </w:r>
    </w:p>
    <w:p>
      <w:pPr>
        <w:spacing w:after="0" w:line="237" w:lineRule="exact"/>
        <w:rPr>
          <w:sz w:val="20"/>
          <w:szCs w:val="20"/>
          <w:color w:val="auto"/>
        </w:rPr>
      </w:pPr>
    </w:p>
    <w:p>
      <w:pPr>
        <w:ind w:right="2000"/>
        <w:spacing w:after="0" w:line="306" w:lineRule="auto"/>
        <w:rPr>
          <w:sz w:val="20"/>
          <w:szCs w:val="20"/>
          <w:color w:val="auto"/>
        </w:rPr>
      </w:pPr>
      <w:r>
        <w:rPr>
          <w:rFonts w:ascii="Courier New" w:cs="Courier New" w:eastAsia="Courier New" w:hAnsi="Courier New"/>
          <w:sz w:val="16"/>
          <w:szCs w:val="16"/>
          <w:color w:val="auto"/>
        </w:rPr>
        <w:t>On February 16, 2001, the Company completed the acquisition of all of the outstanding stock of Delta for $22.5 million in cash. Delta manufactures and sells high quality engineered bearing seals to original equipment manufacturers and operates a manufacturing facility in Danielson, Connecticut. The Company has accounted for this acquisition using the purchase method of accounting.</w:t>
      </w:r>
    </w:p>
    <w:p>
      <w:pPr>
        <w:spacing w:after="0" w:line="2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7.</w:t>
      </w:r>
      <w:r>
        <w:rPr>
          <w:sz w:val="20"/>
          <w:szCs w:val="20"/>
          <w:color w:val="auto"/>
        </w:rPr>
        <w:tab/>
      </w:r>
      <w:r>
        <w:rPr>
          <w:rFonts w:ascii="Courier New" w:cs="Courier New" w:eastAsia="Courier New" w:hAnsi="Courier New"/>
          <w:sz w:val="16"/>
          <w:szCs w:val="16"/>
          <w:b w:val="1"/>
          <w:bCs w:val="1"/>
          <w:color w:val="auto"/>
        </w:rPr>
        <w:t>Restructuring Charges</w:t>
      </w:r>
    </w:p>
    <w:p>
      <w:pPr>
        <w:spacing w:after="0" w:line="237" w:lineRule="exact"/>
        <w:rPr>
          <w:sz w:val="20"/>
          <w:szCs w:val="20"/>
          <w:color w:val="auto"/>
        </w:rPr>
      </w:pPr>
    </w:p>
    <w:p>
      <w:pPr>
        <w:ind w:right="2000"/>
        <w:spacing w:after="0" w:line="298" w:lineRule="auto"/>
        <w:rPr>
          <w:sz w:val="20"/>
          <w:szCs w:val="20"/>
          <w:color w:val="auto"/>
        </w:rPr>
      </w:pPr>
      <w:r>
        <w:rPr>
          <w:rFonts w:ascii="Courier New" w:cs="Courier New" w:eastAsia="Courier New" w:hAnsi="Courier New"/>
          <w:sz w:val="16"/>
          <w:szCs w:val="16"/>
          <w:color w:val="auto"/>
        </w:rPr>
        <w:t>In September of 2001, the Company announced that it would close its Walterboro, South Carolina ball manufacturing facility as part of its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68" w:lineRule="exact"/>
        <w:rPr>
          <w:sz w:val="20"/>
          <w:szCs w:val="20"/>
          <w:color w:val="auto"/>
        </w:rPr>
      </w:pPr>
    </w:p>
    <w:p>
      <w:pPr>
        <w:ind w:right="2000"/>
        <w:spacing w:after="0" w:line="246" w:lineRule="auto"/>
        <w:rPr>
          <w:sz w:val="20"/>
          <w:szCs w:val="20"/>
          <w:color w:val="auto"/>
        </w:rPr>
      </w:pPr>
      <w:r>
        <w:rPr>
          <w:rFonts w:ascii="Courier New" w:cs="Courier New" w:eastAsia="Courier New" w:hAnsi="Courier New"/>
          <w:sz w:val="18"/>
          <w:szCs w:val="18"/>
          <w:color w:val="auto"/>
        </w:rPr>
        <w:t>Prior to December 31, 2001, production capacity and certain machinery and equipment were transferred from the Walterboro facility to the Company's two domestic ball facilities in Erwin, Tennessee and Mountain City, Tennessee. The Company has recorded restructuring costs of $62,000 and $0 for additional severance payments during the three month periods ended March 31, 2002 and June 30, 2002, respectively. Additionally, prior to December 31, 2001, the Company decided to sell the Walterboro land, building and certain machinery and incurred an impairment charge of approximately $1.1 million during 2001 to write down the land and building to its net realizable value of approximately $1.7 million, which was based upon fair market appraisals less costs to sell. The amounts the Company will ultimately realize upon disposition of these assets could differ materially from the amounts assumed in arriving at the 2001 impairment loss. The remaining equipment recorded at a historical net book value of $1.9 million is also held for sale. The Company anticipates selling the land, building and machinery during 2002.</w:t>
      </w:r>
    </w:p>
    <w:p>
      <w:pPr>
        <w:spacing w:after="0" w:line="106" w:lineRule="exact"/>
        <w:rPr>
          <w:sz w:val="20"/>
          <w:szCs w:val="20"/>
          <w:color w:val="auto"/>
        </w:rPr>
      </w:pPr>
    </w:p>
    <w:p>
      <w:pPr>
        <w:ind w:right="2000"/>
        <w:spacing w:after="0" w:line="265" w:lineRule="auto"/>
        <w:rPr>
          <w:sz w:val="20"/>
          <w:szCs w:val="20"/>
          <w:color w:val="auto"/>
        </w:rPr>
      </w:pPr>
      <w:r>
        <w:rPr>
          <w:rFonts w:ascii="Courier New" w:cs="Courier New" w:eastAsia="Courier New" w:hAnsi="Courier New"/>
          <w:sz w:val="18"/>
          <w:szCs w:val="18"/>
          <w:color w:val="auto"/>
        </w:rPr>
        <w:t>Accrued restructuring costs of $18,000 are included in other current liabilities as of June 30, 2002. The Company has charged expenses for moving machinery, equipment and inventory to other production facilities and other costs to close the facility, which will benefit future operations in the period they are incurred.</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5" w:lineRule="exact"/>
        <w:rPr>
          <w:sz w:val="20"/>
          <w:szCs w:val="20"/>
          <w:color w:val="auto"/>
        </w:rPr>
      </w:pPr>
    </w:p>
    <w:tbl>
      <w:tblPr>
        <w:tblLayout w:type="fixed"/>
        <w:tblInd w:w="3480" w:type="dxa"/>
        <w:tblCellMar>
          <w:top w:w="0" w:type="dxa"/>
          <w:left w:w="0" w:type="dxa"/>
          <w:bottom w:w="0" w:type="dxa"/>
          <w:right w:w="0" w:type="dxa"/>
        </w:tblCellMar>
      </w:tblPr>
      <w:tr>
        <w:trPr>
          <w:trHeight w:val="204"/>
        </w:trPr>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Accrual</w:t>
            </w: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Accrual</w:t>
            </w:r>
          </w:p>
        </w:tc>
        <w:tc>
          <w:tcPr>
            <w:tcW w:w="0" w:type="dxa"/>
            <w:vAlign w:val="bottom"/>
          </w:tcPr>
          <w:p>
            <w:pPr>
              <w:spacing w:after="0"/>
              <w:rPr>
                <w:sz w:val="1"/>
                <w:szCs w:val="1"/>
                <w:color w:val="auto"/>
              </w:rPr>
            </w:pPr>
          </w:p>
        </w:tc>
      </w:tr>
      <w:tr>
        <w:trPr>
          <w:trHeight w:val="203"/>
        </w:trPr>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Balance at</w:t>
            </w:r>
          </w:p>
        </w:tc>
        <w:tc>
          <w:tcPr>
            <w:tcW w:w="16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Charges</w:t>
            </w:r>
          </w:p>
        </w:tc>
        <w:tc>
          <w:tcPr>
            <w:tcW w:w="1960" w:type="dxa"/>
            <w:vAlign w:val="bottom"/>
            <w:vMerge w:val="restart"/>
          </w:tcPr>
          <w:p>
            <w:pPr>
              <w:ind w:left="440"/>
              <w:spacing w:after="0"/>
              <w:rPr>
                <w:sz w:val="20"/>
                <w:szCs w:val="20"/>
                <w:color w:val="auto"/>
              </w:rPr>
            </w:pPr>
            <w:r>
              <w:rPr>
                <w:rFonts w:ascii="Courier New" w:cs="Courier New" w:eastAsia="Courier New" w:hAnsi="Courier New"/>
                <w:sz w:val="18"/>
                <w:szCs w:val="18"/>
                <w:color w:val="auto"/>
              </w:rPr>
              <w:t>Paid in 2002</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Balance at</w:t>
            </w:r>
          </w:p>
        </w:tc>
        <w:tc>
          <w:tcPr>
            <w:tcW w:w="0" w:type="dxa"/>
            <w:vAlign w:val="bottom"/>
          </w:tcPr>
          <w:p>
            <w:pPr>
              <w:spacing w:after="0"/>
              <w:rPr>
                <w:sz w:val="1"/>
                <w:szCs w:val="1"/>
                <w:color w:val="auto"/>
              </w:rPr>
            </w:pPr>
          </w:p>
        </w:tc>
      </w:tr>
      <w:tr>
        <w:trPr>
          <w:trHeight w:val="296"/>
        </w:trPr>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12/31/01</w:t>
            </w:r>
          </w:p>
        </w:tc>
        <w:tc>
          <w:tcPr>
            <w:tcW w:w="16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6/30/02</w:t>
            </w:r>
          </w:p>
        </w:tc>
        <w:tc>
          <w:tcPr>
            <w:tcW w:w="0" w:type="dxa"/>
            <w:vAlign w:val="bottom"/>
          </w:tcPr>
          <w:p>
            <w:pPr>
              <w:spacing w:after="0"/>
              <w:rPr>
                <w:sz w:val="1"/>
                <w:szCs w:val="1"/>
                <w:color w:val="auto"/>
              </w:rPr>
            </w:pPr>
          </w:p>
        </w:tc>
      </w:tr>
    </w:tbl>
    <w:p>
      <w:pPr>
        <w:sectPr>
          <w:pgSz w:w="11900" w:h="16961" w:orient="portrait"/>
          <w:cols w:equalWidth="0" w:num="1">
            <w:col w:w="10440"/>
          </w:cols>
          <w:pgMar w:left="240" w:top="312" w:right="12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Thousands of Dollars</w:t>
            </w:r>
          </w:p>
        </w:tc>
        <w:tc>
          <w:tcPr>
            <w:tcW w:w="19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9"/>
              </w:rPr>
              <w:t>--------</w:t>
            </w:r>
          </w:p>
        </w:tc>
        <w:tc>
          <w:tcPr>
            <w:tcW w:w="19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w:t>
            </w:r>
          </w:p>
        </w:tc>
        <w:tc>
          <w:tcPr>
            <w:tcW w:w="18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w:t>
            </w:r>
          </w:p>
        </w:tc>
        <w:tc>
          <w:tcPr>
            <w:tcW w:w="158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312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Severance and other employee</w:t>
            </w:r>
          </w:p>
        </w:tc>
        <w:tc>
          <w:tcPr>
            <w:tcW w:w="19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7"/>
              </w:rPr>
              <w:t>$513</w:t>
            </w:r>
          </w:p>
        </w:tc>
        <w:tc>
          <w:tcPr>
            <w:tcW w:w="190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8"/>
              </w:rPr>
              <w:t>$78</w:t>
            </w:r>
          </w:p>
        </w:tc>
        <w:tc>
          <w:tcPr>
            <w:tcW w:w="180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7"/>
              </w:rPr>
              <w:t>$573</w:t>
            </w:r>
          </w:p>
        </w:tc>
        <w:tc>
          <w:tcPr>
            <w:tcW w:w="15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8"/>
              </w:rPr>
              <w:t>$18</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w:t>
            </w:r>
          </w:p>
        </w:tc>
        <w:tc>
          <w:tcPr>
            <w:tcW w:w="194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Total</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9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$513</w:t>
            </w:r>
          </w:p>
        </w:tc>
        <w:tc>
          <w:tcPr>
            <w:tcW w:w="19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$78</w:t>
            </w:r>
          </w:p>
        </w:tc>
        <w:tc>
          <w:tcPr>
            <w:tcW w:w="18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$573</w:t>
            </w:r>
          </w:p>
        </w:tc>
        <w:tc>
          <w:tcPr>
            <w:tcW w:w="15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$18</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8.</w:t>
      </w:r>
      <w:r>
        <w:rPr>
          <w:sz w:val="20"/>
          <w:szCs w:val="20"/>
          <w:color w:val="auto"/>
        </w:rPr>
        <w:tab/>
      </w:r>
      <w:r>
        <w:rPr>
          <w:rFonts w:ascii="Courier New" w:cs="Courier New" w:eastAsia="Courier New" w:hAnsi="Courier New"/>
          <w:sz w:val="16"/>
          <w:szCs w:val="16"/>
          <w:b w:val="1"/>
          <w:bCs w:val="1"/>
          <w:color w:val="auto"/>
        </w:rPr>
        <w:t>New Accounting Pronouncements</w:t>
      </w:r>
    </w:p>
    <w:p>
      <w:pPr>
        <w:spacing w:after="0" w:line="237" w:lineRule="exact"/>
        <w:rPr>
          <w:sz w:val="20"/>
          <w:szCs w:val="20"/>
          <w:color w:val="auto"/>
        </w:rPr>
      </w:pPr>
    </w:p>
    <w:p>
      <w:pPr>
        <w:ind w:right="1900"/>
        <w:spacing w:after="0" w:line="247" w:lineRule="auto"/>
        <w:rPr>
          <w:sz w:val="20"/>
          <w:szCs w:val="20"/>
          <w:color w:val="auto"/>
        </w:rPr>
      </w:pPr>
      <w:r>
        <w:rPr>
          <w:rFonts w:ascii="Courier New" w:cs="Courier New" w:eastAsia="Courier New" w:hAnsi="Courier New"/>
          <w:sz w:val="18"/>
          <w:szCs w:val="18"/>
          <w:color w:val="auto"/>
        </w:rPr>
        <w:t>In June 2001, the Financial Accounting Standards Board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$40.3 million, which is subject to the provisions of Statement No. 142.</w:t>
      </w:r>
    </w:p>
    <w:p>
      <w:pPr>
        <w:spacing w:after="0" w:line="108" w:lineRule="exact"/>
        <w:rPr>
          <w:sz w:val="20"/>
          <w:szCs w:val="20"/>
          <w:color w:val="auto"/>
        </w:rPr>
      </w:pPr>
    </w:p>
    <w:p>
      <w:pPr>
        <w:ind w:right="1900"/>
        <w:spacing w:after="0" w:line="260" w:lineRule="auto"/>
        <w:rPr>
          <w:sz w:val="20"/>
          <w:szCs w:val="20"/>
          <w:color w:val="auto"/>
        </w:rPr>
      </w:pPr>
      <w:r>
        <w:rPr>
          <w:rFonts w:ascii="Courier New" w:cs="Courier New" w:eastAsia="Courier New" w:hAnsi="Courier New"/>
          <w:sz w:val="18"/>
          <w:szCs w:val="18"/>
          <w:color w:val="auto"/>
        </w:rPr>
        <w:t>As a result of adopting these standards in the first quarter of 2002, the Company no longer amortizes goodwill. The Company estimates that amortization expense for goodwill would have been approximately $0.5 million (or $0.3 million net of tax and minority interest) for the three month period ended June 30, 2002 and $1.0 million (or $0.6 million net of tax and minority interest) for the six month period ended June 30, 2002.</w:t>
      </w:r>
    </w:p>
    <w:p>
      <w:pPr>
        <w:spacing w:after="0" w:line="93" w:lineRule="exact"/>
        <w:rPr>
          <w:sz w:val="20"/>
          <w:szCs w:val="20"/>
          <w:color w:val="auto"/>
        </w:rPr>
      </w:pPr>
    </w:p>
    <w:p>
      <w:pPr>
        <w:ind w:right="2120"/>
        <w:spacing w:after="0" w:line="292" w:lineRule="auto"/>
        <w:rPr>
          <w:sz w:val="20"/>
          <w:szCs w:val="20"/>
          <w:color w:val="auto"/>
        </w:rPr>
      </w:pPr>
      <w:r>
        <w:rPr>
          <w:rFonts w:ascii="Courier New" w:cs="Courier New" w:eastAsia="Courier New" w:hAnsi="Courier New"/>
          <w:sz w:val="18"/>
          <w:szCs w:val="18"/>
          <w:color w:val="auto"/>
        </w:rPr>
        <w:t>As a result of adopting these new standards, the Company's accounting policies for goodwill and other intangibles changed on January 1, 2002, as described below:</w:t>
      </w:r>
    </w:p>
    <w:p>
      <w:pPr>
        <w:spacing w:after="0" w:line="66" w:lineRule="exact"/>
        <w:rPr>
          <w:sz w:val="20"/>
          <w:szCs w:val="20"/>
          <w:color w:val="auto"/>
        </w:rPr>
      </w:pPr>
    </w:p>
    <w:p>
      <w:pPr>
        <w:ind w:right="1900"/>
        <w:spacing w:after="0" w:line="293" w:lineRule="auto"/>
        <w:rPr>
          <w:sz w:val="20"/>
          <w:szCs w:val="20"/>
          <w:color w:val="auto"/>
        </w:rPr>
      </w:pPr>
      <w:r>
        <w:rPr>
          <w:rFonts w:ascii="Courier New" w:cs="Courier New" w:eastAsia="Courier New" w:hAnsi="Courier New"/>
          <w:sz w:val="16"/>
          <w:szCs w:val="16"/>
          <w:color w:val="auto"/>
        </w:rPr>
        <w:t>Goodwill: The Company recognizes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72" w:lineRule="exact"/>
        <w:rPr>
          <w:sz w:val="20"/>
          <w:szCs w:val="20"/>
          <w:color w:val="auto"/>
        </w:rPr>
      </w:pPr>
    </w:p>
    <w:p>
      <w:pPr>
        <w:ind w:right="1900"/>
        <w:spacing w:after="0" w:line="249" w:lineRule="auto"/>
        <w:rPr>
          <w:sz w:val="20"/>
          <w:szCs w:val="20"/>
          <w:color w:val="auto"/>
        </w:rPr>
      </w:pPr>
      <w:r>
        <w:rPr>
          <w:rFonts w:ascii="Courier New" w:cs="Courier New" w:eastAsia="Courier New" w:hAnsi="Courier New"/>
          <w:sz w:val="18"/>
          <w:szCs w:val="18"/>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104" w:lineRule="exact"/>
        <w:rPr>
          <w:sz w:val="20"/>
          <w:szCs w:val="20"/>
          <w:color w:val="auto"/>
        </w:rPr>
      </w:pPr>
    </w:p>
    <w:p>
      <w:pPr>
        <w:ind w:right="1900"/>
        <w:spacing w:after="0" w:line="247" w:lineRule="auto"/>
        <w:rPr>
          <w:sz w:val="20"/>
          <w:szCs w:val="20"/>
          <w:color w:val="auto"/>
        </w:rPr>
      </w:pPr>
      <w:r>
        <w:rPr>
          <w:rFonts w:ascii="Courier New" w:cs="Courier New" w:eastAsia="Courier New" w:hAnsi="Courier New"/>
          <w:sz w:val="18"/>
          <w:szCs w:val="18"/>
          <w:color w:val="auto"/>
        </w:rPr>
        <w:t>The Company completed the transitional goodwill impairment reviews required by the new standards during the first six months of 2002. In performing the impairment reviews, the Company estimated the fair values of the reportable segments using a method that incorporates valuations derived from EBITDA multiples based upon market multiples and recent capital market transactions and also incorporates valuations determined by each segments' discounted future cash flows. As of January 1, 2002, the transition date, there was no impairment to goodwill as the fair values exceeded the carrying values of the segments. As of June 30, 2002, the carrying amounts of goodwill by segment are as follows: $26.1 million for the Plastic segment and $15.2 million for the Euroball segment. Since the transition date, January 1, 2002, the increase in goodwill of $1.0 million is principally due to foreign currency translation adjustments at the Euroball segment.</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320"/>
        <w:spacing w:after="0" w:line="336" w:lineRule="auto"/>
        <w:rPr>
          <w:sz w:val="20"/>
          <w:szCs w:val="20"/>
          <w:color w:val="auto"/>
        </w:rPr>
      </w:pPr>
      <w:r>
        <w:rPr>
          <w:rFonts w:ascii="Courier New" w:cs="Courier New" w:eastAsia="Courier New" w:hAnsi="Courier New"/>
          <w:sz w:val="18"/>
          <w:szCs w:val="18"/>
          <w:color w:val="auto"/>
        </w:rPr>
        <w:t>The table below describes the impact of the amortization of goodwill for the three and six month periods ended June 30, 2002 and 2001:</w:t>
      </w:r>
    </w:p>
    <w:p>
      <w:pPr>
        <w:sectPr>
          <w:pgSz w:w="11900" w:h="16838" w:orient="portrait"/>
          <w:cols w:equalWidth="0" w:num="1">
            <w:col w:w="10340"/>
          </w:cols>
          <w:pgMar w:left="240" w:top="110" w:right="1319" w:bottom="0" w:gutter="0" w:footer="0" w:header="0"/>
        </w:sectPr>
      </w:pPr>
    </w:p>
    <w:p>
      <w:pPr>
        <w:spacing w:after="0" w:line="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b w:val="1"/>
          <w:bCs w:val="1"/>
          <w:color w:val="auto"/>
        </w:rPr>
        <w:t>For the Three Months</w:t>
      </w:r>
    </w:p>
    <w:p>
      <w:pPr>
        <w:spacing w:after="0" w:line="89"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b w:val="1"/>
          <w:bCs w:val="1"/>
          <w:color w:val="auto"/>
        </w:rPr>
        <w:t>Ended June 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b w:val="1"/>
          <w:bCs w:val="1"/>
          <w:color w:val="auto"/>
        </w:rPr>
        <w:t>For the Six Months</w:t>
      </w:r>
    </w:p>
    <w:p>
      <w:pPr>
        <w:spacing w:after="0" w:line="89"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b w:val="1"/>
          <w:bCs w:val="1"/>
          <w:color w:val="auto"/>
        </w:rPr>
        <w:t>Ended June 30,</w:t>
      </w:r>
    </w:p>
    <w:p>
      <w:pPr>
        <w:sectPr>
          <w:pgSz w:w="11900" w:h="16838" w:orient="portrait"/>
          <w:cols w:equalWidth="0" w:num="2">
            <w:col w:w="7060" w:space="540"/>
            <w:col w:w="2740"/>
          </w:cols>
          <w:pgMar w:left="240" w:top="110" w:right="131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4"/>
        </w:trPr>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b w:val="1"/>
                <w:bCs w:val="1"/>
                <w:color w:val="auto"/>
              </w:rPr>
              <w:t>2002</w:t>
            </w:r>
          </w:p>
        </w:tc>
        <w:tc>
          <w:tcPr>
            <w:tcW w:w="3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b w:val="1"/>
                <w:bCs w:val="1"/>
                <w:color w:val="auto"/>
              </w:rPr>
              <w:t>2001</w:t>
            </w:r>
          </w:p>
        </w:tc>
        <w:tc>
          <w:tcPr>
            <w:tcW w:w="32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Courier New" w:cs="Courier New" w:eastAsia="Courier New" w:hAnsi="Courier New"/>
                <w:sz w:val="18"/>
                <w:szCs w:val="18"/>
                <w:b w:val="1"/>
                <w:bCs w:val="1"/>
                <w:color w:val="auto"/>
              </w:rPr>
              <w:t>2002</w:t>
            </w:r>
          </w:p>
        </w:tc>
        <w:tc>
          <w:tcPr>
            <w:tcW w:w="30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b w:val="1"/>
                <w:bCs w:val="1"/>
                <w:color w:val="auto"/>
              </w:rPr>
              <w:t>2001</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500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b w:val="1"/>
                <w:bCs w:val="1"/>
                <w:color w:val="auto"/>
                <w:w w:val="97"/>
              </w:rPr>
              <w:t>----------------------------------------------</w:t>
            </w:r>
          </w:p>
        </w:tc>
        <w:tc>
          <w:tcPr>
            <w:tcW w:w="0" w:type="dxa"/>
            <w:vAlign w:val="bottom"/>
          </w:tcPr>
          <w:p>
            <w:pPr>
              <w:spacing w:after="0"/>
              <w:rPr>
                <w:sz w:val="1"/>
                <w:szCs w:val="1"/>
                <w:color w:val="auto"/>
              </w:rPr>
            </w:pPr>
          </w:p>
        </w:tc>
      </w:tr>
      <w:tr>
        <w:trPr>
          <w:trHeight w:val="338"/>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7"/>
          </w:tcPr>
          <w:p>
            <w:pPr>
              <w:jc w:val="right"/>
              <w:ind w:right="232"/>
              <w:spacing w:after="0"/>
              <w:rPr>
                <w:sz w:val="20"/>
                <w:szCs w:val="20"/>
                <w:color w:val="auto"/>
              </w:rPr>
            </w:pPr>
            <w:r>
              <w:rPr>
                <w:rFonts w:ascii="Courier New" w:cs="Courier New" w:eastAsia="Courier New" w:hAnsi="Courier New"/>
                <w:sz w:val="18"/>
                <w:szCs w:val="18"/>
                <w:b w:val="1"/>
                <w:bCs w:val="1"/>
                <w:color w:val="auto"/>
                <w:w w:val="96"/>
              </w:rPr>
              <w:t>Thousands of Dollars except per-share data</w:t>
            </w:r>
          </w:p>
        </w:tc>
        <w:tc>
          <w:tcPr>
            <w:tcW w:w="0" w:type="dxa"/>
            <w:vAlign w:val="bottom"/>
          </w:tcPr>
          <w:p>
            <w:pPr>
              <w:spacing w:after="0"/>
              <w:rPr>
                <w:sz w:val="1"/>
                <w:szCs w:val="1"/>
                <w:color w:val="auto"/>
              </w:rPr>
            </w:pPr>
          </w:p>
        </w:tc>
      </w:tr>
      <w:tr>
        <w:trPr>
          <w:trHeight w:val="294"/>
        </w:trPr>
        <w:tc>
          <w:tcPr>
            <w:tcW w:w="4800" w:type="dxa"/>
            <w:vAlign w:val="bottom"/>
          </w:tcPr>
          <w:p>
            <w:pPr>
              <w:spacing w:after="0"/>
              <w:rPr>
                <w:sz w:val="20"/>
                <w:szCs w:val="20"/>
                <w:color w:val="auto"/>
              </w:rPr>
            </w:pPr>
            <w:r>
              <w:rPr>
                <w:rFonts w:ascii="Courier New" w:cs="Courier New" w:eastAsia="Courier New" w:hAnsi="Courier New"/>
                <w:sz w:val="18"/>
                <w:szCs w:val="18"/>
                <w:color w:val="auto"/>
              </w:rPr>
              <w:t>Reported net income</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2,408</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3,506</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4,258</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4,954</w:t>
            </w: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 back:  Goodwill amortization, net of tax</w:t>
            </w: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270</w:t>
            </w:r>
          </w:p>
        </w:tc>
        <w:tc>
          <w:tcPr>
            <w:tcW w:w="32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3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490</w:t>
            </w: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Pro-forma net income</w:t>
            </w:r>
          </w:p>
        </w:tc>
        <w:tc>
          <w:tcPr>
            <w:tcW w:w="260" w:type="dxa"/>
            <w:vAlign w:val="bottom"/>
            <w:vMerge w:val="restart"/>
          </w:tcPr>
          <w:p>
            <w:pPr>
              <w:ind w:left="16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2,408</w:t>
            </w: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3,776</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5,444</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0.16</w:t>
            </w:r>
          </w:p>
        </w:tc>
        <w:tc>
          <w:tcPr>
            <w:tcW w:w="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0.23</w:t>
            </w:r>
          </w:p>
        </w:tc>
        <w:tc>
          <w:tcPr>
            <w:tcW w:w="3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rPr>
              <w:t>0.28</w:t>
            </w:r>
          </w:p>
        </w:tc>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0.32</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Reported net income</w:t>
            </w: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0.02</w:t>
            </w:r>
          </w:p>
        </w:tc>
        <w:tc>
          <w:tcPr>
            <w:tcW w:w="32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3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c>
          <w:tcPr>
            <w:tcW w:w="0" w:type="dxa"/>
            <w:vAlign w:val="bottom"/>
          </w:tcPr>
          <w:p>
            <w:pPr>
              <w:spacing w:after="0"/>
              <w:rPr>
                <w:sz w:val="1"/>
                <w:szCs w:val="1"/>
                <w:color w:val="auto"/>
              </w:rPr>
            </w:pPr>
          </w:p>
        </w:tc>
      </w:tr>
      <w:tr>
        <w:trPr>
          <w:trHeight w:val="203"/>
        </w:trPr>
        <w:tc>
          <w:tcPr>
            <w:tcW w:w="4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Pro-forma net income</w:t>
            </w:r>
          </w:p>
        </w:tc>
        <w:tc>
          <w:tcPr>
            <w:tcW w:w="260" w:type="dxa"/>
            <w:vAlign w:val="bottom"/>
            <w:vMerge w:val="restart"/>
          </w:tcPr>
          <w:p>
            <w:pPr>
              <w:ind w:left="16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0.16</w:t>
            </w: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0.25</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0.36</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0.15</w:t>
            </w:r>
          </w:p>
        </w:tc>
        <w:tc>
          <w:tcPr>
            <w:tcW w:w="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0.23</w:t>
            </w:r>
          </w:p>
        </w:tc>
        <w:tc>
          <w:tcPr>
            <w:tcW w:w="3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rPr>
              <w:t>0.27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0.32</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Reported net income</w:t>
            </w: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0.02</w:t>
            </w:r>
          </w:p>
        </w:tc>
        <w:tc>
          <w:tcPr>
            <w:tcW w:w="32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3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c>
          <w:tcPr>
            <w:tcW w:w="0" w:type="dxa"/>
            <w:vAlign w:val="bottom"/>
          </w:tcPr>
          <w:p>
            <w:pPr>
              <w:spacing w:after="0"/>
              <w:rPr>
                <w:sz w:val="1"/>
                <w:szCs w:val="1"/>
                <w:color w:val="auto"/>
              </w:rPr>
            </w:pPr>
          </w:p>
        </w:tc>
      </w:tr>
      <w:tr>
        <w:trPr>
          <w:trHeight w:val="203"/>
        </w:trPr>
        <w:tc>
          <w:tcPr>
            <w:tcW w:w="4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Pro-forma net income</w:t>
            </w:r>
          </w:p>
        </w:tc>
        <w:tc>
          <w:tcPr>
            <w:tcW w:w="260" w:type="dxa"/>
            <w:vAlign w:val="bottom"/>
            <w:vMerge w:val="restart"/>
          </w:tcPr>
          <w:p>
            <w:pPr>
              <w:ind w:left="16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0.15</w:t>
            </w: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0.24</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0.27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0.35</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June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this Statement is required for fiscal years beginning after June 15, 2002. The Company is currently evaluating the impact of adoption of Statement No. 143.</w:t>
      </w:r>
    </w:p>
    <w:p>
      <w:pPr>
        <w:spacing w:after="0" w:line="98"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In August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has adopted Statement No. 144 effective January 1, 2002. Management believes that as of June 30, 2002 no asset impairment exists under the provisions of Statement No. 144.</w:t>
      </w:r>
    </w:p>
    <w:p>
      <w:pPr>
        <w:spacing w:after="0" w:line="99"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In April 2002, the Financial Accounting Standards Board (FASB) issued SFAS No. 145, "Rescission of FASB Statements No. 4,44, and 64, Amendment of FASB Statement No. 13, and Technical Corrrections". SFAS No. 4 had required all gains and losses from extinguishment of debt to be aggregated and, if material, classified as an extraordinary item, net of related income tax effect. SFAS No. 145 rescinds SFAS No. 4 and the related required classification gains and losses from extinguishment of debt as extraordinary items. Additionally, SFAS No. 145 amends SFAS No. 13 to require that certain lease modifications that have economic effects similar to sale-leaseback transactions be accounted for in the same manner as sale-leaseback transactions. SFAS No. 145 is applicable for the Company at the beginning of fiscal year 2003, with the provisions related to SFAS No. 13 for transactions occurring after May 15, 2002. The Company is currently evaluating the impact of adoption of Statement No. 145.</w:t>
      </w:r>
    </w:p>
    <w:p>
      <w:pPr>
        <w:spacing w:after="0" w:line="290"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 The Company is currently evaluating the impact of adoption of Statement No. 146.</w:t>
      </w:r>
    </w:p>
    <w:p>
      <w:pPr>
        <w:spacing w:after="0" w:line="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Note 9.</w:t>
      </w:r>
      <w:r>
        <w:rPr>
          <w:sz w:val="20"/>
          <w:szCs w:val="20"/>
          <w:color w:val="auto"/>
        </w:rPr>
        <w:tab/>
      </w:r>
      <w:r>
        <w:rPr>
          <w:rFonts w:ascii="Courier New" w:cs="Courier New" w:eastAsia="Courier New" w:hAnsi="Courier New"/>
          <w:sz w:val="16"/>
          <w:szCs w:val="16"/>
          <w:b w:val="1"/>
          <w:bCs w:val="1"/>
          <w:color w:val="auto"/>
        </w:rPr>
        <w:t>Long-Term Debt</w:t>
      </w:r>
    </w:p>
    <w:p>
      <w:pPr>
        <w:spacing w:after="0" w:line="237"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on July 1, 2006. On July 12, 2002, the Company amended its U.S. credit facility to convert the term loan portion into a reducing revolving credit line providing initial availability equivalent to the balance of the term loan prior to the amendment. Amounts available for borrowing under this facility will be reduced by $7.0 million per annum and the facility will expire on July 1, 2006. Additionally, on July 31, 2002, the Company amended the credit facility again to</w:t>
      </w:r>
    </w:p>
    <w:p>
      <w:pPr>
        <w:sectPr>
          <w:pgSz w:w="11900" w:h="16838" w:orient="portrait"/>
          <w:cols w:equalWidth="0" w:num="1">
            <w:col w:w="10219"/>
          </w:cols>
          <w:pgMar w:left="240" w:top="74" w:right="1440" w:bottom="0" w:gutter="0" w:footer="0" w:header="0"/>
        </w:sectPr>
      </w:pPr>
    </w:p>
    <w:bookmarkStart w:id="9" w:name="page10"/>
    <w:bookmarkEnd w:id="9"/>
    <w:p>
      <w:pPr>
        <w:ind w:right="1879"/>
        <w:spacing w:after="0" w:line="256" w:lineRule="auto"/>
        <w:rPr>
          <w:sz w:val="20"/>
          <w:szCs w:val="20"/>
          <w:color w:val="auto"/>
        </w:rPr>
      </w:pPr>
      <w:r>
        <w:rPr>
          <w:rFonts w:ascii="Courier New" w:cs="Courier New" w:eastAsia="Courier New" w:hAnsi="Courier New"/>
          <w:sz w:val="18"/>
          <w:szCs w:val="18"/>
          <w:color w:val="auto"/>
        </w:rPr>
        <w:t>extend the $25 million senior non-secured revolving credit facility to July 25, 2004. Amounts outstanding under the revolving facility and the term loan facility bear interest at a floating rate equal to LIBOR (1.86% at June 30, 2002) plus an applicable margin of 0.75% to 2.00% based upon calculated financial ratios. The loan agreement contains customary financial and non-financial covenants. The Company was in compliance with all such covenants as of June 30, 2002.</w:t>
      </w:r>
    </w:p>
    <w:p>
      <w:pPr>
        <w:spacing w:after="0" w:line="98"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In connection with the Euroball transaction, NN Euroball ApS, entered into a Facility Agreement with HypoVereinsbank Luxembourg S.A. as agent for Bayerische Hypo-und Vereinsbank AG of Munich, Germany to provide up to Euro 36.0 million in term loans and Euro 5.0 million in revolving credit loans. The Company borrowed Euro 30.5 million ($28.8 million) under the term loan facility and Euro 1.0 million ($0.9 million) under the revolving credit facility. Amounts outstanding under the Facility Agreement are secured by inventory and accounts receivable and bear interest at EURIBOR (3.44% at June 30, 2002) plus an applicable margin between 1.125% and 2.25% based upon financial ratios. The shareholders of NN Euroball ApS have provided guarantees for the Facility Agreement. The Facility Agreement contains restrictive covenants, which specify, among other things, restrictions on the incurrence of indebtedness and the maintenance of certain financial ratios. NN Euroball ApS was in compliance with all such covenants as of June 30, 2002.</w:t>
      </w:r>
    </w:p>
    <w:p>
      <w:pPr>
        <w:spacing w:after="0" w:line="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Note 10.</w:t>
      </w:r>
      <w:r>
        <w:rPr>
          <w:sz w:val="20"/>
          <w:szCs w:val="20"/>
          <w:color w:val="auto"/>
        </w:rPr>
        <w:tab/>
      </w:r>
      <w:r>
        <w:rPr>
          <w:rFonts w:ascii="Courier New" w:cs="Courier New" w:eastAsia="Courier New" w:hAnsi="Courier New"/>
          <w:sz w:val="16"/>
          <w:szCs w:val="16"/>
          <w:b w:val="1"/>
          <w:bCs w:val="1"/>
          <w:color w:val="auto"/>
        </w:rPr>
        <w:t>Subsequent Event Share Offering</w:t>
      </w:r>
    </w:p>
    <w:p>
      <w:pPr>
        <w:spacing w:after="0" w:line="237"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On June 7, 2002 the Company filed a registration statement with the Securities and Exchange Commission for a follow-on public offering of 6,500,000 shares of its common stock, of which 2,600,000 shares were to be offered by the Company and 3,900,000 shares were to be offered by several selling shareholders. The registration statement on Form S-3 relating to the Common Stock became effective on August 1, 2002. On August 6, 2002, the Company announced that due to unfavorable market conditions, it was postponing the proposed follow-on public offering.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374015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MANAGEMENT'S DISCUSSION AND ANALYSIS OF</w:t>
      </w:r>
    </w:p>
    <w:p>
      <w:pPr>
        <w:spacing w:after="0" w:line="6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FINANCIAL CONDITION AND RESULTS OF OPERATIONS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Three Months Ended June 30, 2002 Compared to the Three Months Ended June 30, 2001</w:t>
      </w:r>
    </w:p>
    <w:p>
      <w:pPr>
        <w:spacing w:after="0" w:line="260" w:lineRule="exact"/>
        <w:rPr>
          <w:sz w:val="20"/>
          <w:szCs w:val="20"/>
          <w:color w:val="auto"/>
        </w:rPr>
      </w:pPr>
    </w:p>
    <w:p>
      <w:pPr>
        <w:ind w:right="2099"/>
        <w:spacing w:after="0" w:line="252" w:lineRule="auto"/>
        <w:rPr>
          <w:sz w:val="20"/>
          <w:szCs w:val="20"/>
          <w:color w:val="auto"/>
        </w:rPr>
      </w:pPr>
      <w:r>
        <w:rPr>
          <w:rFonts w:ascii="Courier New" w:cs="Courier New" w:eastAsia="Courier New" w:hAnsi="Courier New"/>
          <w:sz w:val="18"/>
          <w:szCs w:val="18"/>
          <w:i w:val="1"/>
          <w:iCs w:val="1"/>
          <w:color w:val="auto"/>
        </w:rPr>
        <w:t xml:space="preserve">Net Sales. </w:t>
      </w:r>
      <w:r>
        <w:rPr>
          <w:rFonts w:ascii="Courier New" w:cs="Courier New" w:eastAsia="Courier New" w:hAnsi="Courier New"/>
          <w:sz w:val="18"/>
          <w:szCs w:val="18"/>
          <w:color w:val="auto"/>
        </w:rPr>
        <w:t>Net sales increased by approximately $1.8 million, or 3.9%,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$47.4 million for the second quarter of 2001 to $49.2 million for the second quarter of 2002. By segment, sales decreased $0.5 million for the Company's Domestic Ball and Roller segment. This decrease was due mainly to decreased demand for the Company's products as a result of the economic environment. Offsetting this decrease, the Plastics segment sales were $1.7 million higher versus the second quarter of 2002 driven by new growth programs within the segment. Additionally, the Euroball segment's sales were $0.7 million higher principally due to favorable currency impacts.</w:t>
      </w:r>
    </w:p>
    <w:p>
      <w:pPr>
        <w:spacing w:after="0" w:line="99"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i w:val="1"/>
          <w:iCs w:val="1"/>
          <w:color w:val="auto"/>
        </w:rPr>
        <w:t xml:space="preserve">Gross Profit. </w:t>
      </w:r>
      <w:r>
        <w:rPr>
          <w:rFonts w:ascii="Courier New" w:cs="Courier New" w:eastAsia="Courier New" w:hAnsi="Courier New"/>
          <w:sz w:val="18"/>
          <w:szCs w:val="18"/>
          <w:color w:val="auto"/>
        </w:rPr>
        <w:t>Gross profit increased approximately $0.9 million or 7.6%,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$12.1 million for the second quarter of 2001 to $13.0 million for the second quarter of 2002. Sales volume increases in the Euroball segment, in addition to cost reduction efforts, netted a $0.4 million increase. Additionally, improvements from IMC and NN Arte contributed $0.6 million and $0.1 million, respectively. Offsetting these increases was a $0.2 million decrease in the Domestic Ball &amp; Roller segment due to increased insurance costs and sales volume decreases offset by cost savings associated with the closing of the South Carolina ball manufacturing facility. As a percentage of net sales, gross profit increased from 25.6% in the second quarter of 2001 to 26.5% for the same period in 2002.</w:t>
      </w:r>
    </w:p>
    <w:p>
      <w:pPr>
        <w:spacing w:after="0" w:line="104"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i w:val="1"/>
          <w:iCs w:val="1"/>
          <w:color w:val="auto"/>
        </w:rPr>
        <w:t xml:space="preserve">Selling, General and Administrative. </w:t>
      </w:r>
      <w:r>
        <w:rPr>
          <w:rFonts w:ascii="Courier New" w:cs="Courier New" w:eastAsia="Courier New" w:hAnsi="Courier New"/>
          <w:sz w:val="16"/>
          <w:szCs w:val="16"/>
          <w:color w:val="auto"/>
        </w:rPr>
        <w:t>Selling, general and administrative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expenses increased by approximately $0.8 million or 21.1% from $4.0 million in the second quarter of 2001 to $4.8 million in the second quarter of 2002. Advisory service expenses associated with the previously announced desire of certain original founders of the Company to liquidate their holdings in the Company's stock contributed $0.3 million of the increase. Additionally, non-cash</w:t>
      </w:r>
    </w:p>
    <w:p>
      <w:pPr>
        <w:sectPr>
          <w:pgSz w:w="11900" w:h="16838" w:orient="portrait"/>
          <w:cols w:equalWidth="0" w:num="1">
            <w:col w:w="10219"/>
          </w:cols>
          <w:pgMar w:left="240" w:top="110" w:right="1440" w:bottom="0" w:gutter="0" w:footer="0" w:header="0"/>
        </w:sectPr>
      </w:pPr>
    </w:p>
    <w:bookmarkStart w:id="10" w:name="page11"/>
    <w:bookmarkEnd w:id="10"/>
    <w:p>
      <w:pPr>
        <w:ind w:right="1779"/>
        <w:spacing w:after="0" w:line="274" w:lineRule="auto"/>
        <w:rPr>
          <w:sz w:val="20"/>
          <w:szCs w:val="20"/>
          <w:color w:val="auto"/>
        </w:rPr>
      </w:pPr>
      <w:r>
        <w:rPr>
          <w:rFonts w:ascii="Courier New" w:cs="Courier New" w:eastAsia="Courier New" w:hAnsi="Courier New"/>
          <w:sz w:val="18"/>
          <w:szCs w:val="18"/>
          <w:color w:val="auto"/>
        </w:rPr>
        <w:t>compensation charges associated with a portion of certain employee stock options contributed $0.3 million of the increase. As a percentage of net sales, selling, general and administrative expenses increased from 8.4% for the second quarter of 2001 to 9.8% for the same period in 2002.</w:t>
      </w:r>
    </w:p>
    <w:p>
      <w:pPr>
        <w:spacing w:after="0" w:line="82" w:lineRule="exact"/>
        <w:rPr>
          <w:sz w:val="20"/>
          <w:szCs w:val="20"/>
          <w:color w:val="auto"/>
        </w:rPr>
      </w:pPr>
    </w:p>
    <w:p>
      <w:pPr>
        <w:ind w:right="1879"/>
        <w:spacing w:after="0" w:line="287" w:lineRule="auto"/>
        <w:rPr>
          <w:sz w:val="20"/>
          <w:szCs w:val="20"/>
          <w:color w:val="auto"/>
        </w:rPr>
      </w:pPr>
      <w:r>
        <w:rPr>
          <w:rFonts w:ascii="Courier New" w:cs="Courier New" w:eastAsia="Courier New" w:hAnsi="Courier New"/>
          <w:sz w:val="16"/>
          <w:szCs w:val="16"/>
          <w:i w:val="1"/>
          <w:iCs w:val="1"/>
          <w:color w:val="auto"/>
        </w:rPr>
        <w:t>Depreciation and Amortization.</w:t>
      </w:r>
      <w:r>
        <w:rPr>
          <w:rFonts w:ascii="Courier New" w:cs="Courier New" w:eastAsia="Courier New" w:hAnsi="Courier New"/>
          <w:sz w:val="16"/>
          <w:szCs w:val="16"/>
          <w:color w:val="auto"/>
        </w:rPr>
        <w:t>Depreciation and amortization expense decreased</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by approximately $0.6 million or 17.5% from $3.4 million for the second quarter of 2001 to $2.8 million for the same period in 2002. The adoption of Statement No. 142 eliminated the amortization of goodwill and contributed $0.5 million of the decrease. Additionally, the assets held for sale as a result of the closing of the Walterboro, South Carolina ball facility contributed $0.3 million of the decrease. Currency impacts accounted for $0.1 million of the increase. As a percentage of net sales, depreciation and amortization expense decreased from 7.2% in the second quarter of 2001 to 5.7% in the second quarter of 2002.</w:t>
      </w:r>
    </w:p>
    <w:p>
      <w:pPr>
        <w:spacing w:after="0" w:line="75"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i w:val="1"/>
          <w:iCs w:val="1"/>
          <w:color w:val="auto"/>
        </w:rPr>
        <w:t xml:space="preserve">Interest Expense. </w:t>
      </w:r>
      <w:r>
        <w:rPr>
          <w:rFonts w:ascii="Courier New" w:cs="Courier New" w:eastAsia="Courier New" w:hAnsi="Courier New"/>
          <w:sz w:val="18"/>
          <w:szCs w:val="18"/>
          <w:color w:val="auto"/>
        </w:rPr>
        <w:t>Interest expense, decreased by approximately $0.6 million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$1.1 million in the second quarter of 2001 to $0.5 million during the same period in 2002. This was due to decreased interest rates on the Company's credit facilities as well as decreased amounts outstanding on the debt. Total debt decreased from $64.8 million at June 30, 2001 to $45.0 million at June 30, 2002. As a percentage of net sales, interest expense, decreased from 2.3% in the second quarter of 2001 to 1.1% for the same period in 2002.</w:t>
      </w:r>
    </w:p>
    <w:p>
      <w:pPr>
        <w:spacing w:after="0" w:line="98"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i w:val="1"/>
          <w:iCs w:val="1"/>
          <w:color w:val="auto"/>
        </w:rPr>
        <w:t xml:space="preserve">Equity in Earnings of Unconsolidated Affiliates. </w:t>
      </w:r>
      <w:r>
        <w:rPr>
          <w:rFonts w:ascii="Courier New" w:cs="Courier New" w:eastAsia="Courier New" w:hAnsi="Courier New"/>
          <w:sz w:val="18"/>
          <w:szCs w:val="18"/>
          <w:color w:val="auto"/>
        </w:rPr>
        <w:t>Equity in earnings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unconsolidated affiliates increased from a loss of $23,000 in the second quarter of 2001 to $0 during the same period of 2002. The decrease is due to the Company's sale of its minority interest in Jiangsu General Ball &amp; Roller Company, Ltd. effective December 21, 2001.</w:t>
      </w:r>
    </w:p>
    <w:p>
      <w:pPr>
        <w:spacing w:after="0" w:line="90"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i w:val="1"/>
          <w:iCs w:val="1"/>
          <w:color w:val="auto"/>
        </w:rPr>
        <w:t xml:space="preserve">Net Gain on Involuntary Conversion. </w:t>
      </w:r>
      <w:r>
        <w:rPr>
          <w:rFonts w:ascii="Courier New" w:cs="Courier New" w:eastAsia="Courier New" w:hAnsi="Courier New"/>
          <w:sz w:val="18"/>
          <w:szCs w:val="18"/>
          <w:color w:val="auto"/>
        </w:rPr>
        <w:t>Net gain on involuntary conversion decreased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$2.5 million from $2.5 million for the second quarter of 2001 to $0 for the second quarter of 2002. The Company realized a net gain on involuntary conversion of $2.5 million in the second quarter of 2001. The gain is due to insurance proceeds received over the net book value of assets destroyed in the March 12, 2000 fire at the Erwin,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Tennessee facility.</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i w:val="1"/>
          <w:iCs w:val="1"/>
          <w:color w:val="auto"/>
        </w:rPr>
        <w:t xml:space="preserve">Minority Interest of Consolidated Subsidiaries. </w:t>
      </w:r>
      <w:r>
        <w:rPr>
          <w:rFonts w:ascii="Courier New" w:cs="Courier New" w:eastAsia="Courier New" w:hAnsi="Courier New"/>
          <w:sz w:val="18"/>
          <w:szCs w:val="18"/>
          <w:color w:val="auto"/>
        </w:rPr>
        <w:t>Minority interest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consolidated subsidiaries increased $0.2 million from $0.6 million for the second quarter of 2001 to $0.8 million for the second quarter of 2002. This increase is due to increased earnings at the Company's Euroball joint venture. The Company is required to consolidate this joint venture due to its majority ownership and ability to exercise control. The Company owns 54% of the shares of Euroball. Minority interest of consolidated subsidiary represents the combined interest of the minority partners of Euroball at 46%.</w:t>
      </w:r>
    </w:p>
    <w:p>
      <w:pPr>
        <w:spacing w:after="0" w:line="104"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i w:val="1"/>
          <w:iCs w:val="1"/>
          <w:color w:val="auto"/>
        </w:rPr>
        <w:t xml:space="preserve">Net Income. </w:t>
      </w:r>
      <w:r>
        <w:rPr>
          <w:rFonts w:ascii="Courier New" w:cs="Courier New" w:eastAsia="Courier New" w:hAnsi="Courier New"/>
          <w:sz w:val="18"/>
          <w:szCs w:val="18"/>
          <w:color w:val="auto"/>
        </w:rPr>
        <w:t>Net income decreased by $1.1 million or 31.3%, from $3.5 million for</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the second quarter of 2001 to $2.4 million for the same period in 2002. The net gain on involuntary conversion recorded during the first quarter of 2001 contributed $1.6 million of the decrease, net of tax. As a percentage of net sales, net income decreased from 7.4% in the second quarter of 2001 to 4.9% for the second quarter of 2002.</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Six Months Ended June 30, 2002 Compared to the Six Months Ended June 30, 2001</w:t>
      </w:r>
    </w:p>
    <w:p>
      <w:pPr>
        <w:spacing w:after="0" w:line="237"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i w:val="1"/>
          <w:iCs w:val="1"/>
          <w:color w:val="auto"/>
        </w:rPr>
        <w:t xml:space="preserve">Net Sales. </w:t>
      </w:r>
      <w:r>
        <w:rPr>
          <w:rFonts w:ascii="Courier New" w:cs="Courier New" w:eastAsia="Courier New" w:hAnsi="Courier New"/>
          <w:sz w:val="18"/>
          <w:szCs w:val="18"/>
          <w:color w:val="auto"/>
        </w:rPr>
        <w:t>Net sales decreased by approximately $1.2 million, or 1.2%,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$97.6 million for the first six months of 2001 to $96.4 million for the first six months of 2002. By segment, sales decreased $3.1 million and $3.0 million for the Company's Domestic Ball and Roller and Euroball segments, respectively. These decreases were due mainly to decreased demand for the Company's products as a result of the economic environment. Offsetting this decrease, the Plastics segment's sales were $4.9 million higher versus the first six months of 2001 resulting from the acquisition of Delta (incremental $2.9 million) as well as sales increases at NN Arte (incremental $0.8 million) and at IMC (incremental $1.2 million).</w:t>
      </w:r>
    </w:p>
    <w:p>
      <w:pPr>
        <w:spacing w:after="0" w:line="104"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i w:val="1"/>
          <w:iCs w:val="1"/>
          <w:color w:val="auto"/>
        </w:rPr>
        <w:t xml:space="preserve">Gross Profit. </w:t>
      </w:r>
      <w:r>
        <w:rPr>
          <w:rFonts w:ascii="Courier New" w:cs="Courier New" w:eastAsia="Courier New" w:hAnsi="Courier New"/>
          <w:sz w:val="16"/>
          <w:szCs w:val="16"/>
          <w:color w:val="auto"/>
        </w:rPr>
        <w:t>Gross profit increased approximately $0.5 million or 1.9%, from</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$24.3 million for the first six months of 2001 to $24.7 million for the first six months of 2002. This increase in gross profit as a percentage of sales was due primarily to cost savings associated with the closing of the South Carolina ball manufacturing facility as well as other cost reduction and containment programs initiated during 2001. During the first six months of 2002, sales volume decreases and insurance increases in the Domestic Ball and Roller segment were partially offset by cost savings associated with the closing of the South Carolina ball manufacturing facility netting a $0.8 million decrease in gross profit. During the same period, sales volume decreases in the Euroball segment</w:t>
      </w:r>
    </w:p>
    <w:p>
      <w:pPr>
        <w:sectPr>
          <w:pgSz w:w="11900" w:h="16838" w:orient="portrait"/>
          <w:cols w:equalWidth="0" w:num="1">
            <w:col w:w="10219"/>
          </w:cols>
          <w:pgMar w:left="240" w:top="110" w:right="1440" w:bottom="0" w:gutter="0" w:footer="0" w:header="0"/>
        </w:sectPr>
      </w:pPr>
    </w:p>
    <w:bookmarkStart w:id="11" w:name="page12"/>
    <w:bookmarkEnd w:id="11"/>
    <w:p>
      <w:pPr>
        <w:spacing w:after="0" w:line="4"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were similarly partially offset by cost reductions, netting a $0.5 million decrease in gross profit. Within the Plastics segment were improvements from IMC and NN Arte of $0.9 million and $0.4 million, respectively, while the inclusion of a full six months of Delta results in 2002 versus approximately 4.5 months in 2001 contributed $0.5 million of increases in 2002. As a percentage of net sales, gross profit increased from 24.9% in the first six months of 2001 to 25.6% for the same period in 2002.</w:t>
      </w:r>
    </w:p>
    <w:p>
      <w:pPr>
        <w:spacing w:after="0" w:line="98"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i w:val="1"/>
          <w:iCs w:val="1"/>
          <w:color w:val="auto"/>
        </w:rPr>
        <w:t xml:space="preserve">Selling, General and Administrative. </w:t>
      </w:r>
      <w:r>
        <w:rPr>
          <w:rFonts w:ascii="Courier New" w:cs="Courier New" w:eastAsia="Courier New" w:hAnsi="Courier New"/>
          <w:sz w:val="16"/>
          <w:szCs w:val="16"/>
          <w:color w:val="auto"/>
        </w:rPr>
        <w:t>Selling, general and administrative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expenses increased by approximately $1.2 million or 15.2% from $8.1 million in the first six months of 2001 to $9.3 million in the first six months of 2002. The acquisition of Delta contributed $0.3 million of the increase. Advisory service expenses principally associated with the previously announced desire of certain original founders of the Company to liquidate their holdings in the Company's stock contributed $0.5 million of the increase. Strategic planning and information technology initiatives at Euroball contributed $0.2 million of the increase. Additionally, non-cash compensation charges associated with a portion of the employee stock options contributed $0.3 million of the increase. As a percentage of net sales, selling, general and administrative expenses increased from 8.3% for the first six months of 2001 to 9.7% for the same period in 2002.</w:t>
      </w:r>
    </w:p>
    <w:p>
      <w:pPr>
        <w:spacing w:after="0" w:line="78"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i w:val="1"/>
          <w:iCs w:val="1"/>
          <w:color w:val="auto"/>
        </w:rPr>
        <w:t xml:space="preserve">Depreciation and Amortization. </w:t>
      </w:r>
      <w:r>
        <w:rPr>
          <w:rFonts w:ascii="Courier New" w:cs="Courier New" w:eastAsia="Courier New" w:hAnsi="Courier New"/>
          <w:sz w:val="16"/>
          <w:szCs w:val="16"/>
          <w:color w:val="auto"/>
        </w:rPr>
        <w:t>Depreciation and amortization expense decreased</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by approximately $1.1 million or 16.1% from $6.7 million for the first six months of 2001 to $5.6 million for the same period in 2002. The adoption of Statement No. 142 eliminated the amortization of goodwill and contributed $0.9 million of the decrease. Additionally, the assets held for sale as a result of the closing of the Walterboro, South Carolina ball facility, which are no longer depreciated, contributed $0.6 million of the decrease. This was offset in part by a full six months of Delta in 2002 as compared to 4.5 months in 2001 due to the February 2001 acquisition, which resulted in a $0.1 million increase. As a percentage of net sales, depreciation and amortization expense decreased from 6.9% in the first six months of 2001 to 5.8% for the same period in 2002.</w:t>
      </w:r>
    </w:p>
    <w:p>
      <w:pPr>
        <w:spacing w:after="0" w:line="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i w:val="1"/>
          <w:iCs w:val="1"/>
          <w:color w:val="auto"/>
        </w:rPr>
        <w:t xml:space="preserve">Restructuring costs. </w:t>
      </w:r>
      <w:r>
        <w:rPr>
          <w:rFonts w:ascii="Courier New" w:cs="Courier New" w:eastAsia="Courier New" w:hAnsi="Courier New"/>
          <w:sz w:val="16"/>
          <w:szCs w:val="16"/>
          <w:color w:val="auto"/>
        </w:rPr>
        <w:t>The Company recorded a restructuring charge of $0.1 million</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in the first six months of 2002, all of which was recorded in the first quarter of 2002. The restructuring costs principally pertain to the Company's decision and announcement to close the Walterboro, South Carolina ball facility in 2001. The $0.1 million charge primarily represents the accrual for additional severance costs related to the closing of this facility. As a percentage, restructuring costs represent 0.1% of net sales in the first six months of 2002. There were no charges during the first six months of 2001.</w:t>
      </w:r>
    </w:p>
    <w:p>
      <w:pPr>
        <w:spacing w:after="0" w:line="77"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i w:val="1"/>
          <w:iCs w:val="1"/>
          <w:color w:val="auto"/>
        </w:rPr>
        <w:t xml:space="preserve">Interest Expense. </w:t>
      </w:r>
      <w:r>
        <w:rPr>
          <w:rFonts w:ascii="Courier New" w:cs="Courier New" w:eastAsia="Courier New" w:hAnsi="Courier New"/>
          <w:sz w:val="18"/>
          <w:szCs w:val="18"/>
          <w:color w:val="auto"/>
        </w:rPr>
        <w:t>Interest expense, decreased by approximately $1.2 million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$2.3 million in the first six months of 2001 to $1.1 million during the same period in 2002. This was due to decreased interest rates on the Company's credit facilities as well as decreased amounts outstanding on the debt. Total debt decreased from $64.8 million at June 30, 2001 to $45.0 million at June 30, 2002. As a percentage of net sales, interest expense decreased from 2.4% in the first six months of 2001 to 1.2% for the same period in 2002.</w:t>
      </w:r>
    </w:p>
    <w:p>
      <w:pPr>
        <w:spacing w:after="0" w:line="98"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i w:val="1"/>
          <w:iCs w:val="1"/>
          <w:color w:val="auto"/>
        </w:rPr>
        <w:t xml:space="preserve">Equity in Earnings of Unconsolidated Affiliates. </w:t>
      </w:r>
      <w:r>
        <w:rPr>
          <w:rFonts w:ascii="Courier New" w:cs="Courier New" w:eastAsia="Courier New" w:hAnsi="Courier New"/>
          <w:sz w:val="18"/>
          <w:szCs w:val="18"/>
          <w:color w:val="auto"/>
        </w:rPr>
        <w:t>Equity in earnings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unconsolidated affiliates decreased from earnings of $26,000 in the first six months of 2001 to $0 during the same period of 2002. The decrease is due to the Company's sale of its minority interest in Jiangsu General Ball &amp; Roller Company, Ltd. effective December 21, 2001.</w:t>
      </w:r>
    </w:p>
    <w:p>
      <w:pPr>
        <w:spacing w:after="0" w:line="9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i w:val="1"/>
          <w:iCs w:val="1"/>
          <w:color w:val="auto"/>
        </w:rPr>
        <w:t xml:space="preserve">Net Gain on Involuntary Conversion. </w:t>
      </w:r>
      <w:r>
        <w:rPr>
          <w:rFonts w:ascii="Courier New" w:cs="Courier New" w:eastAsia="Courier New" w:hAnsi="Courier New"/>
          <w:sz w:val="18"/>
          <w:szCs w:val="18"/>
          <w:color w:val="auto"/>
        </w:rPr>
        <w:t>Net gain on involuntary conversion decreased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$2.5 million from $2.5 million for the first six months of 2001 to $0 for the first six months of 2002. The Company realized a net gain on involuntary conversion of $2.5 million in the second quarter of 2001. The gain is due to insurance proceeds over the net book value of assets destroyed in the March 12, 2000 fire at the Erwin, Tennessee facility.</w:t>
      </w:r>
    </w:p>
    <w:p>
      <w:pPr>
        <w:spacing w:after="0" w:line="93"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i w:val="1"/>
          <w:iCs w:val="1"/>
          <w:color w:val="auto"/>
        </w:rPr>
        <w:t xml:space="preserve">Minority Interest of Consolidated Subsidiaries. </w:t>
      </w:r>
      <w:r>
        <w:rPr>
          <w:rFonts w:ascii="Courier New" w:cs="Courier New" w:eastAsia="Courier New" w:hAnsi="Courier New"/>
          <w:sz w:val="18"/>
          <w:szCs w:val="18"/>
          <w:color w:val="auto"/>
        </w:rPr>
        <w:t>Minority interest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consolidated subsidiaries increased $0.4 million from $1.1 million for the first six months of 2001 to $1.5 million for the first six months of 2002. This increase is due to increased earnings at the Company's Euroball joint venture. The Company is required to consolidate this joint venture due to its majority ownership and ability to exercise control. The Company owns 54% of the shares of Euroball. Minority interest of consolidated subsidiary represents the combined interest of the minority partners of Euroball at 46%.</w:t>
      </w:r>
    </w:p>
    <w:p>
      <w:pPr>
        <w:spacing w:after="0" w:line="104" w:lineRule="exact"/>
        <w:rPr>
          <w:sz w:val="20"/>
          <w:szCs w:val="20"/>
          <w:color w:val="auto"/>
        </w:rPr>
      </w:pPr>
    </w:p>
    <w:p>
      <w:pPr>
        <w:ind w:right="1779"/>
        <w:spacing w:after="0" w:line="318" w:lineRule="auto"/>
        <w:rPr>
          <w:sz w:val="20"/>
          <w:szCs w:val="20"/>
          <w:color w:val="auto"/>
        </w:rPr>
      </w:pPr>
      <w:r>
        <w:rPr>
          <w:rFonts w:ascii="Courier New" w:cs="Courier New" w:eastAsia="Courier New" w:hAnsi="Courier New"/>
          <w:sz w:val="16"/>
          <w:szCs w:val="16"/>
          <w:i w:val="1"/>
          <w:iCs w:val="1"/>
          <w:color w:val="auto"/>
        </w:rPr>
        <w:t xml:space="preserve">Net Income. </w:t>
      </w:r>
      <w:r>
        <w:rPr>
          <w:rFonts w:ascii="Courier New" w:cs="Courier New" w:eastAsia="Courier New" w:hAnsi="Courier New"/>
          <w:sz w:val="16"/>
          <w:szCs w:val="16"/>
          <w:color w:val="auto"/>
        </w:rPr>
        <w:t>Net income decreased by $0.7 million or 14.0%, from $5.0 million for</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the first six months of 2001 to $4.3 million for the same period in 2002. The net gain on involuntary conversion recorded during the first quarter of 2001 contributed $1.6 million of the decrease, net of tax. As a percentage of net</w:t>
      </w:r>
    </w:p>
    <w:p>
      <w:pPr>
        <w:sectPr>
          <w:pgSz w:w="11900" w:h="16842" w:orient="portrait"/>
          <w:cols w:equalWidth="0" w:num="1">
            <w:col w:w="10219"/>
          </w:cols>
          <w:pgMar w:left="240" w:top="110" w:right="1440" w:bottom="0" w:gutter="0" w:footer="0" w:header="0"/>
        </w:sectPr>
      </w:pPr>
    </w:p>
    <w:bookmarkStart w:id="12" w:name="page13"/>
    <w:bookmarkEnd w:id="12"/>
    <w:p>
      <w:pPr>
        <w:ind w:right="2099"/>
        <w:spacing w:after="0" w:line="347" w:lineRule="auto"/>
        <w:rPr>
          <w:sz w:val="20"/>
          <w:szCs w:val="20"/>
          <w:color w:val="auto"/>
        </w:rPr>
      </w:pPr>
      <w:r>
        <w:rPr>
          <w:rFonts w:ascii="Courier New" w:cs="Courier New" w:eastAsia="Courier New" w:hAnsi="Courier New"/>
          <w:sz w:val="18"/>
          <w:szCs w:val="18"/>
          <w:color w:val="auto"/>
        </w:rPr>
        <w:t>sales, net income decreased from 5.1% in the first six months of 2001 to 4.4% for the first six months of 2002.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Liquidity and Capital Resources</w:t>
      </w:r>
    </w:p>
    <w:p>
      <w:pPr>
        <w:spacing w:after="0" w:line="237"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Company has a $25 million senior non-secured revolving credit facility with AmSouth Bank ("AmSouth"), as the administrative agent for the lenders, expiring on July 25, 2003 and a senior non-secured term loan for $35 million expiring on July 1, 2006. Amounts outstanding under the revolving facility and the term loan facility bear interest at a floating rate equal to LIBOR (1.86% at June 30, 2002) plus an applicable margin of 0.75% to 2.00% based upon calculated financial ratios. The loan agreement contains customary financial and non-financial covenants. The Company was in compliance with all such covenants as of June 30, 2002. Amounts available for borrowing under this term loan facility will be reduced by $7.0 million per annum and the facility will expire on July 1, 2006. On July 12, 2002, the Company amended its U.S. credit facility to convert the term loan portion into a reducing revolving credit line providing initial availability equivalent to the balance of the term loan prior to the amendment. Amounts available for borrowing under this facility will be reduced by $7.0 million per annum and the facility will expire on July 1, 2006. Additionally, on July 31, 2002, the Company amended the credit facility again to extend the $25 million senior non-secured revolving credit facility to July 25, 2004.</w:t>
      </w:r>
    </w:p>
    <w:p>
      <w:pPr>
        <w:spacing w:after="0" w:line="117"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 July 2000, NN Euroball ApS, and its subsidiaries entered into a senior secured revolving credit facility of Euro 5.0 million, expiring on July 15, 2006 and a senior secured term loan of Euro 36.0 million, expiring on July 15, 2006 with HypoVereinsbank Luxembourg S.A. as agent for Bayerische Hypo-und Vereinsbank</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AG of Munich, Germany. On July 31, 2000, upon closing of the joint venture, NN Euroball ApS borrowed a total of Euro 31.5 million against these facilities for acquisition financing. Additional working capital and capital expenditure financing are provided for under the facility. Amounts outstanding under the facilities accrue interest at a floating rate equal to EURIBOR (3.44% at June 30, 2002) plus an applicable margin of 1.125% to 2.25% based upon calculated financial ratios. The loan agreement contains various restrictive covenants that specify, among other things, restrictions on the incurrence of indebtedness and the maintenance of certain financial ratios. These facilities also include certain negative pledges. Euroball was in compliance with all such covenants as of June 30, 2002.</w:t>
      </w:r>
    </w:p>
    <w:p>
      <w:pPr>
        <w:spacing w:after="0" w:line="104"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with certain European customers, payments typically are due within 30 days after the customer uses the product. The Company's net sales and receivables can be influenced by seasonality due to the Company's relative percentage of European business coupled with many foreign customers ceasing or significantly slowing production during the month of August.</w:t>
      </w:r>
    </w:p>
    <w:p>
      <w:pPr>
        <w:spacing w:after="0" w:line="104"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The Company bills and receives payment from some of its foreign customers in Euro or other currencies. To date, the Company has not been materially adversely affected by currency fluctuations or foreign exchange restrictions. To manage risks associated with currency fluctuations and foreign exchange restrictions, the Company has strategies in place, including a hedging program, which allows management to hedge foreign currencies when exposures reach certain levels. However, the Company has not entered into any currency hedges in 2001 or during the current year. Strengthening of the U.S. dollar against foreign currencies could impair the ability of the Company to compete with international competitors for foreign as well as domestic sales. Working capital, which consists principally of accounts receivable and inventories, was $15.7 million at June 30, 2002 as compared to $17.9 million at December 31, 2001. The ratio of current assets to current liabilities decreased from 1.47:1 at December 31, 2001 to 1.34:1 at June 30, 2002. Cash flow from operations increased from $13.1 million during the six months of 2001 to $15.0 million during the first six months of 2002.</w:t>
      </w:r>
    </w:p>
    <w:p>
      <w:pPr>
        <w:spacing w:after="0" w:line="113"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During 2002, the Company plans to spend approximately $6.8 million on capital expenditures (of which approximately $1.8 million has been spent through June 30, 2002) including the purchase of additional machinery and equipment for all of the Company's domestic and international ball facilities. The Company intends to finance these activities with cash generated from operations and funds</w:t>
      </w:r>
    </w:p>
    <w:p>
      <w:pPr>
        <w:sectPr>
          <w:pgSz w:w="11900" w:h="16838" w:orient="portrait"/>
          <w:cols w:equalWidth="0" w:num="1">
            <w:col w:w="10219"/>
          </w:cols>
          <w:pgMar w:left="240" w:top="110" w:right="1440" w:bottom="0" w:gutter="0" w:footer="0" w:header="0"/>
        </w:sectPr>
      </w:pPr>
    </w:p>
    <w:bookmarkStart w:id="13" w:name="page14"/>
    <w:bookmarkEnd w:id="13"/>
    <w:p>
      <w:pPr>
        <w:ind w:right="1779"/>
        <w:spacing w:after="0" w:line="274" w:lineRule="auto"/>
        <w:rPr>
          <w:sz w:val="20"/>
          <w:szCs w:val="20"/>
          <w:color w:val="auto"/>
        </w:rPr>
      </w:pPr>
      <w:r>
        <w:rPr>
          <w:rFonts w:ascii="Courier New" w:cs="Courier New" w:eastAsia="Courier New" w:hAnsi="Courier New"/>
          <w:sz w:val="18"/>
          <w:szCs w:val="18"/>
          <w:color w:val="auto"/>
        </w:rPr>
        <w:t>available under the credit facilities described above. The Company believes that funds generated from operations and borrowings from the credit facilities will be sufficient to finance the Company's working capital needs and projected capital expenditure requirements through at least December 2002.</w:t>
      </w:r>
    </w:p>
    <w:p>
      <w:pPr>
        <w:spacing w:after="0" w:line="8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In addition, FAG and SKF have the right to require the Company to purchase their interests in Euroball beginning in January 2003, based on a formula using Euroball's historical net income and cash flow. As a result, the exact amount of the purchase price cannot be determined until the put right is exercised. The Company anticipates that if such purchase becomes necessary, it may need to borrow additional funds.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The Euro</w:t>
      </w:r>
    </w:p>
    <w:p>
      <w:pPr>
        <w:spacing w:after="0" w:line="237"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Company currently has operations in Italy, Germany and Ireland, all of which are Euro participating countries, and sells product to customers in many of the participating countries. The Euro has been adopted as the functional currency at these locations.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Seasonality and Fluctuation in Results of Operations</w:t>
      </w:r>
    </w:p>
    <w:p>
      <w:pPr>
        <w:spacing w:after="0" w:line="237"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 Company's net sales historically have been of a seasonal nature, and as foreign sales have increased as a percentage of total sales, seasonality has become a more significant factor for the Company in that many foreign customers cease production during the month of August.</w:t>
      </w: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Inflation and Changes in Prices</w:t>
      </w:r>
    </w:p>
    <w:p>
      <w:pPr>
        <w:spacing w:after="0" w:line="237"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While the Company's operations have not been affected by inflation during recent years, prices for 52100 chrome steel and other raw materials are subject to change. For example, during 1995, due to an increase in worldwide demand for 52100 chrome steel and the decrease in the value of the United States dollar relative to foreign currencies, the Company experienced an increase in the price of 52100 chrome steel and some difficulty in obtaining an adequate supply of 52100 chrome steel from its existing suppliers. In our U.S. operations, the Company's typical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chrome steel price increases by taking such measures.</w:t>
      </w:r>
    </w:p>
    <w:p>
      <w:pPr>
        <w:spacing w:after="0" w:line="70" w:lineRule="exact"/>
        <w:rPr>
          <w:sz w:val="20"/>
          <w:szCs w:val="20"/>
          <w:color w:val="auto"/>
        </w:rPr>
      </w:pPr>
    </w:p>
    <w:p>
      <w:pPr>
        <w:ind w:right="2519"/>
        <w:spacing w:after="0" w:line="378" w:lineRule="auto"/>
        <w:rPr>
          <w:sz w:val="20"/>
          <w:szCs w:val="20"/>
          <w:color w:val="auto"/>
        </w:rPr>
      </w:pPr>
      <w:r>
        <w:rPr>
          <w:rFonts w:ascii="Courier New" w:cs="Courier New" w:eastAsia="Courier New" w:hAnsi="Courier New"/>
          <w:sz w:val="18"/>
          <w:szCs w:val="18"/>
          <w:b w:val="1"/>
          <w:bCs w:val="1"/>
          <w:color w:val="auto"/>
        </w:rPr>
        <w:t>Cautionary Statements for Purposes of the "Safe Harbor" Provisions of the Private Securities Litigation Reform Act of 1995</w:t>
      </w:r>
    </w:p>
    <w:p>
      <w:pPr>
        <w:spacing w:after="0" w:line="1"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72"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02"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i w:val="1"/>
          <w:iCs w:val="1"/>
          <w:color w:val="auto"/>
        </w:rPr>
        <w:t xml:space="preserve">The Company is heavily dependent on a relatively few number of customers and the loss of any major customer would have a material adverse effect on its business. </w:t>
      </w:r>
      <w:r>
        <w:rPr>
          <w:rFonts w:ascii="Courier New" w:cs="Courier New" w:eastAsia="Courier New" w:hAnsi="Courier New"/>
          <w:sz w:val="18"/>
          <w:szCs w:val="18"/>
          <w:color w:val="auto"/>
        </w:rPr>
        <w:t>Sales to various U.S. and foreign divisions of SKF, which is one of the largest bearing manufacturers in the world, accounted for approximately 35% of net sales in 2001, and sales to INA/FAG accounted for approximately 19% of net sales. During 2001, the Company's ten largest customers accounted for approximately 73% of its consolidated net sales. None of the Company's other customers accounted for more than 5% of its net sales for 2001. The loss of all or a substantial portion of sales to these customers would have a material adverse effect on the Company's business.</w:t>
      </w:r>
    </w:p>
    <w:p>
      <w:pPr>
        <w:sectPr>
          <w:pgSz w:w="11900" w:h="16838" w:orient="portrait"/>
          <w:cols w:equalWidth="0" w:num="1">
            <w:col w:w="10219"/>
          </w:cols>
          <w:pgMar w:left="240" w:top="110" w:right="1440" w:bottom="0" w:gutter="0" w:footer="0" w:header="0"/>
        </w:sectPr>
      </w:pP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The demand for the Company's products is cyclical, which could adversely impact</w:t>
      </w:r>
    </w:p>
    <w:p>
      <w:pPr>
        <w:sectPr>
          <w:pgSz w:w="11900" w:h="16838" w:orient="portrait"/>
          <w:cols w:equalWidth="0" w:num="1">
            <w:col w:w="10219"/>
          </w:cols>
          <w:pgMar w:left="240" w:top="110" w:right="1440" w:bottom="0" w:gutter="0" w:footer="0" w:header="0"/>
          <w:type w:val="continuous"/>
        </w:sectPr>
      </w:pPr>
    </w:p>
    <w:bookmarkStart w:id="14" w:name="page15"/>
    <w:bookmarkEnd w:id="14"/>
    <w:p>
      <w:pPr>
        <w:ind w:right="1779"/>
        <w:spacing w:after="0" w:line="256" w:lineRule="auto"/>
        <w:rPr>
          <w:sz w:val="20"/>
          <w:szCs w:val="20"/>
          <w:color w:val="auto"/>
        </w:rPr>
      </w:pPr>
      <w:r>
        <w:rPr>
          <w:rFonts w:ascii="Courier New" w:cs="Courier New" w:eastAsia="Courier New" w:hAnsi="Courier New"/>
          <w:sz w:val="18"/>
          <w:szCs w:val="18"/>
          <w:i w:val="1"/>
          <w:iCs w:val="1"/>
          <w:color w:val="auto"/>
        </w:rPr>
        <w:t xml:space="preserve">its revenues. </w:t>
      </w:r>
      <w:r>
        <w:rPr>
          <w:rFonts w:ascii="Courier New" w:cs="Courier New" w:eastAsia="Courier New" w:hAnsi="Courier New"/>
          <w:sz w:val="18"/>
          <w:szCs w:val="18"/>
          <w:color w:val="auto"/>
        </w:rPr>
        <w:t>The end markets for fully assembled bearings are cyclical and tend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to decline in response to overall declines in industrial production. As a result, the market for bearing components is also cyclical and impacted by overall levels of industrial production. The Company's sales in the past have been negatively affected, and in the future very likely will be negatively affected, by adverse conditions in the industrial production sector of the economy or by adverse global or national economic conditions generally.</w:t>
      </w:r>
    </w:p>
    <w:p>
      <w:pPr>
        <w:spacing w:after="0" w:line="102"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i w:val="1"/>
          <w:iCs w:val="1"/>
          <w:color w:val="auto"/>
        </w:rPr>
        <w:t xml:space="preserve">The Company may not be able to continue to make the acquisitions necessary for it to realize its growth strategy. </w:t>
      </w:r>
      <w:r>
        <w:rPr>
          <w:rFonts w:ascii="Courier New" w:cs="Courier New" w:eastAsia="Courier New" w:hAnsi="Courier New"/>
          <w:sz w:val="18"/>
          <w:szCs w:val="18"/>
          <w:color w:val="auto"/>
        </w:rPr>
        <w:t>Acquiring businesses that complement or</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expand the Company's operations has been and continues to be an important element of its business strategy. The Company bought its plastic bearing component business in 1999, formed Euroball in 2000 and acquired its bearing seal operations in 2001. The Company cannot give assurances that it will be successful in identifying attractive acquisition candidates or completing acquisitions on favorable terms in the future. In addition, the Company may borrow funds to acquire other businesses, increasing its interest expense and debt levels. The Company's inability to acquire businesses, or to operate them profitably once acquired, could have a material adverse effect on its business, financial condition and results of operations.</w:t>
      </w:r>
    </w:p>
    <w:p>
      <w:pPr>
        <w:spacing w:after="0" w:line="11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8"/>
          <w:szCs w:val="18"/>
          <w:i w:val="1"/>
          <w:iCs w:val="1"/>
          <w:color w:val="auto"/>
        </w:rPr>
        <w:t xml:space="preserve">The costs and difficulties of integrating acquired businesses could impede the Company's future growth. </w:t>
      </w:r>
      <w:r>
        <w:rPr>
          <w:rFonts w:ascii="Courier New" w:cs="Courier New" w:eastAsia="Courier New" w:hAnsi="Courier New"/>
          <w:sz w:val="18"/>
          <w:szCs w:val="18"/>
          <w:color w:val="auto"/>
        </w:rPr>
        <w:t>The Company cannot give assurances that any future</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acquisition will enhance its financial performance.</w:t>
      </w:r>
    </w:p>
    <w:p>
      <w:pPr>
        <w:spacing w:after="0" w:line="200" w:lineRule="exact"/>
        <w:rPr>
          <w:sz w:val="20"/>
          <w:szCs w:val="20"/>
          <w:color w:val="auto"/>
        </w:rPr>
      </w:pPr>
    </w:p>
    <w:p>
      <w:pPr>
        <w:spacing w:after="0" w:line="2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7"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The Company's ability to effectively integrate any future acquisitions will depend on, among other things, the adequacy of its implementation plans, the ability of its management to oversee and operate effectively the combined operations and its ability to achieve desired operating efficiencies and sales goals. If the Company is not able to integrate the operations of acquired companies successfully into its business, the Company's future earnings and profitability could be materially and adversely affected.</w:t>
      </w:r>
    </w:p>
    <w:p>
      <w:pPr>
        <w:spacing w:after="0" w:line="102"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i w:val="1"/>
          <w:iCs w:val="1"/>
          <w:color w:val="auto"/>
        </w:rPr>
        <w:t xml:space="preserve">The Company depends on a very limited number of foreign sources for its primary raw material and is subject to risks of shortages and price fluctuation. </w:t>
      </w:r>
      <w:r>
        <w:rPr>
          <w:rFonts w:ascii="Courier New" w:cs="Courier New" w:eastAsia="Courier New" w:hAnsi="Courier New"/>
          <w:sz w:val="16"/>
          <w:szCs w:val="16"/>
          <w:color w:val="auto"/>
        </w:rPr>
        <w:t>The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steel that the Company uses to manufacture precision balls and rollers is of an extremely high quality and is available from a limited number of producers on a global basis. Due to quality constraints in the U.S. steel industry, the Company obtains substantially all of the steel used in its U.S. ball and roller production from overseas suppliers. In addition, the Company obtains substantially all of the steel from sources other than its current suppliers, particularly in the case of its European operations, it could face higher prices and transportation costs, increased duties or taxes, and shortages of steel. Problems in obtaining steel, and particularly 52100 chrome steel, in the quantities that it requires and on commercially reasonable terms, could have a material adverse effect on the operating and financial results of the Company.</w:t>
      </w:r>
    </w:p>
    <w:p>
      <w:pPr>
        <w:spacing w:after="0" w:line="299" w:lineRule="exact"/>
        <w:rPr>
          <w:sz w:val="20"/>
          <w:szCs w:val="20"/>
          <w:color w:val="auto"/>
        </w:rPr>
      </w:pPr>
    </w:p>
    <w:p>
      <w:pPr>
        <w:ind w:right="1779"/>
        <w:spacing w:after="0" w:line="264" w:lineRule="auto"/>
        <w:rPr>
          <w:sz w:val="20"/>
          <w:szCs w:val="20"/>
          <w:color w:val="auto"/>
        </w:rPr>
      </w:pPr>
      <w:r>
        <w:rPr>
          <w:rFonts w:ascii="Courier New" w:cs="Courier New" w:eastAsia="Courier New" w:hAnsi="Courier New"/>
          <w:sz w:val="18"/>
          <w:szCs w:val="18"/>
          <w:i w:val="1"/>
          <w:iCs w:val="1"/>
          <w:color w:val="auto"/>
        </w:rPr>
        <w:t xml:space="preserve">The Company operates in and sells products to customers outside of the U.S. and is subject to several related risks. </w:t>
      </w:r>
      <w:r>
        <w:rPr>
          <w:rFonts w:ascii="Courier New" w:cs="Courier New" w:eastAsia="Courier New" w:hAnsi="Courier New"/>
          <w:sz w:val="18"/>
          <w:szCs w:val="18"/>
          <w:color w:val="auto"/>
        </w:rPr>
        <w:t>Because the Company obtains a majority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its raw materials from overseas suppliers, actively participates in overseas manufacturing operations and sells to a large number of international customers, it faces risks associated with the following:</w:t>
      </w:r>
    </w:p>
    <w:p>
      <w:pPr>
        <w:spacing w:after="0" w:line="90"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foreign currency fluctuations;</w:t>
      </w:r>
    </w:p>
    <w:p>
      <w:pPr>
        <w:spacing w:after="0" w:line="201" w:lineRule="exact"/>
        <w:rPr>
          <w:rFonts w:ascii="Courier New" w:cs="Courier New" w:eastAsia="Courier New" w:hAnsi="Courier New"/>
          <w:sz w:val="18"/>
          <w:szCs w:val="18"/>
          <w:color w:val="auto"/>
        </w:rPr>
      </w:pPr>
    </w:p>
    <w:p>
      <w:pPr>
        <w:ind w:left="1060" w:right="1879" w:hanging="525"/>
        <w:spacing w:after="0" w:line="292"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trade, monetary and fiscal policies, laws and regulations, and other activities of governments, agencies and similar organizations;</w:t>
      </w:r>
    </w:p>
    <w:p>
      <w:pPr>
        <w:spacing w:after="0" w:line="6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trade restrictions or prohibitions;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tax rates that discourage the repatriation of funds to the U.S.;</w:t>
      </w:r>
    </w:p>
    <w:p>
      <w:pPr>
        <w:spacing w:after="0" w:line="223"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import or other duties or taxes; and</w:t>
      </w:r>
    </w:p>
    <w:p>
      <w:pPr>
        <w:spacing w:after="0" w:line="201" w:lineRule="exact"/>
        <w:rPr>
          <w:rFonts w:ascii="Courier New" w:cs="Courier New" w:eastAsia="Courier New" w:hAnsi="Courier New"/>
          <w:sz w:val="18"/>
          <w:szCs w:val="18"/>
          <w:color w:val="auto"/>
        </w:rPr>
      </w:pPr>
    </w:p>
    <w:p>
      <w:pPr>
        <w:jc w:val="both"/>
        <w:ind w:left="1060" w:right="2519" w:hanging="525"/>
        <w:spacing w:after="0" w:line="402"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unstable governments or legal systems in countries in which our suppliers, manufacturing operations, and customers are located.</w:t>
      </w:r>
    </w:p>
    <w:p>
      <w:pPr>
        <w:spacing w:after="0" w:line="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The Company does not have a hedging program in place to help limit the risk associated with consolidating the operating results of our foreign businesses into U.S. dollars. An increase in the value of the U.S. dollar and/or the Euro related to other currencies may adversely affect its ability to compete with its foreign-based competitors for international, as well as domestic, sales. Also, a decline in the value of the Euro relative to the U.S. dollar will negatively impact the Company's consolidated financial results, which are denominated in U.S. dollars.</w:t>
      </w:r>
    </w:p>
    <w:p>
      <w:pPr>
        <w:sectPr>
          <w:pgSz w:w="11900" w:h="16838" w:orient="portrait"/>
          <w:cols w:equalWidth="0" w:num="1">
            <w:col w:w="10219"/>
          </w:cols>
          <w:pgMar w:left="240" w:top="110" w:right="1440" w:bottom="0" w:gutter="0" w:footer="0" w:header="0"/>
        </w:sectPr>
      </w:pPr>
    </w:p>
    <w:bookmarkStart w:id="15" w:name="page16"/>
    <w:bookmarkEnd w:id="15"/>
    <w:p>
      <w:pPr>
        <w:ind w:right="1779"/>
        <w:spacing w:after="0" w:line="289" w:lineRule="auto"/>
        <w:rPr>
          <w:sz w:val="20"/>
          <w:szCs w:val="20"/>
          <w:color w:val="auto"/>
        </w:rPr>
      </w:pPr>
      <w:r>
        <w:rPr>
          <w:rFonts w:ascii="Courier New" w:cs="Courier New" w:eastAsia="Courier New" w:hAnsi="Courier New"/>
          <w:sz w:val="16"/>
          <w:szCs w:val="16"/>
          <w:i w:val="1"/>
          <w:iCs w:val="1"/>
          <w:color w:val="auto"/>
        </w:rPr>
        <w:t xml:space="preserve">The Company's growth strategy depends on outsourcing, and if the industry trend toward outsourcing does not continue, its business could be adversely affected. </w:t>
      </w:r>
      <w:r>
        <w:rPr>
          <w:rFonts w:ascii="Courier New" w:cs="Courier New" w:eastAsia="Courier New" w:hAnsi="Courier New"/>
          <w:sz w:val="16"/>
          <w:szCs w:val="16"/>
          <w:color w:val="auto"/>
        </w:rPr>
        <w:t>The Company's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the Company's business could be materially adversely affected.</w:t>
      </w:r>
    </w:p>
    <w:p>
      <w:pPr>
        <w:spacing w:after="0" w:line="73"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i w:val="1"/>
          <w:iCs w:val="1"/>
          <w:color w:val="auto"/>
        </w:rPr>
        <w:t xml:space="preserve">The Company's markets are highly competitive. </w:t>
      </w:r>
      <w:r>
        <w:rPr>
          <w:rFonts w:ascii="Courier New" w:cs="Courier New" w:eastAsia="Courier New" w:hAnsi="Courier New"/>
          <w:sz w:val="18"/>
          <w:szCs w:val="18"/>
          <w:color w:val="auto"/>
        </w:rPr>
        <w:t>The global market for bearing</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components is highly competitive with a majority of production represented by the captive production operations of certain large bearing manufacturers and the balance represented by independent manufacturers. Captive manufacturers make components for internal use and sale to third parties. All of the captive manufacturers, and many independent manufacturers, are significantly larger and have greater resources than the Company does. The Company's competitors are continuously exploring and implementing improvements in technology</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and manufacturing processes in order to improve product quality, and the Company's ability to remain competitive will depend, among other things, on whether the Company is able to keep pace with such quality improvements in a cost effective manner.</w:t>
      </w:r>
    </w:p>
    <w:p>
      <w:pPr>
        <w:spacing w:after="0" w:line="82"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The production capacity that the Company has added over the last several years has at times resulted in its having more capacity than it needs, causing its operating costs to be higher than expected. The Company has significantly expanded its ball and roller production facilities and capacity over the last several years. During 1997, it build an additional manufacturing plant in Kilkenny, Ireland, and it continued this expansion in 2000 through the formation of Euroball with SKF and INA/FAG. The Company's ball and roller facilities currently are not operating at full capacity and its results of operations for 2001 were adversely affected by the under-utilization of its production facilities, and it faces risks of further under-utilization or inefficient utilization of its production facilities in future years.</w:t>
      </w:r>
    </w:p>
    <w:p>
      <w:pPr>
        <w:spacing w:after="0" w:line="6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Item 3.</w:t>
      </w:r>
      <w:r>
        <w:rPr>
          <w:sz w:val="20"/>
          <w:szCs w:val="20"/>
          <w:color w:val="auto"/>
        </w:rPr>
        <w:tab/>
      </w:r>
      <w:r>
        <w:rPr>
          <w:rFonts w:ascii="Courier New" w:cs="Courier New" w:eastAsia="Courier New" w:hAnsi="Courier New"/>
          <w:sz w:val="16"/>
          <w:szCs w:val="16"/>
          <w:b w:val="1"/>
          <w:bCs w:val="1"/>
          <w:color w:val="auto"/>
        </w:rPr>
        <w:t>Quantitative and Qualitative Disclosures About Market Risk</w:t>
      </w:r>
    </w:p>
    <w:p>
      <w:pPr>
        <w:spacing w:after="0" w:line="237"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60"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The Company is exposed to changes in interest rates primarily as a result of its borrowing activities, which include a $25.0 million senior, non-secured floating rate revolving credit facility which is used to maintain liquidity and fund its business operations as well as a $35.0 million senior, non-secured floating rate term loan. Additionally, Euroball has a Euro 5.0 million senior secured floating rate revolving credit facility and a Euro 36.0 million floating rate senior secured term loan. Additionally, the Company has an interest rate swap that fixes the interest rate for Euro 12.5 million outstanding under the facilities. The interest rate swap expires in July 2006. At June 30, 2002, the Company had $36.8 million outstanding under the domestic revolving credit facility and term loan and Euroball had $8.2 million outstanding under the Euroball revolving credit facility and term loan. A one-percent increase in the interest rate charged on the Company's outstanding borrowings under the revolving credit facility and term loans would result in annual interest expense increasing by approximately $450,000. The nature and amount of the Company's borrowings may vary as a result of future business requirements, market conditions and other factors.</w:t>
      </w:r>
    </w:p>
    <w:p>
      <w:pPr>
        <w:spacing w:after="0" w:line="108"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related to foreign exchange rates. The Company did not hold a position in any foreign currency instruments as of June 30, 2002.</w:t>
      </w:r>
    </w:p>
    <w:p>
      <w:pPr>
        <w:spacing w:after="0" w:line="200" w:lineRule="exact"/>
        <w:rPr>
          <w:sz w:val="20"/>
          <w:szCs w:val="20"/>
          <w:color w:val="auto"/>
        </w:rPr>
      </w:pPr>
    </w:p>
    <w:p>
      <w:pPr>
        <w:spacing w:after="0" w:line="2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316" w:right="1440" w:bottom="591"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b w:val="1"/>
          <w:bCs w:val="1"/>
          <w:color w:val="auto"/>
        </w:rPr>
        <w:t>Part II.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Item 1. Legal Proceedings</w:t>
      </w:r>
    </w:p>
    <w:p>
      <w:pPr>
        <w:spacing w:after="0" w:line="237"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Company is currently the defendant in a lawsuit involving the minority shareholder of the NN Arte business located in Guadalajara, Mexico. Management believes the claims are without merit and the ultimate disposition will not have a material adverse effect of the Company's financial position or results of operations.</w:t>
      </w:r>
    </w:p>
    <w:p>
      <w:pPr>
        <w:spacing w:after="0" w:line="90"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All other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Item 2. Submission of Matters to a Vote of Security Holders</w:t>
      </w:r>
    </w:p>
    <w:p>
      <w:pPr>
        <w:spacing w:after="0" w:line="237"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The Company's Annual Meeting of Stockholders was held on May 16, 2002. As of March 25, 2002, the record date for the meeting, there were 15,340,806 shares of common stock outstanding and entitled to vote at the meeting. There were present at said meeting, in person or by proxy, stockholders holding 10,499,621 shares of common stock, constituting approximately 68% of the shares of common stock outstanding and entitled to vote, which constituted a quorum.</w:t>
      </w:r>
    </w:p>
    <w:p>
      <w:pPr>
        <w:spacing w:after="0" w:line="6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first matter voted upon at the meeting was the election of G. Ronald Morris, Steven T. Warshaw and James L. Earsley as Class III Directors to serve for three-year terms. The results of the voting in connection with such elections were as follows:</w:t>
      </w:r>
    </w:p>
    <w:p>
      <w:pPr>
        <w:spacing w:after="0" w:line="8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300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For</w:t>
            </w:r>
          </w:p>
        </w:tc>
        <w:tc>
          <w:tcPr>
            <w:tcW w:w="22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9"/>
              </w:rPr>
              <w:t>Withheld</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G. Ronald Morris</w:t>
            </w:r>
          </w:p>
        </w:tc>
        <w:tc>
          <w:tcPr>
            <w:tcW w:w="3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76"/>
              </w:rPr>
              <w:t>--------------------</w:t>
            </w:r>
            <w:r>
              <w:rPr>
                <w:rFonts w:ascii="Courier New" w:cs="Courier New" w:eastAsia="Courier New" w:hAnsi="Courier New"/>
                <w:sz w:val="35"/>
                <w:szCs w:val="35"/>
                <w:color w:val="auto"/>
                <w:w w:val="76"/>
                <w:vertAlign w:val="subscript"/>
              </w:rPr>
              <w:t>10,433,247</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3000" w:type="dxa"/>
            <w:vAlign w:val="bottom"/>
            <w:vMerge w:val="continue"/>
          </w:tcPr>
          <w:p>
            <w:pPr>
              <w:spacing w:after="0"/>
              <w:rPr>
                <w:sz w:val="17"/>
                <w:szCs w:val="17"/>
                <w:color w:val="auto"/>
              </w:rPr>
            </w:pPr>
          </w:p>
        </w:tc>
        <w:tc>
          <w:tcPr>
            <w:tcW w:w="22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5"/>
              </w:rPr>
              <w:t>66,374</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T. Warshaw</w:t>
            </w:r>
          </w:p>
        </w:tc>
        <w:tc>
          <w:tcPr>
            <w:tcW w:w="3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10,436,886</w:t>
            </w:r>
          </w:p>
        </w:tc>
        <w:tc>
          <w:tcPr>
            <w:tcW w:w="22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5"/>
              </w:rPr>
              <w:t>62,735</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James L. Earsley</w:t>
            </w:r>
          </w:p>
        </w:tc>
        <w:tc>
          <w:tcPr>
            <w:tcW w:w="30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10,436,886</w:t>
            </w:r>
          </w:p>
        </w:tc>
        <w:tc>
          <w:tcPr>
            <w:tcW w:w="22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5"/>
              </w:rPr>
              <w:t>62,735</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All nominees were elected to serve until the 2005 Annual Meeting of Stockholders and until their successors are duly elected and qualified. In addition to the foregoing directors, Roderick R. Baty and Richard D. Ennen are serving terms that will expire in 2003, and Michael D. Huff and Michael E. Werner are serving terms that will expire in 2004. Mr. Baty continues in his position as Chairman of the Company's Board of Directors.</w:t>
      </w:r>
    </w:p>
    <w:p>
      <w:pPr>
        <w:spacing w:after="0" w:line="93"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The second matter voted upon the 2002 Annual Meeting of Stockholders was the ratification of KPMG LLP as independent public accountants to audit the Company's accounts for the fiscal year ending December 31, 2002. The vote was 10,489,635 For and 3,661 Against, and there were 6,325 Abstentions.</w:t>
      </w:r>
    </w:p>
    <w:p>
      <w:pPr>
        <w:spacing w:after="0" w:line="4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3.</w:t>
      </w:r>
      <w:r>
        <w:rPr>
          <w:sz w:val="20"/>
          <w:szCs w:val="20"/>
          <w:color w:val="auto"/>
        </w:rPr>
        <w:tab/>
      </w:r>
      <w:r>
        <w:rPr>
          <w:rFonts w:ascii="Courier New" w:cs="Courier New" w:eastAsia="Courier New" w:hAnsi="Courier New"/>
          <w:sz w:val="16"/>
          <w:szCs w:val="16"/>
          <w:b w:val="1"/>
          <w:bCs w:val="1"/>
          <w:color w:val="auto"/>
        </w:rPr>
        <w:t>Exhibits and Reports on Form 8-K.</w:t>
      </w:r>
    </w:p>
    <w:p>
      <w:pPr>
        <w:spacing w:after="0" w:line="237"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Required by Item 601 of Regulation S-K</w:t>
      </w:r>
    </w:p>
    <w:p>
      <w:pPr>
        <w:spacing w:after="0" w:line="201" w:lineRule="exact"/>
        <w:rPr>
          <w:sz w:val="20"/>
          <w:szCs w:val="20"/>
          <w:color w:val="auto"/>
        </w:rPr>
      </w:pPr>
    </w:p>
    <w:p>
      <w:pPr>
        <w:ind w:left="1060" w:right="1999" w:hanging="526"/>
        <w:spacing w:after="0" w:line="344" w:lineRule="auto"/>
        <w:rPr>
          <w:sz w:val="20"/>
          <w:szCs w:val="20"/>
          <w:color w:val="auto"/>
        </w:rPr>
      </w:pPr>
      <w:r>
        <w:rPr>
          <w:rFonts w:ascii="Courier New" w:cs="Courier New" w:eastAsia="Courier New" w:hAnsi="Courier New"/>
          <w:sz w:val="16"/>
          <w:szCs w:val="16"/>
          <w:color w:val="auto"/>
        </w:rPr>
        <w:t>10.1 Amendment No. 3 dated as of July 31, 2002 to Credit Agreement among NN, Inc., as the Borrower, the Lenders identified therein, Bank One, Kentucky, NA, as Co-Agent, and AmSouth Bank as Administrative Agent.</w:t>
      </w:r>
    </w:p>
    <w:p>
      <w:pPr>
        <w:spacing w:after="0" w:line="3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w w:val="98"/>
              </w:rPr>
              <w:t>10.2 Amendment No.</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c>
          <w:tcPr>
            <w:tcW w:w="15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dated July 12,</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2002</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to Credit</w:t>
            </w:r>
          </w:p>
        </w:tc>
        <w:tc>
          <w:tcPr>
            <w:tcW w:w="278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w w:val="98"/>
              </w:rPr>
              <w:t>Agreement among NN, Inc.</w:t>
            </w:r>
          </w:p>
        </w:tc>
      </w:tr>
      <w:tr>
        <w:trPr>
          <w:trHeight w:val="203"/>
        </w:trPr>
        <w:tc>
          <w:tcPr>
            <w:tcW w:w="2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6"/>
              </w:rPr>
              <w:t>as the Borrower,</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Lenders</w:t>
            </w:r>
          </w:p>
        </w:tc>
        <w:tc>
          <w:tcPr>
            <w:tcW w:w="2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identified therein,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Bank One,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Kentucky, NA,</w:t>
            </w:r>
          </w:p>
        </w:tc>
      </w:tr>
      <w:tr>
        <w:trPr>
          <w:trHeight w:val="203"/>
        </w:trPr>
        <w:tc>
          <w:tcPr>
            <w:tcW w:w="2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6"/>
              </w:rPr>
              <w:t>as Co-Agent, and</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AmSouth</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Bank,</w:t>
            </w:r>
          </w:p>
        </w:tc>
        <w:tc>
          <w:tcPr>
            <w:tcW w:w="1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as Administrative</w:t>
            </w:r>
          </w:p>
        </w:tc>
        <w:tc>
          <w:tcPr>
            <w:tcW w:w="2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Agent (incorporated</w:t>
            </w:r>
          </w:p>
        </w:tc>
      </w:tr>
      <w:tr>
        <w:trPr>
          <w:trHeight w:val="203"/>
        </w:trPr>
        <w:tc>
          <w:tcPr>
            <w:tcW w:w="2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by reference to</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Exhibit 10.9</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96"/>
        </w:trPr>
        <w:tc>
          <w:tcPr>
            <w:tcW w:w="1940" w:type="dxa"/>
            <w:vAlign w:val="bottom"/>
          </w:tcPr>
          <w:p>
            <w:pPr>
              <w:ind w:left="520"/>
              <w:spacing w:after="0"/>
              <w:rPr>
                <w:sz w:val="20"/>
                <w:szCs w:val="20"/>
                <w:color w:val="auto"/>
              </w:rPr>
            </w:pPr>
            <w:r>
              <w:rPr>
                <w:rFonts w:ascii="Courier New" w:cs="Courier New" w:eastAsia="Courier New" w:hAnsi="Courier New"/>
                <w:sz w:val="18"/>
                <w:szCs w:val="18"/>
                <w:color w:val="auto"/>
                <w:w w:val="99"/>
              </w:rPr>
              <w:t>on Form S-3/A</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filed July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2002).</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99.1 Certification pursuant to Section 906 of the Sarbanes-Oxley Act of 2002.</w:t>
      </w:r>
    </w:p>
    <w:p>
      <w:pPr>
        <w:spacing w:after="0" w:line="224"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ind w:left="860" w:right="2099"/>
        <w:spacing w:after="0" w:line="292" w:lineRule="auto"/>
        <w:rPr>
          <w:sz w:val="20"/>
          <w:szCs w:val="20"/>
          <w:color w:val="auto"/>
        </w:rPr>
      </w:pPr>
      <w:r>
        <w:rPr>
          <w:rFonts w:ascii="Courier New" w:cs="Courier New" w:eastAsia="Courier New" w:hAnsi="Courier New"/>
          <w:sz w:val="18"/>
          <w:szCs w:val="18"/>
          <w:color w:val="auto"/>
        </w:rPr>
        <w:t>The Company filed a Form 8-K on June 7, 2002 announcing it filed a registration statement with the Securities and Exchange Commission on June 6,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74" w:right="1440" w:bottom="0" w:gutter="0" w:footer="0" w:header="0"/>
          <w:type w:val="continuous"/>
        </w:sectPr>
      </w:pPr>
    </w:p>
    <w:bookmarkStart w:id="17" w:name="page18"/>
    <w:bookmarkEnd w:id="17"/>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940" w:val="left"/>
          <w:tab w:leader="none" w:pos="4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13, 2002</w:t>
      </w:r>
      <w:r>
        <w:rPr>
          <w:sz w:val="20"/>
          <w:szCs w:val="20"/>
          <w:color w:val="auto"/>
        </w:rPr>
        <w:tab/>
      </w:r>
      <w:r>
        <w:rPr>
          <w:rFonts w:ascii="Courier New" w:cs="Courier New" w:eastAsia="Courier New" w:hAnsi="Courier New"/>
          <w:sz w:val="16"/>
          <w:szCs w:val="16"/>
          <w:color w:val="auto"/>
        </w:rPr>
        <w:t>/s/ Roderick R. Baty</w:t>
      </w:r>
    </w:p>
    <w:p>
      <w:pPr>
        <w:spacing w:after="0" w:line="3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5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Roderick R. Baty,</w:t>
      </w:r>
    </w:p>
    <w:p>
      <w:pPr>
        <w:ind w:left="3480"/>
        <w:spacing w:after="0"/>
        <w:rPr>
          <w:sz w:val="20"/>
          <w:szCs w:val="20"/>
          <w:color w:val="auto"/>
        </w:rPr>
      </w:pPr>
      <w:r>
        <w:rPr>
          <w:rFonts w:ascii="Courier New" w:cs="Courier New" w:eastAsia="Courier New" w:hAnsi="Courier New"/>
          <w:sz w:val="18"/>
          <w:szCs w:val="18"/>
          <w:color w:val="auto"/>
        </w:rPr>
        <w:t>Chairman, President and Chief Executive Officer</w:t>
      </w:r>
    </w:p>
    <w:p>
      <w:pPr>
        <w:sectPr>
          <w:pgSz w:w="11900" w:h="16838" w:orient="portrait"/>
          <w:cols w:equalWidth="0" w:num="1">
            <w:col w:w="10219"/>
          </w:cols>
          <w:pgMar w:left="240" w:top="515" w:right="1440" w:bottom="1440" w:gutter="0" w:footer="0" w:header="0"/>
        </w:sectPr>
      </w:pPr>
    </w:p>
    <w:p>
      <w:pPr>
        <w:spacing w:after="0" w:line="3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13, 2002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 David Dyckman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280" w:space="300"/>
            <w:col w:w="6639"/>
          </w:cols>
          <w:pgMar w:left="240" w:top="515" w:right="1440" w:bottom="1440" w:gutter="0" w:footer="0" w:header="0"/>
          <w:type w:val="continuous"/>
        </w:sectPr>
      </w:pPr>
    </w:p>
    <w:p>
      <w:pPr>
        <w:ind w:left="5280"/>
        <w:spacing w:after="0"/>
        <w:rPr>
          <w:sz w:val="20"/>
          <w:szCs w:val="20"/>
          <w:color w:val="auto"/>
        </w:rPr>
      </w:pPr>
      <w:r>
        <w:rPr>
          <w:rFonts w:ascii="Courier New" w:cs="Courier New" w:eastAsia="Courier New" w:hAnsi="Courier New"/>
          <w:sz w:val="18"/>
          <w:szCs w:val="18"/>
          <w:color w:val="auto"/>
        </w:rPr>
        <w:t>David Dyckman,</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Chief Financial Officer</w:t>
      </w:r>
    </w:p>
    <w:p>
      <w:pPr>
        <w:ind w:left="4440"/>
        <w:spacing w:after="0"/>
        <w:rPr>
          <w:sz w:val="20"/>
          <w:szCs w:val="20"/>
          <w:color w:val="auto"/>
        </w:rPr>
      </w:pPr>
      <w:r>
        <w:rPr>
          <w:rFonts w:ascii="Courier New" w:cs="Courier New" w:eastAsia="Courier New" w:hAnsi="Courier New"/>
          <w:sz w:val="18"/>
          <w:szCs w:val="18"/>
          <w:color w:val="auto"/>
        </w:rPr>
        <w:t>(Principal Financial Officer)</w:t>
      </w:r>
    </w:p>
    <w:p>
      <w:pPr>
        <w:spacing w:after="0" w:line="372" w:lineRule="exact"/>
        <w:rPr>
          <w:sz w:val="20"/>
          <w:szCs w:val="20"/>
          <w:color w:val="auto"/>
        </w:rPr>
      </w:pPr>
    </w:p>
    <w:p>
      <w:pPr>
        <w:spacing w:after="0"/>
        <w:tabs>
          <w:tab w:leader="none" w:pos="940" w:val="left"/>
          <w:tab w:leader="none" w:pos="46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13, 2002</w:t>
      </w:r>
      <w:r>
        <w:rPr>
          <w:sz w:val="20"/>
          <w:szCs w:val="20"/>
          <w:color w:val="auto"/>
        </w:rPr>
        <w:tab/>
      </w:r>
      <w:r>
        <w:rPr>
          <w:rFonts w:ascii="Courier New" w:cs="Courier New" w:eastAsia="Courier New" w:hAnsi="Courier New"/>
          <w:sz w:val="16"/>
          <w:szCs w:val="16"/>
          <w:color w:val="auto"/>
        </w:rPr>
        <w:t>/s/ William C. Kelly, Jr.</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4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William C. Kelly, Jr.,</w:t>
      </w:r>
    </w:p>
    <w:p>
      <w:pPr>
        <w:ind w:left="3380"/>
        <w:spacing w:after="0"/>
        <w:rPr>
          <w:sz w:val="20"/>
          <w:szCs w:val="20"/>
          <w:color w:val="auto"/>
        </w:rPr>
      </w:pPr>
      <w:r>
        <w:rPr>
          <w:rFonts w:ascii="Courier New" w:cs="Courier New" w:eastAsia="Courier New" w:hAnsi="Courier New"/>
          <w:sz w:val="18"/>
          <w:szCs w:val="18"/>
          <w:color w:val="auto"/>
        </w:rPr>
        <w:t>Treasurer, Secretary and Chief Accounting Officer</w:t>
      </w:r>
    </w:p>
    <w:p>
      <w:pPr>
        <w:ind w:left="4440"/>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15" w:right="1440" w:bottom="1440" w:gutter="0" w:footer="0" w:header="0"/>
          <w:type w:val="continuous"/>
        </w:sectPr>
      </w:pPr>
    </w:p>
    <w:bookmarkStart w:id="18" w:name="page19"/>
    <w:bookmarkEnd w:id="18"/>
    <w:p>
      <w:pPr>
        <w:ind w:left="6740"/>
        <w:spacing w:after="0"/>
        <w:rPr>
          <w:sz w:val="20"/>
          <w:szCs w:val="20"/>
          <w:color w:val="auto"/>
        </w:rPr>
      </w:pPr>
      <w:r>
        <w:rPr>
          <w:rFonts w:ascii="Courier New" w:cs="Courier New" w:eastAsia="Courier New" w:hAnsi="Courier New"/>
          <w:sz w:val="18"/>
          <w:szCs w:val="18"/>
          <w:b w:val="1"/>
          <w:bCs w:val="1"/>
          <w:color w:val="auto"/>
        </w:rPr>
        <w:t>Exhibit 10.1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b w:val="1"/>
          <w:bCs w:val="1"/>
          <w:color w:val="auto"/>
        </w:rPr>
        <w:t>AMENDMENT NO. 3 TO CREDIT AGREEMENT</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b w:val="1"/>
          <w:bCs w:val="1"/>
          <w:color w:val="auto"/>
        </w:rPr>
        <w:t xml:space="preserve">THIS AMENDMENT NO. 3 TO CREDIT AGREEMENT </w:t>
      </w:r>
      <w:r>
        <w:rPr>
          <w:rFonts w:ascii="Courier New" w:cs="Courier New" w:eastAsia="Courier New" w:hAnsi="Courier New"/>
          <w:sz w:val="16"/>
          <w:szCs w:val="16"/>
          <w:color w:val="auto"/>
        </w:rPr>
        <w:t>(this "</w:t>
      </w:r>
      <w:r>
        <w:rPr>
          <w:rFonts w:ascii="Courier New" w:cs="Courier New" w:eastAsia="Courier New" w:hAnsi="Courier New"/>
          <w:sz w:val="16"/>
          <w:szCs w:val="16"/>
          <w:u w:val="single" w:color="auto"/>
          <w:color w:val="auto"/>
        </w:rPr>
        <w:t>Amendment</w:t>
      </w:r>
      <w:r>
        <w:rPr>
          <w:rFonts w:ascii="Courier New" w:cs="Courier New" w:eastAsia="Courier New" w:hAnsi="Courier New"/>
          <w:sz w:val="16"/>
          <w:szCs w:val="16"/>
          <w:color w:val="auto"/>
        </w:rPr>
        <w:t>"), dated July</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 xml:space="preserve">31, 2002, is made and entered into on the terms and conditions hereinafter set forth, by and among NN, INC., a Delaware corporation (the " </w:t>
      </w:r>
      <w:r>
        <w:rPr>
          <w:rFonts w:ascii="Courier New" w:cs="Courier New" w:eastAsia="Courier New" w:hAnsi="Courier New"/>
          <w:sz w:val="16"/>
          <w:szCs w:val="16"/>
          <w:u w:val="single" w:color="auto"/>
          <w:color w:val="auto"/>
        </w:rPr>
        <w:t>Borrower</w:t>
      </w:r>
      <w:r>
        <w:rPr>
          <w:rFonts w:ascii="Courier New" w:cs="Courier New" w:eastAsia="Courier New" w:hAnsi="Courier New"/>
          <w:sz w:val="16"/>
          <w:szCs w:val="16"/>
          <w:color w:val="auto"/>
        </w:rPr>
        <w:t>"), the subsidiaries of the Borrower who are parties to the Credit Agreement, as hereinafter defined (the "</w:t>
      </w:r>
      <w:r>
        <w:rPr>
          <w:rFonts w:ascii="Courier New" w:cs="Courier New" w:eastAsia="Courier New" w:hAnsi="Courier New"/>
          <w:sz w:val="16"/>
          <w:szCs w:val="16"/>
          <w:u w:val="single" w:color="auto"/>
          <w:color w:val="auto"/>
        </w:rPr>
        <w:t>Guarantors</w:t>
      </w:r>
      <w:r>
        <w:rPr>
          <w:rFonts w:ascii="Courier New" w:cs="Courier New" w:eastAsia="Courier New" w:hAnsi="Courier New"/>
          <w:sz w:val="16"/>
          <w:szCs w:val="16"/>
          <w:color w:val="auto"/>
        </w:rPr>
        <w:t>"), the several lenders who are now or hereafter become parties to the Credit Agreement (the "</w:t>
      </w:r>
      <w:r>
        <w:rPr>
          <w:rFonts w:ascii="Courier New" w:cs="Courier New" w:eastAsia="Courier New" w:hAnsi="Courier New"/>
          <w:sz w:val="16"/>
          <w:szCs w:val="16"/>
          <w:u w:val="single" w:color="auto"/>
          <w:color w:val="auto"/>
        </w:rPr>
        <w:t>Lenders</w:t>
      </w:r>
      <w:r>
        <w:rPr>
          <w:rFonts w:ascii="Courier New" w:cs="Courier New" w:eastAsia="Courier New" w:hAnsi="Courier New"/>
          <w:sz w:val="16"/>
          <w:szCs w:val="16"/>
          <w:color w:val="auto"/>
        </w:rPr>
        <w:t>"), AMSOUTH BANK, an Alabama state bank, individually and as administrative agent for the Lenders (in such capacity, the "</w:t>
      </w:r>
      <w:r>
        <w:rPr>
          <w:rFonts w:ascii="Courier New" w:cs="Courier New" w:eastAsia="Courier New" w:hAnsi="Courier New"/>
          <w:sz w:val="16"/>
          <w:szCs w:val="16"/>
          <w:u w:val="single" w:color="auto"/>
          <w:color w:val="auto"/>
        </w:rPr>
        <w:t>Administrative Agent</w:t>
      </w:r>
      <w:r>
        <w:rPr>
          <w:rFonts w:ascii="Courier New" w:cs="Courier New" w:eastAsia="Courier New" w:hAnsi="Courier New"/>
          <w:sz w:val="16"/>
          <w:szCs w:val="16"/>
          <w:color w:val="auto"/>
        </w:rPr>
        <w:t xml:space="preserve"> "), and BANK ONE, KENTUCKY, NA, individually and as co-agent for the Lenders (in such capacity, the "</w:t>
      </w:r>
      <w:r>
        <w:rPr>
          <w:rFonts w:ascii="Courier New" w:cs="Courier New" w:eastAsia="Courier New" w:hAnsi="Courier New"/>
          <w:sz w:val="16"/>
          <w:szCs w:val="16"/>
          <w:u w:val="single" w:color="auto"/>
          <w:color w:val="auto"/>
        </w:rPr>
        <w:t>Co-Agent</w:t>
      </w:r>
      <w:r>
        <w:rPr>
          <w:rFonts w:ascii="Courier New" w:cs="Courier New" w:eastAsia="Courier New" w:hAnsi="Courier New"/>
          <w:sz w:val="16"/>
          <w:szCs w:val="16"/>
          <w:color w:val="auto"/>
        </w:rPr>
        <w:t>").</w:t>
      </w:r>
    </w:p>
    <w:p>
      <w:pPr>
        <w:spacing w:after="0" w:line="23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RECITALS:</w:t>
      </w:r>
    </w:p>
    <w:p>
      <w:pPr>
        <w:spacing w:after="0" w:line="237" w:lineRule="exact"/>
        <w:rPr>
          <w:sz w:val="20"/>
          <w:szCs w:val="20"/>
          <w:color w:val="auto"/>
        </w:rPr>
      </w:pPr>
    </w:p>
    <w:p>
      <w:pPr>
        <w:ind w:right="1779" w:firstLine="535"/>
        <w:spacing w:after="0" w:line="250"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Credit Agreement dated as of July 20, 2001, among the Borrower, the Guarantors, the Administrative Agent, the Lenders and the Co-Agent, as amended by that certain Amendment No. 1 to Credit Agreement dated October 4, 2001, and that certain Amendment No. 2 to Credit Agreement dated July 12, 2002 (as the same heretofore may have been and/or hereafter may be amended, restated, supplemented, extended, renewed, replaced or otherwise modified from time to time, the "Credit Agreement"), the Lenders have agreed to make Loans, all as more specifically described in the Credit Agreement. Capitalized terms used but not otherwise defined in this Agreement have the same meanings as in the Credit Agreement.</w:t>
      </w:r>
    </w:p>
    <w:p>
      <w:pPr>
        <w:spacing w:after="0" w:line="104" w:lineRule="exact"/>
        <w:rPr>
          <w:rFonts w:ascii="Courier New" w:cs="Courier New" w:eastAsia="Courier New" w:hAnsi="Courier New"/>
          <w:sz w:val="18"/>
          <w:szCs w:val="18"/>
          <w:color w:val="auto"/>
        </w:rPr>
      </w:pPr>
    </w:p>
    <w:p>
      <w:pPr>
        <w:ind w:right="2419" w:firstLine="535"/>
        <w:spacing w:after="0" w:line="34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desire to amend the Credit Agreement in certain respects, as more particularly hereinafter set forth.</w:t>
      </w:r>
    </w:p>
    <w:p>
      <w:pPr>
        <w:spacing w:after="0" w:line="1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AGREEMENTS:</w:t>
      </w:r>
    </w:p>
    <w:p>
      <w:pPr>
        <w:spacing w:after="0" w:line="201" w:lineRule="exact"/>
        <w:rPr>
          <w:sz w:val="20"/>
          <w:szCs w:val="20"/>
          <w:color w:val="auto"/>
        </w:rPr>
      </w:pPr>
    </w:p>
    <w:p>
      <w:pPr>
        <w:ind w:right="2099" w:firstLine="948"/>
        <w:spacing w:after="0" w:line="313" w:lineRule="auto"/>
        <w:rPr>
          <w:sz w:val="20"/>
          <w:szCs w:val="20"/>
          <w:color w:val="auto"/>
        </w:rPr>
      </w:pPr>
      <w:r>
        <w:rPr>
          <w:rFonts w:ascii="Courier New" w:cs="Courier New" w:eastAsia="Courier New" w:hAnsi="Courier New"/>
          <w:sz w:val="18"/>
          <w:szCs w:val="18"/>
          <w:b w:val="1"/>
          <w:bCs w:val="1"/>
          <w:color w:val="auto"/>
        </w:rPr>
        <w:t>NOW, THEREFORE</w:t>
      </w:r>
      <w:r>
        <w:rPr>
          <w:rFonts w:ascii="Courier New" w:cs="Courier New" w:eastAsia="Courier New" w:hAnsi="Courier New"/>
          <w:sz w:val="18"/>
          <w:szCs w:val="18"/>
          <w:color w:val="auto"/>
        </w:rPr>
        <w:t>, for good and valuable consideration, the receipt and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sufficiency of which are hereby acknowledged, the parties hereto agree as follows:</w:t>
      </w:r>
    </w:p>
    <w:p>
      <w:pPr>
        <w:spacing w:after="0" w:line="13" w:lineRule="exact"/>
        <w:rPr>
          <w:sz w:val="20"/>
          <w:szCs w:val="20"/>
          <w:color w:val="auto"/>
        </w:rPr>
      </w:pPr>
    </w:p>
    <w:p>
      <w:pPr>
        <w:jc w:val="both"/>
        <w:ind w:right="2319" w:firstLine="535"/>
        <w:spacing w:after="0" w:line="313"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b w:val="1"/>
          <w:bCs w:val="1"/>
          <w:u w:val="single" w:color="auto"/>
          <w:color w:val="auto"/>
        </w:rPr>
        <w:t>Defined Terms</w:t>
      </w:r>
      <w:r>
        <w:rPr>
          <w:rFonts w:ascii="Courier New" w:cs="Courier New" w:eastAsia="Courier New" w:hAnsi="Courier New"/>
          <w:sz w:val="18"/>
          <w:szCs w:val="18"/>
          <w:color w:val="auto"/>
        </w:rPr>
        <w:t>.</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u w:val="single" w:color="auto"/>
          <w:color w:val="auto"/>
        </w:rPr>
        <w:t>Subsection 1.1</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of the Agreement is hereby amended by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amending the definition of "Revolving Commitment Period Expiration Date" to provide as follows:</w:t>
      </w:r>
    </w:p>
    <w:p>
      <w:pPr>
        <w:spacing w:after="0" w:line="4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r>
        <w:rPr>
          <w:rFonts w:ascii="Courier New" w:cs="Courier New" w:eastAsia="Courier New" w:hAnsi="Courier New"/>
          <w:sz w:val="18"/>
          <w:szCs w:val="18"/>
          <w:u w:val="single" w:color="auto"/>
          <w:color w:val="auto"/>
        </w:rPr>
        <w:t>Revolving Commitment Period Expiration Date</w:t>
      </w:r>
      <w:r>
        <w:rPr>
          <w:rFonts w:ascii="Courier New" w:cs="Courier New" w:eastAsia="Courier New" w:hAnsi="Courier New"/>
          <w:sz w:val="18"/>
          <w:szCs w:val="18"/>
          <w:color w:val="auto"/>
        </w:rPr>
        <w:t>" shall mean July 25,</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2004.</w:t>
      </w:r>
    </w:p>
    <w:p>
      <w:pPr>
        <w:spacing w:after="0" w:line="133" w:lineRule="exact"/>
        <w:rPr>
          <w:sz w:val="20"/>
          <w:szCs w:val="20"/>
          <w:color w:val="auto"/>
        </w:rPr>
      </w:pPr>
    </w:p>
    <w:p>
      <w:pPr>
        <w:ind w:right="1879" w:firstLine="535"/>
        <w:spacing w:after="0" w:line="3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b w:val="1"/>
          <w:bCs w:val="1"/>
          <w:u w:val="single" w:color="auto"/>
          <w:color w:val="auto"/>
        </w:rPr>
        <w:t>Extension Fee</w:t>
      </w:r>
      <w:r>
        <w:rPr>
          <w:rFonts w:ascii="Courier New" w:cs="Courier New" w:eastAsia="Courier New" w:hAnsi="Courier New"/>
          <w:sz w:val="16"/>
          <w:szCs w:val="16"/>
          <w:color w:val="auto"/>
        </w:rPr>
        <w:t>. Upon execution of this Amendment, the Borrower shall pay</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to the Administrative Agent, for distribution to the Lenders in proportion to their respective Percentages, an extension fee in the amount of $25,000.00.</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right="1779" w:firstLine="535"/>
        <w:spacing w:after="0" w:line="313"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b w:val="1"/>
          <w:bCs w:val="1"/>
          <w:u w:val="single" w:color="auto"/>
          <w:color w:val="auto"/>
        </w:rPr>
        <w:t>Effectiveness</w:t>
      </w:r>
      <w:r>
        <w:rPr>
          <w:rFonts w:ascii="Courier New" w:cs="Courier New" w:eastAsia="Courier New" w:hAnsi="Courier New"/>
          <w:sz w:val="18"/>
          <w:szCs w:val="18"/>
          <w:color w:val="auto"/>
        </w:rPr>
        <w:t>. This Amendment shall be effective only upon execution and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delivery by the Borrower, the Guarantors, the Administrative Agent and the Lenders.</w:t>
      </w:r>
    </w:p>
    <w:p>
      <w:pPr>
        <w:spacing w:after="0" w:line="12" w:lineRule="exact"/>
        <w:rPr>
          <w:rFonts w:ascii="Courier New" w:cs="Courier New" w:eastAsia="Courier New" w:hAnsi="Courier New"/>
          <w:sz w:val="18"/>
          <w:szCs w:val="18"/>
          <w:color w:val="auto"/>
        </w:rPr>
      </w:pPr>
    </w:p>
    <w:p>
      <w:pPr>
        <w:ind w:right="1779" w:firstLine="535"/>
        <w:spacing w:after="0" w:line="27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b w:val="1"/>
          <w:bCs w:val="1"/>
          <w:u w:val="single" w:color="auto"/>
          <w:color w:val="auto"/>
        </w:rPr>
        <w:t>Representations and Warranties of the Borrower and the Guarantors</w:t>
      </w:r>
      <w:r>
        <w:rPr>
          <w:rFonts w:ascii="Courier New" w:cs="Courier New" w:eastAsia="Courier New" w:hAnsi="Courier New"/>
          <w:sz w:val="18"/>
          <w:szCs w:val="18"/>
          <w:color w:val="auto"/>
        </w:rPr>
        <w:t>. As an</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inducement to the Administrative Agent, the Co-Agent and the Lenders to enter into this Amendment, the Borrower and the Guarantors hereby represent and warrant to the Administrative Agent, the Co-Agent and the Lenders that, on and as of the date hereof:</w:t>
      </w:r>
    </w:p>
    <w:p>
      <w:pPr>
        <w:spacing w:after="0" w:line="78" w:lineRule="exact"/>
        <w:rPr>
          <w:rFonts w:ascii="Courier New" w:cs="Courier New" w:eastAsia="Courier New" w:hAnsi="Courier New"/>
          <w:sz w:val="18"/>
          <w:szCs w:val="18"/>
          <w:color w:val="auto"/>
        </w:rPr>
      </w:pPr>
    </w:p>
    <w:p>
      <w:pPr>
        <w:ind w:left="1060" w:right="1999" w:firstLine="528"/>
        <w:spacing w:after="0" w:line="293" w:lineRule="auto"/>
        <w:tabs>
          <w:tab w:leader="none" w:pos="2008"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71" w:lineRule="exact"/>
        <w:rPr>
          <w:rFonts w:ascii="Courier New" w:cs="Courier New" w:eastAsia="Courier New" w:hAnsi="Courier New"/>
          <w:sz w:val="16"/>
          <w:szCs w:val="16"/>
          <w:color w:val="auto"/>
        </w:rPr>
      </w:pPr>
    </w:p>
    <w:p>
      <w:pPr>
        <w:ind w:left="1060" w:right="2939" w:firstLine="528"/>
        <w:spacing w:after="0" w:line="336" w:lineRule="auto"/>
        <w:tabs>
          <w:tab w:leader="none" w:pos="200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has occurred and is continuing.</w:t>
      </w:r>
    </w:p>
    <w:p>
      <w:pPr>
        <w:ind w:right="2099" w:firstLine="535"/>
        <w:spacing w:after="0" w:line="37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b w:val="1"/>
          <w:bCs w:val="1"/>
          <w:u w:val="single" w:color="auto"/>
          <w:color w:val="auto"/>
        </w:rPr>
        <w:t>Effect of Amendment; Continuing Effectiveness of Credit Agreement and Loan Documents</w:t>
      </w:r>
      <w:r>
        <w:rPr>
          <w:rFonts w:ascii="Courier New" w:cs="Courier New" w:eastAsia="Courier New" w:hAnsi="Courier New"/>
          <w:sz w:val="18"/>
          <w:szCs w:val="18"/>
          <w:color w:val="auto"/>
        </w:rPr>
        <w:t>.</w:t>
      </w:r>
    </w:p>
    <w:p>
      <w:pPr>
        <w:spacing w:after="0" w:line="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Amendment nor any other indulgences that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276" w:right="1440" w:bottom="0" w:gutter="0" w:footer="0" w:header="0"/>
        </w:sectPr>
      </w:pPr>
    </w:p>
    <w:bookmarkStart w:id="19" w:name="page20"/>
    <w:bookmarkEnd w:id="19"/>
    <w:p>
      <w:pPr>
        <w:ind w:left="1060" w:right="1879"/>
        <w:spacing w:after="0" w:line="253" w:lineRule="auto"/>
        <w:rPr>
          <w:sz w:val="20"/>
          <w:szCs w:val="20"/>
          <w:color w:val="auto"/>
        </w:rPr>
      </w:pPr>
      <w:r>
        <w:rPr>
          <w:rFonts w:ascii="Courier New" w:cs="Courier New" w:eastAsia="Courier New" w:hAnsi="Courier New"/>
          <w:sz w:val="18"/>
          <w:szCs w:val="18"/>
          <w:color w:val="auto"/>
        </w:rPr>
        <w:t>have been granted to the Borrower or any of the Guarantors by the Administrative Agent, the Co-Agent or any Lender shall constitute a course of dealing or otherwise obligate the Administrative Agent, the Co-Agent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104" w:lineRule="exact"/>
        <w:rPr>
          <w:sz w:val="20"/>
          <w:szCs w:val="20"/>
          <w:color w:val="auto"/>
        </w:rPr>
      </w:pPr>
    </w:p>
    <w:p>
      <w:pPr>
        <w:ind w:left="1060" w:right="1879" w:firstLine="528"/>
        <w:spacing w:after="0" w:line="265" w:lineRule="auto"/>
        <w:tabs>
          <w:tab w:leader="none" w:pos="2008"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constitute a Loan Document for all purposes of the Credit Agreement and the other Loan Documents. Except to the extent amended hereby, the Credit Agreement, the other Loan Documents and all terms, conditions and provisions thereof shall continue in full force and effect in all respects.</w:t>
      </w:r>
    </w:p>
    <w:p>
      <w:pPr>
        <w:spacing w:after="0" w:line="53" w:lineRule="exact"/>
        <w:rPr>
          <w:rFonts w:ascii="Courier New" w:cs="Courier New" w:eastAsia="Courier New" w:hAnsi="Courier New"/>
          <w:sz w:val="18"/>
          <w:szCs w:val="18"/>
          <w:color w:val="auto"/>
        </w:rPr>
      </w:pPr>
    </w:p>
    <w:p>
      <w:pPr>
        <w:ind w:right="1779" w:firstLine="535"/>
        <w:spacing w:after="0" w:line="248"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b w:val="1"/>
          <w:bCs w:val="1"/>
          <w:u w:val="single" w:color="auto"/>
          <w:color w:val="auto"/>
        </w:rPr>
        <w:t>Counterparts</w:t>
      </w:r>
      <w:r>
        <w:rPr>
          <w:rFonts w:ascii="Courier New" w:cs="Courier New" w:eastAsia="Courier New" w:hAnsi="Courier New"/>
          <w:sz w:val="18"/>
          <w:szCs w:val="18"/>
          <w:color w:val="auto"/>
        </w:rPr>
        <w:t>. This Amendment may be executed in multiple counterparts or</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copies, each of which shall be deemed an original hereof for all purposes. One or more counterparts or copies of this Amendment may be executed by one or more of the parties hereto, 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w:t>
      </w: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which is(are) attached signature pages containing signatures of all parties hereto and any corresponding acknowledgment, attestation, witness or similar pages relating thereto.</w:t>
      </w:r>
    </w:p>
    <w:p>
      <w:pPr>
        <w:spacing w:after="0" w:line="30" w:lineRule="exact"/>
        <w:rPr>
          <w:sz w:val="20"/>
          <w:szCs w:val="20"/>
          <w:color w:val="auto"/>
        </w:rPr>
      </w:pPr>
    </w:p>
    <w:p>
      <w:pPr>
        <w:ind w:left="860" w:hanging="325"/>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b w:val="1"/>
          <w:bCs w:val="1"/>
          <w:u w:val="single" w:color="auto"/>
          <w:color w:val="auto"/>
        </w:rPr>
        <w:t>Miscellaneous</w:t>
      </w:r>
      <w:r>
        <w:rPr>
          <w:rFonts w:ascii="Courier New" w:cs="Courier New" w:eastAsia="Courier New" w:hAnsi="Courier New"/>
          <w:sz w:val="18"/>
          <w:szCs w:val="18"/>
          <w:color w:val="auto"/>
        </w:rPr>
        <w:t>.</w:t>
      </w:r>
    </w:p>
    <w:p>
      <w:pPr>
        <w:spacing w:after="0" w:line="237" w:lineRule="exact"/>
        <w:rPr>
          <w:rFonts w:ascii="Courier New" w:cs="Courier New" w:eastAsia="Courier New" w:hAnsi="Courier New"/>
          <w:sz w:val="18"/>
          <w:szCs w:val="18"/>
          <w:color w:val="auto"/>
        </w:rPr>
      </w:pPr>
    </w:p>
    <w:p>
      <w:pPr>
        <w:ind w:left="540" w:right="2099" w:firstLine="521"/>
        <w:spacing w:after="0" w:line="292" w:lineRule="auto"/>
        <w:tabs>
          <w:tab w:leader="none" w:pos="148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 governed by, construed and enforced in accordance with the laws of the State of Tennessee, without reference to the conflicts or choice of law principles thereof.</w:t>
      </w:r>
    </w:p>
    <w:p>
      <w:pPr>
        <w:spacing w:after="0" w:line="66" w:lineRule="exact"/>
        <w:rPr>
          <w:rFonts w:ascii="Courier New" w:cs="Courier New" w:eastAsia="Courier New" w:hAnsi="Courier New"/>
          <w:sz w:val="18"/>
          <w:szCs w:val="18"/>
          <w:color w:val="auto"/>
        </w:rPr>
      </w:pPr>
    </w:p>
    <w:p>
      <w:pPr>
        <w:ind w:left="540" w:right="1879" w:firstLine="521"/>
        <w:spacing w:after="0" w:line="274" w:lineRule="auto"/>
        <w:tabs>
          <w:tab w:leader="none" w:pos="148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in this Amendment and the usage herein of defined terms are for convenience of reference only, and shall not be construed as amplifying, limiting or otherwise affecting the substantive provisions hereof.</w:t>
      </w:r>
    </w:p>
    <w:p>
      <w:pPr>
        <w:spacing w:after="0" w:line="81"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81" w:lineRule="exact"/>
        <w:rPr>
          <w:rFonts w:ascii="Courier New" w:cs="Courier New" w:eastAsia="Courier New" w:hAnsi="Courier New"/>
          <w:sz w:val="18"/>
          <w:szCs w:val="18"/>
          <w:color w:val="auto"/>
        </w:rPr>
      </w:pPr>
    </w:p>
    <w:p>
      <w:pPr>
        <w:ind w:left="540" w:right="1999" w:firstLine="521"/>
        <w:spacing w:after="0" w:line="256" w:lineRule="auto"/>
        <w:tabs>
          <w:tab w:leader="none" w:pos="148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26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b w:val="1"/>
          <w:bCs w:val="1"/>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199" w:firstLine="527"/>
        <w:spacing w:after="0" w:line="389" w:lineRule="auto"/>
        <w:rPr>
          <w:sz w:val="20"/>
          <w:szCs w:val="20"/>
          <w:color w:val="auto"/>
        </w:rPr>
      </w:pPr>
      <w:r>
        <w:rPr>
          <w:rFonts w:ascii="Courier New" w:cs="Courier New" w:eastAsia="Courier New" w:hAnsi="Courier New"/>
          <w:sz w:val="18"/>
          <w:szCs w:val="18"/>
          <w:b w:val="1"/>
          <w:bCs w:val="1"/>
          <w:color w:val="auto"/>
        </w:rPr>
        <w:t>IN WITNESS WHEREOF</w:t>
      </w:r>
      <w:r>
        <w:rPr>
          <w:rFonts w:ascii="Courier New" w:cs="Courier New" w:eastAsia="Courier New" w:hAnsi="Courier New"/>
          <w:sz w:val="18"/>
          <w:szCs w:val="18"/>
          <w:color w:val="auto"/>
        </w:rPr>
        <w:t>, the parties hereto have caused this Amendment to be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duly executed and delivered as of the date first written above.</w:t>
      </w:r>
    </w:p>
    <w:p>
      <w:pPr>
        <w:sectPr>
          <w:pgSz w:w="11900" w:h="16838" w:orient="portrait"/>
          <w:cols w:equalWidth="0" w:num="1">
            <w:col w:w="10219"/>
          </w:cols>
          <w:pgMar w:left="240" w:top="110" w:right="1440" w:bottom="0" w:gutter="0" w:footer="0" w:header="0"/>
        </w:sectPr>
      </w:pPr>
    </w:p>
    <w:bookmarkStart w:id="20" w:name="page21"/>
    <w:bookmarkEnd w:id="20"/>
    <w:p>
      <w:pPr>
        <w:ind w:left="2700"/>
        <w:spacing w:after="0"/>
        <w:rPr>
          <w:sz w:val="20"/>
          <w:szCs w:val="20"/>
          <w:color w:val="auto"/>
        </w:rPr>
      </w:pPr>
      <w:r>
        <w:rPr>
          <w:rFonts w:ascii="Courier New" w:cs="Courier New" w:eastAsia="Courier New" w:hAnsi="Courier New"/>
          <w:sz w:val="18"/>
          <w:szCs w:val="18"/>
          <w:b w:val="1"/>
          <w:bCs w:val="1"/>
          <w:color w:val="auto"/>
        </w:rPr>
        <w:t>BORROWER:</w:t>
      </w:r>
    </w:p>
    <w:p>
      <w:pPr>
        <w:spacing w:after="0" w:line="237"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 Delaware corporation</w:t>
      </w: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William C. Kelly, Jr.</w:t>
      </w:r>
    </w:p>
    <w:p>
      <w:pPr>
        <w:spacing w:after="0" w:line="29"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w:t>
      </w:r>
    </w:p>
    <w:p>
      <w:pPr>
        <w:ind w:left="3340"/>
        <w:spacing w:after="0" w:line="238" w:lineRule="auto"/>
        <w:rPr>
          <w:sz w:val="20"/>
          <w:szCs w:val="20"/>
          <w:color w:val="auto"/>
        </w:rPr>
      </w:pPr>
      <w:r>
        <w:rPr>
          <w:rFonts w:ascii="Courier New" w:cs="Courier New" w:eastAsia="Courier New" w:hAnsi="Courier New"/>
          <w:sz w:val="18"/>
          <w:szCs w:val="18"/>
          <w:color w:val="auto"/>
        </w:rPr>
        <w:t>Name: William C. Kelly, Jr.</w:t>
      </w:r>
    </w:p>
    <w:p>
      <w:pPr>
        <w:ind w:left="3340"/>
        <w:spacing w:after="0"/>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37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GUARANTORS:</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INDUSTRIAL MOLDING GP, LLC,</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 Delaware limited liability company</w:t>
      </w:r>
    </w:p>
    <w:p>
      <w:pPr>
        <w:spacing w:after="0" w:line="372" w:lineRule="exact"/>
        <w:rPr>
          <w:sz w:val="20"/>
          <w:szCs w:val="20"/>
          <w:color w:val="auto"/>
        </w:rPr>
      </w:pPr>
    </w:p>
    <w:p>
      <w:pPr>
        <w:ind w:left="2700"/>
        <w:spacing w:after="0"/>
        <w:tabs>
          <w:tab w:leader="none" w:pos="3220" w:val="left"/>
        </w:tabs>
        <w:rPr>
          <w:sz w:val="20"/>
          <w:szCs w:val="20"/>
          <w:color w:val="auto"/>
        </w:rPr>
      </w:pPr>
      <w:r>
        <w:rPr>
          <w:rFonts w:ascii="Courier New" w:cs="Courier New" w:eastAsia="Courier New" w:hAnsi="Courier New"/>
          <w:sz w:val="18"/>
          <w:szCs w:val="18"/>
          <w:color w:val="auto"/>
        </w:rPr>
        <w:t>By:</w:t>
        <w:tab/>
        <w:t>/s/ David L. Dyckman</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w:t>
      </w:r>
    </w:p>
    <w:p>
      <w:pPr>
        <w:ind w:left="3340"/>
        <w:spacing w:after="0" w:line="238" w:lineRule="auto"/>
        <w:rPr>
          <w:sz w:val="20"/>
          <w:szCs w:val="20"/>
          <w:color w:val="auto"/>
        </w:rPr>
      </w:pPr>
      <w:r>
        <w:rPr>
          <w:rFonts w:ascii="Courier New" w:cs="Courier New" w:eastAsia="Courier New" w:hAnsi="Courier New"/>
          <w:sz w:val="18"/>
          <w:szCs w:val="18"/>
          <w:color w:val="auto"/>
        </w:rPr>
        <w:t>Name: David L. Dyckman</w:t>
      </w:r>
    </w:p>
    <w:p>
      <w:pPr>
        <w:ind w:left="3340"/>
        <w:spacing w:after="0"/>
        <w:rPr>
          <w:sz w:val="20"/>
          <w:szCs w:val="20"/>
          <w:color w:val="auto"/>
        </w:rPr>
      </w:pPr>
      <w:r>
        <w:rPr>
          <w:rFonts w:ascii="Courier New" w:cs="Courier New" w:eastAsia="Courier New" w:hAnsi="Courier New"/>
          <w:sz w:val="18"/>
          <w:szCs w:val="18"/>
          <w:color w:val="auto"/>
        </w:rPr>
        <w:t>Title: Manager</w:t>
      </w: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INDUSTRIAL MOLDING LP, LLC,</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 Tennessee limited liability company</w:t>
      </w: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William C. Kelly, Jr.</w:t>
      </w:r>
    </w:p>
    <w:p>
      <w:pPr>
        <w:spacing w:after="0" w:line="29"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w:t>
      </w:r>
    </w:p>
    <w:p>
      <w:pPr>
        <w:ind w:left="3340"/>
        <w:spacing w:after="0" w:line="238" w:lineRule="auto"/>
        <w:rPr>
          <w:sz w:val="20"/>
          <w:szCs w:val="20"/>
          <w:color w:val="auto"/>
        </w:rPr>
      </w:pPr>
      <w:r>
        <w:rPr>
          <w:rFonts w:ascii="Courier New" w:cs="Courier New" w:eastAsia="Courier New" w:hAnsi="Courier New"/>
          <w:sz w:val="18"/>
          <w:szCs w:val="18"/>
          <w:color w:val="auto"/>
        </w:rPr>
        <w:t>Name: William C. Kelly, Jr.</w:t>
      </w:r>
    </w:p>
    <w:p>
      <w:pPr>
        <w:ind w:left="3340"/>
        <w:spacing w:after="0"/>
        <w:rPr>
          <w:sz w:val="20"/>
          <w:szCs w:val="20"/>
          <w:color w:val="auto"/>
        </w:rPr>
      </w:pPr>
      <w:r>
        <w:rPr>
          <w:rFonts w:ascii="Courier New" w:cs="Courier New" w:eastAsia="Courier New" w:hAnsi="Courier New"/>
          <w:sz w:val="18"/>
          <w:szCs w:val="18"/>
          <w:color w:val="auto"/>
        </w:rPr>
        <w:t>Title: Treasurer/Manager</w:t>
      </w:r>
    </w:p>
    <w:p>
      <w:pPr>
        <w:spacing w:after="0" w:line="33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b w:val="1"/>
          <w:bCs w:val="1"/>
          <w:color w:val="auto"/>
        </w:rPr>
        <w:t>[Signatures Continued Next Page]</w:t>
      </w:r>
    </w:p>
    <w:p>
      <w:pPr>
        <w:spacing w:after="0" w:line="200" w:lineRule="exact"/>
        <w:rPr>
          <w:sz w:val="20"/>
          <w:szCs w:val="20"/>
          <w:color w:val="auto"/>
        </w:rPr>
      </w:pPr>
    </w:p>
    <w:p>
      <w:pPr>
        <w:spacing w:after="0" w:line="24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245745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INDUSTRIAL MOLDING GROUP, L.P.,</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 Tennessee limited partnership</w:t>
      </w:r>
    </w:p>
    <w:p>
      <w:pPr>
        <w:spacing w:after="0" w:line="169" w:lineRule="exact"/>
        <w:rPr>
          <w:sz w:val="20"/>
          <w:szCs w:val="20"/>
          <w:color w:val="auto"/>
        </w:rPr>
      </w:pPr>
    </w:p>
    <w:p>
      <w:pPr>
        <w:ind w:left="3240" w:right="939" w:hanging="539"/>
        <w:spacing w:after="0" w:line="420" w:lineRule="auto"/>
        <w:tabs>
          <w:tab w:leader="none" w:pos="3220" w:val="left"/>
        </w:tabs>
        <w:rPr>
          <w:sz w:val="20"/>
          <w:szCs w:val="20"/>
          <w:color w:val="auto"/>
        </w:rPr>
      </w:pPr>
      <w:r>
        <w:rPr>
          <w:rFonts w:ascii="Courier New" w:cs="Courier New" w:eastAsia="Courier New" w:hAnsi="Courier New"/>
          <w:sz w:val="16"/>
          <w:szCs w:val="16"/>
          <w:color w:val="auto"/>
        </w:rPr>
        <w:t>By:</w:t>
        <w:tab/>
        <w:t>Industrial Molding GP, LLC, a Delaware limited liability company, its general partner</w:t>
      </w:r>
    </w:p>
    <w:p>
      <w:pPr>
        <w:spacing w:after="0" w:line="379" w:lineRule="exact"/>
        <w:rPr>
          <w:sz w:val="20"/>
          <w:szCs w:val="20"/>
          <w:color w:val="auto"/>
        </w:rPr>
      </w:pPr>
    </w:p>
    <w:p>
      <w:pPr>
        <w:ind w:left="2700"/>
        <w:spacing w:after="0"/>
        <w:tabs>
          <w:tab w:leader="none" w:pos="3220" w:val="left"/>
        </w:tabs>
        <w:rPr>
          <w:sz w:val="20"/>
          <w:szCs w:val="20"/>
          <w:color w:val="auto"/>
        </w:rPr>
      </w:pPr>
      <w:r>
        <w:rPr>
          <w:rFonts w:ascii="Courier New" w:cs="Courier New" w:eastAsia="Courier New" w:hAnsi="Courier New"/>
          <w:sz w:val="18"/>
          <w:szCs w:val="18"/>
          <w:color w:val="auto"/>
        </w:rPr>
        <w:t>By:</w:t>
        <w:tab/>
        <w:t>/s/ David L. Dyckman</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w:t>
      </w:r>
    </w:p>
    <w:p>
      <w:pPr>
        <w:ind w:left="3340"/>
        <w:spacing w:after="0" w:line="238" w:lineRule="auto"/>
        <w:rPr>
          <w:sz w:val="20"/>
          <w:szCs w:val="20"/>
          <w:color w:val="auto"/>
        </w:rPr>
      </w:pPr>
      <w:r>
        <w:rPr>
          <w:rFonts w:ascii="Courier New" w:cs="Courier New" w:eastAsia="Courier New" w:hAnsi="Courier New"/>
          <w:sz w:val="18"/>
          <w:szCs w:val="18"/>
          <w:color w:val="auto"/>
        </w:rPr>
        <w:t>Name: David L. Dyckman</w:t>
      </w:r>
    </w:p>
    <w:p>
      <w:pPr>
        <w:ind w:left="3340"/>
        <w:spacing w:after="0"/>
        <w:rPr>
          <w:sz w:val="20"/>
          <w:szCs w:val="20"/>
          <w:color w:val="auto"/>
        </w:rPr>
      </w:pPr>
      <w:r>
        <w:rPr>
          <w:rFonts w:ascii="Courier New" w:cs="Courier New" w:eastAsia="Courier New" w:hAnsi="Courier New"/>
          <w:sz w:val="18"/>
          <w:szCs w:val="18"/>
          <w:color w:val="auto"/>
        </w:rPr>
        <w:t>Title: Manager</w:t>
      </w: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DELTA RUBBER COMPANY,</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 Connecticut corporation</w:t>
      </w:r>
    </w:p>
    <w:p>
      <w:pPr>
        <w:spacing w:after="0" w:line="372" w:lineRule="exact"/>
        <w:rPr>
          <w:sz w:val="20"/>
          <w:szCs w:val="20"/>
          <w:color w:val="auto"/>
        </w:rPr>
      </w:pPr>
    </w:p>
    <w:p>
      <w:pPr>
        <w:ind w:left="2700"/>
        <w:spacing w:after="0"/>
        <w:tabs>
          <w:tab w:leader="none" w:pos="3220" w:val="left"/>
        </w:tabs>
        <w:rPr>
          <w:sz w:val="20"/>
          <w:szCs w:val="20"/>
          <w:color w:val="auto"/>
        </w:rPr>
      </w:pPr>
      <w:r>
        <w:rPr>
          <w:rFonts w:ascii="Courier New" w:cs="Courier New" w:eastAsia="Courier New" w:hAnsi="Courier New"/>
          <w:sz w:val="18"/>
          <w:szCs w:val="18"/>
          <w:color w:val="auto"/>
        </w:rPr>
        <w:t>By:</w:t>
        <w:tab/>
        <w:t>/s/ David L. Dyckman</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w:t>
      </w:r>
    </w:p>
    <w:p>
      <w:pPr>
        <w:ind w:left="3340"/>
        <w:spacing w:after="0" w:line="238" w:lineRule="auto"/>
        <w:rPr>
          <w:sz w:val="20"/>
          <w:szCs w:val="20"/>
          <w:color w:val="auto"/>
        </w:rPr>
      </w:pPr>
      <w:r>
        <w:rPr>
          <w:rFonts w:ascii="Courier New" w:cs="Courier New" w:eastAsia="Courier New" w:hAnsi="Courier New"/>
          <w:sz w:val="18"/>
          <w:szCs w:val="18"/>
          <w:color w:val="auto"/>
        </w:rPr>
        <w:t>Name: David L. Dyckman</w:t>
      </w:r>
    </w:p>
    <w:p>
      <w:pPr>
        <w:ind w:left="334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37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LENDERS:</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AMSOUTH BANK, as a Lender and as</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Administrative Agent</w:t>
      </w: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Robert T. Page</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w:t>
      </w:r>
    </w:p>
    <w:p>
      <w:pPr>
        <w:ind w:left="3340"/>
        <w:spacing w:after="0" w:line="238" w:lineRule="auto"/>
        <w:rPr>
          <w:sz w:val="20"/>
          <w:szCs w:val="20"/>
          <w:color w:val="auto"/>
        </w:rPr>
      </w:pPr>
      <w:r>
        <w:rPr>
          <w:rFonts w:ascii="Courier New" w:cs="Courier New" w:eastAsia="Courier New" w:hAnsi="Courier New"/>
          <w:sz w:val="18"/>
          <w:szCs w:val="18"/>
          <w:color w:val="auto"/>
        </w:rPr>
        <w:t>Name: Robert T. Page</w:t>
      </w:r>
    </w:p>
    <w:p>
      <w:pPr>
        <w:ind w:left="3340"/>
        <w:spacing w:after="0"/>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9019"/>
          </w:cols>
          <w:pgMar w:left="1440" w:top="74" w:right="1440" w:bottom="0" w:gutter="0" w:footer="0" w:header="0"/>
        </w:sectPr>
      </w:pPr>
    </w:p>
    <w:bookmarkStart w:id="21" w:name="page22"/>
    <w:bookmarkEnd w:id="21"/>
    <w:p>
      <w:pPr>
        <w:ind w:left="2700"/>
        <w:spacing w:after="0"/>
        <w:rPr>
          <w:sz w:val="20"/>
          <w:szCs w:val="20"/>
          <w:color w:val="auto"/>
        </w:rPr>
      </w:pPr>
      <w:r>
        <w:rPr>
          <w:rFonts w:ascii="Courier New" w:cs="Courier New" w:eastAsia="Courier New" w:hAnsi="Courier New"/>
          <w:sz w:val="16"/>
          <w:szCs w:val="16"/>
          <w:color w:val="auto"/>
        </w:rPr>
        <w:t>BANK ONE, KENTUCKY, NA, as a Lender and as</w:t>
      </w:r>
    </w:p>
    <w:p>
      <w:pPr>
        <w:spacing w:after="0" w:line="5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Co-Agent</w:t>
      </w: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Thelma B. Ferguson</w:t>
      </w:r>
    </w:p>
    <w:p>
      <w:pPr>
        <w:spacing w:after="0" w:line="3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Name: Thelma B. Ferguson</w:t>
      </w:r>
    </w:p>
    <w:p>
      <w:pPr>
        <w:ind w:left="3340"/>
        <w:spacing w:after="0"/>
        <w:rPr>
          <w:sz w:val="20"/>
          <w:szCs w:val="20"/>
          <w:color w:val="auto"/>
        </w:rPr>
      </w:pPr>
      <w:r>
        <w:rPr>
          <w:rFonts w:ascii="Courier New" w:cs="Courier New" w:eastAsia="Courier New" w:hAnsi="Courier New"/>
          <w:sz w:val="18"/>
          <w:szCs w:val="18"/>
          <w:color w:val="auto"/>
        </w:rPr>
        <w:t>Title: First Vice President</w:t>
      </w:r>
    </w:p>
    <w:p>
      <w:pPr>
        <w:spacing w:after="0" w:line="33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b w:val="1"/>
          <w:bCs w:val="1"/>
          <w:color w:val="auto"/>
        </w:rPr>
        <w:t>[Signatures Continued Next Page]</w:t>
      </w:r>
    </w:p>
    <w:p>
      <w:pPr>
        <w:spacing w:after="0" w:line="200" w:lineRule="exact"/>
        <w:rPr>
          <w:sz w:val="20"/>
          <w:szCs w:val="20"/>
          <w:color w:val="auto"/>
        </w:rPr>
      </w:pPr>
    </w:p>
    <w:p>
      <w:pPr>
        <w:spacing w:after="0" w:line="24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116840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FIRSTAR BANK, N.A., as a Lender</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Russell S. Rogers</w:t>
      </w:r>
    </w:p>
    <w:p>
      <w:pPr>
        <w:spacing w:after="0" w:line="3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Name: Russell S. Rogers</w:t>
      </w:r>
    </w:p>
    <w:p>
      <w:pPr>
        <w:ind w:left="3340"/>
        <w:spacing w:after="0"/>
        <w:rPr>
          <w:sz w:val="20"/>
          <w:szCs w:val="20"/>
          <w:color w:val="auto"/>
        </w:rPr>
      </w:pPr>
      <w:r>
        <w:rPr>
          <w:rFonts w:ascii="Courier New" w:cs="Courier New" w:eastAsia="Courier New" w:hAnsi="Courier New"/>
          <w:sz w:val="18"/>
          <w:szCs w:val="18"/>
          <w:color w:val="auto"/>
        </w:rPr>
        <w:t>Title: Vice President</w:t>
      </w:r>
    </w:p>
    <w:p>
      <w:pPr>
        <w:spacing w:after="0" w:line="372"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SUNTRUST BANK, as a Lender</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William E. Edwards III</w:t>
      </w:r>
    </w:p>
    <w:p>
      <w:pPr>
        <w:spacing w:after="0" w:line="3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Name: William E. Edwards III</w:t>
      </w:r>
    </w:p>
    <w:p>
      <w:pPr>
        <w:ind w:left="3340"/>
        <w:spacing w:after="0"/>
        <w:rPr>
          <w:sz w:val="20"/>
          <w:szCs w:val="20"/>
          <w:color w:val="auto"/>
        </w:rPr>
      </w:pPr>
      <w:r>
        <w:rPr>
          <w:rFonts w:ascii="Courier New" w:cs="Courier New" w:eastAsia="Courier New" w:hAnsi="Courier New"/>
          <w:sz w:val="18"/>
          <w:szCs w:val="18"/>
          <w:color w:val="auto"/>
        </w:rPr>
        <w:t>Title: Group Vice President</w:t>
      </w: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FIRST TENNESSEE BANK, NATIONAL</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ASSOCIATION, as a Lender</w:t>
      </w:r>
    </w:p>
    <w:p>
      <w:pPr>
        <w:spacing w:after="0" w:line="37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Vincent K. Hickam</w:t>
      </w:r>
    </w:p>
    <w:p>
      <w:pPr>
        <w:spacing w:after="0" w:line="3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Name: Vincent K. Hickam</w:t>
      </w:r>
    </w:p>
    <w:p>
      <w:pPr>
        <w:ind w:left="3340"/>
        <w:spacing w:after="0"/>
        <w:rPr>
          <w:sz w:val="20"/>
          <w:szCs w:val="20"/>
          <w:color w:val="auto"/>
        </w:rPr>
      </w:pPr>
      <w:r>
        <w:rPr>
          <w:rFonts w:ascii="Courier New" w:cs="Courier New" w:eastAsia="Courier New" w:hAnsi="Courier New"/>
          <w:sz w:val="18"/>
          <w:szCs w:val="18"/>
          <w:color w:val="auto"/>
        </w:rPr>
        <w:t>Title: Executive Vice President</w:t>
      </w:r>
    </w:p>
    <w:p>
      <w:pPr>
        <w:sectPr>
          <w:pgSz w:w="11900" w:h="16838" w:orient="portrait"/>
          <w:cols w:equalWidth="0" w:num="1">
            <w:col w:w="9019"/>
          </w:cols>
          <w:pgMar w:left="1440" w:top="515" w:right="1440" w:bottom="1440" w:gutter="0" w:footer="0" w:header="0"/>
        </w:sectPr>
      </w:pPr>
    </w:p>
    <w:bookmarkStart w:id="22" w:name="page23"/>
    <w:bookmarkEnd w:id="22"/>
    <w:p>
      <w:pPr>
        <w:jc w:val="center"/>
        <w:ind w:right="1679"/>
        <w:spacing w:after="0"/>
        <w:rPr>
          <w:sz w:val="20"/>
          <w:szCs w:val="20"/>
          <w:color w:val="auto"/>
        </w:rPr>
      </w:pPr>
      <w:r>
        <w:rPr>
          <w:rFonts w:ascii="Courier New" w:cs="Courier New" w:eastAsia="Courier New" w:hAnsi="Courier New"/>
          <w:sz w:val="18"/>
          <w:szCs w:val="18"/>
          <w:color w:val="auto"/>
        </w:rPr>
        <w:t>CERTIFICATION PURSUANT TO</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372" w:lineRule="exact"/>
        <w:rPr>
          <w:sz w:val="20"/>
          <w:szCs w:val="20"/>
          <w:color w:val="auto"/>
        </w:rPr>
      </w:pPr>
    </w:p>
    <w:p>
      <w:pPr>
        <w:ind w:right="1879" w:firstLine="948"/>
        <w:spacing w:after="0" w:line="250" w:lineRule="auto"/>
        <w:rPr>
          <w:sz w:val="20"/>
          <w:szCs w:val="20"/>
          <w:color w:val="auto"/>
        </w:rPr>
      </w:pPr>
      <w:r>
        <w:rPr>
          <w:rFonts w:ascii="Courier New" w:cs="Courier New" w:eastAsia="Courier New" w:hAnsi="Courier New"/>
          <w:sz w:val="18"/>
          <w:szCs w:val="18"/>
          <w:color w:val="auto"/>
        </w:rPr>
        <w:t>In connection with the Quarterly Report of NN, Inc. (the "Company") on Form 10-Q for the quarterly period ended June 30, 2002, as filed with the Securities and Exchange Commission on the date hereof (the "Report"), the undersigned, in the capacities and dates indicated below, hereby certify pursuant to 18 U.S.C. ss. 1350, as adopted pursuant to ss. 906 of the Sarbanes-Oxley Act of 2002, that, to our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7"/>
              </w:rPr>
              <w:t>8/13/02</w:t>
            </w:r>
          </w:p>
        </w:tc>
        <w:tc>
          <w:tcPr>
            <w:tcW w:w="5520" w:type="dxa"/>
            <w:vAlign w:val="bottom"/>
          </w:tcPr>
          <w:p>
            <w:pPr>
              <w:ind w:left="680"/>
              <w:spacing w:after="0"/>
              <w:rPr>
                <w:sz w:val="20"/>
                <w:szCs w:val="20"/>
                <w:color w:val="auto"/>
              </w:rPr>
            </w:pPr>
            <w:r>
              <w:rPr>
                <w:rFonts w:ascii="Courier New" w:cs="Courier New" w:eastAsia="Courier New" w:hAnsi="Courier New"/>
                <w:sz w:val="18"/>
                <w:szCs w:val="18"/>
                <w:color w:val="auto"/>
              </w:rPr>
              <w:t>/s/ Roderick R. Baty</w:t>
            </w:r>
          </w:p>
        </w:tc>
      </w:tr>
      <w:tr>
        <w:trPr>
          <w:trHeight w:val="203"/>
        </w:trPr>
        <w:tc>
          <w:tcPr>
            <w:tcW w:w="640" w:type="dxa"/>
            <w:vAlign w:val="bottom"/>
          </w:tcPr>
          <w:p>
            <w:pPr>
              <w:spacing w:after="0"/>
              <w:rPr>
                <w:sz w:val="17"/>
                <w:szCs w:val="17"/>
                <w:color w:val="auto"/>
              </w:rPr>
            </w:pPr>
          </w:p>
        </w:tc>
        <w:tc>
          <w:tcPr>
            <w:tcW w:w="2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55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Roderick R. Baty</w:t>
            </w:r>
          </w:p>
        </w:tc>
      </w:tr>
      <w:tr>
        <w:trPr>
          <w:trHeight w:val="296"/>
        </w:trPr>
        <w:tc>
          <w:tcPr>
            <w:tcW w:w="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8"/>
                <w:szCs w:val="18"/>
                <w:color w:val="auto"/>
                <w:w w:val="97"/>
              </w:rPr>
              <w:t>Chairman, President and Chief Executive Officer</w:t>
            </w:r>
          </w:p>
        </w:tc>
      </w:tr>
      <w:tr>
        <w:trPr>
          <w:trHeight w:val="717"/>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7"/>
              </w:rPr>
              <w:t>8/13/02</w:t>
            </w:r>
          </w:p>
        </w:tc>
        <w:tc>
          <w:tcPr>
            <w:tcW w:w="5520" w:type="dxa"/>
            <w:vAlign w:val="bottom"/>
          </w:tcPr>
          <w:p>
            <w:pPr>
              <w:ind w:left="560"/>
              <w:spacing w:after="0"/>
              <w:rPr>
                <w:sz w:val="20"/>
                <w:szCs w:val="20"/>
                <w:color w:val="auto"/>
              </w:rPr>
            </w:pPr>
            <w:r>
              <w:rPr>
                <w:rFonts w:ascii="Courier New" w:cs="Courier New" w:eastAsia="Courier New" w:hAnsi="Courier New"/>
                <w:sz w:val="18"/>
                <w:szCs w:val="18"/>
                <w:color w:val="auto"/>
              </w:rPr>
              <w:t>/s/ David L. Dyckman</w:t>
            </w:r>
          </w:p>
        </w:tc>
      </w:tr>
      <w:tr>
        <w:trPr>
          <w:trHeight w:val="203"/>
        </w:trPr>
        <w:tc>
          <w:tcPr>
            <w:tcW w:w="640" w:type="dxa"/>
            <w:vAlign w:val="bottom"/>
          </w:tcPr>
          <w:p>
            <w:pPr>
              <w:spacing w:after="0"/>
              <w:rPr>
                <w:sz w:val="17"/>
                <w:szCs w:val="17"/>
                <w:color w:val="auto"/>
              </w:rPr>
            </w:pPr>
          </w:p>
        </w:tc>
        <w:tc>
          <w:tcPr>
            <w:tcW w:w="23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8"/>
              </w:rPr>
              <w:t>-------------</w:t>
            </w:r>
          </w:p>
        </w:tc>
        <w:tc>
          <w:tcPr>
            <w:tcW w:w="55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David L. Dyckman</w:t>
            </w:r>
          </w:p>
        </w:tc>
      </w:tr>
      <w:tr>
        <w:trPr>
          <w:trHeight w:val="296"/>
        </w:trPr>
        <w:tc>
          <w:tcPr>
            <w:tcW w:w="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520" w:type="dxa"/>
            <w:vAlign w:val="bottom"/>
          </w:tcPr>
          <w:p>
            <w:pPr>
              <w:ind w:left="560"/>
              <w:spacing w:after="0"/>
              <w:rPr>
                <w:sz w:val="20"/>
                <w:szCs w:val="20"/>
                <w:color w:val="auto"/>
              </w:rPr>
            </w:pPr>
            <w:r>
              <w:rPr>
                <w:rFonts w:ascii="Courier New" w:cs="Courier New" w:eastAsia="Courier New" w:hAnsi="Courier New"/>
                <w:sz w:val="18"/>
                <w:szCs w:val="18"/>
                <w:color w:val="auto"/>
              </w:rPr>
              <w:t>Chief Financial Officer</w:t>
            </w: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o"/>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abstractNum>
  <w:abstractNum w:abstractNumId="12">
    <w:nsid w:val="109CF92E"/>
    <w:multiLevelType w:val="hybridMultilevel"/>
    <w:lvl w:ilvl="0">
      <w:lvlJc w:val="left"/>
      <w:lvlText w:val="%1."/>
      <w:numFmt w:val="decimal"/>
      <w:start w:val="6"/>
    </w:lvl>
    <w:lvl w:ilvl="1">
      <w:lvlJc w:val="left"/>
      <w:lvlText w:val="%2"/>
      <w:numFmt w:val="lowerLetter"/>
      <w:start w:val="1"/>
    </w:lvl>
  </w:abstractNum>
  <w:abstractNum w:abstractNumId="13">
    <w:nsid w:val="DED7263"/>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2019-12-14T02:43:31Z</dcterms:created>
  <dcterms:modified xsi:type="dcterms:W3CDTF">2019-12-14T02:43:31Z</dcterms:modified>
</cp:coreProperties>
</file>