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9, 2020 (October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270510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200" w:type="dxa"/>
            <w:vAlign w:val="bottom"/>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4"/>
          </w:tcPr>
          <w:p>
            <w:pPr>
              <w:jc w:val="center"/>
              <w:ind w:left="1255"/>
              <w:spacing w:after="0"/>
              <w:rPr>
                <w:sz w:val="20"/>
                <w:szCs w:val="20"/>
                <w:color w:val="auto"/>
              </w:rPr>
            </w:pPr>
            <w:r>
              <w:rPr>
                <w:rFonts w:ascii="Times New Roman" w:cs="Times New Roman" w:eastAsia="Times New Roman" w:hAnsi="Times New Roman"/>
                <w:sz w:val="18"/>
                <w:szCs w:val="18"/>
                <w:b w:val="1"/>
                <w:bCs w:val="1"/>
                <w:color w:val="auto"/>
                <w:w w:val="99"/>
              </w:rPr>
              <w:t>000-23486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jc w:val="right"/>
              <w:ind w:right="1261"/>
              <w:spacing w:after="0"/>
              <w:rPr>
                <w:sz w:val="20"/>
                <w:szCs w:val="20"/>
                <w:color w:val="auto"/>
              </w:rPr>
            </w:pPr>
            <w:r>
              <w:rPr>
                <w:rFonts w:ascii="Times New Roman" w:cs="Times New Roman" w:eastAsia="Times New Roman" w:hAnsi="Times New Roman"/>
                <w:sz w:val="18"/>
                <w:szCs w:val="18"/>
                <w:b w:val="1"/>
                <w:bCs w:val="1"/>
                <w:color w:val="auto"/>
              </w:rPr>
              <w:t>62-1096725</w:t>
            </w:r>
          </w:p>
        </w:tc>
        <w:tc>
          <w:tcPr>
            <w:tcW w:w="0" w:type="dxa"/>
            <w:vAlign w:val="bottom"/>
          </w:tcPr>
          <w:p>
            <w:pPr>
              <w:spacing w:after="0"/>
              <w:rPr>
                <w:sz w:val="1"/>
                <w:szCs w:val="1"/>
                <w:color w:val="auto"/>
              </w:rPr>
            </w:pPr>
          </w:p>
        </w:tc>
      </w:tr>
      <w:tr>
        <w:trPr>
          <w:trHeight w:val="149"/>
        </w:trPr>
        <w:tc>
          <w:tcPr>
            <w:tcW w:w="3200" w:type="dxa"/>
            <w:vAlign w:val="bottom"/>
          </w:tcPr>
          <w:p>
            <w:pPr>
              <w:jc w:val="center"/>
              <w:ind w:left="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4"/>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160" w:type="dxa"/>
            <w:vAlign w:val="bottom"/>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200" w:type="dxa"/>
            <w:vAlign w:val="bottom"/>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786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6210 Ardrey Kell Road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86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Charlotte, North Carolina</w:t>
            </w:r>
          </w:p>
        </w:tc>
        <w:tc>
          <w:tcPr>
            <w:tcW w:w="31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28277</w:t>
            </w:r>
          </w:p>
        </w:tc>
        <w:tc>
          <w:tcPr>
            <w:tcW w:w="0" w:type="dxa"/>
            <w:vAlign w:val="bottom"/>
          </w:tcPr>
          <w:p>
            <w:pPr>
              <w:spacing w:after="0"/>
              <w:rPr>
                <w:sz w:val="1"/>
                <w:szCs w:val="1"/>
                <w:color w:val="auto"/>
              </w:rPr>
            </w:pPr>
          </w:p>
        </w:tc>
      </w:tr>
      <w:tr>
        <w:trPr>
          <w:trHeight w:val="190"/>
        </w:trPr>
        <w:tc>
          <w:tcPr>
            <w:tcW w:w="7860" w:type="dxa"/>
            <w:vAlign w:val="bottom"/>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3480" w:type="dxa"/>
            <w:vAlign w:val="bottom"/>
            <w:gridSpan w:val="4"/>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w w:val="99"/>
              </w:rPr>
              <w:t>(980) 264-4300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46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200" w:type="dxa"/>
            <w:vAlign w:val="bottom"/>
          </w:tcPr>
          <w:p>
            <w:pPr>
              <w:spacing w:after="0"/>
              <w:rPr>
                <w:sz w:val="24"/>
                <w:szCs w:val="24"/>
                <w:color w:val="auto"/>
              </w:rPr>
            </w:pPr>
          </w:p>
        </w:tc>
        <w:tc>
          <w:tcPr>
            <w:tcW w:w="46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0" w:type="dxa"/>
            <w:vAlign w:val="bottom"/>
            <w:vMerge w:val="restart"/>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2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200" w:type="dxa"/>
            <w:vAlign w:val="bottom"/>
            <w:tcBorders>
              <w:top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NNBR</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1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ind w:left="4" w:right="220"/>
        <w:spacing w:after="0" w:line="27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63"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876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This Amendment corrects certain typographical errors as well as errors in the calculation of certain Life Sciences Business Adjustments appearing in the unaudited pro forma condensed consolidated balance sheet of NN, Inc. (“NN”) as of June 30, 2020 and the unaudited pro forma condensed consolidated statements of operations of NN for the years ended December 31, 2017, December 31, 2018 and December 31, 2019 and the six months ended June 30, 2020, which were filed as Exhibit 99.2 to the Form 8-K filed with the Securities and Exchange Commission on October 8, 2020.</w:t>
      </w:r>
    </w:p>
    <w:p>
      <w:pPr>
        <w:spacing w:after="0" w:line="30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Pro Forma Financial Information</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NN’s unaudited pro forma condensed consolidated balance sheet as of June 30, 2020, and the unaudited pro forma condensed consolidated statements of operations for the years ended December 31, 2017, December 31, 2018 and December 31, 2019 and the six months ended June 30, 2020, and the notes related thereto, which have been updated to correct the errors noted above, are filed as Exhibit 99.1 and are hereby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924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pro forma condensed consolidated balance sheet of NN, Inc. as of June 30, 2020, and the unaudited pro forma</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6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years ended December 31, 2017, December 31, 2018 and December 31,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40" w:type="dxa"/>
            <w:vAlign w:val="bottom"/>
            <w:gridSpan w:val="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2019 and the six months ended June 30, 2020, and the notes related thereto (Updated)</w:t>
              </w:r>
            </w:hyperlink>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6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9,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On October 6, 2020, NN, Inc. (the “Company”) completed the sale of its life sciences business (the “Life Sciences Business”) to ASP Navigate Acquisition Corp. for total cash consideration of approximately $757.2 million. An additional earnout payment of up to $70 million may be payable to the Company during the year ending December 31, 2023, if certain performance measures are achieved by the Life Sciences Business through December 31, 2022.</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and the unaudited pro forma condensed consolidated statements of operations are derived from, and should be read in conjunction with, the historical financial statements and notes thereto of the Company, as presented in its Annual Report on Form 10-K for the year ended December 31, 2019, filed with the Securities and Exchange Commission (“SEC”) on March 16, 2020, and its Quarterly Report on Form 10-Q for the quarter ended June 30, 2020, filed with the SEC on August 7, 2020.</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have been prepared giving effect to the sale of the Company’s Life Sciences Business (the “Transaction”) as if the Transaction had occurred on June 30, 2020, for the unaudited pro forma condensed consolidated balance sheet and on January 1, 2017, for the unaudited pro forma condensed consolidated statements of operations. The unaudited pro forma condensed consolidated financial statements have been prepared giving effect to the required use of proceeds to prepay a portion of the Company’s credit facilities with all of the net proceeds from the Transaction as if the prepayment of credit facilities had occurred on June 30, 2020, for the unaudited pro forma condensed consolidated balance sheet and on January 1, 2017, for the unaudited pro forma condensed consolidated statements of operations.</w:t>
      </w:r>
    </w:p>
    <w:p>
      <w:pPr>
        <w:spacing w:after="0" w:line="18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are prepared in accordance with Article 11 of Regulation S-X. The pro forma adjustments are described in the accompanying notes and are based upon information and assumptions available at the time of the filing of this Current Report on Form 8-K.</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financial statements do not purport to represent and are not necessarily indicative of what the Company’s actual financial position and results of operations would have been had the transaction occurred on the dates indicated. In addition, these unaudited pro forma condensed consolidated financial statements should not be considered to be indicative of the Company’s future financial performance.</w:t>
      </w:r>
    </w:p>
    <w:p>
      <w:pPr>
        <w:spacing w:after="0" w:line="176"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includes information, statements, and assumptions that are or may be considered “forward-looking” within the meaning of the Private Securities Litigation Reform Act of 1995. These forward-looking statements generally may be identified by the use of words such as “may,” “should,” “will,” “expect,” “anticipate,” “continue,” “estimate,” “project,” “believe,” “plan” or similar expressions. Statements that describe objectives, plans, or goals also are forward-looking statements. These forward-looking statements involve risks and uncertainties, and actual results may differ materially from those contemplated by the forward-looking statements due to, among other, the risks and uncertainties described under the heading “Risk Factors” in the Company’s Annual Report on Form 10-K for the fiscal year ended December 31, 2019, and in the Company’s Quarterly Report on Form 10-Q for the quarter ended June 30, 2020. For any forward-looking statements contained herein, the Company claims the protection of the safe harbor for forward-looking statements contained in the Private Securities Litigation Reform Act of 1995, and the Company undertakes no obligation to update publicly or revise any forward-looking statements in light of the new information or future events, except as required by law.</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Condensed Consolidated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June 30,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3"/>
                <w:szCs w:val="13"/>
                <w:color w:val="auto"/>
              </w:rPr>
            </w:pPr>
          </w:p>
        </w:tc>
        <w:tc>
          <w:tcPr>
            <w:tcW w:w="1000" w:type="dxa"/>
            <w:vAlign w:val="bottom"/>
            <w:gridSpan w:val="2"/>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3"/>
                <w:szCs w:val="13"/>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Sciences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000" w:type="dxa"/>
            <w:vAlign w:val="bottom"/>
            <w:gridSpan w:val="2"/>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1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(12,158)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14,289</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84,826</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(37,370)</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68,291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121,031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(51,950)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69,081</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23"/>
        </w:trPr>
        <w:tc>
          <w:tcPr>
            <w:tcW w:w="6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(105,565)</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251,046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344,073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(116,050)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228,023</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(24,825)</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52,296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196,467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(196,467)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306,577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(196,338)</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110,239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22,104</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1,296,014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(639,535)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14,289</w:t>
            </w:r>
          </w:p>
        </w:tc>
        <w:tc>
          <w:tcPr>
            <w:tcW w:w="7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670,768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43,751</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(12,010)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31,741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(15,925)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17,410</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20,348</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26,305</w:t>
            </w:r>
          </w:p>
        </w:tc>
        <w:tc>
          <w:tcPr>
            <w:tcW w:w="0" w:type="dxa"/>
            <w:vAlign w:val="bottom"/>
          </w:tcPr>
          <w:p>
            <w:pPr>
              <w:spacing w:after="0"/>
              <w:rPr>
                <w:sz w:val="1"/>
                <w:szCs w:val="1"/>
                <w:color w:val="auto"/>
              </w:rPr>
            </w:pPr>
          </w:p>
        </w:tc>
      </w:tr>
      <w:tr>
        <w:trPr>
          <w:trHeight w:val="223"/>
        </w:trPr>
        <w:tc>
          <w:tcPr>
            <w:tcW w:w="6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(56,821)</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16,870</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816,956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(687,493)</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128,579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(22,912)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56,800</w:t>
            </w:r>
          </w:p>
        </w:tc>
        <w:tc>
          <w:tcPr>
            <w:tcW w:w="0" w:type="dxa"/>
            <w:vAlign w:val="bottom"/>
          </w:tcPr>
          <w:p>
            <w:pPr>
              <w:spacing w:after="0"/>
              <w:rPr>
                <w:sz w:val="1"/>
                <w:szCs w:val="1"/>
                <w:color w:val="auto"/>
              </w:rPr>
            </w:pPr>
          </w:p>
        </w:tc>
      </w:tr>
      <w:tr>
        <w:trPr>
          <w:trHeight w:val="216"/>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26,212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1,139,408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(65,779)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(744,314)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329,315</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98,707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(573,756)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758,603</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242,746</w:t>
            </w: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preferred stock,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1,296,014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(639,535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670,768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6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80" w:type="dxa"/>
            <w:vAlign w:val="bottom"/>
          </w:tcPr>
          <w:p>
            <w:pPr>
              <w:spacing w:after="0"/>
              <w:rPr>
                <w:sz w:val="12"/>
                <w:szCs w:val="12"/>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6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(156,447)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267,630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(109,121)</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158,509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(14,024)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30,433</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(23,701)</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22,684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(146,757)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92,942</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137,153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(115,027)</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(25,192)</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benefit for income taxes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(289,550)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136,549</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(126,451)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(5,575)</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19,743</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(269,939)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142,912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(106,052)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42,154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40" w:type="dxa"/>
            <w:vAlign w:val="bottom"/>
          </w:tcPr>
          <w:p>
            <w:pPr>
              <w:spacing w:after="0"/>
              <w:rPr>
                <w:sz w:val="13"/>
                <w:szCs w:val="13"/>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6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vMerge w:val="continue"/>
          </w:tcPr>
          <w:p>
            <w:pPr>
              <w:spacing w:after="0"/>
              <w:rPr>
                <w:sz w:val="15"/>
                <w:szCs w:val="15"/>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(359,732)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487,719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below)</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641,639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(250,952)</w:t>
            </w:r>
          </w:p>
        </w:tc>
        <w:tc>
          <w:tcPr>
            <w:tcW w:w="1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390,687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103,223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(34,330)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68,893</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91,846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(46,950)</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44,896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(27,480)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57,155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(46,935)</w:t>
            </w:r>
          </w:p>
        </w:tc>
        <w:tc>
          <w:tcPr>
            <w:tcW w:w="7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(e)</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10,718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(2,741)</w:t>
            </w:r>
          </w:p>
        </w:tc>
        <w:tc>
          <w:tcPr>
            <w:tcW w:w="76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(g)</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(27,800)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49,676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7,728</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(10,432)</w:t>
            </w:r>
          </w:p>
        </w:tc>
        <w:tc>
          <w:tcPr>
            <w:tcW w:w="7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(f)</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42,030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42,030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34"/>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42,030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42,030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60" w:type="dxa"/>
            <w:vAlign w:val="bottom"/>
          </w:tcPr>
          <w:p>
            <w:pPr>
              <w:spacing w:after="0"/>
              <w:rPr>
                <w:sz w:val="13"/>
                <w:szCs w:val="13"/>
                <w:color w:val="auto"/>
              </w:rPr>
            </w:pPr>
          </w:p>
        </w:tc>
        <w:tc>
          <w:tcPr>
            <w:tcW w:w="9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Historical</w:t>
            </w:r>
          </w:p>
        </w:tc>
        <w:tc>
          <w:tcPr>
            <w:tcW w:w="120" w:type="dxa"/>
            <w:vAlign w:val="bottom"/>
          </w:tcPr>
          <w:p>
            <w:pPr>
              <w:spacing w:after="0"/>
              <w:rPr>
                <w:sz w:val="12"/>
                <w:szCs w:val="12"/>
                <w:color w:val="auto"/>
              </w:rPr>
            </w:pPr>
          </w:p>
        </w:tc>
        <w:tc>
          <w:tcPr>
            <w:tcW w:w="980" w:type="dxa"/>
            <w:vAlign w:val="bottom"/>
            <w:gridSpan w:val="2"/>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60" w:type="dxa"/>
            <w:vAlign w:val="bottom"/>
          </w:tcPr>
          <w:p>
            <w:pPr>
              <w:spacing w:after="0"/>
              <w:rPr>
                <w:sz w:val="12"/>
                <w:szCs w:val="12"/>
                <w:color w:val="auto"/>
              </w:rPr>
            </w:pPr>
          </w:p>
        </w:tc>
        <w:tc>
          <w:tcPr>
            <w:tcW w:w="86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770,657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(248,173)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below)</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589,181</w:t>
            </w:r>
          </w:p>
        </w:tc>
        <w:tc>
          <w:tcPr>
            <w:tcW w:w="1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(177,497)</w:t>
            </w:r>
          </w:p>
        </w:tc>
        <w:tc>
          <w:tcPr>
            <w:tcW w:w="1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411,684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93,583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(20,927)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72,656</w:t>
            </w:r>
          </w:p>
        </w:tc>
        <w:tc>
          <w:tcPr>
            <w:tcW w:w="0" w:type="dxa"/>
            <w:vAlign w:val="bottom"/>
          </w:tcPr>
          <w:p>
            <w:pPr>
              <w:spacing w:after="0"/>
              <w:rPr>
                <w:sz w:val="1"/>
                <w:szCs w:val="1"/>
                <w:color w:val="auto"/>
              </w:rPr>
            </w:pPr>
          </w:p>
        </w:tc>
      </w:tr>
      <w:tr>
        <w:trPr>
          <w:trHeight w:val="198"/>
        </w:trPr>
        <w:tc>
          <w:tcPr>
            <w:tcW w:w="5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(5,763)</w:t>
            </w:r>
          </w:p>
        </w:tc>
        <w:tc>
          <w:tcPr>
            <w:tcW w:w="1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71,128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(28,102)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43,026</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182,542</w:t>
            </w: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182,542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(1,438)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6,089</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(179,864)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(15,183)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(195,047)</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61,243</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(52,671)</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19,562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(19,562)</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(262,010)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(15,907)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72,233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(205,684)</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13,413</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3,802</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(15,169)</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loss from joint venture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(14,390)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(262,987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(218,028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31,678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34"/>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31,678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40" w:type="dxa"/>
            <w:vAlign w:val="bottom"/>
          </w:tcPr>
          <w:p>
            <w:pPr>
              <w:spacing w:after="0"/>
              <w:rPr>
                <w:sz w:val="13"/>
                <w:szCs w:val="13"/>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6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vMerge w:val="continue"/>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521,464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below)</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460,414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(64,949)</w:t>
            </w:r>
          </w:p>
        </w:tc>
        <w:tc>
          <w:tcPr>
            <w:tcW w:w="1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395,465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(8,504)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65,608</w:t>
            </w:r>
          </w:p>
        </w:tc>
        <w:tc>
          <w:tcPr>
            <w:tcW w:w="0" w:type="dxa"/>
            <w:vAlign w:val="bottom"/>
          </w:tcPr>
          <w:p>
            <w:pPr>
              <w:spacing w:after="0"/>
              <w:rPr>
                <w:sz w:val="1"/>
                <w:szCs w:val="1"/>
                <w:color w:val="auto"/>
              </w:rPr>
            </w:pPr>
          </w:p>
        </w:tc>
      </w:tr>
      <w:tr>
        <w:trPr>
          <w:trHeight w:val="198"/>
        </w:trPr>
        <w:tc>
          <w:tcPr>
            <w:tcW w:w="6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(12,091)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40,315</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52,085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(24,737)</w:t>
            </w:r>
          </w:p>
        </w:tc>
        <w:tc>
          <w:tcPr>
            <w:tcW w:w="76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27,400</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(36,460)</w:t>
            </w:r>
          </w:p>
        </w:tc>
        <w:tc>
          <w:tcPr>
            <w:tcW w:w="7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(g)</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gain on change in interest rate swap fair value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(12,837)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61,197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(11,847)</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(8,013)</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(21,419)</w:t>
            </w:r>
          </w:p>
        </w:tc>
        <w:tc>
          <w:tcPr>
            <w:tcW w:w="7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(f)</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50,113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continuing operations per common share</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27,433</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continuing operations per common share</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4"/>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27,755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UNAUDITED PRO FORMA CONDENSED CONSOLIDATED FINANCIAL INFORMATION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The historical consolidated financial statements have been adjusted in the pro forma condensed consolidated financial statements to give effect to pro forma events that are (1) directly attributable to the Transaction, (2) factually supportable and (3) with respect to the pro forma condensed consolidated statements of operations, expected to have a continuing impact on the Company.</w:t>
      </w:r>
    </w:p>
    <w:p>
      <w:pPr>
        <w:spacing w:after="0" w:line="68" w:lineRule="exact"/>
        <w:rPr>
          <w:sz w:val="20"/>
          <w:szCs w:val="20"/>
          <w:color w:val="auto"/>
        </w:rPr>
      </w:pPr>
    </w:p>
    <w:p>
      <w:pPr>
        <w:ind w:left="444" w:right="120"/>
        <w:spacing w:after="0" w:line="261" w:lineRule="auto"/>
        <w:rPr>
          <w:sz w:val="20"/>
          <w:szCs w:val="20"/>
          <w:color w:val="auto"/>
        </w:rPr>
      </w:pPr>
      <w:r>
        <w:rPr>
          <w:rFonts w:ascii="Times New Roman" w:cs="Times New Roman" w:eastAsia="Times New Roman" w:hAnsi="Times New Roman"/>
          <w:sz w:val="18"/>
          <w:szCs w:val="18"/>
          <w:color w:val="auto"/>
        </w:rPr>
        <w:t>The pro forma condensed consolidated financial statements do not necessarily reflect what the consolidated Company’s financial condition or results of operations would have been had the Transaction occurred on the dates indicated. They also may not be useful in predicting the future financial condition and results of operations of the Company. The actual financial position and results of operations may differ significantly from the pro forma amounts reflected herein due to a variety of factors.</w:t>
      </w:r>
    </w:p>
    <w:p>
      <w:pPr>
        <w:spacing w:after="0" w:line="72" w:lineRule="exact"/>
        <w:rPr>
          <w:sz w:val="20"/>
          <w:szCs w:val="20"/>
          <w:color w:val="auto"/>
        </w:rPr>
      </w:pPr>
    </w:p>
    <w:p>
      <w:pPr>
        <w:ind w:left="444" w:right="80"/>
        <w:spacing w:after="0" w:line="282" w:lineRule="auto"/>
        <w:rPr>
          <w:sz w:val="20"/>
          <w:szCs w:val="20"/>
          <w:color w:val="auto"/>
        </w:rPr>
      </w:pPr>
      <w:r>
        <w:rPr>
          <w:rFonts w:ascii="Times New Roman" w:cs="Times New Roman" w:eastAsia="Times New Roman" w:hAnsi="Times New Roman"/>
          <w:sz w:val="18"/>
          <w:szCs w:val="18"/>
          <w:color w:val="auto"/>
        </w:rPr>
        <w:t>The condensed consolidated pro forma financial information does not reflect the realization of any expected cost savings from the sale of the Life Sciences Business.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2. Disposition of Life Sciences Business</w:t>
      </w:r>
    </w:p>
    <w:p>
      <w:pPr>
        <w:spacing w:after="0" w:line="121"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The estimated net proceeds and gain on the sale of the Life Sciences Business, based on the historical book balances of the Life Sciences Business as of June 30, 2020, are as follows:</w:t>
      </w:r>
    </w:p>
    <w:p>
      <w:pPr>
        <w:spacing w:after="0" w:line="206"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Proceeds from sale </w:t>
            </w:r>
            <w:r>
              <w:rPr>
                <w:rFonts w:ascii="Times New Roman" w:cs="Times New Roman" w:eastAsia="Times New Roman" w:hAnsi="Times New Roman"/>
                <w:sz w:val="15"/>
                <w:szCs w:val="15"/>
                <w:color w:val="auto"/>
              </w:rPr>
              <w:t>(1)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$ 757,225</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assets sold as of June 30, 2020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(573,756)</w:t>
            </w: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translation adjustment in accumulated other comprehensive income as of</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30, 2020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(8,615)</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15"/>
                <w:szCs w:val="15"/>
                <w:color w:val="auto"/>
              </w:rPr>
              <w:t>(2)</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(17,344)</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Estimated gain on sale </w:t>
            </w:r>
            <w:r>
              <w:rPr>
                <w:rFonts w:ascii="Times New Roman" w:cs="Times New Roman" w:eastAsia="Times New Roman" w:hAnsi="Times New Roman"/>
                <w:sz w:val="15"/>
                <w:szCs w:val="15"/>
                <w:color w:val="auto"/>
              </w:rPr>
              <w:t>(3)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$ 157,510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2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cash proceeds are considered in the estimated gain calculation. The potential earnout payment of up to $70 million will be recognized if the payment becomes probable.</w:t>
      </w:r>
    </w:p>
    <w:p>
      <w:pPr>
        <w:ind w:left="424" w:right="68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include accounting, tax, valuation, consulting, legal and investment banking fees related to the sale of the Life Sciences Business, including approximately $1.4 million of Transaction costs expensed prior to June 30, 2020.</w:t>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facts and circumstances available as of the date of this Current Report on Form 8-K, the Company expects no taxable gain on sale.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3. Pro Forma Adjustments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are descriptions of the pro forma adjustments related to the Transaction:</w:t>
      </w:r>
    </w:p>
    <w:p>
      <w:pPr>
        <w:spacing w:after="0" w:line="131" w:lineRule="exact"/>
        <w:rPr>
          <w:sz w:val="20"/>
          <w:szCs w:val="20"/>
          <w:color w:val="auto"/>
        </w:rPr>
      </w:pPr>
    </w:p>
    <w:p>
      <w:pPr>
        <w:ind w:left="964" w:hanging="532"/>
        <w:spacing w:after="0" w:line="25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net proceeds from the Transaction to prepay term loans under the Company’s credit facility. Collectively, the Company’s credit facility includes a senior secured term loan with an outstanding principal balance of $523.4 million as of June 30, 2020, an incremental term loan with an outstanding principal balance of $251.3 million as of June 30, 2020, and a senior secured revolver with an outstanding principal balance of $62.5 million as of June 30, 2020. The Company’s credit agreement, as amended on August 22, 2020, requires all net proceeds (as defined by the credit agreement) from the Transaction to be applied as a prepayment of the senior secured term loan and the incremental term loan. The pro forma adjustment to debt includes the following amounts: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0" w:name="page11"/>
    <w:bookmarkEnd w:id="10"/>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09"/>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used to pay down credit facilities</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Accelerated amortization of debt issuance costs</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debt</w:t>
            </w:r>
          </w:p>
        </w:tc>
        <w:tc>
          <w:tcPr>
            <w:tcW w:w="17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(687,493)</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deferred income tax liability related to the Life Sciences Business.</w:t>
      </w:r>
    </w:p>
    <w:p>
      <w:pPr>
        <w:spacing w:after="0" w:line="130" w:lineRule="exact"/>
        <w:rPr>
          <w:rFonts w:ascii="Times New Roman" w:cs="Times New Roman" w:eastAsia="Times New Roman" w:hAnsi="Times New Roman"/>
          <w:sz w:val="18"/>
          <w:szCs w:val="18"/>
          <w:color w:val="auto"/>
        </w:rPr>
      </w:pPr>
    </w:p>
    <w:p>
      <w:pPr>
        <w:ind w:left="424" w:right="6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Transaction costs that were incurred prior to June 30, 2020, because they will not have a continuing impact on the Company.</w:t>
      </w:r>
    </w:p>
    <w:p>
      <w:pPr>
        <w:spacing w:after="0" w:line="67"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consolidated statements of operations exclude the estimated gain resulting from the sale of the Life Sciences Business. This estimated gain will not have a continuing impact on the Company and is therefore reflected as a pro forma adjustment to stockholders’ equity in the unaudited pro forma condensed consolidated balance sheet. The pro forma adjustment to stockholders’ equity includes the following amounts:</w:t>
      </w:r>
    </w:p>
    <w:p>
      <w:pPr>
        <w:spacing w:after="0" w:line="188"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debt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687,493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Estimated cash on Life Sciences closing balance sheet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14,289</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56,821</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line="25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estimated interest expense and amortization of debt issuance costs incurred from the Company’s credit facility as a result of the requirement for the Company to use all net proceeds from the Transaction to prepay approximately $700.0 million on its term loans. The pro forma adjustment to interest expense is presented as if the Transaction and prepayment of debt had occurred on January 1, 2017. Amortization of debt issuance costs for the year ended December 31, 2017, includes $19.1 million of accelerated amortization on the assumed prepayment date of January 1, 2017. The pro forma adjustment to interest expense includes the following:</w:t>
      </w:r>
    </w:p>
    <w:p>
      <w:pPr>
        <w:spacing w:after="0" w:line="204"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66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debt</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$(43,550)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$(49,049)</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$(40,700)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(2,447)</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(3,385)</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(3,622)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interest expense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(25,192)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(46,935)</w:t>
            </w: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(52,671)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2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income tax effect, using a federal statutory rate of 21% for 2020, 2019, and 2018, and 35% for 2017, related to the change in write-off of unamortized debt issuance costs and changes in interest expense. The effective tax rate of the Company after the Transaction may differ from what is presented in the unaudited pro forma condensed consolidated financial statements as a result of different tax jurisdictions.</w:t>
      </w:r>
    </w:p>
    <w:p>
      <w:pPr>
        <w:spacing w:after="0" w:line="85"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of debt and write-off of unamortized debt issuance costs related to debt modifications as if the proceeds of the Transaction had been used for the required prepayment of the Company’s term loans as of January 1, 2017.</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cash on closing balance sheet that was factored into the calculation of proceeds from sale.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64"/>
      </w:cols>
      <w:pgMar w:left="436" w:top="25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2020-10-09T15:24:26Z</dcterms:created>
  <dcterms:modified xsi:type="dcterms:W3CDTF">2020-10-09T15:24:26Z</dcterms:modified>
</cp:coreProperties>
</file>