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November 1, 2002</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060" w:space="0"/>
            <w:col w:w="5159"/>
          </w:cols>
          <w:pgMar w:left="240" w:top="649" w:right="1440" w:bottom="0"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20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0-23486</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560" w:val="left"/>
          <w:tab w:leader="none" w:pos="66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540"/>
        <w:spacing w:after="0"/>
        <w:tabs>
          <w:tab w:leader="none" w:pos="3560" w:val="left"/>
          <w:tab w:leader="none" w:pos="642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6"/>
          <w:szCs w:val="16"/>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64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0"/>
            <w:col w:w="4939"/>
          </w:cols>
          <w:pgMar w:left="240" w:top="649"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Item 5.</w:t>
      </w:r>
      <w:r>
        <w:rPr>
          <w:sz w:val="20"/>
          <w:szCs w:val="20"/>
          <w:color w:val="auto"/>
        </w:rPr>
        <w:tab/>
      </w:r>
      <w:r>
        <w:rPr>
          <w:rFonts w:ascii="Courier New" w:cs="Courier New" w:eastAsia="Courier New" w:hAnsi="Courier New"/>
          <w:sz w:val="16"/>
          <w:szCs w:val="16"/>
          <w:b w:val="1"/>
          <w:bCs w:val="1"/>
          <w:color w:val="auto"/>
        </w:rPr>
        <w:t>Other Events.</w:t>
      </w:r>
    </w:p>
    <w:p>
      <w:pPr>
        <w:spacing w:after="0" w:line="207" w:lineRule="exact"/>
        <w:rPr>
          <w:sz w:val="24"/>
          <w:szCs w:val="24"/>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On November 1, 2002, the Company issued a press release announcing its third quarter earnings. A copy of the press release is attached as Exhibit 99.1 hereto and incorporated herein by reference.</w:t>
      </w:r>
    </w:p>
    <w:p>
      <w:pPr>
        <w:spacing w:after="0" w:line="203"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b w:val="1"/>
          <w:bCs w:val="1"/>
          <w:color w:val="auto"/>
        </w:rPr>
        <w:t>Item 7.</w:t>
      </w:r>
      <w:r>
        <w:rPr>
          <w:sz w:val="20"/>
          <w:szCs w:val="20"/>
          <w:color w:val="auto"/>
        </w:rPr>
        <w:tab/>
      </w:r>
      <w:r>
        <w:rPr>
          <w:rFonts w:ascii="Courier New" w:cs="Courier New" w:eastAsia="Courier New" w:hAnsi="Courier New"/>
          <w:sz w:val="16"/>
          <w:szCs w:val="16"/>
          <w:b w:val="1"/>
          <w:bCs w:val="1"/>
          <w:color w:val="auto"/>
        </w:rPr>
        <w:t>Financial Statements and Exhibits.</w:t>
      </w:r>
    </w:p>
    <w:p>
      <w:pPr>
        <w:spacing w:after="0" w:line="207" w:lineRule="exact"/>
        <w:rPr>
          <w:sz w:val="24"/>
          <w:szCs w:val="24"/>
          <w:color w:val="auto"/>
        </w:rPr>
      </w:pPr>
    </w:p>
    <w:p>
      <w:pPr>
        <w:ind w:left="960" w:right="3159" w:hanging="4"/>
        <w:spacing w:after="0" w:line="470" w:lineRule="auto"/>
        <w:tabs>
          <w:tab w:leader="none" w:pos="159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herewith: 99.1 Press Release dated November 1,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4"/>
          <w:szCs w:val="24"/>
          <w:color w:val="auto"/>
        </w:rPr>
      </w:pPr>
    </w:p>
    <w:p>
      <w:pPr>
        <w:spacing w:after="0" w:line="209" w:lineRule="exact"/>
        <w:rPr>
          <w:sz w:val="24"/>
          <w:szCs w:val="24"/>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ind w:left="960"/>
        <w:spacing w:after="0"/>
        <w:tabs>
          <w:tab w:leader="none" w:pos="16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1, 2002</w:t>
      </w:r>
    </w:p>
    <w:p>
      <w:pPr>
        <w:jc w:val="center"/>
        <w:ind w:right="-320"/>
        <w:spacing w:after="0" w:line="238" w:lineRule="auto"/>
        <w:rPr>
          <w:sz w:val="20"/>
          <w:szCs w:val="20"/>
          <w:color w:val="auto"/>
        </w:rPr>
      </w:pPr>
      <w:r>
        <w:rPr>
          <w:rFonts w:ascii="Courier New" w:cs="Courier New" w:eastAsia="Courier New" w:hAnsi="Courier New"/>
          <w:sz w:val="18"/>
          <w:szCs w:val="18"/>
          <w:color w:val="auto"/>
        </w:rPr>
        <w:t>NN, INC.</w:t>
      </w:r>
    </w:p>
    <w:p>
      <w:pPr>
        <w:sectPr>
          <w:pgSz w:w="11900" w:h="16838" w:orient="portrait"/>
          <w:cols w:equalWidth="0" w:num="1">
            <w:col w:w="10219"/>
          </w:cols>
          <w:pgMar w:left="240" w:top="649" w:right="1440" w:bottom="0" w:gutter="0" w:footer="0" w:header="0"/>
          <w:type w:val="continuous"/>
        </w:sectPr>
      </w:pPr>
    </w:p>
    <w:bookmarkStart w:id="1" w:name="page2"/>
    <w:bookmarkEnd w:id="1"/>
    <w:p>
      <w:pPr>
        <w:ind w:left="3660"/>
        <w:spacing w:after="0"/>
        <w:tabs>
          <w:tab w:leader="none" w:pos="41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William C. Kelly, Jr.</w:t>
      </w:r>
    </w:p>
    <w:p>
      <w:pPr>
        <w:spacing w:after="0" w:line="4"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80"/>
        <w:spacing w:after="0"/>
        <w:rPr>
          <w:sz w:val="20"/>
          <w:szCs w:val="20"/>
          <w:color w:val="auto"/>
        </w:rPr>
      </w:pPr>
      <w:r>
        <w:rPr>
          <w:rFonts w:ascii="Courier New" w:cs="Courier New" w:eastAsia="Courier New" w:hAnsi="Courier New"/>
          <w:sz w:val="18"/>
          <w:szCs w:val="18"/>
          <w:color w:val="auto"/>
        </w:rPr>
        <w:t>William C. Kelly, Jr.,</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Treasurer, Secretary and Chief</w:t>
      </w:r>
    </w:p>
    <w:p>
      <w:pPr>
        <w:spacing w:after="0" w:line="16" w:lineRule="exact"/>
        <w:rPr>
          <w:sz w:val="20"/>
          <w:szCs w:val="20"/>
          <w:color w:val="auto"/>
        </w:rPr>
      </w:pPr>
    </w:p>
    <w:p>
      <w:pPr>
        <w:ind w:left="4180"/>
        <w:spacing w:after="0"/>
        <w:rPr>
          <w:sz w:val="20"/>
          <w:szCs w:val="20"/>
          <w:color w:val="auto"/>
        </w:rPr>
      </w:pPr>
      <w:r>
        <w:rPr>
          <w:rFonts w:ascii="Courier New" w:cs="Courier New" w:eastAsia="Courier New" w:hAnsi="Courier New"/>
          <w:sz w:val="18"/>
          <w:szCs w:val="18"/>
          <w:color w:val="auto"/>
        </w:rPr>
        <w:t>Accounting Officer</w:t>
      </w:r>
    </w:p>
    <w:p>
      <w:pPr>
        <w:sectPr>
          <w:pgSz w:w="11900" w:h="16838" w:orient="portrait"/>
          <w:cols w:equalWidth="0" w:num="1">
            <w:col w:w="9019"/>
          </w:cols>
          <w:pgMar w:left="1440" w:top="339"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4874260</wp:posOffset>
            </wp:positionH>
            <wp:positionV relativeFrom="page">
              <wp:posOffset>88900</wp:posOffset>
            </wp:positionV>
            <wp:extent cx="2529840"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529840" cy="77152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1715135"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15135" cy="42862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60" w:type="dxa"/>
            <w:vAlign w:val="bottom"/>
          </w:tcPr>
          <w:p>
            <w:pPr>
              <w:ind w:left="640"/>
              <w:spacing w:after="0"/>
              <w:rPr>
                <w:sz w:val="20"/>
                <w:szCs w:val="20"/>
                <w:color w:val="auto"/>
              </w:rPr>
            </w:pPr>
            <w:r>
              <w:rPr>
                <w:rFonts w:ascii="Courier New" w:cs="Courier New" w:eastAsia="Courier New" w:hAnsi="Courier New"/>
                <w:sz w:val="18"/>
                <w:szCs w:val="18"/>
                <w:color w:val="auto"/>
              </w:rPr>
              <w:t>RE: NN, Inc.</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8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rPr>
              <w:t>2000 Waters Edge Drive</w:t>
            </w:r>
          </w:p>
        </w:tc>
      </w:tr>
      <w:tr>
        <w:trPr>
          <w:trHeight w:val="203"/>
        </w:trPr>
        <w:tc>
          <w:tcPr>
            <w:tcW w:w="14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8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rPr>
              <w:t>Johnson City, TN  37604</w:t>
            </w:r>
          </w:p>
        </w:tc>
      </w:tr>
      <w:tr>
        <w:trPr>
          <w:trHeight w:val="608"/>
        </w:trPr>
        <w:tc>
          <w:tcPr>
            <w:tcW w:w="4900" w:type="dxa"/>
            <w:vAlign w:val="bottom"/>
            <w:gridSpan w:val="2"/>
          </w:tcPr>
          <w:p>
            <w:pPr>
              <w:spacing w:after="0"/>
              <w:rPr>
                <w:sz w:val="20"/>
                <w:szCs w:val="20"/>
                <w:color w:val="auto"/>
              </w:rPr>
            </w:pPr>
            <w:r>
              <w:rPr>
                <w:rFonts w:ascii="Courier New" w:cs="Courier New" w:eastAsia="Courier New" w:hAnsi="Courier New"/>
                <w:sz w:val="18"/>
                <w:szCs w:val="18"/>
                <w:color w:val="auto"/>
              </w:rPr>
              <w:t>FOR FURTHER INFORMATION:</w:t>
            </w:r>
          </w:p>
        </w:tc>
        <w:tc>
          <w:tcPr>
            <w:tcW w:w="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67"/>
        </w:trPr>
        <w:tc>
          <w:tcPr>
            <w:tcW w:w="4900" w:type="dxa"/>
            <w:vAlign w:val="bottom"/>
            <w:gridSpan w:val="2"/>
          </w:tcPr>
          <w:p>
            <w:pPr>
              <w:spacing w:after="0"/>
              <w:rPr>
                <w:sz w:val="20"/>
                <w:szCs w:val="20"/>
                <w:color w:val="auto"/>
              </w:rPr>
            </w:pPr>
            <w:r>
              <w:rPr>
                <w:rFonts w:ascii="Courier New" w:cs="Courier New" w:eastAsia="Courier New" w:hAnsi="Courier New"/>
                <w:sz w:val="18"/>
                <w:szCs w:val="18"/>
                <w:b w:val="1"/>
                <w:bCs w:val="1"/>
                <w:color w:val="auto"/>
              </w:rPr>
              <w:t>AT THE COMPANY</w:t>
            </w:r>
          </w:p>
        </w:tc>
        <w:tc>
          <w:tcPr>
            <w:tcW w:w="580" w:type="dxa"/>
            <w:vAlign w:val="bottom"/>
          </w:tcPr>
          <w:p>
            <w:pPr>
              <w:spacing w:after="0"/>
              <w:rPr>
                <w:sz w:val="24"/>
                <w:szCs w:val="24"/>
                <w:color w:val="auto"/>
              </w:rPr>
            </w:pPr>
          </w:p>
        </w:tc>
        <w:tc>
          <w:tcPr>
            <w:tcW w:w="3480" w:type="dxa"/>
            <w:vAlign w:val="bottom"/>
            <w:gridSpan w:val="3"/>
          </w:tcPr>
          <w:p>
            <w:pPr>
              <w:spacing w:after="0"/>
              <w:rPr>
                <w:sz w:val="20"/>
                <w:szCs w:val="20"/>
                <w:color w:val="auto"/>
              </w:rPr>
            </w:pPr>
            <w:r>
              <w:rPr>
                <w:rFonts w:ascii="Courier New" w:cs="Courier New" w:eastAsia="Courier New" w:hAnsi="Courier New"/>
                <w:sz w:val="18"/>
                <w:szCs w:val="18"/>
                <w:b w:val="1"/>
                <w:bCs w:val="1"/>
                <w:color w:val="auto"/>
              </w:rPr>
              <w:t>AT FRB|WEBER SHANDWICK</w:t>
            </w:r>
          </w:p>
        </w:tc>
      </w:tr>
      <w:tr>
        <w:trPr>
          <w:trHeight w:val="20"/>
        </w:trPr>
        <w:tc>
          <w:tcPr>
            <w:tcW w:w="148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24"/>
        </w:trPr>
        <w:tc>
          <w:tcPr>
            <w:tcW w:w="1480" w:type="dxa"/>
            <w:vAlign w:val="bottom"/>
          </w:tcPr>
          <w:p>
            <w:pPr>
              <w:spacing w:after="0"/>
              <w:rPr>
                <w:sz w:val="20"/>
                <w:szCs w:val="20"/>
                <w:color w:val="auto"/>
              </w:rPr>
            </w:pPr>
            <w:r>
              <w:rPr>
                <w:rFonts w:ascii="Courier New" w:cs="Courier New" w:eastAsia="Courier New" w:hAnsi="Courier New"/>
                <w:sz w:val="18"/>
                <w:szCs w:val="18"/>
                <w:color w:val="auto"/>
              </w:rPr>
              <w:t>Will Kelly</w:t>
            </w:r>
          </w:p>
        </w:tc>
        <w:tc>
          <w:tcPr>
            <w:tcW w:w="3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Courier New" w:cs="Courier New" w:eastAsia="Courier New" w:hAnsi="Courier New"/>
                <w:sz w:val="18"/>
                <w:szCs w:val="18"/>
                <w:color w:val="auto"/>
              </w:rPr>
              <w:t>Kerry Thalheim</w:t>
            </w:r>
          </w:p>
        </w:tc>
        <w:tc>
          <w:tcPr>
            <w:tcW w:w="15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Susan Garland</w:t>
            </w:r>
          </w:p>
        </w:tc>
      </w:tr>
      <w:tr>
        <w:trPr>
          <w:trHeight w:val="203"/>
        </w:trPr>
        <w:tc>
          <w:tcPr>
            <w:tcW w:w="4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Treasurer &amp; Manager of Investor Relations</w:t>
            </w:r>
          </w:p>
        </w:tc>
        <w:tc>
          <w:tcPr>
            <w:tcW w:w="25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(General info)</w:t>
            </w:r>
          </w:p>
        </w:tc>
        <w:tc>
          <w:tcPr>
            <w:tcW w:w="1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(Analyst info)</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(423) 743-9151</w:t>
            </w:r>
          </w:p>
        </w:tc>
        <w:tc>
          <w:tcPr>
            <w:tcW w:w="3420" w:type="dxa"/>
            <w:vAlign w:val="bottom"/>
          </w:tcPr>
          <w:p>
            <w:pPr>
              <w:spacing w:after="0"/>
              <w:rPr>
                <w:sz w:val="17"/>
                <w:szCs w:val="17"/>
                <w:color w:val="auto"/>
              </w:rPr>
            </w:pPr>
          </w:p>
        </w:tc>
        <w:tc>
          <w:tcPr>
            <w:tcW w:w="25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212-445-8437</w:t>
            </w:r>
          </w:p>
        </w:tc>
        <w:tc>
          <w:tcPr>
            <w:tcW w:w="1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212-445-8458</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November 1, 2002</w:t>
      </w:r>
    </w:p>
    <w:p>
      <w:pPr>
        <w:spacing w:after="0" w:line="202"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b w:val="1"/>
          <w:bCs w:val="1"/>
          <w:color w:val="auto"/>
        </w:rPr>
        <w:t>NN, INC. THIRD QUARTER REVENUES AND NET INCOME UP 11% AND 185% RESPECTIVELY</w:t>
      </w:r>
    </w:p>
    <w:p>
      <w:pPr>
        <w:jc w:val="center"/>
        <w:ind w:right="1779"/>
        <w:spacing w:after="0" w:line="238" w:lineRule="auto"/>
        <w:rPr>
          <w:sz w:val="20"/>
          <w:szCs w:val="20"/>
          <w:color w:val="auto"/>
        </w:rPr>
      </w:pPr>
      <w:r>
        <w:rPr>
          <w:rFonts w:ascii="Courier New" w:cs="Courier New" w:eastAsia="Courier New" w:hAnsi="Courier New"/>
          <w:sz w:val="18"/>
          <w:szCs w:val="18"/>
          <w:b w:val="1"/>
          <w:bCs w:val="1"/>
          <w:color w:val="auto"/>
        </w:rPr>
        <w:t>FOR THE 2002 THIRD QUARTER</w:t>
      </w:r>
    </w:p>
    <w:p>
      <w:pPr>
        <w:spacing w:after="0" w:line="207"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b w:val="1"/>
          <w:bCs w:val="1"/>
          <w:color w:val="auto"/>
        </w:rPr>
        <w:t xml:space="preserve">Johnson City, Tenn., November 1, 2002 </w:t>
      </w:r>
      <w:r>
        <w:rPr>
          <w:rFonts w:ascii="Courier New" w:cs="Courier New" w:eastAsia="Courier New" w:hAnsi="Courier New"/>
          <w:sz w:val="16"/>
          <w:szCs w:val="16"/>
          <w:color w:val="auto"/>
        </w:rPr>
        <w:t>- NN, Inc. (Nasdaq: NNBR) today</w:t>
      </w:r>
      <w:r>
        <w:rPr>
          <w:rFonts w:ascii="Courier New" w:cs="Courier New" w:eastAsia="Courier New" w:hAnsi="Courier New"/>
          <w:sz w:val="16"/>
          <w:szCs w:val="16"/>
          <w:b w:val="1"/>
          <w:bCs w:val="1"/>
          <w:color w:val="auto"/>
        </w:rPr>
        <w:t xml:space="preserve"> </w:t>
      </w:r>
      <w:r>
        <w:rPr>
          <w:rFonts w:ascii="Courier New" w:cs="Courier New" w:eastAsia="Courier New" w:hAnsi="Courier New"/>
          <w:sz w:val="16"/>
          <w:szCs w:val="16"/>
          <w:color w:val="auto"/>
        </w:rPr>
        <w:t>reported its financial results for the third quarter ended September 30, 2002.</w:t>
      </w:r>
    </w:p>
    <w:p>
      <w:pPr>
        <w:spacing w:after="0" w:line="17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Net sales for the third quarter of 2002 were $47.5 million, up 11.5% from $42.6 million for the same period of 2001. Net income for the third quarter of 2002 totaled $2.1 million, or $0.14 per share, compared to net income of $744,000, or $0.05 per share, for the third quarter of 2001. Earnings per share of $0.05 for the third quarter of 2001 reflect an after-tax charge of $480,000 for restructuring costs associated with the closing of the Company's Walterboro, South Carolina facility in September of 2001 and an after-tax gain of $870,000 resulting from insurance proceeds from the fire in NN's Erwin, Tennessee facility in March 2000. Additionally, effective January 1, 2002, the company adopted Statement of Financial Accounting Standard No. 142 (SFAS 142) "Goodwill and Other Intangible Assets," which states that goodwill and intangible assets deemed to have indefinite lives are no longer subject to amortization, but are periodically evaluated for impairment. The third quarter of 2001 included goodwill amortization expenses of $273,000 net of tax and minority interest. Excluding the gain on insurance proceeds, the restructuring charge and the goodwill amortization, net income totaled $627,000, or earnings per share of $0.04, for the third quarter of 2001.</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Net sales for the first nine months of 2002 were $143.8 million, up 2.6% compared to $140.2 million for the same period of 2001. Net sales in the first nine months of 2001 reflect approximately 7 1/2 months of revenue contribution from Delta Rubber Company, which was acquired on February 16, 2001 in a transaction using the purchase method of accounting.</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Net income for the first nine months of 2002 totaled $6.4 million, or $0.40 per share, compared to $5.7 million, or $0.37 per share, for the same period of 2001. Excluding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aforementioned gain on insurance proceeds, the restructuring costs, and the goodwill amortization expenses for the first nine months of 2001, net income totaled $4.5 million, or $0.29 per share.</w:t>
      </w:r>
    </w:p>
    <w:p>
      <w:pPr>
        <w:spacing w:after="0" w:line="209" w:lineRule="exact"/>
        <w:rPr>
          <w:sz w:val="20"/>
          <w:szCs w:val="20"/>
          <w:color w:val="auto"/>
        </w:rPr>
      </w:pPr>
    </w:p>
    <w:p>
      <w:pPr>
        <w:jc w:val="both"/>
        <w:ind w:right="1879"/>
        <w:spacing w:after="0" w:line="268" w:lineRule="auto"/>
        <w:rPr>
          <w:sz w:val="20"/>
          <w:szCs w:val="20"/>
          <w:color w:val="auto"/>
        </w:rPr>
      </w:pPr>
      <w:r>
        <w:rPr>
          <w:rFonts w:ascii="Courier New" w:cs="Courier New" w:eastAsia="Courier New" w:hAnsi="Courier New"/>
          <w:sz w:val="16"/>
          <w:szCs w:val="16"/>
          <w:color w:val="auto"/>
        </w:rPr>
        <w:t>David L. Dyckman, Chief Financial Officer, commented, "We are very pleased with our performance when you consider that the third quarter has traditionally been our weakest as manufacturing activity in Europe typically slows during August.</w:t>
      </w:r>
    </w:p>
    <w:p>
      <w:pPr>
        <w:spacing w:after="0" w:line="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Revenue levels grew approximately $4.9 million or 11.5% from the third quarter in 2001, driven by better than expected revenues from our ball and roller operations as well as favorable currency translation rates.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income for the third quarter rose 238.0%, after adjusting for the impact of the restructuring costs, the after-tax gain on insurance proceeds and the adoption of SFAS 142. Our earnings improvement reflects the ongoing benefit of the cost structure programs we initiated last year as well as tax rate improvements and a 35.1% reduction in interest expense resulting from aggressive debt reduction. We also experienced a 3.8% decline in selling, general and administrative expenses.</w:t>
      </w:r>
    </w:p>
    <w:p>
      <w:pPr>
        <w:sectPr>
          <w:pgSz w:w="11900" w:h="16838" w:orient="portrait"/>
          <w:cols w:equalWidth="0" w:num="1">
            <w:col w:w="10219"/>
          </w:cols>
          <w:pgMar w:left="240" w:top="1440" w:right="1440" w:bottom="0" w:gutter="0" w:footer="0" w:header="0"/>
        </w:sectPr>
      </w:pPr>
    </w:p>
    <w:bookmarkStart w:id="3" w:name="page4"/>
    <w:bookmarkEnd w:id="3"/>
    <w:p>
      <w:pPr>
        <w:spacing w:after="0" w:line="5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a percentage of net sales, the gross profit margin was 24.9% in the third quarter of 2002 versus 23.0% in the third quarter of 2001. This improvement reflects the continuing benefit of the initiatives to lower our cost structure, including the consolidation of our domestic ball and roller operations in the fourth quarter of 2001 as well as increased efficiencies associated with higher volume levels recorded in the current year's third quarter as compared to the prior year.</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"Selling, general and administrative expenses for the third quarter of 2002 declined to 8.6% as a percentage of net sales as compared to 10.0% in the prior year's third quarter and 9.8% in the second quarter of this year. The decline from the second quarter of 2002 of $743,000 or 15.4% reflected a reversal of previously recognized non-cash compensation charges associated with a portion of the employee stock options and a decrease in the level of spending of advisory services expenses associated with the pursuit of certain strategic alternatives. In the future, we expect that our SG&amp;A levels of spending will return to historical rates of approximately 8.5% of net sales."</w:t>
      </w:r>
    </w:p>
    <w:p>
      <w:pPr>
        <w:spacing w:after="0" w:line="21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Roderick R. Baty, Chairman and Chief Executive Officer, stated, "We continue to see incremental improvements in our revenue in comparison to 2001. However, 2002 revenues still reflect what we consider to be below normal levels of demand in both Europe and the North America. In the third quarter, we realized double-digit revenue gains versus the third quarter of 2001 and continued to make significant progress in reducing our total debt. Since the beginning of the year we reduced debt by $11.0 million, reflecting our continuing focus on cost reduction programs, balance sheet management and the maximization of cash flows. As a result, we are likely to exceed our full year debt reduction goal of $12 million. We are forecasting earnings per share for the full year to be in the range of $0.53 to $0.54. Earnings per share for the fourth quarter of this year are forecasted to be in the range of $0.13 to $0.14 on revenues of approximately $48.0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229235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With respect to our outlook for 2003, given the continuing uncertainty of the current global economic environment, we expect earnings per share to be in the range of $0.62 to $0.65, an increase of approximately 19% from 2002, on revenues of approximately $200 million. We see improvements in our financial performance in 2003 driven by reduced levels of interest expense, SG&amp;A spending, and continuing improvements in cost and quality. Our 1,300 worldwide employees remain focused on serving the needs of our customers. As such, we remain optimistic regarding our long-term opportunities to add increasing value as a supply partner to our global bearing customers."</w:t>
      </w:r>
    </w:p>
    <w:p>
      <w:pPr>
        <w:spacing w:after="0" w:line="214"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NN, Inc. manufactures and supplies high precision bearing components consisting of balls, rollers, seals, and retainers for leading bearing manufacturers on a global basis. In addition, the Company manufactures a variety of other plastic components. NN, Inc. had sales of US $180 million in 2001.</w:t>
      </w:r>
    </w:p>
    <w:p>
      <w:pPr>
        <w:spacing w:after="0" w:line="18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i w:val="1"/>
          <w:iCs w:val="1"/>
          <w:color w:val="auto"/>
        </w:rPr>
        <w:t>With the exception of the historical information contained in the release, the matters described herein contain forward-looking statements that are made pursuant to the safe harbor provisions of the Private Securities Litigation Reform Act of 1995. Forward-looking statements involve a number of risks and uncertainties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2001.</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b w:val="1"/>
          <w:bCs w:val="1"/>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b w:val="1"/>
          <w:bCs w:val="1"/>
          <w:color w:val="auto"/>
        </w:rPr>
        <w:t>Condensed Statements of Income</w:t>
      </w:r>
    </w:p>
    <w:p>
      <w:pPr>
        <w:jc w:val="center"/>
        <w:ind w:right="1779"/>
        <w:spacing w:after="0"/>
        <w:rPr>
          <w:sz w:val="20"/>
          <w:szCs w:val="20"/>
          <w:color w:val="auto"/>
        </w:rPr>
      </w:pPr>
      <w:r>
        <w:rPr>
          <w:rFonts w:ascii="Courier New" w:cs="Courier New" w:eastAsia="Courier New" w:hAnsi="Courier New"/>
          <w:sz w:val="18"/>
          <w:szCs w:val="18"/>
          <w:b w:val="1"/>
          <w:bCs w:val="1"/>
          <w:color w:val="auto"/>
        </w:rPr>
        <w:t>(In Thousands, except per share amounts)</w:t>
      </w:r>
    </w:p>
    <w:p>
      <w:pPr>
        <w:jc w:val="center"/>
        <w:ind w:right="1679"/>
        <w:spacing w:after="0" w:line="237" w:lineRule="auto"/>
        <w:rPr>
          <w:sz w:val="20"/>
          <w:szCs w:val="20"/>
          <w:color w:val="auto"/>
        </w:rPr>
      </w:pPr>
      <w:r>
        <w:rPr>
          <w:rFonts w:ascii="Courier New" w:cs="Courier New" w:eastAsia="Courier New" w:hAnsi="Courier New"/>
          <w:sz w:val="18"/>
          <w:szCs w:val="18"/>
          <w:b w:val="1"/>
          <w:bCs w:val="1"/>
          <w:color w:val="auto"/>
        </w:rPr>
        <w:t>(Unaudited)</w:t>
      </w:r>
    </w:p>
    <w:p>
      <w:pPr>
        <w:spacing w:after="0" w:line="202" w:lineRule="exact"/>
        <w:rPr>
          <w:sz w:val="20"/>
          <w:szCs w:val="20"/>
          <w:color w:val="auto"/>
        </w:rPr>
      </w:pPr>
    </w:p>
    <w:tbl>
      <w:tblPr>
        <w:tblLayout w:type="fixed"/>
        <w:tblInd w:w="4860" w:type="dxa"/>
        <w:tblCellMar>
          <w:top w:w="0" w:type="dxa"/>
          <w:left w:w="0" w:type="dxa"/>
          <w:bottom w:w="0" w:type="dxa"/>
          <w:right w:w="0" w:type="dxa"/>
        </w:tblCellMar>
      </w:tblPr>
      <w:tr>
        <w:trPr>
          <w:trHeight w:val="204"/>
        </w:trPr>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b w:val="1"/>
                <w:bCs w:val="1"/>
                <w:color w:val="auto"/>
                <w:w w:val="95"/>
              </w:rPr>
              <w:t>Three Months</w:t>
            </w:r>
          </w:p>
        </w:tc>
        <w:tc>
          <w:tcPr>
            <w:tcW w:w="840" w:type="dxa"/>
            <w:vAlign w:val="bottom"/>
          </w:tcPr>
          <w:p>
            <w:pPr>
              <w:ind w:left="40"/>
              <w:spacing w:after="0"/>
              <w:rPr>
                <w:sz w:val="20"/>
                <w:szCs w:val="20"/>
                <w:color w:val="auto"/>
              </w:rPr>
            </w:pPr>
            <w:r>
              <w:rPr>
                <w:rFonts w:ascii="Courier New" w:cs="Courier New" w:eastAsia="Courier New" w:hAnsi="Courier New"/>
                <w:sz w:val="18"/>
                <w:szCs w:val="18"/>
                <w:b w:val="1"/>
                <w:bCs w:val="1"/>
                <w:color w:val="auto"/>
              </w:rPr>
              <w:t>Ended</w:t>
            </w:r>
          </w:p>
        </w:tc>
        <w:tc>
          <w:tcPr>
            <w:tcW w:w="1420" w:type="dxa"/>
            <w:vAlign w:val="bottom"/>
          </w:tcPr>
          <w:p>
            <w:pPr>
              <w:jc w:val="right"/>
              <w:spacing w:after="0"/>
              <w:rPr>
                <w:sz w:val="20"/>
                <w:szCs w:val="20"/>
                <w:color w:val="auto"/>
              </w:rPr>
            </w:pPr>
            <w:r>
              <w:rPr>
                <w:rFonts w:ascii="Courier New" w:cs="Courier New" w:eastAsia="Courier New" w:hAnsi="Courier New"/>
                <w:sz w:val="18"/>
                <w:szCs w:val="18"/>
                <w:b w:val="1"/>
                <w:bCs w:val="1"/>
                <w:color w:val="auto"/>
              </w:rPr>
              <w:t>Nine Months</w:t>
            </w:r>
          </w:p>
        </w:tc>
        <w:tc>
          <w:tcPr>
            <w:tcW w:w="620" w:type="dxa"/>
            <w:vAlign w:val="bottom"/>
          </w:tcPr>
          <w:p>
            <w:pPr>
              <w:jc w:val="right"/>
              <w:spacing w:after="0"/>
              <w:rPr>
                <w:sz w:val="20"/>
                <w:szCs w:val="20"/>
                <w:color w:val="auto"/>
              </w:rPr>
            </w:pPr>
            <w:r>
              <w:rPr>
                <w:rFonts w:ascii="Courier New" w:cs="Courier New" w:eastAsia="Courier New" w:hAnsi="Courier New"/>
                <w:sz w:val="18"/>
                <w:szCs w:val="18"/>
                <w:b w:val="1"/>
                <w:bCs w:val="1"/>
                <w:color w:val="auto"/>
              </w:rPr>
              <w:t>Ended</w:t>
            </w:r>
          </w:p>
        </w:tc>
      </w:tr>
      <w:tr>
        <w:trPr>
          <w:trHeight w:val="203"/>
        </w:trPr>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b w:val="1"/>
                <w:bCs w:val="1"/>
                <w:color w:val="auto"/>
              </w:rPr>
              <w:t>September</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b w:val="1"/>
                <w:bCs w:val="1"/>
                <w:color w:val="auto"/>
              </w:rPr>
              <w:t>30,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b w:val="1"/>
                <w:bCs w:val="1"/>
                <w:color w:val="auto"/>
              </w:rPr>
              <w:t>September</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b w:val="1"/>
                <w:bCs w:val="1"/>
                <w:color w:val="auto"/>
              </w:rPr>
              <w:t>30,</w:t>
            </w:r>
          </w:p>
        </w:tc>
      </w:tr>
      <w:tr>
        <w:trPr>
          <w:trHeight w:val="203"/>
        </w:trPr>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b w:val="1"/>
                <w:bCs w:val="1"/>
                <w:color w:val="auto"/>
              </w:rPr>
              <w:t>2002</w:t>
            </w:r>
          </w:p>
        </w:tc>
        <w:tc>
          <w:tcPr>
            <w:tcW w:w="12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b w:val="1"/>
                <w:bCs w:val="1"/>
                <w:color w:val="auto"/>
              </w:rPr>
              <w:t>2001</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b w:val="1"/>
                <w:bCs w:val="1"/>
                <w:color w:val="auto"/>
              </w:rPr>
              <w:t>2002</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b w:val="1"/>
                <w:bCs w:val="1"/>
                <w:color w:val="auto"/>
                <w:w w:val="92"/>
              </w:rPr>
              <w:t>2001</w:t>
            </w:r>
          </w:p>
        </w:tc>
      </w:tr>
    </w:tbl>
    <w:p>
      <w:pPr>
        <w:sectPr>
          <w:pgSz w:w="11900" w:h="16895" w:orient="portrait"/>
          <w:cols w:equalWidth="0" w:num="1">
            <w:col w:w="10219"/>
          </w:cols>
          <w:pgMar w:left="240" w:top="344"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22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8"/>
              </w:rPr>
              <w:t>--------- ---------</w:t>
            </w:r>
          </w:p>
        </w:tc>
        <w:tc>
          <w:tcPr>
            <w:tcW w:w="21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$47,451</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$42,576</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143,836</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$140,153</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35,631</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32,797</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107,301</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106,116</w:t>
            </w:r>
          </w:p>
        </w:tc>
      </w:tr>
      <w:tr>
        <w:trPr>
          <w:trHeight w:val="203"/>
        </w:trPr>
        <w:tc>
          <w:tcPr>
            <w:tcW w:w="4700" w:type="dxa"/>
            <w:vAlign w:val="bottom"/>
          </w:tcPr>
          <w:p>
            <w:pPr>
              <w:spacing w:after="0"/>
              <w:rPr>
                <w:sz w:val="17"/>
                <w:szCs w:val="17"/>
                <w:color w:val="auto"/>
              </w:rPr>
            </w:pPr>
          </w:p>
        </w:tc>
        <w:tc>
          <w:tcPr>
            <w:tcW w:w="2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 ---------</w:t>
            </w:r>
          </w:p>
        </w:tc>
        <w:tc>
          <w:tcPr>
            <w:tcW w:w="2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Gross profit</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11,820</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9,779</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36,535</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34,037</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Selling, general and administrative</w:t>
            </w:r>
          </w:p>
        </w:tc>
        <w:tc>
          <w:tcPr>
            <w:tcW w:w="10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4,076</w:t>
            </w: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4,239</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13,311</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12,324</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2,881</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3,474</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8,443</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10,170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Restructuring and impairment costs</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750</w:t>
            </w:r>
          </w:p>
        </w:tc>
      </w:tr>
      <w:tr>
        <w:trPr>
          <w:trHeight w:val="203"/>
        </w:trPr>
        <w:tc>
          <w:tcPr>
            <w:tcW w:w="4700" w:type="dxa"/>
            <w:vAlign w:val="bottom"/>
          </w:tcPr>
          <w:p>
            <w:pPr>
              <w:spacing w:after="0"/>
              <w:rPr>
                <w:sz w:val="17"/>
                <w:szCs w:val="17"/>
                <w:color w:val="auto"/>
              </w:rPr>
            </w:pPr>
          </w:p>
        </w:tc>
        <w:tc>
          <w:tcPr>
            <w:tcW w:w="2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 ---------</w:t>
            </w:r>
          </w:p>
        </w:tc>
        <w:tc>
          <w:tcPr>
            <w:tcW w:w="2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4,863</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1,316</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14,703</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10,793</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Interest expense, net</w:t>
            </w:r>
          </w:p>
        </w:tc>
        <w:tc>
          <w:tcPr>
            <w:tcW w:w="10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597</w:t>
            </w: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920</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1,876</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3,214</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 in (earnings) loss of</w:t>
            </w: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unconsolidated affiliate</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gain on involuntary conversion</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(1,359)</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(3,901)</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(516)</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(461)</w:t>
            </w:r>
          </w:p>
        </w:tc>
      </w:tr>
      <w:tr>
        <w:trPr>
          <w:trHeight w:val="203"/>
        </w:trPr>
        <w:tc>
          <w:tcPr>
            <w:tcW w:w="4700" w:type="dxa"/>
            <w:vAlign w:val="bottom"/>
          </w:tcPr>
          <w:p>
            <w:pPr>
              <w:spacing w:after="0"/>
              <w:rPr>
                <w:sz w:val="17"/>
                <w:szCs w:val="17"/>
                <w:color w:val="auto"/>
              </w:rPr>
            </w:pPr>
          </w:p>
        </w:tc>
        <w:tc>
          <w:tcPr>
            <w:tcW w:w="2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 ---------</w:t>
            </w:r>
          </w:p>
        </w:tc>
        <w:tc>
          <w:tcPr>
            <w:tcW w:w="2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Income before provision for income taxes</w:t>
            </w:r>
          </w:p>
        </w:tc>
        <w:tc>
          <w:tcPr>
            <w:tcW w:w="10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4,286</w:t>
            </w: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1,727</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13,343</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11,954</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10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1,612</w:t>
            </w: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806</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4,957</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4,879</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w w:val="98"/>
              </w:rPr>
              <w:t>Minority interest in consolidated subsidiary</w:t>
            </w:r>
          </w:p>
        </w:tc>
        <w:tc>
          <w:tcPr>
            <w:tcW w:w="10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555</w:t>
            </w: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177</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2,009</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1,279</w:t>
            </w:r>
          </w:p>
        </w:tc>
      </w:tr>
      <w:tr>
        <w:trPr>
          <w:trHeight w:val="203"/>
        </w:trPr>
        <w:tc>
          <w:tcPr>
            <w:tcW w:w="4700" w:type="dxa"/>
            <w:vAlign w:val="bottom"/>
          </w:tcPr>
          <w:p>
            <w:pPr>
              <w:spacing w:after="0"/>
              <w:rPr>
                <w:sz w:val="17"/>
                <w:szCs w:val="17"/>
                <w:color w:val="auto"/>
              </w:rPr>
            </w:pPr>
          </w:p>
        </w:tc>
        <w:tc>
          <w:tcPr>
            <w:tcW w:w="2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 ---------</w:t>
            </w:r>
          </w:p>
        </w:tc>
        <w:tc>
          <w:tcPr>
            <w:tcW w:w="2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w w:val="98"/>
              </w:rPr>
              <w:t>Income before cumulative effect of change in</w:t>
            </w: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2,119</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744</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6,377</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5,796</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of change in accounting</w:t>
            </w: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principle, net of income tax benefit of $112</w:t>
            </w: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related minority interest impact of $84</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w:t>
            </w:r>
          </w:p>
        </w:tc>
      </w:tr>
      <w:tr>
        <w:trPr>
          <w:trHeight w:val="203"/>
        </w:trPr>
        <w:tc>
          <w:tcPr>
            <w:tcW w:w="4700" w:type="dxa"/>
            <w:vAlign w:val="bottom"/>
          </w:tcPr>
          <w:p>
            <w:pPr>
              <w:spacing w:after="0"/>
              <w:rPr>
                <w:sz w:val="17"/>
                <w:szCs w:val="17"/>
                <w:color w:val="auto"/>
              </w:rPr>
            </w:pPr>
          </w:p>
        </w:tc>
        <w:tc>
          <w:tcPr>
            <w:tcW w:w="2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 ---------</w:t>
            </w:r>
          </w:p>
        </w:tc>
        <w:tc>
          <w:tcPr>
            <w:tcW w:w="2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$2,119</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$744</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$6,377</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$5,698</w:t>
            </w:r>
          </w:p>
        </w:tc>
      </w:tr>
      <w:tr>
        <w:trPr>
          <w:trHeight w:val="203"/>
        </w:trPr>
        <w:tc>
          <w:tcPr>
            <w:tcW w:w="4700" w:type="dxa"/>
            <w:vAlign w:val="bottom"/>
          </w:tcPr>
          <w:p>
            <w:pPr>
              <w:spacing w:after="0"/>
              <w:rPr>
                <w:sz w:val="17"/>
                <w:szCs w:val="17"/>
                <w:color w:val="auto"/>
              </w:rPr>
            </w:pPr>
          </w:p>
        </w:tc>
        <w:tc>
          <w:tcPr>
            <w:tcW w:w="2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 =========</w:t>
            </w:r>
          </w:p>
        </w:tc>
        <w:tc>
          <w:tcPr>
            <w:tcW w:w="2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Diluted income per common share</w:t>
            </w:r>
          </w:p>
        </w:tc>
        <w:tc>
          <w:tcPr>
            <w:tcW w:w="10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$0.14</w:t>
            </w: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$0.05</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$0.40</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$0.37</w:t>
            </w:r>
          </w:p>
        </w:tc>
      </w:tr>
      <w:tr>
        <w:trPr>
          <w:trHeight w:val="203"/>
        </w:trPr>
        <w:tc>
          <w:tcPr>
            <w:tcW w:w="4700" w:type="dxa"/>
            <w:vAlign w:val="bottom"/>
          </w:tcPr>
          <w:p>
            <w:pPr>
              <w:spacing w:after="0"/>
              <w:rPr>
                <w:sz w:val="17"/>
                <w:szCs w:val="17"/>
                <w:color w:val="auto"/>
              </w:rPr>
            </w:pPr>
          </w:p>
        </w:tc>
        <w:tc>
          <w:tcPr>
            <w:tcW w:w="2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 =========</w:t>
            </w:r>
          </w:p>
        </w:tc>
        <w:tc>
          <w:tcPr>
            <w:tcW w:w="2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b w:val="1"/>
          <w:bCs w:val="1"/>
          <w:color w:val="auto"/>
        </w:rPr>
        <w:t>Condensed Balance Sheets</w:t>
      </w:r>
    </w:p>
    <w:p>
      <w:pPr>
        <w:jc w:val="center"/>
        <w:ind w:right="1779"/>
        <w:spacing w:after="0"/>
        <w:rPr>
          <w:sz w:val="20"/>
          <w:szCs w:val="20"/>
          <w:color w:val="auto"/>
        </w:rPr>
      </w:pPr>
      <w:r>
        <w:rPr>
          <w:rFonts w:ascii="Courier New" w:cs="Courier New" w:eastAsia="Courier New" w:hAnsi="Courier New"/>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spacing w:after="0"/>
              <w:rPr>
                <w:sz w:val="17"/>
                <w:szCs w:val="17"/>
                <w:color w:val="auto"/>
              </w:rPr>
            </w:pPr>
          </w:p>
        </w:tc>
        <w:tc>
          <w:tcPr>
            <w:tcW w:w="2260" w:type="dxa"/>
            <w:vAlign w:val="bottom"/>
          </w:tcPr>
          <w:p>
            <w:pPr>
              <w:ind w:left="520"/>
              <w:spacing w:after="0"/>
              <w:rPr>
                <w:sz w:val="20"/>
                <w:szCs w:val="20"/>
                <w:color w:val="auto"/>
              </w:rPr>
            </w:pPr>
            <w:r>
              <w:rPr>
                <w:rFonts w:ascii="Courier New" w:cs="Courier New" w:eastAsia="Courier New" w:hAnsi="Courier New"/>
                <w:sz w:val="18"/>
                <w:szCs w:val="18"/>
                <w:b w:val="1"/>
                <w:bCs w:val="1"/>
                <w:color w:val="auto"/>
              </w:rPr>
              <w:t>September 30,</w:t>
            </w:r>
          </w:p>
        </w:tc>
        <w:tc>
          <w:tcPr>
            <w:tcW w:w="1640" w:type="dxa"/>
            <w:vAlign w:val="bottom"/>
          </w:tcPr>
          <w:p>
            <w:pPr>
              <w:jc w:val="right"/>
              <w:spacing w:after="0"/>
              <w:rPr>
                <w:sz w:val="20"/>
                <w:szCs w:val="20"/>
                <w:color w:val="auto"/>
              </w:rPr>
            </w:pPr>
            <w:r>
              <w:rPr>
                <w:rFonts w:ascii="Courier New" w:cs="Courier New" w:eastAsia="Courier New" w:hAnsi="Courier New"/>
                <w:sz w:val="18"/>
                <w:szCs w:val="18"/>
                <w:b w:val="1"/>
                <w:bCs w:val="1"/>
                <w:color w:val="auto"/>
              </w:rPr>
              <w:t>December 31,</w:t>
            </w:r>
          </w:p>
        </w:tc>
      </w:tr>
      <w:tr>
        <w:trPr>
          <w:trHeight w:val="203"/>
        </w:trPr>
        <w:tc>
          <w:tcPr>
            <w:tcW w:w="5380" w:type="dxa"/>
            <w:vAlign w:val="bottom"/>
          </w:tcPr>
          <w:p>
            <w:pPr>
              <w:spacing w:after="0"/>
              <w:rPr>
                <w:sz w:val="17"/>
                <w:szCs w:val="17"/>
                <w:color w:val="auto"/>
              </w:rPr>
            </w:pPr>
          </w:p>
        </w:tc>
        <w:tc>
          <w:tcPr>
            <w:tcW w:w="22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b w:val="1"/>
                <w:bCs w:val="1"/>
                <w:color w:val="auto"/>
              </w:rPr>
              <w:t>2002</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b w:val="1"/>
                <w:bCs w:val="1"/>
                <w:color w:val="auto"/>
              </w:rPr>
              <w:t>2001</w:t>
            </w:r>
          </w:p>
        </w:tc>
      </w:tr>
      <w:tr>
        <w:trPr>
          <w:trHeight w:val="203"/>
        </w:trPr>
        <w:tc>
          <w:tcPr>
            <w:tcW w:w="5380" w:type="dxa"/>
            <w:vAlign w:val="bottom"/>
          </w:tcPr>
          <w:p>
            <w:pPr>
              <w:spacing w:after="0"/>
              <w:rPr>
                <w:sz w:val="17"/>
                <w:szCs w:val="17"/>
                <w:color w:val="auto"/>
              </w:rPr>
            </w:pPr>
          </w:p>
        </w:tc>
        <w:tc>
          <w:tcPr>
            <w:tcW w:w="2260" w:type="dxa"/>
            <w:vAlign w:val="bottom"/>
          </w:tcPr>
          <w:p>
            <w:pPr>
              <w:ind w:left="520"/>
              <w:spacing w:after="0" w:line="203" w:lineRule="exact"/>
              <w:rPr>
                <w:sz w:val="20"/>
                <w:szCs w:val="20"/>
                <w:color w:val="auto"/>
              </w:rPr>
            </w:pPr>
            <w:r>
              <w:rPr>
                <w:rFonts w:ascii="Courier New" w:cs="Courier New" w:eastAsia="Courier New" w:hAnsi="Courier New"/>
                <w:sz w:val="18"/>
                <w:szCs w:val="18"/>
                <w:b w:val="1"/>
                <w:bCs w:val="1"/>
                <w:color w:val="auto"/>
              </w:rPr>
              <w:t>(Unaudited)</w:t>
            </w:r>
          </w:p>
        </w:tc>
        <w:tc>
          <w:tcPr>
            <w:tcW w:w="1640" w:type="dxa"/>
            <w:vAlign w:val="bottom"/>
          </w:tcPr>
          <w:p>
            <w:pPr>
              <w:spacing w:after="0"/>
              <w:rPr>
                <w:sz w:val="17"/>
                <w:szCs w:val="17"/>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22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22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2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w:t>
            </w:r>
          </w:p>
        </w:tc>
        <w:tc>
          <w:tcPr>
            <w:tcW w:w="2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$4,607</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$3,024</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2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30,705</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24,832</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 net</w:t>
            </w:r>
          </w:p>
        </w:tc>
        <w:tc>
          <w:tcPr>
            <w:tcW w:w="2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22,618</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23,418</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2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4,277</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4,343</w:t>
            </w:r>
          </w:p>
        </w:tc>
      </w:tr>
      <w:tr>
        <w:trPr>
          <w:trHeight w:val="203"/>
        </w:trPr>
        <w:tc>
          <w:tcPr>
            <w:tcW w:w="5380" w:type="dxa"/>
            <w:vAlign w:val="bottom"/>
          </w:tcPr>
          <w:p>
            <w:pPr>
              <w:spacing w:after="0"/>
              <w:rPr>
                <w:sz w:val="17"/>
                <w:szCs w:val="17"/>
                <w:color w:val="auto"/>
              </w:rPr>
            </w:pPr>
          </w:p>
        </w:tc>
        <w:tc>
          <w:tcPr>
            <w:tcW w:w="2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62,207</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55,617</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226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84,483</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82,770</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 held for sale</w:t>
            </w:r>
          </w:p>
        </w:tc>
        <w:tc>
          <w:tcPr>
            <w:tcW w:w="2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3,599</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4,348</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net</w:t>
            </w:r>
          </w:p>
        </w:tc>
        <w:tc>
          <w:tcPr>
            <w:tcW w:w="2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41,192</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40,282</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assets</w:t>
            </w:r>
          </w:p>
        </w:tc>
        <w:tc>
          <w:tcPr>
            <w:tcW w:w="2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5,013</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5,118</w:t>
            </w:r>
          </w:p>
        </w:tc>
      </w:tr>
      <w:tr>
        <w:trPr>
          <w:trHeight w:val="203"/>
        </w:trPr>
        <w:tc>
          <w:tcPr>
            <w:tcW w:w="5380" w:type="dxa"/>
            <w:vAlign w:val="bottom"/>
          </w:tcPr>
          <w:p>
            <w:pPr>
              <w:spacing w:after="0"/>
              <w:rPr>
                <w:sz w:val="17"/>
                <w:szCs w:val="17"/>
                <w:color w:val="auto"/>
              </w:rPr>
            </w:pPr>
          </w:p>
        </w:tc>
        <w:tc>
          <w:tcPr>
            <w:tcW w:w="2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assets</w:t>
            </w:r>
          </w:p>
        </w:tc>
        <w:tc>
          <w:tcPr>
            <w:tcW w:w="2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$196,494</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$188,135</w:t>
            </w:r>
          </w:p>
        </w:tc>
      </w:tr>
      <w:tr>
        <w:trPr>
          <w:trHeight w:val="203"/>
        </w:trPr>
        <w:tc>
          <w:tcPr>
            <w:tcW w:w="5380" w:type="dxa"/>
            <w:vAlign w:val="bottom"/>
          </w:tcPr>
          <w:p>
            <w:pPr>
              <w:spacing w:after="0"/>
              <w:rPr>
                <w:sz w:val="17"/>
                <w:szCs w:val="17"/>
                <w:color w:val="auto"/>
              </w:rPr>
            </w:pPr>
          </w:p>
        </w:tc>
        <w:tc>
          <w:tcPr>
            <w:tcW w:w="2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2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22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2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$18,753</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$15,693</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salaries and wages</w:t>
            </w:r>
          </w:p>
        </w:tc>
        <w:tc>
          <w:tcPr>
            <w:tcW w:w="2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5,688</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3,813</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2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4,261</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2,377</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to affiliates</w:t>
            </w:r>
          </w:p>
        </w:tc>
        <w:tc>
          <w:tcPr>
            <w:tcW w:w="2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633</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1,277</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portion of long-term notes</w:t>
            </w:r>
          </w:p>
        </w:tc>
        <w:tc>
          <w:tcPr>
            <w:tcW w:w="2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7,000</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7,000</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2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9,800</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7,576</w:t>
            </w:r>
          </w:p>
        </w:tc>
      </w:tr>
      <w:tr>
        <w:trPr>
          <w:trHeight w:val="203"/>
        </w:trPr>
        <w:tc>
          <w:tcPr>
            <w:tcW w:w="5380" w:type="dxa"/>
            <w:vAlign w:val="bottom"/>
          </w:tcPr>
          <w:p>
            <w:pPr>
              <w:spacing w:after="0"/>
              <w:rPr>
                <w:sz w:val="17"/>
                <w:szCs w:val="17"/>
                <w:color w:val="auto"/>
              </w:rPr>
            </w:pPr>
          </w:p>
        </w:tc>
        <w:tc>
          <w:tcPr>
            <w:tcW w:w="2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2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46,135</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37,736</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Minority interest in consolidated subsidiaries</w:t>
            </w:r>
          </w:p>
        </w:tc>
        <w:tc>
          <w:tcPr>
            <w:tcW w:w="226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36,421</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30,932</w:t>
            </w:r>
          </w:p>
        </w:tc>
      </w:tr>
    </w:tbl>
    <w:p>
      <w:pPr>
        <w:sectPr>
          <w:pgSz w:w="11900" w:h="16838" w:orient="portrait"/>
          <w:cols w:equalWidth="0" w:num="1">
            <w:col w:w="10219"/>
          </w:cols>
          <w:pgMar w:left="240" w:top="136"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tcPr>
          <w:p>
            <w:pPr>
              <w:spacing w:after="0"/>
              <w:rPr>
                <w:sz w:val="20"/>
                <w:szCs w:val="20"/>
                <w:color w:val="auto"/>
              </w:rPr>
            </w:pPr>
            <w:r>
              <w:rPr>
                <w:rFonts w:ascii="Courier New" w:cs="Courier New" w:eastAsia="Courier New" w:hAnsi="Courier New"/>
                <w:sz w:val="18"/>
                <w:szCs w:val="18"/>
                <w:color w:val="auto"/>
              </w:rPr>
              <w:t>Deferred income taxes</w:t>
            </w:r>
          </w:p>
        </w:tc>
        <w:tc>
          <w:tcPr>
            <w:tcW w:w="18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6,643</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6,499</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notes payable</w:t>
            </w:r>
          </w:p>
        </w:tc>
        <w:tc>
          <w:tcPr>
            <w:tcW w:w="18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36,660</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47,661</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8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4,307</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3,268</w:t>
            </w:r>
          </w:p>
        </w:tc>
      </w:tr>
      <w:tr>
        <w:trPr>
          <w:trHeight w:val="203"/>
        </w:trPr>
        <w:tc>
          <w:tcPr>
            <w:tcW w:w="5700" w:type="dxa"/>
            <w:vAlign w:val="bottom"/>
          </w:tcPr>
          <w:p>
            <w:pPr>
              <w:spacing w:after="0"/>
              <w:rPr>
                <w:sz w:val="17"/>
                <w:szCs w:val="17"/>
                <w:color w:val="auto"/>
              </w:rPr>
            </w:pP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8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130,166</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126,096</w:t>
            </w:r>
          </w:p>
        </w:tc>
      </w:tr>
      <w:tr>
        <w:trPr>
          <w:trHeight w:val="405"/>
        </w:trPr>
        <w:tc>
          <w:tcPr>
            <w:tcW w:w="5700" w:type="dxa"/>
            <w:vAlign w:val="bottom"/>
          </w:tcPr>
          <w:p>
            <w:pPr>
              <w:ind w:left="960"/>
              <w:spacing w:after="0"/>
              <w:rPr>
                <w:sz w:val="20"/>
                <w:szCs w:val="20"/>
                <w:color w:val="auto"/>
              </w:rPr>
            </w:pPr>
            <w:r>
              <w:rPr>
                <w:rFonts w:ascii="Courier New" w:cs="Courier New" w:eastAsia="Courier New" w:hAnsi="Courier New"/>
                <w:sz w:val="18"/>
                <w:szCs w:val="18"/>
                <w:color w:val="auto"/>
              </w:rPr>
              <w:t>Total stockholders' equity</w:t>
            </w:r>
          </w:p>
        </w:tc>
        <w:tc>
          <w:tcPr>
            <w:tcW w:w="18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66,328</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62,039</w:t>
            </w:r>
          </w:p>
        </w:tc>
      </w:tr>
      <w:tr>
        <w:trPr>
          <w:trHeight w:val="203"/>
        </w:trPr>
        <w:tc>
          <w:tcPr>
            <w:tcW w:w="5700" w:type="dxa"/>
            <w:vAlign w:val="bottom"/>
          </w:tcPr>
          <w:p>
            <w:pPr>
              <w:spacing w:after="0"/>
              <w:rPr>
                <w:sz w:val="17"/>
                <w:szCs w:val="17"/>
                <w:color w:val="auto"/>
              </w:rPr>
            </w:pP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8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$196,494</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$188,135</w:t>
            </w:r>
          </w:p>
        </w:tc>
      </w:tr>
      <w:tr>
        <w:trPr>
          <w:trHeight w:val="203"/>
        </w:trPr>
        <w:tc>
          <w:tcPr>
            <w:tcW w:w="5700" w:type="dxa"/>
            <w:vAlign w:val="bottom"/>
          </w:tcPr>
          <w:p>
            <w:pPr>
              <w:spacing w:after="0"/>
              <w:rPr>
                <w:sz w:val="17"/>
                <w:szCs w:val="17"/>
                <w:color w:val="auto"/>
              </w:rPr>
            </w:pP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 w:lineRule="exact"/>
        <w:rPr>
          <w:sz w:val="20"/>
          <w:szCs w:val="20"/>
          <w:color w:val="auto"/>
        </w:rPr>
      </w:pP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2019-12-14T03:08:09Z</dcterms:created>
  <dcterms:modified xsi:type="dcterms:W3CDTF">2019-12-14T03:08:09Z</dcterms:modified>
</cp:coreProperties>
</file>