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9"/>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ind w:left="1400"/>
        <w:spacing w:after="0"/>
        <w:rPr>
          <w:sz w:val="20"/>
          <w:szCs w:val="20"/>
          <w:color w:val="auto"/>
        </w:rPr>
      </w:pPr>
      <w:r>
        <w:rPr>
          <w:rFonts w:ascii="Courier New" w:cs="Courier New" w:eastAsia="Courier New" w:hAnsi="Courier New"/>
          <w:sz w:val="16"/>
          <w:szCs w:val="16"/>
          <w:color w:val="auto"/>
        </w:rPr>
        <w:t>UNITED STATES SECURITIES AND EXCHANGE COMMISSION</w:t>
      </w:r>
    </w:p>
    <w:p>
      <w:pPr>
        <w:ind w:left="2720"/>
        <w:spacing w:after="0"/>
        <w:rPr>
          <w:sz w:val="20"/>
          <w:szCs w:val="20"/>
          <w:color w:val="auto"/>
        </w:rPr>
      </w:pPr>
      <w:r>
        <w:rPr>
          <w:rFonts w:ascii="Courier New" w:cs="Courier New" w:eastAsia="Courier New" w:hAnsi="Courier New"/>
          <w:sz w:val="16"/>
          <w:szCs w:val="16"/>
          <w:color w:val="auto"/>
        </w:rPr>
        <w:t>Washington, D.C. 20549</w:t>
      </w:r>
    </w:p>
    <w:p>
      <w:pPr>
        <w:spacing w:after="0" w:line="359"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FORM 10-Q</w:t>
      </w:r>
    </w:p>
    <w:p>
      <w:pPr>
        <w:spacing w:after="0" w:line="179"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QUARTERLY REPORT PURSUANT TO SECTION 13 OR 15(d) OF THE SECURITIES EXCHANGE</w:t>
      </w:r>
    </w:p>
    <w:p>
      <w:pPr>
        <w:jc w:val="center"/>
        <w:ind w:right="2799"/>
        <w:spacing w:after="0"/>
        <w:rPr>
          <w:sz w:val="20"/>
          <w:szCs w:val="20"/>
          <w:color w:val="auto"/>
        </w:rPr>
      </w:pPr>
      <w:r>
        <w:rPr>
          <w:rFonts w:ascii="Courier New" w:cs="Courier New" w:eastAsia="Courier New" w:hAnsi="Courier New"/>
          <w:sz w:val="16"/>
          <w:szCs w:val="16"/>
          <w:color w:val="auto"/>
        </w:rPr>
        <w:t>ACT OF 1934</w:t>
      </w:r>
    </w:p>
    <w:p>
      <w:pPr>
        <w:spacing w:after="0" w:line="17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6"/>
          <w:szCs w:val="16"/>
          <w:color w:val="auto"/>
        </w:rPr>
        <w:t>For the quarterly period ended JUNE 30, 2000</w:t>
      </w:r>
    </w:p>
    <w:p>
      <w:pPr>
        <w:spacing w:after="0" w:line="179" w:lineRule="exact"/>
        <w:rPr>
          <w:sz w:val="24"/>
          <w:szCs w:val="24"/>
          <w:color w:val="auto"/>
        </w:rPr>
      </w:pPr>
    </w:p>
    <w:p>
      <w:pPr>
        <w:ind w:left="3660"/>
        <w:spacing w:after="0"/>
        <w:rPr>
          <w:sz w:val="20"/>
          <w:szCs w:val="20"/>
          <w:color w:val="auto"/>
        </w:rPr>
      </w:pPr>
      <w:r>
        <w:rPr>
          <w:rFonts w:ascii="Courier New" w:cs="Courier New" w:eastAsia="Courier New" w:hAnsi="Courier New"/>
          <w:sz w:val="16"/>
          <w:szCs w:val="16"/>
          <w:color w:val="auto"/>
        </w:rPr>
        <w:t>OR</w:t>
      </w:r>
    </w:p>
    <w:p>
      <w:pPr>
        <w:spacing w:after="0" w:line="179"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TRANSITION REPORT PURSUANT TO SECTION 13 OR 15(d) OF THE SECURITIES</w:t>
      </w:r>
    </w:p>
    <w:p>
      <w:pPr>
        <w:ind w:left="2820"/>
        <w:spacing w:after="0"/>
        <w:rPr>
          <w:sz w:val="20"/>
          <w:szCs w:val="20"/>
          <w:color w:val="auto"/>
        </w:rPr>
      </w:pPr>
      <w:r>
        <w:rPr>
          <w:rFonts w:ascii="Courier New" w:cs="Courier New" w:eastAsia="Courier New" w:hAnsi="Courier New"/>
          <w:sz w:val="16"/>
          <w:szCs w:val="16"/>
          <w:color w:val="auto"/>
        </w:rPr>
        <w:t>EXCHANGE ACT OF 1934</w:t>
      </w:r>
    </w:p>
    <w:p>
      <w:pPr>
        <w:spacing w:after="0" w:line="179" w:lineRule="exact"/>
        <w:rPr>
          <w:sz w:val="24"/>
          <w:szCs w:val="24"/>
          <w:color w:val="auto"/>
        </w:rPr>
      </w:pPr>
    </w:p>
    <w:p>
      <w:pPr>
        <w:ind w:left="1120"/>
        <w:spacing w:after="0"/>
        <w:rPr>
          <w:sz w:val="20"/>
          <w:szCs w:val="20"/>
          <w:color w:val="auto"/>
        </w:rPr>
      </w:pPr>
      <w:r>
        <w:rPr>
          <w:rFonts w:ascii="Courier New" w:cs="Courier New" w:eastAsia="Courier New" w:hAnsi="Courier New"/>
          <w:sz w:val="16"/>
          <w:szCs w:val="16"/>
          <w:color w:val="auto"/>
        </w:rPr>
        <w:t>For the transition period from _________ to _________</w:t>
      </w:r>
    </w:p>
    <w:p>
      <w:pPr>
        <w:spacing w:after="0" w:line="360" w:lineRule="exact"/>
        <w:rPr>
          <w:sz w:val="24"/>
          <w:szCs w:val="24"/>
          <w:color w:val="auto"/>
        </w:rPr>
      </w:pPr>
    </w:p>
    <w:p>
      <w:pPr>
        <w:ind w:left="2340"/>
        <w:spacing w:after="0"/>
        <w:rPr>
          <w:sz w:val="20"/>
          <w:szCs w:val="20"/>
          <w:color w:val="auto"/>
        </w:rPr>
      </w:pPr>
      <w:r>
        <w:rPr>
          <w:rFonts w:ascii="Courier New" w:cs="Courier New" w:eastAsia="Courier New" w:hAnsi="Courier New"/>
          <w:sz w:val="16"/>
          <w:szCs w:val="16"/>
          <w:color w:val="auto"/>
        </w:rPr>
        <w:t>Commission File Number 0-23486</w:t>
      </w:r>
    </w:p>
    <w:p>
      <w:pPr>
        <w:spacing w:after="0" w:line="36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NN, INC.</w:t>
      </w:r>
    </w:p>
    <w:p>
      <w:pPr>
        <w:jc w:val="center"/>
        <w:ind w:right="28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8" w:right="1440" w:bottom="0" w:gutter="0" w:footer="0" w:header="0"/>
        </w:sectPr>
      </w:pPr>
    </w:p>
    <w:p>
      <w:pPr>
        <w:spacing w:after="0" w:line="35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ind w:left="560"/>
        <w:spacing w:after="0"/>
        <w:rPr>
          <w:sz w:val="20"/>
          <w:szCs w:val="20"/>
          <w:color w:val="auto"/>
        </w:rPr>
      </w:pPr>
      <w:r>
        <w:rPr>
          <w:rFonts w:ascii="Courier New" w:cs="Courier New" w:eastAsia="Courier New" w:hAnsi="Courier New"/>
          <w:sz w:val="16"/>
          <w:szCs w:val="16"/>
          <w:color w:val="auto"/>
        </w:rPr>
        <w:t>62-1096725</w:t>
      </w:r>
    </w:p>
    <w:p>
      <w:pPr>
        <w:ind w:left="180"/>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200" w:lineRule="exact"/>
        <w:rPr>
          <w:sz w:val="24"/>
          <w:szCs w:val="24"/>
          <w:color w:val="auto"/>
        </w:rPr>
      </w:pPr>
    </w:p>
    <w:p>
      <w:pPr>
        <w:sectPr>
          <w:pgSz w:w="11900" w:h="16838" w:orient="portrait"/>
          <w:cols w:equalWidth="0" w:num="2">
            <w:col w:w="4340" w:space="720"/>
            <w:col w:w="5159"/>
          </w:cols>
          <w:pgMar w:left="240" w:top="238" w:right="1440" w:bottom="0" w:gutter="0" w:footer="0" w:header="0"/>
          <w:type w:val="continuous"/>
        </w:sectPr>
      </w:pPr>
    </w:p>
    <w:p>
      <w:pPr>
        <w:spacing w:after="0" w:line="166"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2000 WATERS EDGE DRIVE</w:t>
      </w:r>
    </w:p>
    <w:p>
      <w:pPr>
        <w:ind w:left="2820"/>
        <w:spacing w:after="0"/>
        <w:rPr>
          <w:sz w:val="20"/>
          <w:szCs w:val="20"/>
          <w:color w:val="auto"/>
        </w:rPr>
      </w:pPr>
      <w:r>
        <w:rPr>
          <w:rFonts w:ascii="Courier New" w:cs="Courier New" w:eastAsia="Courier New" w:hAnsi="Courier New"/>
          <w:sz w:val="16"/>
          <w:szCs w:val="16"/>
          <w:color w:val="auto"/>
        </w:rPr>
        <w:t>BUILDING C, SUITE 12</w:t>
      </w:r>
    </w:p>
    <w:p>
      <w:pPr>
        <w:ind w:left="2240"/>
        <w:spacing w:after="0" w:line="237" w:lineRule="auto"/>
        <w:rPr>
          <w:sz w:val="20"/>
          <w:szCs w:val="20"/>
          <w:color w:val="auto"/>
        </w:rPr>
      </w:pPr>
      <w:r>
        <w:rPr>
          <w:rFonts w:ascii="Courier New" w:cs="Courier New" w:eastAsia="Courier New" w:hAnsi="Courier New"/>
          <w:sz w:val="16"/>
          <w:szCs w:val="16"/>
          <w:color w:val="auto"/>
        </w:rPr>
        <w:t>JOHNSON CITY, TENNESSEE 37604</w:t>
      </w:r>
    </w:p>
    <w:p>
      <w:pPr>
        <w:ind w:left="84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179"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6"/>
          <w:szCs w:val="16"/>
          <w:color w:val="auto"/>
        </w:rPr>
        <w:t>(423) 743-9151</w:t>
      </w:r>
    </w:p>
    <w:p>
      <w:pPr>
        <w:jc w:val="center"/>
        <w:ind w:right="289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64" w:lineRule="exact"/>
        <w:rPr>
          <w:sz w:val="24"/>
          <w:szCs w:val="24"/>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ectPr>
          <w:pgSz w:w="11900" w:h="16838" w:orient="portrait"/>
          <w:cols w:equalWidth="0" w:num="1">
            <w:col w:w="10219"/>
          </w:cols>
          <w:pgMar w:left="240" w:top="238" w:right="1440" w:bottom="0" w:gutter="0" w:footer="0" w:header="0"/>
          <w:type w:val="continuous"/>
        </w:sectPr>
      </w:pP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4"/>
          <w:szCs w:val="24"/>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As of August 11, 2000 there were 15,244,308 shares of the registrant's common stock, par value $0.01 per share,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15"/>
                <w:szCs w:val="15"/>
                <w:color w:val="auto"/>
              </w:rPr>
            </w:pPr>
          </w:p>
        </w:tc>
        <w:tc>
          <w:tcPr>
            <w:tcW w:w="6560" w:type="dxa"/>
            <w:vAlign w:val="bottom"/>
          </w:tcPr>
          <w:p>
            <w:pPr>
              <w:ind w:left="2160"/>
              <w:spacing w:after="0"/>
              <w:rPr>
                <w:sz w:val="20"/>
                <w:szCs w:val="20"/>
                <w:color w:val="auto"/>
              </w:rPr>
            </w:pPr>
            <w:r>
              <w:rPr>
                <w:rFonts w:ascii="Courier New" w:cs="Courier New" w:eastAsia="Courier New" w:hAnsi="Courier New"/>
                <w:sz w:val="16"/>
                <w:szCs w:val="16"/>
                <w:color w:val="auto"/>
              </w:rPr>
              <w:t>NN, INC.</w:t>
            </w:r>
          </w:p>
        </w:tc>
        <w:tc>
          <w:tcPr>
            <w:tcW w:w="940" w:type="dxa"/>
            <w:vAlign w:val="bottom"/>
          </w:tcPr>
          <w:p>
            <w:pPr>
              <w:spacing w:after="0"/>
              <w:rPr>
                <w:sz w:val="15"/>
                <w:szCs w:val="15"/>
                <w:color w:val="auto"/>
              </w:rPr>
            </w:pPr>
          </w:p>
        </w:tc>
      </w:tr>
      <w:tr>
        <w:trPr>
          <w:trHeight w:val="180"/>
        </w:trPr>
        <w:tc>
          <w:tcPr>
            <w:tcW w:w="1220" w:type="dxa"/>
            <w:vAlign w:val="bottom"/>
          </w:tcPr>
          <w:p>
            <w:pPr>
              <w:spacing w:after="0"/>
              <w:rPr>
                <w:sz w:val="15"/>
                <w:szCs w:val="15"/>
                <w:color w:val="auto"/>
              </w:rPr>
            </w:pPr>
          </w:p>
        </w:tc>
        <w:tc>
          <w:tcPr>
            <w:tcW w:w="6560" w:type="dxa"/>
            <w:vAlign w:val="bottom"/>
          </w:tcPr>
          <w:p>
            <w:pPr>
              <w:ind w:left="2340"/>
              <w:spacing w:after="0"/>
              <w:rPr>
                <w:sz w:val="20"/>
                <w:szCs w:val="20"/>
                <w:color w:val="auto"/>
              </w:rPr>
            </w:pPr>
            <w:r>
              <w:rPr>
                <w:rFonts w:ascii="Courier New" w:cs="Courier New" w:eastAsia="Courier New" w:hAnsi="Courier New"/>
                <w:sz w:val="16"/>
                <w:szCs w:val="16"/>
                <w:color w:val="auto"/>
              </w:rPr>
              <w:t>INDEX</w:t>
            </w:r>
          </w:p>
        </w:tc>
        <w:tc>
          <w:tcPr>
            <w:tcW w:w="940" w:type="dxa"/>
            <w:vAlign w:val="bottom"/>
          </w:tcPr>
          <w:p>
            <w:pPr>
              <w:spacing w:after="0"/>
              <w:rPr>
                <w:sz w:val="15"/>
                <w:szCs w:val="15"/>
                <w:color w:val="auto"/>
              </w:rPr>
            </w:pPr>
          </w:p>
        </w:tc>
      </w:tr>
      <w:tr>
        <w:trPr>
          <w:trHeight w:val="902"/>
        </w:trPr>
        <w:tc>
          <w:tcPr>
            <w:tcW w:w="12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w w:val="96"/>
              </w:rPr>
              <w:t>Page No.</w:t>
            </w:r>
          </w:p>
        </w:tc>
      </w:tr>
      <w:tr>
        <w:trPr>
          <w:trHeight w:val="180"/>
        </w:trPr>
        <w:tc>
          <w:tcPr>
            <w:tcW w:w="12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122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6560" w:type="dxa"/>
            <w:vAlign w:val="bottom"/>
          </w:tcPr>
          <w:p>
            <w:pPr>
              <w:ind w:left="460"/>
              <w:spacing w:after="0"/>
              <w:rPr>
                <w:sz w:val="20"/>
                <w:szCs w:val="20"/>
                <w:color w:val="auto"/>
              </w:rPr>
            </w:pPr>
            <w:r>
              <w:rPr>
                <w:rFonts w:ascii="Courier New" w:cs="Courier New" w:eastAsia="Courier New" w:hAnsi="Courier New"/>
                <w:sz w:val="16"/>
                <w:szCs w:val="16"/>
                <w:color w:val="auto"/>
              </w:rPr>
              <w:t>Financial Information</w:t>
            </w:r>
          </w:p>
        </w:tc>
        <w:tc>
          <w:tcPr>
            <w:tcW w:w="940" w:type="dxa"/>
            <w:vAlign w:val="bottom"/>
          </w:tcPr>
          <w:p>
            <w:pPr>
              <w:spacing w:after="0"/>
              <w:rPr>
                <w:sz w:val="24"/>
                <w:szCs w:val="24"/>
                <w:color w:val="auto"/>
              </w:rPr>
            </w:pPr>
          </w:p>
        </w:tc>
      </w:tr>
      <w:tr>
        <w:trPr>
          <w:trHeight w:val="361"/>
        </w:trPr>
        <w:tc>
          <w:tcPr>
            <w:tcW w:w="122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6560" w:type="dxa"/>
            <w:vAlign w:val="bottom"/>
          </w:tcPr>
          <w:p>
            <w:pPr>
              <w:ind w:left="460"/>
              <w:spacing w:after="0"/>
              <w:rPr>
                <w:sz w:val="20"/>
                <w:szCs w:val="20"/>
                <w:color w:val="auto"/>
              </w:rPr>
            </w:pPr>
            <w:r>
              <w:rPr>
                <w:rFonts w:ascii="Courier New" w:cs="Courier New" w:eastAsia="Courier New" w:hAnsi="Courier New"/>
                <w:sz w:val="16"/>
                <w:szCs w:val="16"/>
                <w:color w:val="auto"/>
              </w:rPr>
              <w:t>Financial Statements:</w:t>
            </w:r>
          </w:p>
        </w:tc>
        <w:tc>
          <w:tcPr>
            <w:tcW w:w="940" w:type="dxa"/>
            <w:vAlign w:val="bottom"/>
          </w:tcPr>
          <w:p>
            <w:pPr>
              <w:spacing w:after="0"/>
              <w:rPr>
                <w:sz w:val="24"/>
                <w:szCs w:val="24"/>
                <w:color w:val="auto"/>
              </w:rPr>
            </w:pPr>
          </w:p>
        </w:tc>
      </w:tr>
      <w:tr>
        <w:trPr>
          <w:trHeight w:val="361"/>
        </w:trPr>
        <w:tc>
          <w:tcPr>
            <w:tcW w:w="1220" w:type="dxa"/>
            <w:vAlign w:val="bottom"/>
          </w:tcPr>
          <w:p>
            <w:pPr>
              <w:spacing w:after="0"/>
              <w:rPr>
                <w:sz w:val="24"/>
                <w:szCs w:val="24"/>
                <w:color w:val="auto"/>
              </w:rPr>
            </w:pPr>
          </w:p>
        </w:tc>
        <w:tc>
          <w:tcPr>
            <w:tcW w:w="6560" w:type="dxa"/>
            <w:vAlign w:val="bottom"/>
          </w:tcPr>
          <w:p>
            <w:pPr>
              <w:ind w:left="460"/>
              <w:spacing w:after="0"/>
              <w:rPr>
                <w:sz w:val="20"/>
                <w:szCs w:val="20"/>
                <w:color w:val="auto"/>
              </w:rPr>
            </w:pPr>
            <w:r>
              <w:rPr>
                <w:rFonts w:ascii="Courier New" w:cs="Courier New" w:eastAsia="Courier New" w:hAnsi="Courier New"/>
                <w:sz w:val="16"/>
                <w:szCs w:val="16"/>
                <w:color w:val="auto"/>
              </w:rPr>
              <w:t>Condensed Statements of Income and Comprehensive Income for the</w:t>
            </w:r>
          </w:p>
        </w:tc>
        <w:tc>
          <w:tcPr>
            <w:tcW w:w="940" w:type="dxa"/>
            <w:vAlign w:val="bottom"/>
          </w:tcPr>
          <w:p>
            <w:pPr>
              <w:spacing w:after="0"/>
              <w:rPr>
                <w:sz w:val="24"/>
                <w:szCs w:val="24"/>
                <w:color w:val="auto"/>
              </w:rPr>
            </w:pPr>
          </w:p>
        </w:tc>
      </w:tr>
      <w:tr>
        <w:trPr>
          <w:trHeight w:val="180"/>
        </w:trPr>
        <w:tc>
          <w:tcPr>
            <w:tcW w:w="1220" w:type="dxa"/>
            <w:vAlign w:val="bottom"/>
          </w:tcPr>
          <w:p>
            <w:pPr>
              <w:spacing w:after="0"/>
              <w:rPr>
                <w:sz w:val="15"/>
                <w:szCs w:val="15"/>
                <w:color w:val="auto"/>
              </w:rPr>
            </w:pPr>
          </w:p>
        </w:tc>
        <w:tc>
          <w:tcPr>
            <w:tcW w:w="6560" w:type="dxa"/>
            <w:vAlign w:val="bottom"/>
          </w:tcPr>
          <w:p>
            <w:pPr>
              <w:ind w:left="740"/>
              <w:spacing w:after="0"/>
              <w:rPr>
                <w:sz w:val="20"/>
                <w:szCs w:val="20"/>
                <w:color w:val="auto"/>
              </w:rPr>
            </w:pPr>
            <w:r>
              <w:rPr>
                <w:rFonts w:ascii="Courier New" w:cs="Courier New" w:eastAsia="Courier New" w:hAnsi="Courier New"/>
                <w:sz w:val="16"/>
                <w:szCs w:val="16"/>
                <w:color w:val="auto"/>
              </w:rPr>
              <w:t>three and six months ended June 30, 2000 and 1999</w:t>
            </w:r>
          </w:p>
        </w:tc>
        <w:tc>
          <w:tcPr>
            <w:tcW w:w="940" w:type="dxa"/>
            <w:vAlign w:val="bottom"/>
          </w:tcPr>
          <w:p>
            <w:pPr>
              <w:ind w:left="480"/>
              <w:spacing w:after="0"/>
              <w:rPr>
                <w:sz w:val="20"/>
                <w:szCs w:val="20"/>
                <w:color w:val="auto"/>
              </w:rPr>
            </w:pPr>
            <w:r>
              <w:rPr>
                <w:rFonts w:ascii="Courier New" w:cs="Courier New" w:eastAsia="Courier New" w:hAnsi="Courier New"/>
                <w:sz w:val="16"/>
                <w:szCs w:val="16"/>
                <w:color w:val="auto"/>
              </w:rPr>
              <w:t>2</w:t>
            </w:r>
          </w:p>
        </w:tc>
      </w:tr>
      <w:tr>
        <w:trPr>
          <w:trHeight w:val="361"/>
        </w:trPr>
        <w:tc>
          <w:tcPr>
            <w:tcW w:w="1220" w:type="dxa"/>
            <w:vAlign w:val="bottom"/>
          </w:tcPr>
          <w:p>
            <w:pPr>
              <w:spacing w:after="0"/>
              <w:rPr>
                <w:sz w:val="24"/>
                <w:szCs w:val="24"/>
                <w:color w:val="auto"/>
              </w:rPr>
            </w:pPr>
          </w:p>
        </w:tc>
        <w:tc>
          <w:tcPr>
            <w:tcW w:w="6560" w:type="dxa"/>
            <w:vAlign w:val="bottom"/>
          </w:tcPr>
          <w:p>
            <w:pPr>
              <w:ind w:left="460"/>
              <w:spacing w:after="0"/>
              <w:rPr>
                <w:sz w:val="20"/>
                <w:szCs w:val="20"/>
                <w:color w:val="auto"/>
              </w:rPr>
            </w:pPr>
            <w:r>
              <w:rPr>
                <w:rFonts w:ascii="Courier New" w:cs="Courier New" w:eastAsia="Courier New" w:hAnsi="Courier New"/>
                <w:sz w:val="16"/>
                <w:szCs w:val="16"/>
                <w:color w:val="auto"/>
              </w:rPr>
              <w:t>Condensed Balance Sheets at June 30, 2000 and December 31, 1999</w:t>
            </w:r>
          </w:p>
        </w:tc>
        <w:tc>
          <w:tcPr>
            <w:tcW w:w="940" w:type="dxa"/>
            <w:vAlign w:val="bottom"/>
          </w:tcPr>
          <w:p>
            <w:pPr>
              <w:ind w:left="480"/>
              <w:spacing w:after="0"/>
              <w:rPr>
                <w:sz w:val="20"/>
                <w:szCs w:val="20"/>
                <w:color w:val="auto"/>
              </w:rPr>
            </w:pPr>
            <w:r>
              <w:rPr>
                <w:rFonts w:ascii="Courier New" w:cs="Courier New" w:eastAsia="Courier New" w:hAnsi="Courier New"/>
                <w:sz w:val="16"/>
                <w:szCs w:val="16"/>
                <w:color w:val="auto"/>
              </w:rPr>
              <w:t>3</w:t>
            </w:r>
          </w:p>
        </w:tc>
      </w:tr>
      <w:tr>
        <w:trPr>
          <w:trHeight w:val="361"/>
        </w:trPr>
        <w:tc>
          <w:tcPr>
            <w:tcW w:w="1220" w:type="dxa"/>
            <w:vAlign w:val="bottom"/>
          </w:tcPr>
          <w:p>
            <w:pPr>
              <w:spacing w:after="0"/>
              <w:rPr>
                <w:sz w:val="24"/>
                <w:szCs w:val="24"/>
                <w:color w:val="auto"/>
              </w:rPr>
            </w:pPr>
          </w:p>
        </w:tc>
        <w:tc>
          <w:tcPr>
            <w:tcW w:w="6560" w:type="dxa"/>
            <w:vAlign w:val="bottom"/>
          </w:tcPr>
          <w:p>
            <w:pPr>
              <w:ind w:left="460"/>
              <w:spacing w:after="0"/>
              <w:rPr>
                <w:sz w:val="20"/>
                <w:szCs w:val="20"/>
                <w:color w:val="auto"/>
              </w:rPr>
            </w:pPr>
            <w:r>
              <w:rPr>
                <w:rFonts w:ascii="Courier New" w:cs="Courier New" w:eastAsia="Courier New" w:hAnsi="Courier New"/>
                <w:sz w:val="16"/>
                <w:szCs w:val="16"/>
                <w:color w:val="auto"/>
              </w:rPr>
              <w:t>Condensed Statements of Changes in Stockholders' Equity</w:t>
            </w:r>
          </w:p>
        </w:tc>
        <w:tc>
          <w:tcPr>
            <w:tcW w:w="940" w:type="dxa"/>
            <w:vAlign w:val="bottom"/>
          </w:tcPr>
          <w:p>
            <w:pPr>
              <w:spacing w:after="0"/>
              <w:rPr>
                <w:sz w:val="24"/>
                <w:szCs w:val="24"/>
                <w:color w:val="auto"/>
              </w:rPr>
            </w:pPr>
          </w:p>
        </w:tc>
      </w:tr>
      <w:tr>
        <w:trPr>
          <w:trHeight w:val="180"/>
        </w:trPr>
        <w:tc>
          <w:tcPr>
            <w:tcW w:w="1220" w:type="dxa"/>
            <w:vAlign w:val="bottom"/>
          </w:tcPr>
          <w:p>
            <w:pPr>
              <w:spacing w:after="0"/>
              <w:rPr>
                <w:sz w:val="15"/>
                <w:szCs w:val="15"/>
                <w:color w:val="auto"/>
              </w:rPr>
            </w:pPr>
          </w:p>
        </w:tc>
        <w:tc>
          <w:tcPr>
            <w:tcW w:w="6560" w:type="dxa"/>
            <w:vAlign w:val="bottom"/>
          </w:tcPr>
          <w:p>
            <w:pPr>
              <w:ind w:left="740"/>
              <w:spacing w:after="0"/>
              <w:rPr>
                <w:sz w:val="20"/>
                <w:szCs w:val="20"/>
                <w:color w:val="auto"/>
              </w:rPr>
            </w:pPr>
            <w:r>
              <w:rPr>
                <w:rFonts w:ascii="Courier New" w:cs="Courier New" w:eastAsia="Courier New" w:hAnsi="Courier New"/>
                <w:sz w:val="16"/>
                <w:szCs w:val="16"/>
                <w:color w:val="auto"/>
              </w:rPr>
              <w:t>for the six months ended June 30, 2000 and 1999</w:t>
            </w:r>
          </w:p>
        </w:tc>
        <w:tc>
          <w:tcPr>
            <w:tcW w:w="940" w:type="dxa"/>
            <w:vAlign w:val="bottom"/>
          </w:tcPr>
          <w:p>
            <w:pPr>
              <w:ind w:left="480"/>
              <w:spacing w:after="0"/>
              <w:rPr>
                <w:sz w:val="20"/>
                <w:szCs w:val="20"/>
                <w:color w:val="auto"/>
              </w:rPr>
            </w:pPr>
            <w:r>
              <w:rPr>
                <w:rFonts w:ascii="Courier New" w:cs="Courier New" w:eastAsia="Courier New" w:hAnsi="Courier New"/>
                <w:sz w:val="16"/>
                <w:szCs w:val="16"/>
                <w:color w:val="auto"/>
              </w:rPr>
              <w:t>4</w:t>
            </w:r>
          </w:p>
        </w:tc>
      </w:tr>
      <w:tr>
        <w:trPr>
          <w:trHeight w:val="361"/>
        </w:trPr>
        <w:tc>
          <w:tcPr>
            <w:tcW w:w="1220" w:type="dxa"/>
            <w:vAlign w:val="bottom"/>
          </w:tcPr>
          <w:p>
            <w:pPr>
              <w:spacing w:after="0"/>
              <w:rPr>
                <w:sz w:val="24"/>
                <w:szCs w:val="24"/>
                <w:color w:val="auto"/>
              </w:rPr>
            </w:pPr>
          </w:p>
        </w:tc>
        <w:tc>
          <w:tcPr>
            <w:tcW w:w="6560" w:type="dxa"/>
            <w:vAlign w:val="bottom"/>
          </w:tcPr>
          <w:p>
            <w:pPr>
              <w:ind w:left="460"/>
              <w:spacing w:after="0"/>
              <w:rPr>
                <w:sz w:val="20"/>
                <w:szCs w:val="20"/>
                <w:color w:val="auto"/>
              </w:rPr>
            </w:pPr>
            <w:r>
              <w:rPr>
                <w:rFonts w:ascii="Courier New" w:cs="Courier New" w:eastAsia="Courier New" w:hAnsi="Courier New"/>
                <w:sz w:val="16"/>
                <w:szCs w:val="16"/>
                <w:color w:val="auto"/>
              </w:rPr>
              <w:t>Condensed Statements of Cash Flows for the six months</w:t>
            </w:r>
          </w:p>
        </w:tc>
        <w:tc>
          <w:tcPr>
            <w:tcW w:w="940" w:type="dxa"/>
            <w:vAlign w:val="bottom"/>
          </w:tcPr>
          <w:p>
            <w:pPr>
              <w:spacing w:after="0"/>
              <w:rPr>
                <w:sz w:val="24"/>
                <w:szCs w:val="24"/>
                <w:color w:val="auto"/>
              </w:rPr>
            </w:pPr>
          </w:p>
        </w:tc>
      </w:tr>
      <w:tr>
        <w:trPr>
          <w:trHeight w:val="180"/>
        </w:trPr>
        <w:tc>
          <w:tcPr>
            <w:tcW w:w="1220" w:type="dxa"/>
            <w:vAlign w:val="bottom"/>
          </w:tcPr>
          <w:p>
            <w:pPr>
              <w:spacing w:after="0"/>
              <w:rPr>
                <w:sz w:val="15"/>
                <w:szCs w:val="15"/>
                <w:color w:val="auto"/>
              </w:rPr>
            </w:pPr>
          </w:p>
        </w:tc>
        <w:tc>
          <w:tcPr>
            <w:tcW w:w="6560" w:type="dxa"/>
            <w:vAlign w:val="bottom"/>
          </w:tcPr>
          <w:p>
            <w:pPr>
              <w:ind w:left="740"/>
              <w:spacing w:after="0"/>
              <w:rPr>
                <w:sz w:val="20"/>
                <w:szCs w:val="20"/>
                <w:color w:val="auto"/>
              </w:rPr>
            </w:pPr>
            <w:r>
              <w:rPr>
                <w:rFonts w:ascii="Courier New" w:cs="Courier New" w:eastAsia="Courier New" w:hAnsi="Courier New"/>
                <w:sz w:val="16"/>
                <w:szCs w:val="16"/>
                <w:color w:val="auto"/>
              </w:rPr>
              <w:t>ended June 30, 2000 and 1999</w:t>
            </w:r>
          </w:p>
        </w:tc>
        <w:tc>
          <w:tcPr>
            <w:tcW w:w="940" w:type="dxa"/>
            <w:vAlign w:val="bottom"/>
          </w:tcPr>
          <w:p>
            <w:pPr>
              <w:ind w:left="480"/>
              <w:spacing w:after="0"/>
              <w:rPr>
                <w:sz w:val="20"/>
                <w:szCs w:val="20"/>
                <w:color w:val="auto"/>
              </w:rPr>
            </w:pPr>
            <w:r>
              <w:rPr>
                <w:rFonts w:ascii="Courier New" w:cs="Courier New" w:eastAsia="Courier New" w:hAnsi="Courier New"/>
                <w:sz w:val="16"/>
                <w:szCs w:val="16"/>
                <w:color w:val="auto"/>
              </w:rPr>
              <w:t>5</w:t>
            </w:r>
          </w:p>
        </w:tc>
      </w:tr>
      <w:tr>
        <w:trPr>
          <w:trHeight w:val="361"/>
        </w:trPr>
        <w:tc>
          <w:tcPr>
            <w:tcW w:w="1220" w:type="dxa"/>
            <w:vAlign w:val="bottom"/>
          </w:tcPr>
          <w:p>
            <w:pPr>
              <w:spacing w:after="0"/>
              <w:rPr>
                <w:sz w:val="24"/>
                <w:szCs w:val="24"/>
                <w:color w:val="auto"/>
              </w:rPr>
            </w:pPr>
          </w:p>
        </w:tc>
        <w:tc>
          <w:tcPr>
            <w:tcW w:w="6560" w:type="dxa"/>
            <w:vAlign w:val="bottom"/>
          </w:tcPr>
          <w:p>
            <w:pPr>
              <w:ind w:left="460"/>
              <w:spacing w:after="0"/>
              <w:rPr>
                <w:sz w:val="20"/>
                <w:szCs w:val="20"/>
                <w:color w:val="auto"/>
              </w:rPr>
            </w:pPr>
            <w:r>
              <w:rPr>
                <w:rFonts w:ascii="Courier New" w:cs="Courier New" w:eastAsia="Courier New" w:hAnsi="Courier New"/>
                <w:sz w:val="16"/>
                <w:szCs w:val="16"/>
                <w:color w:val="auto"/>
              </w:rPr>
              <w:t>Notes to Condensed Financial Statements</w:t>
            </w:r>
          </w:p>
        </w:tc>
        <w:tc>
          <w:tcPr>
            <w:tcW w:w="940" w:type="dxa"/>
            <w:vAlign w:val="bottom"/>
          </w:tcPr>
          <w:p>
            <w:pPr>
              <w:ind w:left="480"/>
              <w:spacing w:after="0"/>
              <w:rPr>
                <w:sz w:val="20"/>
                <w:szCs w:val="20"/>
                <w:color w:val="auto"/>
              </w:rPr>
            </w:pPr>
            <w:r>
              <w:rPr>
                <w:rFonts w:ascii="Courier New" w:cs="Courier New" w:eastAsia="Courier New" w:hAnsi="Courier New"/>
                <w:sz w:val="16"/>
                <w:szCs w:val="16"/>
                <w:color w:val="auto"/>
              </w:rPr>
              <w:t>6</w:t>
            </w:r>
          </w:p>
        </w:tc>
      </w:tr>
      <w:tr>
        <w:trPr>
          <w:trHeight w:val="361"/>
        </w:trPr>
        <w:tc>
          <w:tcPr>
            <w:tcW w:w="122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6560" w:type="dxa"/>
            <w:vAlign w:val="bottom"/>
          </w:tcPr>
          <w:p>
            <w:pPr>
              <w:ind w:left="46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940" w:type="dxa"/>
            <w:vAlign w:val="bottom"/>
          </w:tcPr>
          <w:p>
            <w:pPr>
              <w:spacing w:after="0"/>
              <w:rPr>
                <w:sz w:val="24"/>
                <w:szCs w:val="24"/>
                <w:color w:val="auto"/>
              </w:rPr>
            </w:pPr>
          </w:p>
        </w:tc>
      </w:tr>
      <w:tr>
        <w:trPr>
          <w:trHeight w:val="180"/>
        </w:trPr>
        <w:tc>
          <w:tcPr>
            <w:tcW w:w="1220" w:type="dxa"/>
            <w:vAlign w:val="bottom"/>
          </w:tcPr>
          <w:p>
            <w:pPr>
              <w:spacing w:after="0"/>
              <w:rPr>
                <w:sz w:val="15"/>
                <w:szCs w:val="15"/>
                <w:color w:val="auto"/>
              </w:rPr>
            </w:pPr>
          </w:p>
        </w:tc>
        <w:tc>
          <w:tcPr>
            <w:tcW w:w="6560" w:type="dxa"/>
            <w:vAlign w:val="bottom"/>
          </w:tcPr>
          <w:p>
            <w:pPr>
              <w:ind w:left="740"/>
              <w:spacing w:after="0"/>
              <w:rPr>
                <w:sz w:val="20"/>
                <w:szCs w:val="20"/>
                <w:color w:val="auto"/>
              </w:rPr>
            </w:pPr>
            <w:r>
              <w:rPr>
                <w:rFonts w:ascii="Courier New" w:cs="Courier New" w:eastAsia="Courier New" w:hAnsi="Courier New"/>
                <w:sz w:val="16"/>
                <w:szCs w:val="16"/>
                <w:color w:val="auto"/>
              </w:rPr>
              <w:t>Condition and Results of Operations</w:t>
            </w:r>
          </w:p>
        </w:tc>
        <w:tc>
          <w:tcPr>
            <w:tcW w:w="940" w:type="dxa"/>
            <w:vAlign w:val="bottom"/>
          </w:tcPr>
          <w:p>
            <w:pPr>
              <w:ind w:left="480"/>
              <w:spacing w:after="0"/>
              <w:rPr>
                <w:sz w:val="20"/>
                <w:szCs w:val="20"/>
                <w:color w:val="auto"/>
              </w:rPr>
            </w:pPr>
            <w:r>
              <w:rPr>
                <w:rFonts w:ascii="Courier New" w:cs="Courier New" w:eastAsia="Courier New" w:hAnsi="Courier New"/>
                <w:sz w:val="16"/>
                <w:szCs w:val="16"/>
                <w:color w:val="auto"/>
              </w:rPr>
              <w:t>10</w:t>
            </w:r>
          </w:p>
        </w:tc>
      </w:tr>
      <w:tr>
        <w:trPr>
          <w:trHeight w:val="361"/>
        </w:trPr>
        <w:tc>
          <w:tcPr>
            <w:tcW w:w="122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6560" w:type="dxa"/>
            <w:vAlign w:val="bottom"/>
          </w:tcPr>
          <w:p>
            <w:pPr>
              <w:ind w:left="460"/>
              <w:spacing w:after="0"/>
              <w:rPr>
                <w:sz w:val="20"/>
                <w:szCs w:val="20"/>
                <w:color w:val="auto"/>
              </w:rPr>
            </w:pPr>
            <w:r>
              <w:rPr>
                <w:rFonts w:ascii="Courier New" w:cs="Courier New" w:eastAsia="Courier New" w:hAnsi="Courier New"/>
                <w:sz w:val="16"/>
                <w:szCs w:val="16"/>
                <w:color w:val="auto"/>
              </w:rPr>
              <w:t>Quantitative and Qualitative Disclosures About Market Risk</w:t>
            </w:r>
          </w:p>
        </w:tc>
        <w:tc>
          <w:tcPr>
            <w:tcW w:w="940" w:type="dxa"/>
            <w:vAlign w:val="bottom"/>
          </w:tcPr>
          <w:p>
            <w:pPr>
              <w:ind w:left="480"/>
              <w:spacing w:after="0"/>
              <w:rPr>
                <w:sz w:val="20"/>
                <w:szCs w:val="20"/>
                <w:color w:val="auto"/>
              </w:rPr>
            </w:pPr>
            <w:r>
              <w:rPr>
                <w:rFonts w:ascii="Courier New" w:cs="Courier New" w:eastAsia="Courier New" w:hAnsi="Courier New"/>
                <w:sz w:val="16"/>
                <w:szCs w:val="16"/>
                <w:color w:val="auto"/>
              </w:rPr>
              <w:t>14</w:t>
            </w:r>
          </w:p>
        </w:tc>
      </w:tr>
      <w:tr>
        <w:trPr>
          <w:trHeight w:val="361"/>
        </w:trPr>
        <w:tc>
          <w:tcPr>
            <w:tcW w:w="122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6560" w:type="dxa"/>
            <w:vAlign w:val="bottom"/>
          </w:tcPr>
          <w:p>
            <w:pPr>
              <w:ind w:left="460"/>
              <w:spacing w:after="0"/>
              <w:rPr>
                <w:sz w:val="20"/>
                <w:szCs w:val="20"/>
                <w:color w:val="auto"/>
              </w:rPr>
            </w:pPr>
            <w:r>
              <w:rPr>
                <w:rFonts w:ascii="Courier New" w:cs="Courier New" w:eastAsia="Courier New" w:hAnsi="Courier New"/>
                <w:sz w:val="16"/>
                <w:szCs w:val="16"/>
                <w:color w:val="auto"/>
              </w:rPr>
              <w:t>Other Information</w:t>
            </w:r>
          </w:p>
        </w:tc>
        <w:tc>
          <w:tcPr>
            <w:tcW w:w="940" w:type="dxa"/>
            <w:vAlign w:val="bottom"/>
          </w:tcPr>
          <w:p>
            <w:pPr>
              <w:spacing w:after="0"/>
              <w:rPr>
                <w:sz w:val="24"/>
                <w:szCs w:val="24"/>
                <w:color w:val="auto"/>
              </w:rPr>
            </w:pPr>
          </w:p>
        </w:tc>
      </w:tr>
      <w:tr>
        <w:trPr>
          <w:trHeight w:val="361"/>
        </w:trPr>
        <w:tc>
          <w:tcPr>
            <w:tcW w:w="122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6560" w:type="dxa"/>
            <w:vAlign w:val="bottom"/>
          </w:tcPr>
          <w:p>
            <w:pPr>
              <w:ind w:left="46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940" w:type="dxa"/>
            <w:vAlign w:val="bottom"/>
          </w:tcPr>
          <w:p>
            <w:pPr>
              <w:ind w:left="480"/>
              <w:spacing w:after="0"/>
              <w:rPr>
                <w:sz w:val="20"/>
                <w:szCs w:val="20"/>
                <w:color w:val="auto"/>
              </w:rPr>
            </w:pPr>
            <w:r>
              <w:rPr>
                <w:rFonts w:ascii="Courier New" w:cs="Courier New" w:eastAsia="Courier New" w:hAnsi="Courier New"/>
                <w:sz w:val="16"/>
                <w:szCs w:val="16"/>
                <w:color w:val="auto"/>
              </w:rPr>
              <w:t>15</w:t>
            </w:r>
          </w:p>
        </w:tc>
      </w:tr>
    </w:tbl>
    <w:p>
      <w:pPr>
        <w:sectPr>
          <w:pgSz w:w="11900" w:h="16838" w:orient="portrait"/>
          <w:cols w:equalWidth="0" w:num="1">
            <w:col w:w="10219"/>
          </w:cols>
          <w:pgMar w:left="240" w:top="238"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122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5.</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Other Information</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61"/>
        </w:trPr>
        <w:tc>
          <w:tcPr>
            <w:tcW w:w="42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122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6.</w:t>
            </w:r>
          </w:p>
        </w:tc>
        <w:tc>
          <w:tcPr>
            <w:tcW w:w="4820" w:type="dxa"/>
            <w:vAlign w:val="bottom"/>
          </w:tcPr>
          <w:p>
            <w:pPr>
              <w:ind w:left="40"/>
              <w:spacing w:after="0"/>
              <w:rPr>
                <w:sz w:val="20"/>
                <w:szCs w:val="20"/>
                <w:color w:val="auto"/>
              </w:rPr>
            </w:pPr>
            <w:r>
              <w:rPr>
                <w:rFonts w:ascii="Courier New" w:cs="Courier New" w:eastAsia="Courier New" w:hAnsi="Courier New"/>
                <w:sz w:val="16"/>
                <w:szCs w:val="16"/>
                <w:color w:val="auto"/>
              </w:rPr>
              <w:t>Exhibits and Reports on Form 8-K</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61"/>
        </w:trPr>
        <w:tc>
          <w:tcPr>
            <w:tcW w:w="1640" w:type="dxa"/>
            <w:vAlign w:val="bottom"/>
            <w:gridSpan w:val="2"/>
          </w:tcPr>
          <w:p>
            <w:pPr>
              <w:spacing w:after="0"/>
              <w:rPr>
                <w:sz w:val="20"/>
                <w:szCs w:val="20"/>
                <w:color w:val="auto"/>
              </w:rPr>
            </w:pPr>
            <w:r>
              <w:rPr>
                <w:rFonts w:ascii="Courier New" w:cs="Courier New" w:eastAsia="Courier New" w:hAnsi="Courier New"/>
                <w:sz w:val="16"/>
                <w:szCs w:val="16"/>
                <w:color w:val="auto"/>
              </w:rPr>
              <w:t>Signatures</w:t>
            </w:r>
          </w:p>
        </w:tc>
        <w:tc>
          <w:tcPr>
            <w:tcW w:w="48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361"/>
        </w:trPr>
        <w:tc>
          <w:tcPr>
            <w:tcW w:w="1640" w:type="dxa"/>
            <w:vAlign w:val="bottom"/>
            <w:gridSpan w:val="2"/>
          </w:tcPr>
          <w:p>
            <w:pPr>
              <w:spacing w:after="0"/>
              <w:rPr>
                <w:sz w:val="20"/>
                <w:szCs w:val="20"/>
                <w:color w:val="auto"/>
              </w:rPr>
            </w:pPr>
            <w:r>
              <w:rPr>
                <w:rFonts w:ascii="Courier New" w:cs="Courier New" w:eastAsia="Courier New" w:hAnsi="Courier New"/>
                <w:sz w:val="16"/>
                <w:szCs w:val="16"/>
                <w:color w:val="auto"/>
                <w:w w:val="99"/>
              </w:rPr>
              <w:t>Index To Exhibits</w:t>
            </w:r>
          </w:p>
        </w:tc>
        <w:tc>
          <w:tcPr>
            <w:tcW w:w="48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721"/>
        </w:trPr>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20" w:type="dxa"/>
            <w:vAlign w:val="bottom"/>
          </w:tcPr>
          <w:p>
            <w:pPr>
              <w:jc w:val="right"/>
              <w:ind w:right="2642"/>
              <w:spacing w:after="0"/>
              <w:rPr>
                <w:sz w:val="20"/>
                <w:szCs w:val="20"/>
                <w:color w:val="auto"/>
              </w:rPr>
            </w:pPr>
            <w:r>
              <w:rPr>
                <w:rFonts w:ascii="Courier New" w:cs="Courier New" w:eastAsia="Courier New" w:hAnsi="Courier New"/>
                <w:sz w:val="16"/>
                <w:szCs w:val="16"/>
                <w:color w:val="auto"/>
              </w:rPr>
              <w:t>2</w:t>
            </w:r>
          </w:p>
        </w:tc>
        <w:tc>
          <w:tcPr>
            <w:tcW w:w="1980" w:type="dxa"/>
            <w:vAlign w:val="bottom"/>
          </w:tcPr>
          <w:p>
            <w:pPr>
              <w:spacing w:after="0"/>
              <w:rPr>
                <w:sz w:val="24"/>
                <w:szCs w:val="24"/>
                <w:color w:val="auto"/>
              </w:rPr>
            </w:pPr>
          </w:p>
        </w:tc>
      </w:tr>
    </w:tbl>
    <w:p>
      <w:pPr>
        <w:sectPr>
          <w:pgSz w:w="11900" w:h="16838" w:orient="portrait"/>
          <w:cols w:equalWidth="0" w:num="1">
            <w:col w:w="10219"/>
          </w:cols>
          <w:pgMar w:left="240" w:top="317" w:right="1440" w:bottom="1440" w:gutter="0" w:footer="0" w:header="0"/>
        </w:sectPr>
      </w:pPr>
    </w:p>
    <w:bookmarkStart w:id="2" w:name="page3"/>
    <w:bookmarkEnd w:id="2"/>
    <w:p>
      <w:pPr>
        <w:jc w:val="center"/>
        <w:ind w:right="3000"/>
        <w:spacing w:after="0"/>
        <w:rPr>
          <w:sz w:val="20"/>
          <w:szCs w:val="20"/>
          <w:color w:val="auto"/>
        </w:rPr>
      </w:pPr>
      <w:r>
        <w:rPr>
          <w:rFonts w:ascii="Courier New" w:cs="Courier New" w:eastAsia="Courier New" w:hAnsi="Courier New"/>
          <w:sz w:val="16"/>
          <w:szCs w:val="16"/>
          <w:color w:val="auto"/>
        </w:rPr>
        <w:t>PART I. FINANCIAL INFORMATION</w:t>
      </w:r>
    </w:p>
    <w:p>
      <w:pPr>
        <w:spacing w:after="0" w:line="179"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NN, INC.</w:t>
      </w:r>
    </w:p>
    <w:p>
      <w:pPr>
        <w:jc w:val="center"/>
        <w:ind w:right="3000"/>
        <w:spacing w:after="0"/>
        <w:rPr>
          <w:sz w:val="20"/>
          <w:szCs w:val="20"/>
          <w:color w:val="auto"/>
        </w:rPr>
      </w:pPr>
      <w:r>
        <w:rPr>
          <w:rFonts w:ascii="Courier New" w:cs="Courier New" w:eastAsia="Courier New" w:hAnsi="Courier New"/>
          <w:sz w:val="16"/>
          <w:szCs w:val="16"/>
          <w:color w:val="auto"/>
        </w:rPr>
        <w:t>CONDENSED STATEMENTS OF INCOME AND COMPREHENSIVE INCOME</w:t>
      </w:r>
    </w:p>
    <w:p>
      <w:pPr>
        <w:jc w:val="center"/>
        <w:ind w:right="300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THREE</w:t>
            </w: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MONTHS ENDED</w:t>
            </w:r>
          </w:p>
        </w:tc>
        <w:tc>
          <w:tcPr>
            <w:tcW w:w="1040" w:type="dxa"/>
            <w:vAlign w:val="bottom"/>
          </w:tcPr>
          <w:p>
            <w:pPr>
              <w:spacing w:after="0"/>
              <w:rPr>
                <w:sz w:val="15"/>
                <w:szCs w:val="15"/>
                <w:color w:val="auto"/>
              </w:rPr>
            </w:pPr>
          </w:p>
        </w:tc>
        <w:tc>
          <w:tcPr>
            <w:tcW w:w="2580" w:type="dxa"/>
            <w:vAlign w:val="bottom"/>
            <w:gridSpan w:val="2"/>
          </w:tcPr>
          <w:p>
            <w:pPr>
              <w:jc w:val="center"/>
              <w:ind w:left="442"/>
              <w:spacing w:after="0"/>
              <w:rPr>
                <w:sz w:val="20"/>
                <w:szCs w:val="20"/>
                <w:color w:val="auto"/>
              </w:rPr>
            </w:pPr>
            <w:r>
              <w:rPr>
                <w:rFonts w:ascii="Courier New" w:cs="Courier New" w:eastAsia="Courier New" w:hAnsi="Courier New"/>
                <w:sz w:val="16"/>
                <w:szCs w:val="16"/>
                <w:color w:val="auto"/>
                <w:w w:val="97"/>
              </w:rPr>
              <w:t>SIX MONTHS ENDED</w:t>
            </w:r>
          </w:p>
        </w:tc>
      </w:tr>
      <w:tr>
        <w:trPr>
          <w:trHeight w:val="180"/>
        </w:trPr>
        <w:tc>
          <w:tcPr>
            <w:tcW w:w="4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6"/>
              </w:rPr>
              <w:t>JUNE 30,</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THOUSANDS OF  DOLLARS, EXCEPT PER SHARE DATA</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1260" w:type="dxa"/>
            <w:vAlign w:val="bottom"/>
          </w:tcPr>
          <w:p>
            <w:pPr>
              <w:spacing w:after="0"/>
              <w:rPr>
                <w:sz w:val="15"/>
                <w:szCs w:val="15"/>
                <w:color w:val="auto"/>
              </w:rPr>
            </w:pPr>
          </w:p>
        </w:tc>
        <w:tc>
          <w:tcPr>
            <w:tcW w:w="10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1999</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$25,643</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$17,475</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$53,645</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$35,387</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17,965</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12,591</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38,311</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25,114</w:t>
            </w:r>
          </w:p>
        </w:tc>
      </w:tr>
      <w:tr>
        <w:trPr>
          <w:trHeight w:val="180"/>
        </w:trPr>
        <w:tc>
          <w:tcPr>
            <w:tcW w:w="450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Gross profit</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7,678</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4,884</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15,334</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10,273</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2,463</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1,027</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4,781</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2,245</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1,723</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1,231</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3,568</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2,475</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Loss on involuntary conversion</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4,505</w:t>
            </w:r>
          </w:p>
        </w:tc>
        <w:tc>
          <w:tcPr>
            <w:tcW w:w="15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8,483</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Gain on involuntary conversion</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(4,505)</w:t>
            </w:r>
          </w:p>
        </w:tc>
        <w:tc>
          <w:tcPr>
            <w:tcW w:w="15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(8,458)</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Equity in earnings of unconsolidated affiliate</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(53)</w:t>
            </w:r>
          </w:p>
        </w:tc>
        <w:tc>
          <w:tcPr>
            <w:tcW w:w="15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(66)</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3,545</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2,626</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7,026</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5,553</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Interest expense, net</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268</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559</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w:t>
            </w:r>
          </w:p>
        </w:tc>
      </w:tr>
      <w:tr>
        <w:trPr>
          <w:trHeight w:val="180"/>
        </w:trPr>
        <w:tc>
          <w:tcPr>
            <w:tcW w:w="450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3,277</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2,618</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6,467</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5,544</w:t>
            </w: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1,035</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903</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2,115</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1,867</w:t>
            </w:r>
          </w:p>
        </w:tc>
      </w:tr>
      <w:tr>
        <w:trPr>
          <w:trHeight w:val="180"/>
        </w:trPr>
        <w:tc>
          <w:tcPr>
            <w:tcW w:w="450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ind w:left="460"/>
              <w:spacing w:after="0"/>
              <w:rPr>
                <w:sz w:val="20"/>
                <w:szCs w:val="20"/>
                <w:color w:val="auto"/>
              </w:rPr>
            </w:pPr>
            <w:r>
              <w:rPr>
                <w:rFonts w:ascii="Courier New" w:cs="Courier New" w:eastAsia="Courier New" w:hAnsi="Courier New"/>
                <w:sz w:val="16"/>
                <w:szCs w:val="16"/>
                <w:color w:val="auto"/>
              </w:rPr>
              <w:t>Net income</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$2,242</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$1,715</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$4,352</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$3,677</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Other comprehensive income:</w:t>
            </w: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0"/>
        </w:trPr>
        <w:tc>
          <w:tcPr>
            <w:tcW w:w="4500" w:type="dxa"/>
            <w:vAlign w:val="bottom"/>
          </w:tcPr>
          <w:p>
            <w:pPr>
              <w:ind w:left="460"/>
              <w:spacing w:after="0"/>
              <w:rPr>
                <w:sz w:val="20"/>
                <w:szCs w:val="20"/>
                <w:color w:val="auto"/>
              </w:rPr>
            </w:pPr>
            <w:r>
              <w:rPr>
                <w:rFonts w:ascii="Courier New" w:cs="Courier New" w:eastAsia="Courier New" w:hAnsi="Courier New"/>
                <w:sz w:val="16"/>
                <w:szCs w:val="16"/>
                <w:color w:val="auto"/>
              </w:rPr>
              <w:t>Foreign currency translation</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(27)</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(426)</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(422)</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(1,287)</w:t>
            </w:r>
          </w:p>
        </w:tc>
      </w:tr>
      <w:tr>
        <w:trPr>
          <w:trHeight w:val="180"/>
        </w:trPr>
        <w:tc>
          <w:tcPr>
            <w:tcW w:w="450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ind w:left="460"/>
              <w:spacing w:after="0"/>
              <w:rPr>
                <w:sz w:val="20"/>
                <w:szCs w:val="20"/>
                <w:color w:val="auto"/>
              </w:rPr>
            </w:pPr>
            <w:r>
              <w:rPr>
                <w:rFonts w:ascii="Courier New" w:cs="Courier New" w:eastAsia="Courier New" w:hAnsi="Courier New"/>
                <w:sz w:val="16"/>
                <w:szCs w:val="16"/>
                <w:color w:val="auto"/>
              </w:rPr>
              <w:t>Other comprehensive income</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(27)</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(426)</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(422)</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(1,287)</w:t>
            </w:r>
          </w:p>
        </w:tc>
      </w:tr>
      <w:tr>
        <w:trPr>
          <w:trHeight w:val="180"/>
        </w:trPr>
        <w:tc>
          <w:tcPr>
            <w:tcW w:w="450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tcPr>
          <w:p>
            <w:pPr>
              <w:ind w:left="460"/>
              <w:spacing w:after="0"/>
              <w:rPr>
                <w:sz w:val="20"/>
                <w:szCs w:val="20"/>
                <w:color w:val="auto"/>
              </w:rPr>
            </w:pPr>
            <w:r>
              <w:rPr>
                <w:rFonts w:ascii="Courier New" w:cs="Courier New" w:eastAsia="Courier New" w:hAnsi="Courier New"/>
                <w:sz w:val="16"/>
                <w:szCs w:val="16"/>
                <w:color w:val="auto"/>
              </w:rPr>
              <w:t>Comprehensive income</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$2,215</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$1,289</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$3,930</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$2,390</w:t>
            </w:r>
          </w:p>
        </w:tc>
      </w:tr>
      <w:tr>
        <w:trPr>
          <w:trHeight w:val="180"/>
        </w:trPr>
        <w:tc>
          <w:tcPr>
            <w:tcW w:w="450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Basic income per common share</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$ 0.15</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$ 0.12</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$ 0.28</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$ 0.25</w:t>
            </w:r>
          </w:p>
        </w:tc>
      </w:tr>
      <w:tr>
        <w:trPr>
          <w:trHeight w:val="180"/>
        </w:trPr>
        <w:tc>
          <w:tcPr>
            <w:tcW w:w="450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15,244</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14,804</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15,244</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14,804</w:t>
            </w:r>
          </w:p>
        </w:tc>
      </w:tr>
      <w:tr>
        <w:trPr>
          <w:trHeight w:val="180"/>
        </w:trPr>
        <w:tc>
          <w:tcPr>
            <w:tcW w:w="450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Diluted income per common share</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$ 0.15</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$ 0.12</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$ 0.28</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$ 0.25</w:t>
            </w:r>
          </w:p>
        </w:tc>
      </w:tr>
      <w:tr>
        <w:trPr>
          <w:trHeight w:val="180"/>
        </w:trPr>
        <w:tc>
          <w:tcPr>
            <w:tcW w:w="450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15,436</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14,808</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15,437</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14,806</w:t>
            </w:r>
          </w:p>
        </w:tc>
      </w:tr>
      <w:tr>
        <w:trPr>
          <w:trHeight w:val="180"/>
        </w:trPr>
        <w:tc>
          <w:tcPr>
            <w:tcW w:w="450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600"/>
          </w:cols>
          <w:pgMar w:left="240" w:top="1014" w:right="1059" w:bottom="1440" w:gutter="0" w:footer="0" w:header="0"/>
        </w:sectPr>
      </w:pPr>
    </w:p>
    <w:bookmarkStart w:id="3" w:name="page4"/>
    <w:bookmarkEnd w:id="3"/>
    <w:p>
      <w:pPr>
        <w:spacing w:after="0" w:line="11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CONDENSED BALANCE SHEETS</w:t>
      </w:r>
    </w:p>
    <w:p>
      <w:pPr>
        <w:sectPr>
          <w:pgSz w:w="11900" w:h="16838" w:orient="portrait"/>
          <w:cols w:equalWidth="0" w:num="1">
            <w:col w:w="10219"/>
          </w:cols>
          <w:pgMar w:left="240" w:top="1440" w:right="1440" w:bottom="1440" w:gutter="0" w:footer="0" w:header="0"/>
        </w:sectPr>
      </w:pPr>
    </w:p>
    <w:p>
      <w:pPr>
        <w:spacing w:after="0" w:line="371"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JUNE 30,</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6"/>
          <w:szCs w:val="16"/>
          <w:color w:val="auto"/>
        </w:rPr>
        <w:t>2000</w:t>
      </w:r>
    </w:p>
    <w:p>
      <w:pPr>
        <w:spacing w:after="0"/>
        <w:tabs>
          <w:tab w:leader="none" w:pos="1280" w:val="left"/>
          <w:tab w:leader="none" w:pos="5040" w:val="left"/>
        </w:tabs>
        <w:rPr>
          <w:sz w:val="20"/>
          <w:szCs w:val="20"/>
          <w:color w:val="auto"/>
        </w:rPr>
      </w:pPr>
      <w:r>
        <w:rPr>
          <w:rFonts w:ascii="Courier New" w:cs="Courier New" w:eastAsia="Courier New" w:hAnsi="Courier New"/>
          <w:sz w:val="16"/>
          <w:szCs w:val="16"/>
          <w:color w:val="auto"/>
        </w:rPr>
        <w:t>THOUSANDS OF</w:t>
        <w:tab/>
        <w:t>DOLLARS</w:t>
      </w:r>
      <w:r>
        <w:rPr>
          <w:sz w:val="20"/>
          <w:szCs w:val="20"/>
          <w:color w:val="auto"/>
        </w:rPr>
        <w:tab/>
      </w:r>
      <w:r>
        <w:rPr>
          <w:rFonts w:ascii="Courier New" w:cs="Courier New" w:eastAsia="Courier New" w:hAnsi="Courier New"/>
          <w:sz w:val="15"/>
          <w:szCs w:val="15"/>
          <w:color w:val="auto"/>
        </w:rPr>
        <w:t>(UNAUDITED)</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1999</w:t>
      </w:r>
    </w:p>
    <w:p>
      <w:pPr>
        <w:spacing w:after="0" w:line="184" w:lineRule="exact"/>
        <w:rPr>
          <w:sz w:val="20"/>
          <w:szCs w:val="20"/>
          <w:color w:val="auto"/>
        </w:rPr>
      </w:pPr>
    </w:p>
    <w:p>
      <w:pPr>
        <w:sectPr>
          <w:pgSz w:w="11900" w:h="16838" w:orient="portrait"/>
          <w:cols w:equalWidth="0" w:num="2">
            <w:col w:w="6320" w:space="720"/>
            <w:col w:w="3179"/>
          </w:cols>
          <w:pgMar w:left="240" w:top="144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6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Cash and cash equivalents</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2,432</w:t>
            </w:r>
          </w:p>
        </w:tc>
        <w:tc>
          <w:tcPr>
            <w:tcW w:w="7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1,409</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net</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20,680</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18,183</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Inventories, net</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12,012</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13,122</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Other current assets</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4,651</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688</w:t>
            </w:r>
          </w:p>
        </w:tc>
      </w:tr>
      <w:tr>
        <w:trPr>
          <w:trHeight w:val="180"/>
        </w:trPr>
        <w:tc>
          <w:tcPr>
            <w:tcW w:w="4680" w:type="dxa"/>
            <w:vAlign w:val="bottom"/>
          </w:tcPr>
          <w:p>
            <w:pPr>
              <w:spacing w:after="0"/>
              <w:rPr>
                <w:sz w:val="15"/>
                <w:szCs w:val="15"/>
                <w:color w:val="auto"/>
              </w:rPr>
            </w:pPr>
          </w:p>
        </w:tc>
        <w:tc>
          <w:tcPr>
            <w:tcW w:w="19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ind w:left="440"/>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Total current assets</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39,775</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33,402</w:t>
            </w:r>
          </w:p>
        </w:tc>
      </w:tr>
      <w:tr>
        <w:trPr>
          <w:trHeight w:val="361"/>
        </w:trPr>
        <w:tc>
          <w:tcPr>
            <w:tcW w:w="46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760" w:type="dxa"/>
            <w:vAlign w:val="bottom"/>
          </w:tcPr>
          <w:p>
            <w:pPr>
              <w:spacing w:after="0"/>
              <w:rPr>
                <w:sz w:val="24"/>
                <w:szCs w:val="24"/>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41,925</w:t>
            </w:r>
          </w:p>
        </w:tc>
        <w:tc>
          <w:tcPr>
            <w:tcW w:w="76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43,452</w:t>
            </w:r>
          </w:p>
        </w:tc>
      </w:tr>
      <w:tr>
        <w:trPr>
          <w:trHeight w:val="180"/>
        </w:trPr>
        <w:tc>
          <w:tcPr>
            <w:tcW w:w="4680" w:type="dxa"/>
            <w:vAlign w:val="bottom"/>
          </w:tcPr>
          <w:p>
            <w:pPr>
              <w:spacing w:after="0"/>
              <w:rPr>
                <w:sz w:val="20"/>
                <w:szCs w:val="20"/>
                <w:color w:val="auto"/>
              </w:rPr>
            </w:pPr>
            <w:r>
              <w:rPr>
                <w:rFonts w:ascii="Courier New" w:cs="Courier New" w:eastAsia="Courier New" w:hAnsi="Courier New"/>
                <w:sz w:val="16"/>
                <w:szCs w:val="16"/>
                <w:color w:val="auto"/>
              </w:rPr>
              <w:t>Goodwill, net</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12,400</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12,779</w:t>
            </w:r>
          </w:p>
        </w:tc>
      </w:tr>
      <w:tr>
        <w:trPr>
          <w:trHeight w:val="180"/>
        </w:trPr>
        <w:tc>
          <w:tcPr>
            <w:tcW w:w="4680" w:type="dxa"/>
            <w:vAlign w:val="bottom"/>
          </w:tcPr>
          <w:p>
            <w:pPr>
              <w:spacing w:after="0"/>
              <w:rPr>
                <w:sz w:val="20"/>
                <w:szCs w:val="20"/>
                <w:color w:val="auto"/>
              </w:rPr>
            </w:pPr>
            <w:r>
              <w:rPr>
                <w:rFonts w:ascii="Courier New" w:cs="Courier New" w:eastAsia="Courier New" w:hAnsi="Courier New"/>
                <w:sz w:val="16"/>
                <w:szCs w:val="16"/>
                <w:color w:val="auto"/>
              </w:rPr>
              <w:t>Receivable from unconsolidated affiliate</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3,165</w:t>
            </w:r>
          </w:p>
        </w:tc>
        <w:tc>
          <w:tcPr>
            <w:tcW w:w="760" w:type="dxa"/>
            <w:vAlign w:val="bottom"/>
          </w:tcPr>
          <w:p>
            <w:pPr>
              <w:spacing w:after="0"/>
              <w:rPr>
                <w:sz w:val="15"/>
                <w:szCs w:val="15"/>
                <w:color w:val="auto"/>
              </w:rPr>
            </w:pPr>
          </w:p>
        </w:tc>
        <w:tc>
          <w:tcPr>
            <w:tcW w:w="8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spacing w:after="0"/>
              <w:rPr>
                <w:sz w:val="20"/>
                <w:szCs w:val="20"/>
                <w:color w:val="auto"/>
              </w:rPr>
            </w:pPr>
            <w:r>
              <w:rPr>
                <w:rFonts w:ascii="Courier New" w:cs="Courier New" w:eastAsia="Courier New" w:hAnsi="Courier New"/>
                <w:sz w:val="16"/>
                <w:szCs w:val="16"/>
                <w:color w:val="auto"/>
              </w:rPr>
              <w:t>Equity in unconsolidated affiliate</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166</w:t>
            </w:r>
          </w:p>
        </w:tc>
        <w:tc>
          <w:tcPr>
            <w:tcW w:w="760" w:type="dxa"/>
            <w:vAlign w:val="bottom"/>
          </w:tcPr>
          <w:p>
            <w:pPr>
              <w:spacing w:after="0"/>
              <w:rPr>
                <w:sz w:val="15"/>
                <w:szCs w:val="15"/>
                <w:color w:val="auto"/>
              </w:rPr>
            </w:pPr>
          </w:p>
        </w:tc>
        <w:tc>
          <w:tcPr>
            <w:tcW w:w="8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spacing w:after="0"/>
              <w:rPr>
                <w:sz w:val="20"/>
                <w:szCs w:val="20"/>
                <w:color w:val="auto"/>
              </w:rPr>
            </w:pPr>
            <w:r>
              <w:rPr>
                <w:rFonts w:ascii="Courier New" w:cs="Courier New" w:eastAsia="Courier New" w:hAnsi="Courier New"/>
                <w:sz w:val="16"/>
                <w:szCs w:val="16"/>
                <w:color w:val="auto"/>
              </w:rPr>
              <w:t>Other non-current assets</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379</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735</w:t>
            </w:r>
          </w:p>
        </w:tc>
      </w:tr>
      <w:tr>
        <w:trPr>
          <w:trHeight w:val="180"/>
        </w:trPr>
        <w:tc>
          <w:tcPr>
            <w:tcW w:w="4680" w:type="dxa"/>
            <w:vAlign w:val="bottom"/>
          </w:tcPr>
          <w:p>
            <w:pPr>
              <w:spacing w:after="0"/>
              <w:rPr>
                <w:sz w:val="15"/>
                <w:szCs w:val="15"/>
                <w:color w:val="auto"/>
              </w:rPr>
            </w:pPr>
          </w:p>
        </w:tc>
        <w:tc>
          <w:tcPr>
            <w:tcW w:w="19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ind w:left="440"/>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Total assets</w:t>
            </w:r>
          </w:p>
        </w:tc>
        <w:tc>
          <w:tcPr>
            <w:tcW w:w="1920" w:type="dxa"/>
            <w:vAlign w:val="bottom"/>
            <w:gridSpan w:val="2"/>
          </w:tcPr>
          <w:p>
            <w:pPr>
              <w:jc w:val="right"/>
              <w:ind w:right="422"/>
              <w:spacing w:after="0"/>
              <w:rPr>
                <w:sz w:val="20"/>
                <w:szCs w:val="20"/>
                <w:color w:val="auto"/>
              </w:rPr>
            </w:pPr>
            <w:r>
              <w:rPr>
                <w:rFonts w:ascii="Courier New" w:cs="Courier New" w:eastAsia="Courier New" w:hAnsi="Courier New"/>
                <w:sz w:val="16"/>
                <w:szCs w:val="16"/>
                <w:color w:val="auto"/>
              </w:rPr>
              <w:t>$ 97,810</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$90,368</w:t>
            </w:r>
          </w:p>
        </w:tc>
      </w:tr>
      <w:tr>
        <w:trPr>
          <w:trHeight w:val="180"/>
        </w:trPr>
        <w:tc>
          <w:tcPr>
            <w:tcW w:w="4680" w:type="dxa"/>
            <w:vAlign w:val="bottom"/>
          </w:tcPr>
          <w:p>
            <w:pPr>
              <w:spacing w:after="0"/>
              <w:rPr>
                <w:sz w:val="15"/>
                <w:szCs w:val="15"/>
                <w:color w:val="auto"/>
              </w:rPr>
            </w:pPr>
          </w:p>
        </w:tc>
        <w:tc>
          <w:tcPr>
            <w:tcW w:w="19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ind w:left="440"/>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46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0"/>
        </w:trPr>
        <w:tc>
          <w:tcPr>
            <w:tcW w:w="46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5,343</w:t>
            </w:r>
          </w:p>
        </w:tc>
        <w:tc>
          <w:tcPr>
            <w:tcW w:w="7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8,952</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Accrued vacation and holiday expense</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710</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676</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Deferred Income</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777</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875</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Accrued bonuses</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871</w:t>
            </w:r>
          </w:p>
        </w:tc>
        <w:tc>
          <w:tcPr>
            <w:tcW w:w="760" w:type="dxa"/>
            <w:vAlign w:val="bottom"/>
          </w:tcPr>
          <w:p>
            <w:pPr>
              <w:spacing w:after="0"/>
              <w:rPr>
                <w:sz w:val="15"/>
                <w:szCs w:val="15"/>
                <w:color w:val="auto"/>
              </w:rPr>
            </w:pPr>
          </w:p>
        </w:tc>
        <w:tc>
          <w:tcPr>
            <w:tcW w:w="8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Income taxes payable</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901</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1,283</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Other current liabilities</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2,329</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2,301</w:t>
            </w:r>
          </w:p>
        </w:tc>
      </w:tr>
      <w:tr>
        <w:trPr>
          <w:trHeight w:val="180"/>
        </w:trPr>
        <w:tc>
          <w:tcPr>
            <w:tcW w:w="4680" w:type="dxa"/>
            <w:vAlign w:val="bottom"/>
          </w:tcPr>
          <w:p>
            <w:pPr>
              <w:spacing w:after="0"/>
              <w:rPr>
                <w:sz w:val="15"/>
                <w:szCs w:val="15"/>
                <w:color w:val="auto"/>
              </w:rPr>
            </w:pPr>
          </w:p>
        </w:tc>
        <w:tc>
          <w:tcPr>
            <w:tcW w:w="19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ind w:left="440"/>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Total current liabilities</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14,540</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10,478</w:t>
            </w:r>
          </w:p>
        </w:tc>
      </w:tr>
      <w:tr>
        <w:trPr>
          <w:trHeight w:val="361"/>
        </w:trPr>
        <w:tc>
          <w:tcPr>
            <w:tcW w:w="46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760" w:type="dxa"/>
            <w:vAlign w:val="bottom"/>
          </w:tcPr>
          <w:p>
            <w:pPr>
              <w:spacing w:after="0"/>
              <w:rPr>
                <w:sz w:val="24"/>
                <w:szCs w:val="24"/>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2,611</w:t>
            </w:r>
          </w:p>
        </w:tc>
        <w:tc>
          <w:tcPr>
            <w:tcW w:w="76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2,611</w:t>
            </w:r>
          </w:p>
        </w:tc>
      </w:tr>
      <w:tr>
        <w:trPr>
          <w:trHeight w:val="180"/>
        </w:trPr>
        <w:tc>
          <w:tcPr>
            <w:tcW w:w="46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19,040</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17,151</w:t>
            </w:r>
          </w:p>
        </w:tc>
      </w:tr>
      <w:tr>
        <w:trPr>
          <w:trHeight w:val="180"/>
        </w:trPr>
        <w:tc>
          <w:tcPr>
            <w:tcW w:w="4680" w:type="dxa"/>
            <w:vAlign w:val="bottom"/>
          </w:tcPr>
          <w:p>
            <w:pPr>
              <w:spacing w:after="0"/>
              <w:rPr>
                <w:sz w:val="15"/>
                <w:szCs w:val="15"/>
                <w:color w:val="auto"/>
              </w:rPr>
            </w:pPr>
          </w:p>
        </w:tc>
        <w:tc>
          <w:tcPr>
            <w:tcW w:w="19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ind w:left="440"/>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w:t>
            </w:r>
          </w:p>
        </w:tc>
        <w:tc>
          <w:tcPr>
            <w:tcW w:w="760" w:type="dxa"/>
            <w:vAlign w:val="bottom"/>
          </w:tcPr>
          <w:p>
            <w:pPr>
              <w:spacing w:after="0"/>
              <w:rPr>
                <w:sz w:val="15"/>
                <w:szCs w:val="15"/>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36,191</w:t>
            </w:r>
          </w:p>
        </w:tc>
        <w:tc>
          <w:tcPr>
            <w:tcW w:w="76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30,240</w:t>
            </w:r>
          </w:p>
        </w:tc>
      </w:tr>
      <w:tr>
        <w:trPr>
          <w:trHeight w:val="361"/>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Total stockholders' equity</w:t>
            </w:r>
          </w:p>
        </w:tc>
        <w:tc>
          <w:tcPr>
            <w:tcW w:w="760" w:type="dxa"/>
            <w:vAlign w:val="bottom"/>
          </w:tcPr>
          <w:p>
            <w:pPr>
              <w:spacing w:after="0"/>
              <w:rPr>
                <w:sz w:val="24"/>
                <w:szCs w:val="24"/>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61,619</w:t>
            </w:r>
          </w:p>
        </w:tc>
        <w:tc>
          <w:tcPr>
            <w:tcW w:w="76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60,128</w:t>
            </w:r>
          </w:p>
        </w:tc>
      </w:tr>
      <w:tr>
        <w:trPr>
          <w:trHeight w:val="180"/>
        </w:trPr>
        <w:tc>
          <w:tcPr>
            <w:tcW w:w="4680" w:type="dxa"/>
            <w:vAlign w:val="bottom"/>
          </w:tcPr>
          <w:p>
            <w:pPr>
              <w:spacing w:after="0"/>
              <w:rPr>
                <w:sz w:val="15"/>
                <w:szCs w:val="15"/>
                <w:color w:val="auto"/>
              </w:rPr>
            </w:pPr>
          </w:p>
        </w:tc>
        <w:tc>
          <w:tcPr>
            <w:tcW w:w="19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ind w:left="440"/>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760" w:type="dxa"/>
            <w:vAlign w:val="bottom"/>
          </w:tcPr>
          <w:p>
            <w:pPr>
              <w:spacing w:after="0"/>
              <w:rPr>
                <w:sz w:val="24"/>
                <w:szCs w:val="24"/>
                <w:color w:val="auto"/>
              </w:rPr>
            </w:pP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w w:val="95"/>
              </w:rPr>
              <w:t>$97,810</w:t>
            </w:r>
          </w:p>
        </w:tc>
        <w:tc>
          <w:tcPr>
            <w:tcW w:w="76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$90,368</w:t>
            </w:r>
          </w:p>
        </w:tc>
      </w:tr>
      <w:tr>
        <w:trPr>
          <w:trHeight w:val="180"/>
        </w:trPr>
        <w:tc>
          <w:tcPr>
            <w:tcW w:w="4680" w:type="dxa"/>
            <w:vAlign w:val="bottom"/>
          </w:tcPr>
          <w:p>
            <w:pPr>
              <w:spacing w:after="0"/>
              <w:rPr>
                <w:sz w:val="15"/>
                <w:szCs w:val="15"/>
                <w:color w:val="auto"/>
              </w:rPr>
            </w:pPr>
          </w:p>
        </w:tc>
        <w:tc>
          <w:tcPr>
            <w:tcW w:w="19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ind w:left="440"/>
              <w:spacing w:after="0"/>
              <w:rPr>
                <w:sz w:val="20"/>
                <w:szCs w:val="20"/>
                <w:color w:val="auto"/>
              </w:rPr>
            </w:pPr>
            <w:r>
              <w:rPr>
                <w:rFonts w:ascii="Courier New" w:cs="Courier New" w:eastAsia="Courier New" w:hAnsi="Courier New"/>
                <w:sz w:val="16"/>
                <w:szCs w:val="16"/>
                <w:color w:val="auto"/>
                <w:w w:val="95"/>
              </w:rPr>
              <w:t>============</w:t>
            </w:r>
          </w:p>
        </w:tc>
      </w:tr>
    </w:tbl>
    <w:p>
      <w:pPr>
        <w:spacing w:after="0" w:line="36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440" w:right="1440" w:bottom="1440" w:gutter="0" w:footer="0" w:header="0"/>
          <w:type w:val="continuous"/>
        </w:sectPr>
      </w:pPr>
    </w:p>
    <w:bookmarkStart w:id="4" w:name="page5"/>
    <w:bookmarkEnd w:id="4"/>
    <w:p>
      <w:pPr>
        <w:spacing w:after="0" w:line="116"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6"/>
          <w:szCs w:val="16"/>
          <w:color w:val="auto"/>
        </w:rPr>
        <w:t>NN, INC.</w:t>
      </w:r>
    </w:p>
    <w:p>
      <w:pPr>
        <w:spacing w:after="0" w:line="179"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CONDENSED STATEMENTS OF CHANGES IN STOCKHOLDERS' EQUITY</w:t>
      </w:r>
    </w:p>
    <w:p>
      <w:pPr>
        <w:jc w:val="center"/>
        <w:ind w:right="3940"/>
        <w:spacing w:after="0"/>
        <w:rPr>
          <w:sz w:val="20"/>
          <w:szCs w:val="20"/>
          <w:color w:val="auto"/>
        </w:rPr>
      </w:pPr>
      <w:r>
        <w:rPr>
          <w:rFonts w:ascii="Courier New" w:cs="Courier New" w:eastAsia="Courier New" w:hAnsi="Courier New"/>
          <w:sz w:val="16"/>
          <w:szCs w:val="16"/>
          <w:color w:val="auto"/>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120" w:type="dxa"/>
            <w:vAlign w:val="bottom"/>
          </w:tcPr>
          <w:p>
            <w:pPr>
              <w:spacing w:after="0"/>
              <w:rPr>
                <w:sz w:val="15"/>
                <w:szCs w:val="15"/>
                <w:color w:val="auto"/>
              </w:rPr>
            </w:pP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ADDITIONAL</w:t>
            </w: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RETAINED</w:t>
            </w:r>
          </w:p>
        </w:tc>
        <w:tc>
          <w:tcPr>
            <w:tcW w:w="16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ACCUMULATED OTHER</w:t>
            </w:r>
          </w:p>
        </w:tc>
        <w:tc>
          <w:tcPr>
            <w:tcW w:w="1120" w:type="dxa"/>
            <w:vAlign w:val="bottom"/>
          </w:tcPr>
          <w:p>
            <w:pPr>
              <w:spacing w:after="0"/>
              <w:rPr>
                <w:sz w:val="15"/>
                <w:szCs w:val="15"/>
                <w:color w:val="auto"/>
              </w:rPr>
            </w:pPr>
          </w:p>
        </w:tc>
      </w:tr>
      <w:tr>
        <w:trPr>
          <w:trHeight w:val="180"/>
        </w:trPr>
        <w:tc>
          <w:tcPr>
            <w:tcW w:w="38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PAR</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PAID IN</w:t>
            </w: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EARNINGS</w:t>
            </w:r>
          </w:p>
        </w:tc>
        <w:tc>
          <w:tcPr>
            <w:tcW w:w="1680" w:type="dxa"/>
            <w:vAlign w:val="bottom"/>
          </w:tcPr>
          <w:p>
            <w:pPr>
              <w:ind w:left="180"/>
              <w:spacing w:after="0"/>
              <w:rPr>
                <w:sz w:val="20"/>
                <w:szCs w:val="20"/>
                <w:color w:val="auto"/>
              </w:rPr>
            </w:pPr>
            <w:r>
              <w:rPr>
                <w:rFonts w:ascii="Courier New" w:cs="Courier New" w:eastAsia="Courier New" w:hAnsi="Courier New"/>
                <w:sz w:val="16"/>
                <w:szCs w:val="16"/>
                <w:color w:val="auto"/>
              </w:rPr>
              <w:t>COMPREHENSIVE</w:t>
            </w:r>
          </w:p>
        </w:tc>
        <w:tc>
          <w:tcPr>
            <w:tcW w:w="1120" w:type="dxa"/>
            <w:vAlign w:val="bottom"/>
          </w:tcPr>
          <w:p>
            <w:pPr>
              <w:spacing w:after="0"/>
              <w:rPr>
                <w:sz w:val="15"/>
                <w:szCs w:val="15"/>
                <w:color w:val="auto"/>
              </w:rPr>
            </w:pP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THOUSANDS OF DOLLARS</w:t>
            </w: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OF SHARES</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VALUE</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CAPITAL</w:t>
            </w: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(DEFICIT)</w:t>
            </w:r>
          </w:p>
        </w:tc>
        <w:tc>
          <w:tcPr>
            <w:tcW w:w="16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INCOME</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TOTAL</w:t>
            </w:r>
          </w:p>
        </w:tc>
      </w:tr>
      <w:tr>
        <w:trPr>
          <w:trHeight w:val="180"/>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w w:val="97"/>
              </w:rPr>
              <w:t>- ----------------------------------------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6"/>
              </w:rPr>
              <w:t>----------------- ----------</w:t>
            </w:r>
          </w:p>
        </w:tc>
      </w:tr>
      <w:tr>
        <w:trPr>
          <w:trHeight w:val="541"/>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January 1, 1999</w:t>
            </w: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14,804</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$149</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$27,902</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$28,306</w:t>
            </w:r>
          </w:p>
        </w:tc>
        <w:tc>
          <w:tcPr>
            <w:tcW w:w="16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$(115)</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$56,242</w:t>
            </w:r>
          </w:p>
        </w:tc>
      </w:tr>
      <w:tr>
        <w:trPr>
          <w:trHeight w:val="180"/>
        </w:trPr>
        <w:tc>
          <w:tcPr>
            <w:tcW w:w="384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3,677</w:t>
            </w:r>
          </w:p>
        </w:tc>
        <w:tc>
          <w:tcPr>
            <w:tcW w:w="168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3,677</w:t>
            </w:r>
          </w:p>
        </w:tc>
      </w:tr>
      <w:tr>
        <w:trPr>
          <w:trHeight w:val="180"/>
        </w:trPr>
        <w:tc>
          <w:tcPr>
            <w:tcW w:w="3840" w:type="dxa"/>
            <w:vAlign w:val="bottom"/>
          </w:tcPr>
          <w:p>
            <w:pPr>
              <w:ind w:left="280"/>
              <w:spacing w:after="0"/>
              <w:rPr>
                <w:sz w:val="20"/>
                <w:szCs w:val="20"/>
                <w:color w:val="auto"/>
              </w:rPr>
            </w:pPr>
            <w:r>
              <w:rPr>
                <w:rFonts w:ascii="Courier New" w:cs="Courier New" w:eastAsia="Courier New" w:hAnsi="Courier New"/>
                <w:sz w:val="16"/>
                <w:szCs w:val="16"/>
                <w:color w:val="auto"/>
              </w:rPr>
              <w:t>Dividends</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(2,368)</w:t>
            </w:r>
          </w:p>
        </w:tc>
        <w:tc>
          <w:tcPr>
            <w:tcW w:w="168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(2,368)</w:t>
            </w:r>
          </w:p>
        </w:tc>
      </w:tr>
      <w:tr>
        <w:trPr>
          <w:trHeight w:val="180"/>
        </w:trPr>
        <w:tc>
          <w:tcPr>
            <w:tcW w:w="3840" w:type="dxa"/>
            <w:vAlign w:val="bottom"/>
          </w:tcPr>
          <w:p>
            <w:pPr>
              <w:ind w:left="280"/>
              <w:spacing w:after="0"/>
              <w:rPr>
                <w:sz w:val="20"/>
                <w:szCs w:val="20"/>
                <w:color w:val="auto"/>
              </w:rPr>
            </w:pPr>
            <w:r>
              <w:rPr>
                <w:rFonts w:ascii="Courier New" w:cs="Courier New" w:eastAsia="Courier New" w:hAnsi="Courier New"/>
                <w:sz w:val="16"/>
                <w:szCs w:val="16"/>
                <w:color w:val="auto"/>
              </w:rPr>
              <w:t>Other comprehensive income</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(1,287)</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(1,287)</w:t>
            </w:r>
          </w:p>
        </w:tc>
      </w:tr>
      <w:tr>
        <w:trPr>
          <w:trHeight w:val="180"/>
        </w:trPr>
        <w:tc>
          <w:tcPr>
            <w:tcW w:w="38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6"/>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June 30, 1999</w:t>
            </w: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14,804</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$149</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$27,902</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$29,615</w:t>
            </w:r>
          </w:p>
        </w:tc>
        <w:tc>
          <w:tcPr>
            <w:tcW w:w="16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9"/>
              </w:rPr>
              <w:t>$ (1,402)</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$56,264</w:t>
            </w:r>
          </w:p>
        </w:tc>
      </w:tr>
      <w:tr>
        <w:trPr>
          <w:trHeight w:val="180"/>
        </w:trPr>
        <w:tc>
          <w:tcPr>
            <w:tcW w:w="38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6"/>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January 1, 2000</w:t>
            </w: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15,244</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$153</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$30,398</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$31,255</w:t>
            </w:r>
          </w:p>
        </w:tc>
        <w:tc>
          <w:tcPr>
            <w:tcW w:w="16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9"/>
              </w:rPr>
              <w:t>$ (1,678)</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$60,128</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4,352</w:t>
            </w:r>
          </w:p>
        </w:tc>
        <w:tc>
          <w:tcPr>
            <w:tcW w:w="168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4,352</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Dividends</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(2,439)</w:t>
            </w:r>
          </w:p>
        </w:tc>
        <w:tc>
          <w:tcPr>
            <w:tcW w:w="168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(2,439)</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Other comprehensive income</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(422)</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(422)</w:t>
            </w:r>
          </w:p>
        </w:tc>
      </w:tr>
      <w:tr>
        <w:trPr>
          <w:trHeight w:val="180"/>
        </w:trPr>
        <w:tc>
          <w:tcPr>
            <w:tcW w:w="38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6"/>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June 30, 2000</w:t>
            </w: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15,244</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$153</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$30,398</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$33,168</w:t>
            </w:r>
          </w:p>
        </w:tc>
        <w:tc>
          <w:tcPr>
            <w:tcW w:w="16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9"/>
              </w:rPr>
              <w:t>$ (2,100)</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$61,619</w:t>
            </w:r>
          </w:p>
        </w:tc>
      </w:tr>
      <w:tr>
        <w:trPr>
          <w:trHeight w:val="180"/>
        </w:trPr>
        <w:tc>
          <w:tcPr>
            <w:tcW w:w="38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6"/>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1440" w:right="139" w:bottom="1440" w:gutter="0" w:footer="0" w:header="0"/>
        </w:sectPr>
      </w:pPr>
    </w:p>
    <w:bookmarkStart w:id="5" w:name="page6"/>
    <w:bookmarkEnd w:id="5"/>
    <w:p>
      <w:pPr>
        <w:jc w:val="center"/>
        <w:ind w:right="2720"/>
        <w:spacing w:after="0"/>
        <w:rPr>
          <w:sz w:val="20"/>
          <w:szCs w:val="20"/>
          <w:color w:val="auto"/>
        </w:rPr>
      </w:pPr>
      <w:r>
        <w:rPr>
          <w:rFonts w:ascii="Courier New" w:cs="Courier New" w:eastAsia="Courier New" w:hAnsi="Courier New"/>
          <w:sz w:val="16"/>
          <w:szCs w:val="16"/>
          <w:color w:val="auto"/>
        </w:rPr>
        <w:t>NN, INC.</w:t>
      </w:r>
    </w:p>
    <w:p>
      <w:pPr>
        <w:jc w:val="center"/>
        <w:ind w:right="2720"/>
        <w:spacing w:after="0"/>
        <w:rPr>
          <w:sz w:val="20"/>
          <w:szCs w:val="20"/>
          <w:color w:val="auto"/>
        </w:rPr>
      </w:pPr>
      <w:r>
        <w:rPr>
          <w:rFonts w:ascii="Courier New" w:cs="Courier New" w:eastAsia="Courier New" w:hAnsi="Courier New"/>
          <w:sz w:val="16"/>
          <w:szCs w:val="16"/>
          <w:color w:val="auto"/>
        </w:rPr>
        <w:t>CONDENSED STATEMENTS OF CASH FLOWS</w:t>
      </w:r>
    </w:p>
    <w:p>
      <w:pPr>
        <w:jc w:val="center"/>
        <w:ind w:right="262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0" w:lineRule="exact"/>
        <w:rPr>
          <w:sz w:val="20"/>
          <w:szCs w:val="20"/>
          <w:color w:val="auto"/>
        </w:rPr>
      </w:pPr>
    </w:p>
    <w:p>
      <w:pPr>
        <w:jc w:val="center"/>
        <w:ind w:left="5260"/>
        <w:spacing w:after="0"/>
        <w:rPr>
          <w:sz w:val="20"/>
          <w:szCs w:val="20"/>
          <w:color w:val="auto"/>
        </w:rPr>
      </w:pPr>
      <w:r>
        <w:rPr>
          <w:rFonts w:ascii="Courier New" w:cs="Courier New" w:eastAsia="Courier New" w:hAnsi="Courier New"/>
          <w:sz w:val="16"/>
          <w:szCs w:val="16"/>
          <w:color w:val="auto"/>
        </w:rPr>
        <w:t>SIX MONTHS ENDED</w:t>
      </w:r>
    </w:p>
    <w:p>
      <w:pPr>
        <w:jc w:val="center"/>
        <w:ind w:left="5260"/>
        <w:spacing w:after="0"/>
        <w:rPr>
          <w:sz w:val="20"/>
          <w:szCs w:val="20"/>
          <w:color w:val="auto"/>
        </w:rPr>
      </w:pPr>
      <w:r>
        <w:rPr>
          <w:rFonts w:ascii="Courier New" w:cs="Courier New" w:eastAsia="Courier New" w:hAnsi="Courier New"/>
          <w:sz w:val="16"/>
          <w:szCs w:val="16"/>
          <w:color w:val="auto"/>
        </w:rPr>
        <w:t>JUNE 30,</w:t>
      </w:r>
    </w:p>
    <w:p>
      <w:pPr>
        <w:spacing w:after="0"/>
        <w:tabs>
          <w:tab w:leader="none" w:pos="1280" w:val="left"/>
          <w:tab w:leader="none" w:pos="7380" w:val="left"/>
          <w:tab w:leader="none" w:pos="8800" w:val="left"/>
        </w:tabs>
        <w:rPr>
          <w:sz w:val="20"/>
          <w:szCs w:val="20"/>
          <w:color w:val="auto"/>
        </w:rPr>
      </w:pPr>
      <w:r>
        <w:rPr>
          <w:rFonts w:ascii="Courier New" w:cs="Courier New" w:eastAsia="Courier New" w:hAnsi="Courier New"/>
          <w:sz w:val="16"/>
          <w:szCs w:val="16"/>
          <w:color w:val="auto"/>
        </w:rPr>
        <w:t>THOUSANDS OF</w:t>
        <w:tab/>
        <w:t>DOLLARS</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6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8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46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$4,352</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$3,677</w:t>
            </w:r>
          </w:p>
        </w:tc>
      </w:tr>
      <w:tr>
        <w:trPr>
          <w:trHeight w:val="180"/>
        </w:trPr>
        <w:tc>
          <w:tcPr>
            <w:tcW w:w="646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w:t>
            </w:r>
          </w:p>
        </w:tc>
        <w:tc>
          <w:tcPr>
            <w:tcW w:w="18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46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 amortization</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3,568</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2,475</w:t>
            </w:r>
          </w:p>
        </w:tc>
      </w:tr>
      <w:tr>
        <w:trPr>
          <w:trHeight w:val="180"/>
        </w:trPr>
        <w:tc>
          <w:tcPr>
            <w:tcW w:w="6460" w:type="dxa"/>
            <w:vAlign w:val="bottom"/>
          </w:tcPr>
          <w:p>
            <w:pPr>
              <w:ind w:left="380"/>
              <w:spacing w:after="0"/>
              <w:rPr>
                <w:sz w:val="20"/>
                <w:szCs w:val="20"/>
                <w:color w:val="auto"/>
              </w:rPr>
            </w:pPr>
            <w:r>
              <w:rPr>
                <w:rFonts w:ascii="Courier New" w:cs="Courier New" w:eastAsia="Courier New" w:hAnsi="Courier New"/>
                <w:sz w:val="16"/>
                <w:szCs w:val="16"/>
                <w:color w:val="auto"/>
              </w:rPr>
              <w:t>Equity earnings of unconsolidated affiliate</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(66)</w:t>
            </w: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ind w:left="380"/>
              <w:spacing w:after="0"/>
              <w:rPr>
                <w:sz w:val="20"/>
                <w:szCs w:val="20"/>
                <w:color w:val="auto"/>
              </w:rPr>
            </w:pPr>
            <w:r>
              <w:rPr>
                <w:rFonts w:ascii="Courier New" w:cs="Courier New" w:eastAsia="Courier New" w:hAnsi="Courier New"/>
                <w:sz w:val="16"/>
                <w:szCs w:val="16"/>
                <w:color w:val="auto"/>
              </w:rPr>
              <w:t>Interest income on receivable from unconsolidated affiliate</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(45)</w:t>
            </w: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ind w:left="3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8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460" w:type="dxa"/>
            <w:vAlign w:val="bottom"/>
          </w:tcPr>
          <w:p>
            <w:pPr>
              <w:ind w:left="560"/>
              <w:spacing w:after="0"/>
              <w:rPr>
                <w:sz w:val="20"/>
                <w:szCs w:val="20"/>
                <w:color w:val="auto"/>
              </w:rPr>
            </w:pPr>
            <w:r>
              <w:rPr>
                <w:rFonts w:ascii="Courier New" w:cs="Courier New" w:eastAsia="Courier New" w:hAnsi="Courier New"/>
                <w:sz w:val="16"/>
                <w:szCs w:val="16"/>
                <w:color w:val="auto"/>
              </w:rPr>
              <w:t>Accounts receivable</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(2,497)</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(2,303)</w:t>
            </w:r>
          </w:p>
        </w:tc>
      </w:tr>
      <w:tr>
        <w:trPr>
          <w:trHeight w:val="180"/>
        </w:trPr>
        <w:tc>
          <w:tcPr>
            <w:tcW w:w="6460" w:type="dxa"/>
            <w:vAlign w:val="bottom"/>
          </w:tcPr>
          <w:p>
            <w:pPr>
              <w:ind w:left="560"/>
              <w:spacing w:after="0"/>
              <w:rPr>
                <w:sz w:val="20"/>
                <w:szCs w:val="20"/>
                <w:color w:val="auto"/>
              </w:rPr>
            </w:pPr>
            <w:r>
              <w:rPr>
                <w:rFonts w:ascii="Courier New" w:cs="Courier New" w:eastAsia="Courier New" w:hAnsi="Courier New"/>
                <w:sz w:val="16"/>
                <w:szCs w:val="16"/>
                <w:color w:val="auto"/>
              </w:rPr>
              <w:t>Inventories</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1,110</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4,054</w:t>
            </w:r>
          </w:p>
        </w:tc>
      </w:tr>
      <w:tr>
        <w:trPr>
          <w:trHeight w:val="180"/>
        </w:trPr>
        <w:tc>
          <w:tcPr>
            <w:tcW w:w="6460" w:type="dxa"/>
            <w:vAlign w:val="bottom"/>
          </w:tcPr>
          <w:p>
            <w:pPr>
              <w:ind w:left="560"/>
              <w:spacing w:after="0"/>
              <w:rPr>
                <w:sz w:val="20"/>
                <w:szCs w:val="20"/>
                <w:color w:val="auto"/>
              </w:rPr>
            </w:pPr>
            <w:r>
              <w:rPr>
                <w:rFonts w:ascii="Courier New" w:cs="Courier New" w:eastAsia="Courier New" w:hAnsi="Courier New"/>
                <w:sz w:val="16"/>
                <w:szCs w:val="16"/>
                <w:color w:val="auto"/>
              </w:rPr>
              <w:t>Taxes payable</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(382)</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(452)</w:t>
            </w:r>
          </w:p>
        </w:tc>
      </w:tr>
      <w:tr>
        <w:trPr>
          <w:trHeight w:val="180"/>
        </w:trPr>
        <w:tc>
          <w:tcPr>
            <w:tcW w:w="6460" w:type="dxa"/>
            <w:vAlign w:val="bottom"/>
          </w:tcPr>
          <w:p>
            <w:pPr>
              <w:ind w:left="560"/>
              <w:spacing w:after="0"/>
              <w:rPr>
                <w:sz w:val="20"/>
                <w:szCs w:val="20"/>
                <w:color w:val="auto"/>
              </w:rPr>
            </w:pPr>
            <w:r>
              <w:rPr>
                <w:rFonts w:ascii="Courier New" w:cs="Courier New" w:eastAsia="Courier New" w:hAnsi="Courier New"/>
                <w:sz w:val="16"/>
                <w:szCs w:val="16"/>
                <w:color w:val="auto"/>
              </w:rPr>
              <w:t>Other current assets</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(3,963)</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(175)</w:t>
            </w:r>
          </w:p>
        </w:tc>
      </w:tr>
      <w:tr>
        <w:trPr>
          <w:trHeight w:val="180"/>
        </w:trPr>
        <w:tc>
          <w:tcPr>
            <w:tcW w:w="6460" w:type="dxa"/>
            <w:vAlign w:val="bottom"/>
          </w:tcPr>
          <w:p>
            <w:pPr>
              <w:ind w:left="560"/>
              <w:spacing w:after="0"/>
              <w:rPr>
                <w:sz w:val="20"/>
                <w:szCs w:val="20"/>
                <w:color w:val="auto"/>
              </w:rPr>
            </w:pPr>
            <w:r>
              <w:rPr>
                <w:rFonts w:ascii="Courier New" w:cs="Courier New" w:eastAsia="Courier New" w:hAnsi="Courier New"/>
                <w:sz w:val="16"/>
                <w:szCs w:val="16"/>
                <w:color w:val="auto"/>
              </w:rPr>
              <w:t>Other assets</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356</w:t>
            </w: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ind w:left="560"/>
              <w:spacing w:after="0"/>
              <w:rPr>
                <w:sz w:val="20"/>
                <w:szCs w:val="20"/>
                <w:color w:val="auto"/>
              </w:rPr>
            </w:pPr>
            <w:r>
              <w:rPr>
                <w:rFonts w:ascii="Courier New" w:cs="Courier New" w:eastAsia="Courier New" w:hAnsi="Courier New"/>
                <w:sz w:val="16"/>
                <w:szCs w:val="16"/>
                <w:color w:val="auto"/>
              </w:rPr>
              <w:t>Accounts payable</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3,609</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(401)</w:t>
            </w:r>
          </w:p>
        </w:tc>
      </w:tr>
      <w:tr>
        <w:trPr>
          <w:trHeight w:val="180"/>
        </w:trPr>
        <w:tc>
          <w:tcPr>
            <w:tcW w:w="6460" w:type="dxa"/>
            <w:vAlign w:val="bottom"/>
          </w:tcPr>
          <w:p>
            <w:pPr>
              <w:ind w:left="560"/>
              <w:spacing w:after="0"/>
              <w:rPr>
                <w:sz w:val="20"/>
                <w:szCs w:val="20"/>
                <w:color w:val="auto"/>
              </w:rPr>
            </w:pPr>
            <w:r>
              <w:rPr>
                <w:rFonts w:ascii="Courier New" w:cs="Courier New" w:eastAsia="Courier New" w:hAnsi="Courier New"/>
                <w:sz w:val="16"/>
                <w:szCs w:val="16"/>
                <w:color w:val="auto"/>
              </w:rPr>
              <w:t>Other liabilities</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835</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995</w:t>
            </w:r>
          </w:p>
        </w:tc>
      </w:tr>
      <w:tr>
        <w:trPr>
          <w:trHeight w:val="180"/>
        </w:trPr>
        <w:tc>
          <w:tcPr>
            <w:tcW w:w="6460" w:type="dxa"/>
            <w:vAlign w:val="bottom"/>
          </w:tcPr>
          <w:p>
            <w:pPr>
              <w:spacing w:after="0"/>
              <w:rPr>
                <w:sz w:val="15"/>
                <w:szCs w:val="15"/>
                <w:color w:val="auto"/>
              </w:rPr>
            </w:pP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ind w:left="84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6,877</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7,870</w:t>
            </w:r>
          </w:p>
        </w:tc>
      </w:tr>
      <w:tr>
        <w:trPr>
          <w:trHeight w:val="180"/>
        </w:trPr>
        <w:tc>
          <w:tcPr>
            <w:tcW w:w="6460" w:type="dxa"/>
            <w:vAlign w:val="bottom"/>
          </w:tcPr>
          <w:p>
            <w:pPr>
              <w:spacing w:after="0"/>
              <w:rPr>
                <w:sz w:val="15"/>
                <w:szCs w:val="15"/>
                <w:color w:val="auto"/>
              </w:rPr>
            </w:pP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46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6460" w:type="dxa"/>
            <w:vAlign w:val="bottom"/>
          </w:tcPr>
          <w:p>
            <w:pPr>
              <w:ind w:left="100"/>
              <w:spacing w:after="0"/>
              <w:rPr>
                <w:sz w:val="20"/>
                <w:szCs w:val="20"/>
                <w:color w:val="auto"/>
              </w:rPr>
            </w:pPr>
            <w:r>
              <w:rPr>
                <w:rFonts w:ascii="Courier New" w:cs="Courier New" w:eastAsia="Courier New" w:hAnsi="Courier New"/>
                <w:sz w:val="16"/>
                <w:szCs w:val="16"/>
                <w:color w:val="auto"/>
              </w:rPr>
              <w:t>Acquisition of plant, property, and equipment</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(3,663)</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(261)</w:t>
            </w:r>
          </w:p>
        </w:tc>
      </w:tr>
      <w:tr>
        <w:trPr>
          <w:trHeight w:val="180"/>
        </w:trPr>
        <w:tc>
          <w:tcPr>
            <w:tcW w:w="6460" w:type="dxa"/>
            <w:vAlign w:val="bottom"/>
          </w:tcPr>
          <w:p>
            <w:pPr>
              <w:ind w:left="100"/>
              <w:spacing w:after="0"/>
              <w:rPr>
                <w:sz w:val="20"/>
                <w:szCs w:val="20"/>
                <w:color w:val="auto"/>
              </w:rPr>
            </w:pPr>
            <w:r>
              <w:rPr>
                <w:rFonts w:ascii="Courier New" w:cs="Courier New" w:eastAsia="Courier New" w:hAnsi="Courier New"/>
                <w:sz w:val="16"/>
                <w:szCs w:val="16"/>
                <w:color w:val="auto"/>
              </w:rPr>
              <w:t>Proceeds from disposals of property, plant and equipment</w:t>
            </w:r>
          </w:p>
        </w:tc>
        <w:tc>
          <w:tcPr>
            <w:tcW w:w="18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w:t>
            </w:r>
          </w:p>
        </w:tc>
      </w:tr>
      <w:tr>
        <w:trPr>
          <w:trHeight w:val="180"/>
        </w:trPr>
        <w:tc>
          <w:tcPr>
            <w:tcW w:w="6460" w:type="dxa"/>
            <w:vAlign w:val="bottom"/>
          </w:tcPr>
          <w:p>
            <w:pPr>
              <w:ind w:left="100"/>
              <w:spacing w:after="0"/>
              <w:rPr>
                <w:sz w:val="20"/>
                <w:szCs w:val="20"/>
                <w:color w:val="auto"/>
              </w:rPr>
            </w:pPr>
            <w:r>
              <w:rPr>
                <w:rFonts w:ascii="Courier New" w:cs="Courier New" w:eastAsia="Courier New" w:hAnsi="Courier New"/>
                <w:sz w:val="16"/>
                <w:szCs w:val="16"/>
                <w:color w:val="auto"/>
              </w:rPr>
              <w:t>Involuntary conversion of property, plant and equipment</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2,001</w:t>
            </w: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ind w:left="100"/>
              <w:spacing w:after="0"/>
              <w:rPr>
                <w:sz w:val="20"/>
                <w:szCs w:val="20"/>
                <w:color w:val="auto"/>
              </w:rPr>
            </w:pPr>
            <w:r>
              <w:rPr>
                <w:rFonts w:ascii="Courier New" w:cs="Courier New" w:eastAsia="Courier New" w:hAnsi="Courier New"/>
                <w:sz w:val="16"/>
                <w:szCs w:val="16"/>
                <w:color w:val="auto"/>
              </w:rPr>
              <w:t>Long-term note receivable</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(3,120)</w:t>
            </w: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ind w:left="100"/>
              <w:spacing w:after="0"/>
              <w:rPr>
                <w:sz w:val="20"/>
                <w:szCs w:val="20"/>
                <w:color w:val="auto"/>
              </w:rPr>
            </w:pPr>
            <w:r>
              <w:rPr>
                <w:rFonts w:ascii="Courier New" w:cs="Courier New" w:eastAsia="Courier New" w:hAnsi="Courier New"/>
                <w:sz w:val="16"/>
                <w:szCs w:val="16"/>
                <w:color w:val="auto"/>
              </w:rPr>
              <w:t>Investment in unconsolidated earnings</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(100)</w:t>
            </w: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15"/>
                <w:szCs w:val="15"/>
                <w:color w:val="auto"/>
              </w:rPr>
            </w:pP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ind w:left="840"/>
              <w:spacing w:after="0"/>
              <w:rPr>
                <w:sz w:val="20"/>
                <w:szCs w:val="20"/>
                <w:color w:val="auto"/>
              </w:rPr>
            </w:pPr>
            <w:r>
              <w:rPr>
                <w:rFonts w:ascii="Courier New" w:cs="Courier New" w:eastAsia="Courier New" w:hAnsi="Courier New"/>
                <w:sz w:val="16"/>
                <w:szCs w:val="16"/>
                <w:color w:val="auto"/>
              </w:rPr>
              <w:t>Net cash used by investing activities</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(4,882)</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(196)</w:t>
            </w:r>
          </w:p>
        </w:tc>
      </w:tr>
      <w:tr>
        <w:trPr>
          <w:trHeight w:val="180"/>
        </w:trPr>
        <w:tc>
          <w:tcPr>
            <w:tcW w:w="6460" w:type="dxa"/>
            <w:vAlign w:val="bottom"/>
          </w:tcPr>
          <w:p>
            <w:pPr>
              <w:spacing w:after="0"/>
              <w:rPr>
                <w:sz w:val="15"/>
                <w:szCs w:val="15"/>
                <w:color w:val="auto"/>
              </w:rPr>
            </w:pP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4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6460" w:type="dxa"/>
            <w:vAlign w:val="bottom"/>
          </w:tcPr>
          <w:p>
            <w:pPr>
              <w:ind w:left="100"/>
              <w:spacing w:after="0"/>
              <w:rPr>
                <w:sz w:val="20"/>
                <w:szCs w:val="20"/>
                <w:color w:val="auto"/>
              </w:rPr>
            </w:pPr>
            <w:r>
              <w:rPr>
                <w:rFonts w:ascii="Courier New" w:cs="Courier New" w:eastAsia="Courier New" w:hAnsi="Courier New"/>
                <w:sz w:val="16"/>
                <w:szCs w:val="16"/>
                <w:color w:val="auto"/>
              </w:rPr>
              <w:t>Net proceeds under revolving credit facility</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1,889</w:t>
            </w: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ind w:left="100"/>
              <w:spacing w:after="0"/>
              <w:rPr>
                <w:sz w:val="20"/>
                <w:szCs w:val="20"/>
                <w:color w:val="auto"/>
              </w:rPr>
            </w:pPr>
            <w:r>
              <w:rPr>
                <w:rFonts w:ascii="Courier New" w:cs="Courier New" w:eastAsia="Courier New" w:hAnsi="Courier New"/>
                <w:sz w:val="16"/>
                <w:szCs w:val="16"/>
                <w:color w:val="auto"/>
              </w:rPr>
              <w:t>Dividends paid</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(2,439)</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(2,368)</w:t>
            </w:r>
          </w:p>
        </w:tc>
      </w:tr>
      <w:tr>
        <w:trPr>
          <w:trHeight w:val="180"/>
        </w:trPr>
        <w:tc>
          <w:tcPr>
            <w:tcW w:w="6460" w:type="dxa"/>
            <w:vAlign w:val="bottom"/>
          </w:tcPr>
          <w:p>
            <w:pPr>
              <w:spacing w:after="0"/>
              <w:rPr>
                <w:sz w:val="15"/>
                <w:szCs w:val="15"/>
                <w:color w:val="auto"/>
              </w:rPr>
            </w:pP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ind w:left="840"/>
              <w:spacing w:after="0"/>
              <w:rPr>
                <w:sz w:val="20"/>
                <w:szCs w:val="20"/>
                <w:color w:val="auto"/>
              </w:rPr>
            </w:pPr>
            <w:r>
              <w:rPr>
                <w:rFonts w:ascii="Courier New" w:cs="Courier New" w:eastAsia="Courier New" w:hAnsi="Courier New"/>
                <w:sz w:val="16"/>
                <w:szCs w:val="16"/>
                <w:color w:val="auto"/>
              </w:rPr>
              <w:t>Net cash used by financing activities</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(550)</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(3,655)</w:t>
            </w:r>
          </w:p>
        </w:tc>
      </w:tr>
      <w:tr>
        <w:trPr>
          <w:trHeight w:val="361"/>
        </w:trPr>
        <w:tc>
          <w:tcPr>
            <w:tcW w:w="6460" w:type="dxa"/>
            <w:vAlign w:val="bottom"/>
          </w:tcPr>
          <w:p>
            <w:pPr>
              <w:ind w:left="100"/>
              <w:spacing w:after="0"/>
              <w:rPr>
                <w:sz w:val="20"/>
                <w:szCs w:val="20"/>
                <w:color w:val="auto"/>
              </w:rPr>
            </w:pPr>
            <w:r>
              <w:rPr>
                <w:rFonts w:ascii="Courier New" w:cs="Courier New" w:eastAsia="Courier New" w:hAnsi="Courier New"/>
                <w:sz w:val="16"/>
                <w:szCs w:val="16"/>
                <w:color w:val="auto"/>
              </w:rPr>
              <w:t>Effect of exchange rate changes</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(422)</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(1,287)</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Net Change in Cash and Cash Equivalents</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1,445</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4,019</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1,409</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1,430</w:t>
            </w:r>
          </w:p>
        </w:tc>
      </w:tr>
      <w:tr>
        <w:trPr>
          <w:trHeight w:val="180"/>
        </w:trPr>
        <w:tc>
          <w:tcPr>
            <w:tcW w:w="6460" w:type="dxa"/>
            <w:vAlign w:val="bottom"/>
          </w:tcPr>
          <w:p>
            <w:pPr>
              <w:spacing w:after="0"/>
              <w:rPr>
                <w:sz w:val="15"/>
                <w:szCs w:val="15"/>
                <w:color w:val="auto"/>
              </w:rPr>
            </w:pP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8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$ 2,432</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$5,449</w:t>
            </w:r>
          </w:p>
        </w:tc>
      </w:tr>
      <w:tr>
        <w:trPr>
          <w:trHeight w:val="180"/>
        </w:trPr>
        <w:tc>
          <w:tcPr>
            <w:tcW w:w="6460" w:type="dxa"/>
            <w:vAlign w:val="bottom"/>
          </w:tcPr>
          <w:p>
            <w:pPr>
              <w:spacing w:after="0"/>
              <w:rPr>
                <w:sz w:val="15"/>
                <w:szCs w:val="15"/>
                <w:color w:val="auto"/>
              </w:rPr>
            </w:pP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40" w:top="1195" w:right="1439" w:bottom="1440" w:gutter="0" w:footer="0" w:header="0"/>
        </w:sectPr>
      </w:pPr>
    </w:p>
    <w:bookmarkStart w:id="6" w:name="page7"/>
    <w:bookmarkEnd w:id="6"/>
    <w:p>
      <w:pPr>
        <w:ind w:left="3380"/>
        <w:spacing w:after="0"/>
        <w:rPr>
          <w:sz w:val="20"/>
          <w:szCs w:val="20"/>
          <w:color w:val="auto"/>
        </w:rPr>
      </w:pPr>
      <w:r>
        <w:rPr>
          <w:rFonts w:ascii="Courier New" w:cs="Courier New" w:eastAsia="Courier New" w:hAnsi="Courier New"/>
          <w:sz w:val="16"/>
          <w:szCs w:val="16"/>
          <w:color w:val="auto"/>
        </w:rPr>
        <w:t>NN, INC.</w:t>
      </w:r>
    </w:p>
    <w:p>
      <w:pPr>
        <w:ind w:left="1780"/>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200" w:lineRule="exact"/>
        <w:rPr>
          <w:sz w:val="20"/>
          <w:szCs w:val="20"/>
          <w:color w:val="auto"/>
        </w:rPr>
      </w:pPr>
    </w:p>
    <w:p>
      <w:pPr>
        <w:spacing w:after="0" w:line="33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5"/>
          <w:szCs w:val="15"/>
          <w:color w:val="auto"/>
        </w:rPr>
        <w:t>INTERIM FINANCIAL STATEMENTS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accompanying condensed financial statements of NN, Inc. have not been audited by independent accountants, except for the balance sheet at December 31, 1999. In the opinion of the Company's management, the financial statements reflect all adjustments necessary to present fairly the results of operations for the three and six month periods ended June 30, 2000 and 1999, the Company's financial position at June 30, 2000 and December 31, 1999, and the cash flows for the six month periods ended June 30, 2000 and 1999. These adjustments are of a normal recurring nature and are, in the opinion of management, necessary for fair presentation of the financial position and operating results for the interim periods.</w:t>
      </w:r>
    </w:p>
    <w:p>
      <w:pPr>
        <w:spacing w:after="0" w:line="18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186"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The results for the first and second quarters of 2000 are not necessarily indicative of future results.</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5"/>
          <w:szCs w:val="15"/>
          <w:color w:val="auto"/>
        </w:rPr>
        <w:t>INVENTORIES</w:t>
      </w:r>
    </w:p>
    <w:p>
      <w:pPr>
        <w:spacing w:after="0" w:line="185" w:lineRule="exact"/>
        <w:rPr>
          <w:sz w:val="20"/>
          <w:szCs w:val="20"/>
          <w:color w:val="auto"/>
        </w:rPr>
      </w:pPr>
    </w:p>
    <w:p>
      <w:pPr>
        <w:ind w:right="3659"/>
        <w:spacing w:after="0" w:line="236" w:lineRule="auto"/>
        <w:rPr>
          <w:sz w:val="20"/>
          <w:szCs w:val="20"/>
          <w:color w:val="auto"/>
        </w:rPr>
      </w:pPr>
      <w:r>
        <w:rPr>
          <w:rFonts w:ascii="Courier New" w:cs="Courier New" w:eastAsia="Courier New" w:hAnsi="Courier New"/>
          <w:sz w:val="16"/>
          <w:szCs w:val="16"/>
          <w:color w:val="auto"/>
        </w:rPr>
        <w:t>Inventories are stated at the lower of cost or market, with cost being determined by the first-in, first-out method.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are comprised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JUNE 30,</w:t>
            </w:r>
          </w:p>
        </w:tc>
        <w:tc>
          <w:tcPr>
            <w:tcW w:w="1120" w:type="dxa"/>
            <w:vAlign w:val="bottom"/>
          </w:tcPr>
          <w:p>
            <w:pPr>
              <w:spacing w:after="0"/>
              <w:rPr>
                <w:sz w:val="20"/>
                <w:szCs w:val="20"/>
                <w:color w:val="auto"/>
              </w:rPr>
            </w:pPr>
            <w:r>
              <w:rPr>
                <w:rFonts w:ascii="Courier New" w:cs="Courier New" w:eastAsia="Courier New" w:hAnsi="Courier New"/>
                <w:sz w:val="16"/>
                <w:szCs w:val="16"/>
                <w:color w:val="auto"/>
                <w:w w:val="95"/>
              </w:rPr>
              <w:t>DECEMBER 31,</w:t>
            </w:r>
          </w:p>
        </w:tc>
      </w:tr>
      <w:tr>
        <w:trPr>
          <w:trHeight w:val="180"/>
        </w:trPr>
        <w:tc>
          <w:tcPr>
            <w:tcW w:w="4880" w:type="dxa"/>
            <w:vAlign w:val="bottom"/>
          </w:tcPr>
          <w:p>
            <w:pPr>
              <w:spacing w:after="0"/>
              <w:rPr>
                <w:sz w:val="15"/>
                <w:szCs w:val="15"/>
                <w:color w:val="auto"/>
              </w:rPr>
            </w:pP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48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1120" w:type="dxa"/>
            <w:vAlign w:val="bottom"/>
          </w:tcPr>
          <w:p>
            <w:pPr>
              <w:spacing w:after="0"/>
              <w:rPr>
                <w:sz w:val="15"/>
                <w:szCs w:val="15"/>
                <w:color w:val="auto"/>
              </w:rPr>
            </w:pPr>
          </w:p>
        </w:tc>
      </w:tr>
      <w:tr>
        <w:trPr>
          <w:trHeight w:val="180"/>
        </w:trPr>
        <w:tc>
          <w:tcPr>
            <w:tcW w:w="4880" w:type="dxa"/>
            <w:vAlign w:val="bottom"/>
          </w:tcPr>
          <w:p>
            <w:pPr>
              <w:spacing w:after="0"/>
              <w:rPr>
                <w:sz w:val="15"/>
                <w:szCs w:val="15"/>
                <w:color w:val="auto"/>
              </w:rPr>
            </w:pP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2,539</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6"/>
              </w:rPr>
              <w:t>$  3,131</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2,607</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2,585</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6,926</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7,466</w:t>
            </w:r>
          </w:p>
        </w:tc>
      </w:tr>
      <w:tr>
        <w:trPr>
          <w:trHeight w:val="180"/>
        </w:trPr>
        <w:tc>
          <w:tcPr>
            <w:tcW w:w="4880" w:type="dxa"/>
            <w:vAlign w:val="bottom"/>
          </w:tcPr>
          <w:p>
            <w:pPr>
              <w:spacing w:after="0"/>
              <w:rPr>
                <w:sz w:val="15"/>
                <w:szCs w:val="15"/>
                <w:color w:val="auto"/>
              </w:rPr>
            </w:pP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12,072</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13,182</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Less - Reserve for excess and obsolete inventory</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60</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60</w:t>
            </w:r>
          </w:p>
        </w:tc>
      </w:tr>
      <w:tr>
        <w:trPr>
          <w:trHeight w:val="180"/>
        </w:trPr>
        <w:tc>
          <w:tcPr>
            <w:tcW w:w="4880" w:type="dxa"/>
            <w:vAlign w:val="bottom"/>
          </w:tcPr>
          <w:p>
            <w:pPr>
              <w:spacing w:after="0"/>
              <w:rPr>
                <w:sz w:val="15"/>
                <w:szCs w:val="15"/>
                <w:color w:val="auto"/>
              </w:rPr>
            </w:pP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$ 12,012</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6"/>
              </w:rPr>
              <w:t>$ 13,122</w:t>
            </w:r>
          </w:p>
        </w:tc>
      </w:tr>
      <w:tr>
        <w:trPr>
          <w:trHeight w:val="180"/>
        </w:trPr>
        <w:tc>
          <w:tcPr>
            <w:tcW w:w="4880" w:type="dxa"/>
            <w:vAlign w:val="bottom"/>
          </w:tcPr>
          <w:p>
            <w:pPr>
              <w:spacing w:after="0"/>
              <w:rPr>
                <w:sz w:val="15"/>
                <w:szCs w:val="15"/>
                <w:color w:val="auto"/>
              </w:rPr>
            </w:pP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902"/>
        </w:trPr>
        <w:tc>
          <w:tcPr>
            <w:tcW w:w="4880" w:type="dxa"/>
            <w:vAlign w:val="bottom"/>
          </w:tcPr>
          <w:p>
            <w:pPr>
              <w:ind w:left="3660"/>
              <w:spacing w:after="0"/>
              <w:rPr>
                <w:sz w:val="20"/>
                <w:szCs w:val="20"/>
                <w:color w:val="auto"/>
              </w:rPr>
            </w:pPr>
            <w:r>
              <w:rPr>
                <w:rFonts w:ascii="Courier New" w:cs="Courier New" w:eastAsia="Courier New" w:hAnsi="Courier New"/>
                <w:sz w:val="16"/>
                <w:szCs w:val="16"/>
                <w:color w:val="auto"/>
              </w:rPr>
              <w:t>7</w:t>
            </w: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101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NOTE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NET INCOME PER SHARE</w:t>
      </w:r>
    </w:p>
    <w:p>
      <w:pPr>
        <w:spacing w:after="0" w:line="191" w:lineRule="exact"/>
        <w:rPr>
          <w:sz w:val="20"/>
          <w:szCs w:val="20"/>
          <w:color w:val="auto"/>
        </w:rPr>
      </w:pPr>
    </w:p>
    <w:p>
      <w:pPr>
        <w:sectPr>
          <w:pgSz w:w="11900" w:h="16838" w:orient="portrait"/>
          <w:cols w:equalWidth="0" w:num="2">
            <w:col w:w="660" w:space="180"/>
            <w:col w:w="9380"/>
          </w:cols>
          <w:pgMar w:left="240" w:top="839" w:right="1439" w:bottom="1440" w:gutter="0" w:footer="0" w:header="0"/>
        </w:sectPr>
      </w:pPr>
    </w:p>
    <w:p>
      <w:pPr>
        <w:ind w:left="3460"/>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JUNE 30,</w:t>
      </w:r>
    </w:p>
    <w:p>
      <w:pPr>
        <w:ind w:left="3560"/>
        <w:spacing w:after="0"/>
        <w:tabs>
          <w:tab w:leader="none" w:pos="458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SIX MONTHS ENDED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JUNE 30,</w:t>
      </w:r>
    </w:p>
    <w:p>
      <w:pPr>
        <w:spacing w:after="0" w:line="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186" w:lineRule="exact"/>
        <w:rPr>
          <w:sz w:val="20"/>
          <w:szCs w:val="20"/>
          <w:color w:val="auto"/>
        </w:rPr>
      </w:pPr>
    </w:p>
    <w:p>
      <w:pPr>
        <w:sectPr>
          <w:pgSz w:w="11900" w:h="16838" w:orient="portrait"/>
          <w:cols w:equalWidth="0" w:num="2">
            <w:col w:w="5160" w:space="380"/>
            <w:col w:w="4680"/>
          </w:cols>
          <w:pgMar w:left="240" w:top="839" w:right="1439" w:bottom="1440" w:gutter="0" w:footer="0" w:header="0"/>
          <w:type w:val="continuous"/>
        </w:sectPr>
      </w:pPr>
    </w:p>
    <w:p>
      <w:pPr>
        <w:spacing w:after="0"/>
        <w:tabs>
          <w:tab w:leader="none" w:pos="1280" w:val="left"/>
          <w:tab w:leader="none" w:pos="2880" w:val="left"/>
        </w:tabs>
        <w:rPr>
          <w:sz w:val="20"/>
          <w:szCs w:val="20"/>
          <w:color w:val="auto"/>
        </w:rPr>
      </w:pPr>
      <w:r>
        <w:rPr>
          <w:rFonts w:ascii="Courier New" w:cs="Courier New" w:eastAsia="Courier New" w:hAnsi="Courier New"/>
          <w:sz w:val="16"/>
          <w:szCs w:val="16"/>
          <w:color w:val="auto"/>
        </w:rPr>
        <w:t>THOUSANDS OF</w:t>
        <w:tab/>
        <w:t>DOLLARS, EXCEPT</w:t>
      </w:r>
      <w:r>
        <w:rPr>
          <w:sz w:val="20"/>
          <w:szCs w:val="20"/>
          <w:color w:val="auto"/>
        </w:rPr>
        <w:tab/>
      </w:r>
      <w:r>
        <w:rPr>
          <w:rFonts w:ascii="Courier New" w:cs="Courier New" w:eastAsia="Courier New" w:hAnsi="Courier New"/>
          <w:sz w:val="15"/>
          <w:szCs w:val="15"/>
          <w:color w:val="auto"/>
        </w:rPr>
        <w:t>SHARE AND PER SHARE DATA</w:t>
      </w:r>
    </w:p>
    <w:p>
      <w:pPr>
        <w:sectPr>
          <w:pgSz w:w="11900" w:h="16838" w:orient="portrait"/>
          <w:cols w:equalWidth="0" w:num="1">
            <w:col w:w="10220"/>
          </w:cols>
          <w:pgMar w:left="240" w:top="839" w:right="1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2,242</w:t>
            </w: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$ 1,715</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$ 4,352</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3,677</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Adjustments to net income</w:t>
            </w:r>
          </w:p>
        </w:tc>
        <w:tc>
          <w:tcPr>
            <w:tcW w:w="420" w:type="dxa"/>
            <w:vAlign w:val="bottom"/>
          </w:tcPr>
          <w:p>
            <w:pPr>
              <w:spacing w:after="0"/>
              <w:rPr>
                <w:sz w:val="15"/>
                <w:szCs w:val="15"/>
                <w:color w:val="auto"/>
              </w:rPr>
            </w:pPr>
          </w:p>
        </w:tc>
        <w:tc>
          <w:tcPr>
            <w:tcW w:w="8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6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w:t>
            </w:r>
          </w:p>
        </w:tc>
        <w:tc>
          <w:tcPr>
            <w:tcW w:w="460" w:type="dxa"/>
            <w:vAlign w:val="bottom"/>
          </w:tcPr>
          <w:p>
            <w:pPr>
              <w:spacing w:after="0"/>
              <w:rPr>
                <w:sz w:val="15"/>
                <w:szCs w:val="15"/>
                <w:color w:val="auto"/>
              </w:rPr>
            </w:pPr>
          </w:p>
        </w:tc>
        <w:tc>
          <w:tcPr>
            <w:tcW w:w="58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276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76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2,242</w:t>
            </w: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$ 1,715</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$ 4,352</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$ 3,677</w:t>
            </w:r>
          </w:p>
        </w:tc>
      </w:tr>
      <w:tr>
        <w:trPr>
          <w:trHeight w:val="180"/>
        </w:trPr>
        <w:tc>
          <w:tcPr>
            <w:tcW w:w="276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2760" w:type="dxa"/>
            <w:vAlign w:val="bottom"/>
          </w:tcPr>
          <w:p>
            <w:pPr>
              <w:spacing w:after="0"/>
              <w:rPr>
                <w:sz w:val="20"/>
                <w:szCs w:val="20"/>
                <w:color w:val="auto"/>
              </w:rPr>
            </w:pPr>
            <w:r>
              <w:rPr>
                <w:rFonts w:ascii="Courier New" w:cs="Courier New" w:eastAsia="Courier New" w:hAnsi="Courier New"/>
                <w:sz w:val="16"/>
                <w:szCs w:val="16"/>
                <w:color w:val="auto"/>
              </w:rPr>
              <w:t>Basic shares outstanding</w:t>
            </w: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15,244,308</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14,804,244</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15,244,308</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14,804,244</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Effect of dilutive stock</w:t>
            </w:r>
          </w:p>
        </w:tc>
        <w:tc>
          <w:tcPr>
            <w:tcW w:w="4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191,204</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3,606</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192,509</w:t>
            </w:r>
          </w:p>
        </w:tc>
        <w:tc>
          <w:tcPr>
            <w:tcW w:w="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1,444</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options</w:t>
            </w: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rPr>
              <w:t>Dilutive shares outstanding</w:t>
            </w: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15,435,512</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14,807,850</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15,436,817</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14,805,688</w:t>
            </w:r>
          </w:p>
        </w:tc>
      </w:tr>
      <w:tr>
        <w:trPr>
          <w:trHeight w:val="180"/>
        </w:trPr>
        <w:tc>
          <w:tcPr>
            <w:tcW w:w="276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Basic net income per share</w:t>
            </w:r>
          </w:p>
        </w:tc>
        <w:tc>
          <w:tcPr>
            <w:tcW w:w="4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$ 0.15</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$ 0.12</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0.28</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0.25</w:t>
            </w:r>
          </w:p>
        </w:tc>
      </w:tr>
      <w:tr>
        <w:trPr>
          <w:trHeight w:val="180"/>
        </w:trPr>
        <w:tc>
          <w:tcPr>
            <w:tcW w:w="276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4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$ 0.15</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$ 0.12</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0.28</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0.25</w:t>
            </w:r>
          </w:p>
        </w:tc>
      </w:tr>
      <w:tr>
        <w:trPr>
          <w:trHeight w:val="180"/>
        </w:trPr>
        <w:tc>
          <w:tcPr>
            <w:tcW w:w="276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0"/>
          <w:szCs w:val="20"/>
          <w:color w:val="auto"/>
        </w:rPr>
      </w:pPr>
    </w:p>
    <w:p>
      <w:pPr>
        <w:ind w:right="2720"/>
        <w:spacing w:after="0" w:line="237" w:lineRule="auto"/>
        <w:rPr>
          <w:sz w:val="20"/>
          <w:szCs w:val="20"/>
          <w:color w:val="auto"/>
        </w:rPr>
      </w:pPr>
      <w:r>
        <w:rPr>
          <w:rFonts w:ascii="Courier New" w:cs="Courier New" w:eastAsia="Courier New" w:hAnsi="Courier New"/>
          <w:sz w:val="16"/>
          <w:szCs w:val="16"/>
          <w:color w:val="auto"/>
        </w:rPr>
        <w:t>Excluded from the shares outstanding for the second quarter ended June 30, 2000 and 1999 were 10,750 and 438,125 antidilutive options, respectively, which had exercise prices ranging from $9.75 to $11.50 and $6.38 to $15.50. Excluded from the shares outstanding for the six months ended June 30, 2000 and 1999 were 10,750 and 510,125 antidilutive options, respectively, which had exercise prices ranging from $9.75 to $11.50 and $6.00 to $15.50.</w:t>
      </w:r>
    </w:p>
    <w:p>
      <w:pPr>
        <w:spacing w:after="0" w:line="18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4.</w:t>
      </w:r>
      <w:r>
        <w:rPr>
          <w:sz w:val="20"/>
          <w:szCs w:val="20"/>
          <w:color w:val="auto"/>
        </w:rPr>
        <w:tab/>
      </w:r>
      <w:r>
        <w:rPr>
          <w:rFonts w:ascii="Courier New" w:cs="Courier New" w:eastAsia="Courier New" w:hAnsi="Courier New"/>
          <w:sz w:val="15"/>
          <w:szCs w:val="15"/>
          <w:color w:val="auto"/>
        </w:rPr>
        <w:t>SEGMENT INFORMATION</w:t>
      </w:r>
    </w:p>
    <w:p>
      <w:pPr>
        <w:spacing w:after="0" w:line="185" w:lineRule="exact"/>
        <w:rPr>
          <w:sz w:val="20"/>
          <w:szCs w:val="20"/>
          <w:color w:val="auto"/>
        </w:rPr>
      </w:pPr>
    </w:p>
    <w:p>
      <w:pPr>
        <w:ind w:right="2720"/>
        <w:spacing w:after="0" w:line="238" w:lineRule="auto"/>
        <w:rPr>
          <w:sz w:val="20"/>
          <w:szCs w:val="20"/>
          <w:color w:val="auto"/>
        </w:rPr>
      </w:pPr>
      <w:r>
        <w:rPr>
          <w:rFonts w:ascii="Courier New" w:cs="Courier New" w:eastAsia="Courier New" w:hAnsi="Courier New"/>
          <w:sz w:val="16"/>
          <w:szCs w:val="16"/>
          <w:color w:val="auto"/>
        </w:rPr>
        <w:t>In connection with the Company's acquisition of certain assets and liabilities of Earsley Capital Corporation in July 1999, the Company has chosen to realign its reportable segments on the basis of manufactured products. As a result of this realignment, the Company now has two reportable segments, which include balls &amp; rollers and plastics. The Company's ball &amp; roller operations are distributed among two manufacturing facilities in Tennessee, one manufacturing facility in South Carolina and one manufacturing facility in Kilkenny, Ireland. All of these facilities are engaged in the production of precision balls and rollers used primarily in the bearing industry. The Company's plastic operations are located in two manufacturing facilities located in Lubbock, Texas. The facility is engaged in the production of precision plastic injection molded components.</w:t>
      </w:r>
    </w:p>
    <w:p>
      <w:pPr>
        <w:spacing w:after="0" w:line="188" w:lineRule="exact"/>
        <w:rPr>
          <w:sz w:val="20"/>
          <w:szCs w:val="20"/>
          <w:color w:val="auto"/>
        </w:rPr>
      </w:pPr>
    </w:p>
    <w:p>
      <w:pPr>
        <w:ind w:right="2720"/>
        <w:spacing w:after="0" w:line="237" w:lineRule="auto"/>
        <w:rPr>
          <w:sz w:val="20"/>
          <w:szCs w:val="20"/>
          <w:color w:val="auto"/>
        </w:rPr>
      </w:pPr>
      <w:r>
        <w:rPr>
          <w:rFonts w:ascii="Courier New" w:cs="Courier New" w:eastAsia="Courier New" w:hAnsi="Courier New"/>
          <w:sz w:val="16"/>
          <w:szCs w:val="16"/>
          <w:color w:val="auto"/>
        </w:rPr>
        <w:t>The accounting policies of the segments do not differ from those of the consolidated entity. The Company evaluates segment performance based on profit or loss from operations before income taxes not including non-recurring gains or losses. The Company accounts for intersegment sales and transfers at current market prices; however, the Company did not have any material intersegment transactions during the six-month period ended June 30, 2000.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1900"/>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jc w:val="center"/>
        <w:ind w:left="1900"/>
        <w:spacing w:after="0"/>
        <w:rPr>
          <w:sz w:val="20"/>
          <w:szCs w:val="20"/>
          <w:color w:val="auto"/>
        </w:rPr>
      </w:pPr>
      <w:r>
        <w:rPr>
          <w:rFonts w:ascii="Courier New" w:cs="Courier New" w:eastAsia="Courier New" w:hAnsi="Courier New"/>
          <w:sz w:val="16"/>
          <w:szCs w:val="16"/>
          <w:color w:val="auto"/>
        </w:rPr>
        <w:t>JUNE 30,</w:t>
      </w:r>
    </w:p>
    <w:p>
      <w:pPr>
        <w:sectPr>
          <w:pgSz w:w="11900" w:h="16838" w:orient="portrait"/>
          <w:cols w:equalWidth="0" w:num="1">
            <w:col w:w="10220"/>
          </w:cols>
          <w:pgMar w:left="240" w:top="839" w:right="1439" w:bottom="1440" w:gutter="0" w:footer="0" w:header="0"/>
          <w:type w:val="continuous"/>
        </w:sectPr>
      </w:pPr>
    </w:p>
    <w:p>
      <w:pPr>
        <w:spacing w:after="0" w:line="185"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2000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5" w:lineRule="exact"/>
        <w:rPr>
          <w:sz w:val="20"/>
          <w:szCs w:val="20"/>
          <w:color w:val="auto"/>
        </w:rPr>
      </w:pPr>
    </w:p>
    <w:p>
      <w:pPr>
        <w:sectPr>
          <w:pgSz w:w="11900" w:h="16838" w:orient="portrait"/>
          <w:cols w:equalWidth="0" w:num="2">
            <w:col w:w="7720" w:space="720"/>
            <w:col w:w="1780"/>
          </w:cols>
          <w:pgMar w:left="240" w:top="839" w:right="1439" w:bottom="1440" w:gutter="0" w:footer="0" w:header="0"/>
          <w:type w:val="continuous"/>
        </w:sectPr>
      </w:pPr>
    </w:p>
    <w:p>
      <w:pPr>
        <w:spacing w:after="0"/>
        <w:tabs>
          <w:tab w:leader="none" w:pos="3440" w:val="left"/>
          <w:tab w:leader="none" w:pos="5420" w:val="left"/>
          <w:tab w:leader="none" w:pos="6920" w:val="left"/>
          <w:tab w:leader="none" w:pos="8880" w:val="left"/>
        </w:tabs>
        <w:rPr>
          <w:sz w:val="20"/>
          <w:szCs w:val="20"/>
          <w:color w:val="auto"/>
        </w:rPr>
      </w:pPr>
      <w:r>
        <w:rPr>
          <w:rFonts w:ascii="Courier New" w:cs="Courier New" w:eastAsia="Courier New" w:hAnsi="Courier New"/>
          <w:sz w:val="16"/>
          <w:szCs w:val="16"/>
          <w:color w:val="auto"/>
        </w:rPr>
        <w:t>THOUSANDS OF DOLLARS</w:t>
      </w:r>
      <w:r>
        <w:rPr>
          <w:sz w:val="20"/>
          <w:szCs w:val="20"/>
          <w:color w:val="auto"/>
        </w:rPr>
        <w:tab/>
      </w:r>
      <w:r>
        <w:rPr>
          <w:rFonts w:ascii="Courier New" w:cs="Courier New" w:eastAsia="Courier New" w:hAnsi="Courier New"/>
          <w:sz w:val="16"/>
          <w:szCs w:val="16"/>
          <w:color w:val="auto"/>
        </w:rPr>
        <w:t>BALL &amp; ROLLER</w:t>
      </w:r>
      <w:r>
        <w:rPr>
          <w:sz w:val="20"/>
          <w:szCs w:val="20"/>
          <w:color w:val="auto"/>
        </w:rPr>
        <w:tab/>
      </w:r>
      <w:r>
        <w:rPr>
          <w:rFonts w:ascii="Courier New" w:cs="Courier New" w:eastAsia="Courier New" w:hAnsi="Courier New"/>
          <w:sz w:val="16"/>
          <w:szCs w:val="16"/>
          <w:color w:val="auto"/>
        </w:rPr>
        <w:t>PLASTICS</w:t>
      </w:r>
      <w:r>
        <w:rPr>
          <w:sz w:val="20"/>
          <w:szCs w:val="20"/>
          <w:color w:val="auto"/>
        </w:rPr>
        <w:tab/>
      </w:r>
      <w:r>
        <w:rPr>
          <w:rFonts w:ascii="Courier New" w:cs="Courier New" w:eastAsia="Courier New" w:hAnsi="Courier New"/>
          <w:sz w:val="16"/>
          <w:szCs w:val="16"/>
          <w:color w:val="auto"/>
        </w:rPr>
        <w:t>BALL &amp; ROLLER</w:t>
      </w:r>
      <w:r>
        <w:rPr>
          <w:sz w:val="20"/>
          <w:szCs w:val="20"/>
          <w:color w:val="auto"/>
        </w:rPr>
        <w:tab/>
      </w:r>
      <w:r>
        <w:rPr>
          <w:rFonts w:ascii="Courier New" w:cs="Courier New" w:eastAsia="Courier New" w:hAnsi="Courier New"/>
          <w:sz w:val="15"/>
          <w:szCs w:val="15"/>
          <w:color w:val="auto"/>
        </w:rPr>
        <w:t>PLASTICS</w:t>
      </w:r>
    </w:p>
    <w:p>
      <w:pPr>
        <w:sectPr>
          <w:pgSz w:w="11900" w:h="16838" w:orient="portrait"/>
          <w:cols w:equalWidth="0" w:num="1">
            <w:col w:w="10220"/>
          </w:cols>
          <w:pgMar w:left="240" w:top="839" w:right="1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Revenues from external customers</w:t>
            </w:r>
          </w:p>
        </w:tc>
        <w:tc>
          <w:tcPr>
            <w:tcW w:w="20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$ 18,296</w:t>
            </w:r>
          </w:p>
        </w:tc>
        <w:tc>
          <w:tcPr>
            <w:tcW w:w="17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$ 7,347</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$ 17,475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Segment</w:t>
            </w:r>
          </w:p>
        </w:tc>
        <w:tc>
          <w:tcPr>
            <w:tcW w:w="2620" w:type="dxa"/>
            <w:vAlign w:val="bottom"/>
          </w:tcPr>
          <w:p>
            <w:pPr>
              <w:ind w:left="40"/>
              <w:spacing w:after="0"/>
              <w:rPr>
                <w:sz w:val="20"/>
                <w:szCs w:val="20"/>
                <w:color w:val="auto"/>
              </w:rPr>
            </w:pPr>
            <w:r>
              <w:rPr>
                <w:rFonts w:ascii="Courier New" w:cs="Courier New" w:eastAsia="Courier New" w:hAnsi="Courier New"/>
                <w:sz w:val="16"/>
                <w:szCs w:val="16"/>
                <w:color w:val="auto"/>
              </w:rPr>
              <w:t>profit</w:t>
            </w:r>
          </w:p>
        </w:tc>
        <w:tc>
          <w:tcPr>
            <w:tcW w:w="20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3,142</w:t>
            </w:r>
          </w:p>
        </w:tc>
        <w:tc>
          <w:tcPr>
            <w:tcW w:w="17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135</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2,618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Segment</w:t>
            </w:r>
          </w:p>
        </w:tc>
        <w:tc>
          <w:tcPr>
            <w:tcW w:w="2620" w:type="dxa"/>
            <w:vAlign w:val="bottom"/>
          </w:tcPr>
          <w:p>
            <w:pPr>
              <w:ind w:left="40"/>
              <w:spacing w:after="0"/>
              <w:rPr>
                <w:sz w:val="20"/>
                <w:szCs w:val="20"/>
                <w:color w:val="auto"/>
              </w:rPr>
            </w:pPr>
            <w:r>
              <w:rPr>
                <w:rFonts w:ascii="Courier New" w:cs="Courier New" w:eastAsia="Courier New" w:hAnsi="Courier New"/>
                <w:sz w:val="16"/>
                <w:szCs w:val="16"/>
                <w:color w:val="auto"/>
              </w:rPr>
              <w:t>assets</w:t>
            </w:r>
          </w:p>
        </w:tc>
        <w:tc>
          <w:tcPr>
            <w:tcW w:w="20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66,866</w:t>
            </w:r>
          </w:p>
        </w:tc>
        <w:tc>
          <w:tcPr>
            <w:tcW w:w="17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30,944</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67,024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60" w:type="dxa"/>
            <w:vAlign w:val="bottom"/>
          </w:tcPr>
          <w:p>
            <w:pPr>
              <w:jc w:val="right"/>
              <w:ind w:right="1562"/>
              <w:spacing w:after="0"/>
              <w:rPr>
                <w:sz w:val="20"/>
                <w:szCs w:val="20"/>
                <w:color w:val="auto"/>
              </w:rPr>
            </w:pPr>
            <w:r>
              <w:rPr>
                <w:rFonts w:ascii="Courier New" w:cs="Courier New" w:eastAsia="Courier New" w:hAnsi="Courier New"/>
                <w:sz w:val="16"/>
                <w:szCs w:val="16"/>
                <w:color w:val="auto"/>
              </w:rPr>
              <w:t>8</w:t>
            </w:r>
          </w:p>
        </w:tc>
        <w:tc>
          <w:tcPr>
            <w:tcW w:w="1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20"/>
          </w:cols>
          <w:pgMar w:left="240" w:top="839" w:right="1439" w:bottom="144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SIX MONTHS</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ENDED</w:t>
            </w:r>
          </w:p>
        </w:tc>
        <w:tc>
          <w:tcPr>
            <w:tcW w:w="1780" w:type="dxa"/>
            <w:vAlign w:val="bottom"/>
          </w:tcPr>
          <w:p>
            <w:pPr>
              <w:spacing w:after="0"/>
              <w:rPr>
                <w:sz w:val="15"/>
                <w:szCs w:val="15"/>
                <w:color w:val="auto"/>
              </w:rPr>
            </w:pPr>
          </w:p>
        </w:tc>
      </w:tr>
      <w:tr>
        <w:trPr>
          <w:trHeight w:val="180"/>
        </w:trPr>
        <w:tc>
          <w:tcPr>
            <w:tcW w:w="3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gridSpan w:val="2"/>
          </w:tcPr>
          <w:p>
            <w:pPr>
              <w:jc w:val="right"/>
              <w:ind w:right="1322"/>
              <w:spacing w:after="0"/>
              <w:rPr>
                <w:sz w:val="20"/>
                <w:szCs w:val="20"/>
                <w:color w:val="auto"/>
              </w:rPr>
            </w:pPr>
            <w:r>
              <w:rPr>
                <w:rFonts w:ascii="Courier New" w:cs="Courier New" w:eastAsia="Courier New" w:hAnsi="Courier New"/>
                <w:sz w:val="16"/>
                <w:szCs w:val="16"/>
                <w:color w:val="auto"/>
              </w:rPr>
              <w:t>JUNE 30,</w:t>
            </w:r>
          </w:p>
        </w:tc>
        <w:tc>
          <w:tcPr>
            <w:tcW w:w="1780" w:type="dxa"/>
            <w:vAlign w:val="bottom"/>
          </w:tcPr>
          <w:p>
            <w:pPr>
              <w:spacing w:after="0"/>
              <w:rPr>
                <w:sz w:val="15"/>
                <w:szCs w:val="15"/>
                <w:color w:val="auto"/>
              </w:rPr>
            </w:pPr>
          </w:p>
        </w:tc>
      </w:tr>
      <w:tr>
        <w:trPr>
          <w:trHeight w:val="361"/>
        </w:trPr>
        <w:tc>
          <w:tcPr>
            <w:tcW w:w="3240" w:type="dxa"/>
            <w:vAlign w:val="bottom"/>
          </w:tcPr>
          <w:p>
            <w:pPr>
              <w:spacing w:after="0"/>
              <w:rPr>
                <w:sz w:val="24"/>
                <w:szCs w:val="24"/>
                <w:color w:val="auto"/>
              </w:rPr>
            </w:pPr>
          </w:p>
        </w:tc>
        <w:tc>
          <w:tcPr>
            <w:tcW w:w="2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2000</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80" w:type="dxa"/>
            <w:vAlign w:val="bottom"/>
          </w:tcPr>
          <w:p>
            <w:pPr>
              <w:jc w:val="right"/>
              <w:ind w:right="1322"/>
              <w:spacing w:after="0"/>
              <w:rPr>
                <w:sz w:val="20"/>
                <w:szCs w:val="20"/>
                <w:color w:val="auto"/>
              </w:rPr>
            </w:pPr>
            <w:r>
              <w:rPr>
                <w:rFonts w:ascii="Courier New" w:cs="Courier New" w:eastAsia="Courier New" w:hAnsi="Courier New"/>
                <w:sz w:val="16"/>
                <w:szCs w:val="16"/>
                <w:color w:val="auto"/>
                <w:w w:val="93"/>
              </w:rPr>
              <w:t>1999</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THOUSANDS OF DOLLARS</w:t>
            </w:r>
          </w:p>
        </w:tc>
        <w:tc>
          <w:tcPr>
            <w:tcW w:w="21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BALL &amp; ROLLER</w:t>
            </w:r>
          </w:p>
        </w:tc>
        <w:tc>
          <w:tcPr>
            <w:tcW w:w="15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PLASTICS</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BALL &amp; ROLLER</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PLASTICS</w:t>
            </w:r>
          </w:p>
        </w:tc>
      </w:tr>
      <w:tr>
        <w:trPr>
          <w:trHeight w:val="180"/>
        </w:trPr>
        <w:tc>
          <w:tcPr>
            <w:tcW w:w="6900" w:type="dxa"/>
            <w:vAlign w:val="bottom"/>
            <w:gridSpan w:val="3"/>
          </w:tcPr>
          <w:p>
            <w:pPr>
              <w:spacing w:after="0"/>
              <w:rPr>
                <w:sz w:val="20"/>
                <w:szCs w:val="20"/>
                <w:color w:val="auto"/>
              </w:rPr>
            </w:pPr>
            <w:r>
              <w:rPr>
                <w:rFonts w:ascii="Courier New" w:cs="Courier New" w:eastAsia="Courier New" w:hAnsi="Courier New"/>
                <w:sz w:val="16"/>
                <w:szCs w:val="16"/>
                <w:color w:val="auto"/>
                <w:w w:val="98"/>
              </w:rPr>
              <w:t>- ----------------------------------- ----------------- -----------------</w:t>
            </w:r>
          </w:p>
        </w:tc>
        <w:tc>
          <w:tcPr>
            <w:tcW w:w="33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 ---------------</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Revenues from external customers</w:t>
            </w:r>
          </w:p>
        </w:tc>
        <w:tc>
          <w:tcPr>
            <w:tcW w:w="21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$ 37,421</w:t>
            </w:r>
          </w:p>
        </w:tc>
        <w:tc>
          <w:tcPr>
            <w:tcW w:w="15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$ 16,224</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$ 35,387</w:t>
            </w: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Segment profit</w:t>
            </w:r>
          </w:p>
        </w:tc>
        <w:tc>
          <w:tcPr>
            <w:tcW w:w="21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5,982</w:t>
            </w:r>
          </w:p>
        </w:tc>
        <w:tc>
          <w:tcPr>
            <w:tcW w:w="15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510</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5,544</w:t>
            </w: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Segment assets</w:t>
            </w:r>
          </w:p>
        </w:tc>
        <w:tc>
          <w:tcPr>
            <w:tcW w:w="21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66,866</w:t>
            </w:r>
          </w:p>
        </w:tc>
        <w:tc>
          <w:tcPr>
            <w:tcW w:w="15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30,944</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67,024</w:t>
            </w: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5.</w:t>
      </w:r>
      <w:r>
        <w:rPr>
          <w:sz w:val="20"/>
          <w:szCs w:val="20"/>
          <w:color w:val="auto"/>
        </w:rPr>
        <w:tab/>
      </w:r>
      <w:r>
        <w:rPr>
          <w:rFonts w:ascii="Courier New" w:cs="Courier New" w:eastAsia="Courier New" w:hAnsi="Courier New"/>
          <w:sz w:val="15"/>
          <w:szCs w:val="15"/>
          <w:color w:val="auto"/>
        </w:rPr>
        <w:t>ACQUISITION</w:t>
      </w:r>
    </w:p>
    <w:p>
      <w:pPr>
        <w:spacing w:after="0" w:line="185" w:lineRule="exact"/>
        <w:rPr>
          <w:sz w:val="20"/>
          <w:szCs w:val="20"/>
          <w:color w:val="auto"/>
        </w:rPr>
      </w:pPr>
    </w:p>
    <w:p>
      <w:pPr>
        <w:ind w:right="2720"/>
        <w:spacing w:after="0" w:line="238" w:lineRule="auto"/>
        <w:rPr>
          <w:sz w:val="20"/>
          <w:szCs w:val="20"/>
          <w:color w:val="auto"/>
        </w:rPr>
      </w:pPr>
      <w:r>
        <w:rPr>
          <w:rFonts w:ascii="Courier New" w:cs="Courier New" w:eastAsia="Courier New" w:hAnsi="Courier New"/>
          <w:sz w:val="16"/>
          <w:szCs w:val="16"/>
          <w:color w:val="auto"/>
        </w:rPr>
        <w:t>Effective July 4, 1999 the Company acquired substantially all of the assets and assumed certain liabilities of Earsley Capital Corporation, a Nevada corporation and successor to and formerly known as Industrial Molding Corporation ("IMC"). IMC, located in Lubbock, Texas, operates as a premier full-service designer and manufacturer of precision plastic injection molded components. The Company paid consideration of approximately $30 million, consisting of cash in the amount of $27.5 million and 440,038 shares of its common stock, for the net assets acquired from IMC. Cash used in the acquisition was obtained from the Company's existing line of credit.</w:t>
      </w:r>
    </w:p>
    <w:p>
      <w:pPr>
        <w:spacing w:after="0" w:line="186" w:lineRule="exact"/>
        <w:rPr>
          <w:sz w:val="20"/>
          <w:szCs w:val="20"/>
          <w:color w:val="auto"/>
        </w:rPr>
      </w:pPr>
    </w:p>
    <w:p>
      <w:pPr>
        <w:ind w:right="2720"/>
        <w:spacing w:after="0" w:line="237" w:lineRule="auto"/>
        <w:rPr>
          <w:sz w:val="20"/>
          <w:szCs w:val="20"/>
          <w:color w:val="auto"/>
        </w:rPr>
      </w:pPr>
      <w:r>
        <w:rPr>
          <w:rFonts w:ascii="Courier New" w:cs="Courier New" w:eastAsia="Courier New" w:hAnsi="Courier New"/>
          <w:sz w:val="16"/>
          <w:szCs w:val="16"/>
          <w:color w:val="auto"/>
        </w:rPr>
        <w:t>IMC reported earnings of $1.9 million and $1.2 million on net sales of $28.1 million and $13.7 million for the year ended January 2, 1998 and the six-month period ended July 4, 1999, respectively. Net assets of IMC which were acquired by the Company approximated $13.7 million and $16 million at January 2, 1999 and July 4, 1999, respectively.</w:t>
      </w:r>
    </w:p>
    <w:p>
      <w:pPr>
        <w:spacing w:after="0" w:line="18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6.</w:t>
      </w:r>
      <w:r>
        <w:rPr>
          <w:sz w:val="20"/>
          <w:szCs w:val="20"/>
          <w:color w:val="auto"/>
        </w:rPr>
        <w:tab/>
      </w:r>
      <w:r>
        <w:rPr>
          <w:rFonts w:ascii="Courier New" w:cs="Courier New" w:eastAsia="Courier New" w:hAnsi="Courier New"/>
          <w:sz w:val="15"/>
          <w:szCs w:val="15"/>
          <w:color w:val="auto"/>
        </w:rPr>
        <w:t>JOINT VENTURE</w:t>
      </w:r>
    </w:p>
    <w:p>
      <w:pPr>
        <w:spacing w:after="0" w:line="185" w:lineRule="exact"/>
        <w:rPr>
          <w:sz w:val="20"/>
          <w:szCs w:val="20"/>
          <w:color w:val="auto"/>
        </w:rPr>
      </w:pPr>
    </w:p>
    <w:p>
      <w:pPr>
        <w:ind w:right="2720"/>
        <w:spacing w:after="0" w:line="255" w:lineRule="auto"/>
        <w:rPr>
          <w:sz w:val="20"/>
          <w:szCs w:val="20"/>
          <w:color w:val="auto"/>
        </w:rPr>
      </w:pPr>
      <w:r>
        <w:rPr>
          <w:rFonts w:ascii="Courier New" w:cs="Courier New" w:eastAsia="Courier New" w:hAnsi="Courier New"/>
          <w:sz w:val="15"/>
          <w:szCs w:val="15"/>
          <w:color w:val="auto"/>
        </w:rPr>
        <w:t>On March 16, 2000, the Company entered into a joint venture with General Bearing Corporation. The new venture, NN General, LLC, owns a majority position in Jiangsu General Ball &amp; Roller Company, Ltd., a Chinese precision ball and roller manufacturer located in Rugao City, Jiangsu Providence China. Through NN General, LLC, the Company equally shares a 60% interest with General Bearing Company in the Chinese company. At inception, the Company was required to make an intial investment of $100,000 and provide a loan to NN General, LLC in the amount of $2.4 million. During the second quarter of 2000, the Company loaned NN General, LLC an additional $720,000. The remaining 40% of the Chinese company is owned by Jiangsu Steel Ball Factory. The Company accounts for this investment under the equity method and recorded income of approximately $53,000 and $66,000 during the three and six month periods ended June 30, 2000, respectively.</w:t>
      </w:r>
    </w:p>
    <w:p>
      <w:pPr>
        <w:spacing w:after="0" w:line="17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7.</w:t>
      </w:r>
      <w:r>
        <w:rPr>
          <w:sz w:val="20"/>
          <w:szCs w:val="20"/>
          <w:color w:val="auto"/>
        </w:rPr>
        <w:tab/>
      </w:r>
      <w:r>
        <w:rPr>
          <w:rFonts w:ascii="Courier New" w:cs="Courier New" w:eastAsia="Courier New" w:hAnsi="Courier New"/>
          <w:sz w:val="15"/>
          <w:szCs w:val="15"/>
          <w:color w:val="auto"/>
        </w:rPr>
        <w:t>FIRE</w:t>
      </w:r>
    </w:p>
    <w:p>
      <w:pPr>
        <w:spacing w:after="0" w:line="185" w:lineRule="exact"/>
        <w:rPr>
          <w:sz w:val="20"/>
          <w:szCs w:val="20"/>
          <w:color w:val="auto"/>
        </w:rPr>
      </w:pPr>
    </w:p>
    <w:p>
      <w:pPr>
        <w:ind w:right="2720"/>
        <w:spacing w:after="0" w:line="255" w:lineRule="auto"/>
        <w:rPr>
          <w:sz w:val="20"/>
          <w:szCs w:val="20"/>
          <w:color w:val="auto"/>
        </w:rPr>
      </w:pPr>
      <w:r>
        <w:rPr>
          <w:rFonts w:ascii="Courier New" w:cs="Courier New" w:eastAsia="Courier New" w:hAnsi="Courier New"/>
          <w:sz w:val="15"/>
          <w:szCs w:val="15"/>
          <w:color w:val="auto"/>
        </w:rPr>
        <w:t>On March 12, 2000, the Company experienced a fire at its Erwin, Tennessee facility. The fire was contained to approximately 30% of the production area and did not result in serious injury to any employee. Effected production was shifted to the Company's other facilities as possible as well as the use of other suppliers to protect product supply to customers. Insurance coverage is available for the loss. At June 30, 2000, the Company recorded a loss of approximately $8.5 million representing the net book value of assets destroyed in the fire and other fire related expenses. The Company also recorded a gain of approximately $8.5 million at June 30, 2000 representing the amount it believes the Company will recover from insurance proceeds for losses already recognized.</w:t>
      </w:r>
    </w:p>
    <w:p>
      <w:pPr>
        <w:spacing w:after="0" w:line="17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8.</w:t>
      </w:r>
      <w:r>
        <w:rPr>
          <w:sz w:val="20"/>
          <w:szCs w:val="20"/>
          <w:color w:val="auto"/>
        </w:rPr>
        <w:tab/>
      </w:r>
      <w:r>
        <w:rPr>
          <w:rFonts w:ascii="Courier New" w:cs="Courier New" w:eastAsia="Courier New" w:hAnsi="Courier New"/>
          <w:sz w:val="15"/>
          <w:szCs w:val="15"/>
          <w:color w:val="auto"/>
        </w:rPr>
        <w:t>SUBSEQUENT EVENT</w:t>
      </w:r>
    </w:p>
    <w:p>
      <w:pPr>
        <w:spacing w:after="0" w:line="185" w:lineRule="exact"/>
        <w:rPr>
          <w:sz w:val="20"/>
          <w:szCs w:val="20"/>
          <w:color w:val="auto"/>
        </w:rPr>
      </w:pPr>
    </w:p>
    <w:p>
      <w:pPr>
        <w:ind w:right="2720"/>
        <w:spacing w:after="0" w:line="238" w:lineRule="auto"/>
        <w:rPr>
          <w:sz w:val="20"/>
          <w:szCs w:val="20"/>
          <w:color w:val="auto"/>
        </w:rPr>
      </w:pPr>
      <w:r>
        <w:rPr>
          <w:rFonts w:ascii="Courier New" w:cs="Courier New" w:eastAsia="Courier New" w:hAnsi="Courier New"/>
          <w:sz w:val="16"/>
          <w:szCs w:val="16"/>
          <w:color w:val="auto"/>
        </w:rPr>
        <w:t>On July 31, 2000, the Company completed its Euroball transaction. Completion of the transaction required the Company to start a jointly owned stand-alone company in Europe, NN Euroball ApS, for the manufacture and sale of chrome steel balls used for the ball bearings and other products. The Company will have 54% of the shares of the new company, ABSKF ("SKF") and FAG Kugelfischer Georg Schager AG ("FAG") will have 23% each. Euroball ApS, through its newly-formed subsidiaries, acquired the ball factories located in Pinerolo, Italy (SKF), Eltmann, Germany (FAG) and Kilkenny, Ireland (NN, Inc.). Employment will be approximately 700 and yearly sales are planned to be approximately 95 million euro. Euroball will manufacture and sell high precision chrome steel balls used for ball bearings and other products. Financing for the transaction was provided by HypoVereinsbank Luxembourg S.A. as an agent for Bayerische Hypo-und Vereinsbank AG of Munich, Germany. Acquisition financing of approximately 31.5 million euro was drawn at closing, and the credit facilty provides for additional working capital capital expenditure financing. The Company will be required to consolidate NN Euroball ApS.</w:t>
      </w:r>
    </w:p>
    <w:p>
      <w:pPr>
        <w:spacing w:after="0" w:line="200" w:lineRule="exact"/>
        <w:rPr>
          <w:sz w:val="20"/>
          <w:szCs w:val="20"/>
          <w:color w:val="auto"/>
        </w:rPr>
      </w:pPr>
    </w:p>
    <w:p>
      <w:pPr>
        <w:spacing w:after="0" w:line="34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0"/>
          </w:cols>
          <w:pgMar w:left="240" w:top="834" w:right="1439" w:bottom="1009"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ITEM 2.</w:t>
      </w:r>
    </w:p>
    <w:p>
      <w:pPr>
        <w:spacing w:after="0" w:line="179"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MANAGEMENT'S DISCUSSION AND ANALYSIS OF</w:t>
      </w:r>
    </w:p>
    <w:p>
      <w:pPr>
        <w:ind w:left="1500"/>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THREE MONTHS ENDED JUNE 30, 2000 COMPARED TO THE THREE MONTHS ENDED JUNE 30, 1999</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NET SALES. Net sales increased by approximately $8.1 million, or 46.3%, from $17.5 million for the second quarter of 1999 to $25.6 million for the second quarter of 2000. The acquisition of IMC accounted for $7.3 million of the increase. For the Ball &amp; Roller division, foreign sales increased $1.4 million, or 17.7%, from $7.9 million in the second quarter of 1999 to $9.3 million during the second quarter of 2000. The increase in foreign sales was due primarily to increased global demand for the Company's products to existing customers in Europe and Asia as well as a new Asian customer. Domestic sales decreased $600,000, or 6.2%, from $9.6 million in the second quarter of 1999 to $9.0 million in the second quarter of 2000. This decrease was due primarily to decreased sales to one existing customer.</w:t>
      </w:r>
    </w:p>
    <w:p>
      <w:pPr>
        <w:spacing w:after="0" w:line="187"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GROSS PROFIT. Gross profit increased $2.8 million or 57.1%, from $4.9 million for the second quarter of 1999 to $7.7 million for the second quarter of 2000. The acquisition of IMC accounted for $1.9 million of the increase. As a percentage of net sales, gross profit increased from 27.9% in the second quarter of 1999 to 29.9% for the same period in 2000. This increase in gross profit as a percentage of net sales was due primarily to decreased levels of volume and the reduction of $2.6 million of inventory in the second quarter of 1999.</w:t>
      </w:r>
    </w:p>
    <w:p>
      <w:pPr>
        <w:spacing w:after="0" w:line="174"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by $1.5 million from $1.0 million in the second quarter of 1999 to $2.5 million in the second quarter of 2000. The acquisition of IMC accounted for $1.0 million of the increase. The remainder of the increase was due primarily to the Company's business development activities as well as increased levels of travel. As a percentage of net sales, selling, general and administrative expenses increased from 5.9% for the second quarter of 1999 to 9.6% for the same period in 2000.</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DEPRECIATION AND AMORTIZATION. Depreciation expense increased from $1.2 million for the second quarter of 1999 to $1.7 million for the same period in 2000. The acquisition of IMC accounted for $553,000 of the increase. As a percentage of net sales, depreciation expense decreased from 7.0% in the second quarter of 1999 to 6.7% in the second quarter of 2000.</w:t>
      </w:r>
    </w:p>
    <w:p>
      <w:pPr>
        <w:spacing w:after="0" w:line="187"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INTEREST EXPENSE. Interest expense increased from $8,000 in the second quarter of 1999 to $268,000 during the same period in 2000. The increase is due to increased levels outstanding under the Company's line of credit in the second quarter of 2000. In July and August of 1999, the Company borrowed $21.7 million under the line of credit for the purchase of certain assets of Earsley Capital Corporation. During the first and second quarter of 2000, the Company also borrowed $3.2 million for the formation of NN General, LLC.</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NET INCOME. Net income increased by $527,000 or 29.4%, from $1.7 million for the second quarter of 1999 to $2.2 million for the same period in 2000. As a percentage of net sales, net income decreased from 9.8% in the second quarter of 1999 to 8.7% for the second quarter of 2000.</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 JUNE 30, 1999 COMPARED TO THE SIX MONTHS ENDED JUNE 30, 1998</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NET SALES. Net sales increased by approximately $18.2 million, or 51.4%, from $35.4 million for the first six months of 1999 to $53.6 million for the same period in 2000. The acquistion of IMC accounted for $16.2 million of the increase. Foreign sales increased $3.6 million, or 23.1%, from $15.6 million in the first six months of 1999 to $19.2 million during the same period of 2000. The increase in foreign sales was due primarily to increased global demand for the Company's products in Europe and Asia. Domestic sales decreased $1.6 million, or 8.1%, from $19.8 million in the first six months of 1999 to $18.2 million in the same period of 2000. This decrease was due primarily to decreased sales to existing customers.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73" w:right="1440" w:bottom="1440" w:gutter="0" w:footer="0" w:header="0"/>
        </w:sectPr>
      </w:pPr>
    </w:p>
    <w:bookmarkStart w:id="10" w:name="page11"/>
    <w:bookmarkEnd w:id="10"/>
    <w:p>
      <w:pPr>
        <w:ind w:right="2719"/>
        <w:spacing w:after="0" w:line="256" w:lineRule="auto"/>
        <w:rPr>
          <w:sz w:val="20"/>
          <w:szCs w:val="20"/>
          <w:color w:val="auto"/>
        </w:rPr>
      </w:pPr>
      <w:r>
        <w:rPr>
          <w:rFonts w:ascii="Courier New" w:cs="Courier New" w:eastAsia="Courier New" w:hAnsi="Courier New"/>
          <w:sz w:val="15"/>
          <w:szCs w:val="15"/>
          <w:color w:val="auto"/>
        </w:rPr>
        <w:t>GROSS PROFIT. Gross profit increased $5.0 million, or 48.5%, from $10.3 million for the first six months of 1999 to $15.3 million for the same period of 2000. The acquisition of IMC accounted for $4.0 million of the increase. As a percentage of net sales, gross profit decreased slightly from 29.0% in the first six months of 1999 to 28.6% in the same period of 2000. This decrease in gross profit as a percentage of net sales was due primarily to decreased production efficiencies resulting from the March 2000 fire at the Erwin facility.</w:t>
      </w:r>
    </w:p>
    <w:p>
      <w:pPr>
        <w:spacing w:after="0" w:line="17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by $2.6 million, or 118.0%, from $2.2 million in the first six months of 1999 to $4.8 million in the same period of 2000. The acquisition of IMC accounted for $1.9 of the increase. The remainder of the increase was due primarily to the Company's business development activity as well as increased levels of travel. As a percentage of net sales, selling, general and administrative expenses increased from 6.3% in the first six months of 1999 to 8.9% for the same period in 2000.</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DEPRECIATION AND AMORTIZATION. Depreciation expense increased from $2.5 million for the first six months of 1999 to $3.6 million for the same period in 2000. The acqusition of IMC accounted for $1.1 million of the increase. As a percentage of net sales, depreciation expense decreased from 7.0% for the first six months of 1999 to 6.6% for the same period in 2000.</w:t>
      </w:r>
    </w:p>
    <w:p>
      <w:pPr>
        <w:spacing w:after="0" w:line="187"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INTEREST EXPENSE. Interest expense increased from $9,000 in the first six months of 1999 to $559,000 during the same period in 2000. The increase is due to increased levels outstanding under the Company's line of credit in the second quarter of 2000. In July and August of 1999, the Company borrowed $21.7 million under the line of credit for the purchase of certain assets of Earsley Capital Corporation. During the first and second quarter of 2000, the Company also borrowed $3.2 million for the formation of NN General, LLC.</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NET INCOME. Net income increased by $675,000, or 18.9%, from $3.7 million for the first six months of 1999 to $4.4 million for the same period for 2000. As a percentage of net sales, net income decreased from 10.4% for the first six months of 1999 to 8.1% for the same period for 2000.</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 July 1997, the Company entered into a loan agreement which provides for a revolving credit facility of up to $25 million, expiring on June 30, 2000. In December 1999, the Company extended the term of the loan agreement to July 25, 2001. Amounts outstanding under the revolving facility are unsecured and bear interest at a floating rate equal to, at the Company's option, either LIBOR plus 0.65% or the Fed Funds effective rate plus 1.5%. The loan agreement contains various financial and nonfinancial restrictive covenants. The Company, as of August 11, 2000 was in compliance with or had received waivers on all such covenants.</w:t>
      </w:r>
    </w:p>
    <w:p>
      <w:pPr>
        <w:spacing w:after="0" w:line="186"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 Company's net sales historically have not been of a seasonal nature. However, seasonality has become a factor for the foreign ball and roller sales in that many foreign customers cease production during the month of August. The Company also experiences seasonal fluctuation through its IMC Plastics division which provides several lines of seasonal hardware.</w:t>
      </w:r>
    </w:p>
    <w:p>
      <w:pPr>
        <w:spacing w:after="0" w:line="18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11" w:name="page12"/>
    <w:bookmarkEnd w:id="11"/>
    <w:p>
      <w:pPr>
        <w:ind w:right="2719"/>
        <w:spacing w:after="0" w:line="256" w:lineRule="auto"/>
        <w:rPr>
          <w:sz w:val="20"/>
          <w:szCs w:val="20"/>
          <w:color w:val="auto"/>
        </w:rPr>
      </w:pPr>
      <w:r>
        <w:rPr>
          <w:rFonts w:ascii="Courier New" w:cs="Courier New" w:eastAsia="Courier New" w:hAnsi="Courier New"/>
          <w:sz w:val="15"/>
          <w:szCs w:val="15"/>
          <w:color w:val="auto"/>
        </w:rPr>
        <w:t>The Company bills and receives payment from some of its foreign customers in their local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17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Working capital, which consists principally of accounts receivable and inventories, was $25.2 million at June 30, 2000 as compared to $22.9 million at December 31, 1999. The ratio of current assets to current liabilities decreased from 3.2:1 at December 31, 1999 to 2.7:1at June 30, 2000. Cash flow from operations decreased from $7.9 million during the second quarter of 1999 to $6.9 million during the same period in 2000. This decrease was primarily attributed to an increase of $4.0 million in insurance reimbursement receivables related to the March fire and $4.1 million in decreased inventories in the 1999 second quarter as compared to a $ 1.1 million decrease in inventories in the current year second quarter.</w:t>
      </w:r>
    </w:p>
    <w:p>
      <w:pPr>
        <w:spacing w:after="0" w:line="187"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During 2000, the Company plans to spend approximately $5.3 million on capital expenditures, exclusive of expenditures made to replace destroyed facilities and equipment from the March fire, of which approximately $1.1 has been spent through June 30, 2000.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2000.</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CHANGE</w:t>
      </w:r>
    </w:p>
    <w:p>
      <w:pPr>
        <w:spacing w:after="0" w:line="185"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On May 11, 2000, the stockholders of NN Ball &amp; Roller, Inc., at an Annual Meeting of stockholders, approved an amendment to the Company's Certificate of Incorporation changing the name of the company from NN Ball &amp; Roller, Inc. to NN, Inc. On May 23, 2000 the Company filed a Certificate of Admendment to the Certificate of Incorporation with the Delaware Secretary of State.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EURO</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will continue to circulate but be in sub-units of the Euro. At the end of the transitional period, Euro bank notes and coins will be issued, and the national currencies of the member states will be legal tender no later than June 30, 2002.</w:t>
      </w:r>
    </w:p>
    <w:p>
      <w:pPr>
        <w:spacing w:after="0" w:line="187"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The Company currently has operations in Ireland, which is one of the Euro participating countries, and sells product to customers in many of the participating countries. The functional currency of the Company's Ireland operations was changed to the Euro effective September 1999.</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 AND FLUCTUATION IN QUARTERLY RESULTS</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INFLATION AND CHANGES IN PRICES</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While the Company's operations have not been affected by inflation during recent years, prices for 52100 Steel and other raw materials purchased by the Company are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Typically, the Company's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Steel price increases by taking such measures.</w:t>
      </w:r>
    </w:p>
    <w:p>
      <w:pPr>
        <w:spacing w:after="0" w:line="178"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CAUTIONARY STATEMENTS FOR PURPOSES OF THE "SAFE HARBOR" PROVISIONS OF THE PRIVATE SECURITIES LITIGATION REFORM ACT OF 1995</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filing and in the Company's prior filings.</w:t>
      </w:r>
    </w:p>
    <w:p>
      <w:pPr>
        <w:spacing w:after="0" w:line="17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INDUSTRY RISKS. Both the precision ball &amp; roller and precision plastics industries are cyclical and tend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89"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COMPETITION. The precision ball &amp; roller market and the precision plastics markets are highly competitive, and many of manufacturers in each of the markets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ball and roller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188"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RAPID GROWTH. The Company has significantly expanded its ball and roller production facilities and capacity over the last several years, and during the third quarter of 1997 purchased an additional manufacturing plant in Kilkenny, Ireland. The Company's Ball &amp; Roller division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its plant expansions.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73" w:right="1440" w:bottom="1440" w:gutter="0" w:footer="0" w:header="0"/>
        </w:sectPr>
      </w:pPr>
    </w:p>
    <w:bookmarkStart w:id="13" w:name="page14"/>
    <w:bookmarkEnd w:id="13"/>
    <w:p>
      <w:pPr>
        <w:ind w:left="4" w:right="2819"/>
        <w:spacing w:after="0" w:line="237" w:lineRule="auto"/>
        <w:rPr>
          <w:sz w:val="20"/>
          <w:szCs w:val="20"/>
          <w:color w:val="auto"/>
        </w:rPr>
      </w:pPr>
      <w:r>
        <w:rPr>
          <w:rFonts w:ascii="Courier New" w:cs="Courier New" w:eastAsia="Courier New" w:hAnsi="Courier New"/>
          <w:sz w:val="16"/>
          <w:szCs w:val="16"/>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89" w:lineRule="exact"/>
        <w:rPr>
          <w:sz w:val="20"/>
          <w:szCs w:val="20"/>
          <w:color w:val="auto"/>
        </w:rPr>
      </w:pPr>
    </w:p>
    <w:p>
      <w:pPr>
        <w:ind w:left="4" w:right="2899"/>
        <w:spacing w:after="0" w:line="254" w:lineRule="auto"/>
        <w:rPr>
          <w:sz w:val="20"/>
          <w:szCs w:val="20"/>
          <w:color w:val="auto"/>
        </w:rPr>
      </w:pPr>
      <w:r>
        <w:rPr>
          <w:rFonts w:ascii="Courier New" w:cs="Courier New" w:eastAsia="Courier New" w:hAnsi="Courier New"/>
          <w:sz w:val="15"/>
          <w:szCs w:val="15"/>
          <w:color w:val="auto"/>
        </w:rPr>
        <w:t>RISKS ASSOCIATED WITH INTERNATIONAL TRADE. Because the Company obtains a majority of its raw materials for the manufacture of balls and rollers from overseas suppliers and sells to a large number of international customers, the Company faces risks associated with (i) adverse foreign currency fluctuations,</w:t>
      </w:r>
    </w:p>
    <w:p>
      <w:pPr>
        <w:spacing w:after="0" w:line="2" w:lineRule="exact"/>
        <w:rPr>
          <w:sz w:val="20"/>
          <w:szCs w:val="20"/>
          <w:color w:val="auto"/>
        </w:rPr>
      </w:pPr>
    </w:p>
    <w:p>
      <w:pPr>
        <w:ind w:left="4" w:right="2719" w:hanging="4"/>
        <w:spacing w:after="0" w:line="238" w:lineRule="auto"/>
        <w:tabs>
          <w:tab w:leader="none" w:pos="47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and customers are located. An increase in the value of the United States dollar relative to foreign currencies adversely affects the ability of the Company to compete with its foreign-based competitors for international as well as domestic sales.</w:t>
      </w:r>
    </w:p>
    <w:p>
      <w:pPr>
        <w:spacing w:after="0" w:line="185" w:lineRule="exact"/>
        <w:rPr>
          <w:sz w:val="20"/>
          <w:szCs w:val="20"/>
          <w:color w:val="auto"/>
        </w:rPr>
      </w:pPr>
    </w:p>
    <w:p>
      <w:pPr>
        <w:ind w:left="4" w:right="2819"/>
        <w:spacing w:after="0" w:line="255" w:lineRule="auto"/>
        <w:rPr>
          <w:sz w:val="20"/>
          <w:szCs w:val="20"/>
          <w:color w:val="auto"/>
        </w:rPr>
      </w:pPr>
      <w:r>
        <w:rPr>
          <w:rFonts w:ascii="Courier New" w:cs="Courier New" w:eastAsia="Courier New" w:hAnsi="Courier New"/>
          <w:sz w:val="15"/>
          <w:szCs w:val="15"/>
          <w:color w:val="auto"/>
        </w:rPr>
        <w:t>DEPENDENCE ON MAJOR CUSTOMERS. During 1999, the Company's ten largest customers accounted for approximately 69% of its net sales. Sales to various US and foreign divisions of SKF, which is one of the largest bearing manufacturers in the world, accounted for approximately 27% of net sales in 1999, and sales to FAG accounted for approximately 11% of net sales. None of the Company's other customers accounted for more than 10% of its net sales in 1999, but sales to three of its customers each represented more than 5% of the Company's 1999 net sales. The loss of all or a substantial portion of sales to these customers would have a material adverse effect on the Company's business.</w:t>
      </w:r>
    </w:p>
    <w:p>
      <w:pPr>
        <w:spacing w:after="0" w:line="179"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ACQUISITIONS. The Company's growth strategy includes growth through acquisitions. In July 1999, the Company acquired IMC as part of that strategy. Although the Company believes that it will be able to integrate the operations of IMC and other companies acquired in the future into its operations without substantial cost, delays or other problems, its ability to do so will depend on, among other things, the adequacy of its implementation plans, the ability of its management to effectively oversee and operate the combined operations of the Company and the acquired businesses and its ability to achieve desired operating efficiencies and sales goals. If the Company is not able to successfully integrate the operations of acquired companies into its business, its future earnings and profitability could be materially and adversely affected.</w:t>
      </w:r>
    </w:p>
    <w:p>
      <w:pPr>
        <w:spacing w:after="0" w:line="174" w:lineRule="exact"/>
        <w:rPr>
          <w:sz w:val="20"/>
          <w:szCs w:val="20"/>
          <w:color w:val="auto"/>
        </w:rPr>
      </w:pPr>
    </w:p>
    <w:p>
      <w:pPr>
        <w:ind w:left="4"/>
        <w:spacing w:after="0"/>
        <w:tabs>
          <w:tab w:leader="none" w:pos="1103"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185"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w:t>
      </w:r>
    </w:p>
    <w:p>
      <w:pPr>
        <w:spacing w:after="0" w:line="187" w:lineRule="exact"/>
        <w:rPr>
          <w:sz w:val="20"/>
          <w:szCs w:val="20"/>
          <w:color w:val="auto"/>
        </w:rPr>
      </w:pPr>
    </w:p>
    <w:p>
      <w:pPr>
        <w:ind w:left="4" w:right="2719" w:firstLine="563"/>
        <w:spacing w:after="0" w:line="255" w:lineRule="auto"/>
        <w:rPr>
          <w:sz w:val="20"/>
          <w:szCs w:val="20"/>
          <w:color w:val="auto"/>
        </w:rPr>
      </w:pPr>
      <w:r>
        <w:rPr>
          <w:rFonts w:ascii="Courier New" w:cs="Courier New" w:eastAsia="Courier New" w:hAnsi="Courier New"/>
          <w:sz w:val="15"/>
          <w:szCs w:val="15"/>
          <w:color w:val="auto"/>
        </w:rPr>
        <w:t>The Company is exposed to changes in interest rates primarily as a result of its borrowing activities, which include a $25 million floating rate revolving credit facility which is used to maintain liquidity and fund its business operations. At June 30, 2000, the Company had $19.0 million outstanding under the revolving credit facility. A one-percent increase in the interest rate charged on the Company's outstanding borrowings under the revolving credit facility would result in interest expense increasing by approximately $190,000. The nature and amount of the Company's borrowings may vary as a result of future business requirements, market conditions and other factors.</w:t>
      </w:r>
    </w:p>
    <w:p>
      <w:pPr>
        <w:spacing w:after="0" w:line="179" w:lineRule="exact"/>
        <w:rPr>
          <w:sz w:val="20"/>
          <w:szCs w:val="20"/>
          <w:color w:val="auto"/>
        </w:rPr>
      </w:pPr>
    </w:p>
    <w:p>
      <w:pPr>
        <w:ind w:left="4" w:right="2719" w:firstLine="563"/>
        <w:spacing w:after="0" w:line="255" w:lineRule="auto"/>
        <w:rPr>
          <w:sz w:val="20"/>
          <w:szCs w:val="20"/>
          <w:color w:val="auto"/>
        </w:rPr>
      </w:pPr>
      <w:r>
        <w:rPr>
          <w:rFonts w:ascii="Courier New" w:cs="Courier New" w:eastAsia="Courier New" w:hAnsi="Courier New"/>
          <w:sz w:val="15"/>
          <w:szCs w:val="15"/>
          <w:color w:val="auto"/>
        </w:rPr>
        <w:t>The Company's operating cash flows denominated in foreign currencies are exposed to changes in foreign exchange rates. Beginning in the 1997 fourth quarter, upon the commencement of production in its Kilkenny, Ireland facility, the Company began to bill and receive payment from some of its foreign customers in their own currency. To date, the Company has not been materially adversely affected by currency fluctuations of foreign exchange restrictions. However, as foreign sales approximate 38% of total revenues, management is currently evaluating various strategies to manage this financial market risk, including the implementation of a foreign currency hedging program. The Company did not hold a position in any foreign currency instruments of June 30, 2000.</w:t>
      </w:r>
    </w:p>
    <w:p>
      <w:pPr>
        <w:spacing w:after="0" w:line="17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3"/>
          </w:cols>
          <w:pgMar w:left="236" w:top="659" w:right="1440" w:bottom="1440" w:gutter="0" w:footer="0" w:header="0"/>
        </w:sectPr>
      </w:pPr>
    </w:p>
    <w:bookmarkStart w:id="14" w:name="page15"/>
    <w:bookmarkEnd w:id="14"/>
    <w:p>
      <w:pPr>
        <w:ind w:left="2524"/>
        <w:spacing w:after="0"/>
        <w:rPr>
          <w:sz w:val="20"/>
          <w:szCs w:val="20"/>
          <w:color w:val="auto"/>
        </w:rPr>
      </w:pPr>
      <w:r>
        <w:rPr>
          <w:rFonts w:ascii="Courier New" w:cs="Courier New" w:eastAsia="Courier New" w:hAnsi="Courier New"/>
          <w:sz w:val="16"/>
          <w:szCs w:val="16"/>
          <w:color w:val="auto"/>
        </w:rPr>
        <w:t>PART II. OTHER INFORMATION</w:t>
      </w:r>
    </w:p>
    <w:p>
      <w:pPr>
        <w:spacing w:after="0" w:line="360"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5"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The Company's Annual Meeting of Stockholders was held on May 11, 2000. As of March 20, 2000, the record date for the meeting, there were 15,244,308 shares of common stock outstanding and entitled to vote at the meeting. There were present at said meeting, in person or by proxy, stockholders holding 13,691,904 shares of common stock, constituting approximately 87% of the shares of common stock outstanding and entitled to vote, which constituted a quorum.</w:t>
      </w:r>
    </w:p>
    <w:p>
      <w:pPr>
        <w:spacing w:after="0" w:line="175" w:lineRule="exact"/>
        <w:rPr>
          <w:sz w:val="20"/>
          <w:szCs w:val="20"/>
          <w:color w:val="auto"/>
        </w:rPr>
      </w:pPr>
    </w:p>
    <w:p>
      <w:pPr>
        <w:ind w:left="4" w:right="2819"/>
        <w:spacing w:after="0" w:line="259" w:lineRule="auto"/>
        <w:rPr>
          <w:sz w:val="20"/>
          <w:szCs w:val="20"/>
          <w:color w:val="auto"/>
        </w:rPr>
      </w:pPr>
      <w:r>
        <w:rPr>
          <w:rFonts w:ascii="Courier New" w:cs="Courier New" w:eastAsia="Courier New" w:hAnsi="Courier New"/>
          <w:sz w:val="15"/>
          <w:szCs w:val="15"/>
          <w:color w:val="auto"/>
        </w:rPr>
        <w:t>The first matter voted upon at the meeting was the election of Richard D. Ennen and Roderick R. Baty as Class III Directors to serve for three-year terms. The results of the voting in connection with such elections were as follows:</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380" w:type="dxa"/>
            <w:vAlign w:val="bottom"/>
          </w:tcPr>
          <w:p>
            <w:pPr>
              <w:spacing w:after="0"/>
              <w:rPr>
                <w:sz w:val="15"/>
                <w:szCs w:val="15"/>
                <w:color w:val="auto"/>
              </w:rPr>
            </w:pPr>
          </w:p>
        </w:tc>
        <w:tc>
          <w:tcPr>
            <w:tcW w:w="25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FOR</w:t>
            </w:r>
          </w:p>
        </w:tc>
        <w:tc>
          <w:tcPr>
            <w:tcW w:w="1400" w:type="dxa"/>
            <w:vAlign w:val="bottom"/>
          </w:tcPr>
          <w:p>
            <w:pPr>
              <w:ind w:left="660"/>
              <w:spacing w:after="0"/>
              <w:rPr>
                <w:sz w:val="20"/>
                <w:szCs w:val="20"/>
                <w:color w:val="auto"/>
              </w:rPr>
            </w:pPr>
            <w:r>
              <w:rPr>
                <w:rFonts w:ascii="Courier New" w:cs="Courier New" w:eastAsia="Courier New" w:hAnsi="Courier New"/>
                <w:sz w:val="16"/>
                <w:szCs w:val="16"/>
                <w:color w:val="auto"/>
                <w:w w:val="93"/>
              </w:rPr>
              <w:t>WITHHELD</w:t>
            </w:r>
          </w:p>
        </w:tc>
      </w:tr>
      <w:tr>
        <w:trPr>
          <w:trHeight w:val="180"/>
        </w:trPr>
        <w:tc>
          <w:tcPr>
            <w:tcW w:w="2380" w:type="dxa"/>
            <w:vAlign w:val="bottom"/>
          </w:tcPr>
          <w:p>
            <w:pPr>
              <w:spacing w:after="0"/>
              <w:rPr>
                <w:sz w:val="20"/>
                <w:szCs w:val="20"/>
                <w:color w:val="auto"/>
              </w:rPr>
            </w:pPr>
            <w:r>
              <w:rPr>
                <w:rFonts w:ascii="Courier New" w:cs="Courier New" w:eastAsia="Courier New" w:hAnsi="Courier New"/>
                <w:sz w:val="16"/>
                <w:szCs w:val="16"/>
                <w:color w:val="auto"/>
              </w:rPr>
              <w:t>Richard D. Ennen</w:t>
            </w:r>
          </w:p>
        </w:tc>
        <w:tc>
          <w:tcPr>
            <w:tcW w:w="2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13,574,418</w:t>
            </w:r>
          </w:p>
        </w:tc>
        <w:tc>
          <w:tcPr>
            <w:tcW w:w="1400" w:type="dxa"/>
            <w:vAlign w:val="bottom"/>
          </w:tcPr>
          <w:p>
            <w:pPr>
              <w:ind w:left="740"/>
              <w:spacing w:after="0"/>
              <w:rPr>
                <w:sz w:val="20"/>
                <w:szCs w:val="20"/>
                <w:color w:val="auto"/>
              </w:rPr>
            </w:pPr>
            <w:r>
              <w:rPr>
                <w:rFonts w:ascii="Courier New" w:cs="Courier New" w:eastAsia="Courier New" w:hAnsi="Courier New"/>
                <w:sz w:val="16"/>
                <w:szCs w:val="16"/>
                <w:color w:val="auto"/>
                <w:w w:val="95"/>
              </w:rPr>
              <w:t>117,486</w:t>
            </w:r>
          </w:p>
        </w:tc>
      </w:tr>
      <w:tr>
        <w:trPr>
          <w:trHeight w:val="180"/>
        </w:trPr>
        <w:tc>
          <w:tcPr>
            <w:tcW w:w="2380" w:type="dxa"/>
            <w:vAlign w:val="bottom"/>
          </w:tcPr>
          <w:p>
            <w:pPr>
              <w:spacing w:after="0"/>
              <w:rPr>
                <w:sz w:val="20"/>
                <w:szCs w:val="20"/>
                <w:color w:val="auto"/>
              </w:rPr>
            </w:pPr>
            <w:r>
              <w:rPr>
                <w:rFonts w:ascii="Courier New" w:cs="Courier New" w:eastAsia="Courier New" w:hAnsi="Courier New"/>
                <w:sz w:val="16"/>
                <w:szCs w:val="16"/>
                <w:color w:val="auto"/>
              </w:rPr>
              <w:t>Roderick R. Baty</w:t>
            </w:r>
          </w:p>
        </w:tc>
        <w:tc>
          <w:tcPr>
            <w:tcW w:w="2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13,638,368</w:t>
            </w:r>
          </w:p>
        </w:tc>
        <w:tc>
          <w:tcPr>
            <w:tcW w:w="1400" w:type="dxa"/>
            <w:vAlign w:val="bottom"/>
          </w:tcPr>
          <w:p>
            <w:pPr>
              <w:ind w:left="740"/>
              <w:spacing w:after="0"/>
              <w:rPr>
                <w:sz w:val="20"/>
                <w:szCs w:val="20"/>
                <w:color w:val="auto"/>
              </w:rPr>
            </w:pPr>
            <w:r>
              <w:rPr>
                <w:rFonts w:ascii="Courier New" w:cs="Courier New" w:eastAsia="Courier New" w:hAnsi="Courier New"/>
                <w:sz w:val="16"/>
                <w:szCs w:val="16"/>
                <w:color w:val="auto"/>
              </w:rPr>
              <w:t>53,536</w:t>
            </w:r>
          </w:p>
        </w:tc>
      </w:tr>
    </w:tbl>
    <w:p>
      <w:pPr>
        <w:spacing w:after="0" w:line="18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Accordingly, all nominees were elected to serve until the 2003 Annual Meeting of Stockholders and until their successors are duly elected and qualified. In addition to the foregoing directors, Michael D. Huff and Michael E. Werner are serving terms to expire at the 2001 Annual Meeting of Stockholders, and G. Ronald Morris, Steven T. Warshaw and James L. Earsley are serving terms which are to expire at the 2002 Annual Meeting of Stockholders. Mr. Ennen, the Company's founder, continues in his position as Chairman of the Company's Board of Directors.</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The second matter voted upon at the 2000 Annual Meeting of Stockholders was the approval of an amendment to the Company's Certificate of Incorporation to change the name of the corporation to NN, Inc. The vote was 13,663,681 For and 26,073 Against, and there were 2,150 Abstentions.</w:t>
      </w:r>
    </w:p>
    <w:p>
      <w:pPr>
        <w:spacing w:after="0" w:line="186"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The Third matter voted upon at the 2000 Annual Meeting of Stockholders was the ratification of PricewaterhouseCoopers, LLP as independent public accountants to audit the Company's accounts for the fiscal year ending December 31, 2000. The vote was 13,688,758 For and 2,396 Against, and there were 750 Abstentions.</w:t>
      </w:r>
    </w:p>
    <w:p>
      <w:pPr>
        <w:spacing w:after="0" w:line="181"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OTHER INFORMATION</w:t>
      </w:r>
    </w:p>
    <w:p>
      <w:pPr>
        <w:spacing w:after="0" w:line="179"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79" w:lineRule="exact"/>
        <w:rPr>
          <w:sz w:val="20"/>
          <w:szCs w:val="20"/>
          <w:color w:val="auto"/>
        </w:rPr>
      </w:pPr>
    </w:p>
    <w:p>
      <w:pPr>
        <w:ind w:left="564" w:hanging="564"/>
        <w:spacing w:after="0"/>
        <w:tabs>
          <w:tab w:leader="none" w:pos="5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by Item 601 of Regulation S-K</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1"/>
              </w:rPr>
              <w:t>10.17</w:t>
            </w:r>
          </w:p>
        </w:tc>
        <w:tc>
          <w:tcPr>
            <w:tcW w:w="6420" w:type="dxa"/>
            <w:vAlign w:val="bottom"/>
          </w:tcPr>
          <w:p>
            <w:pPr>
              <w:ind w:left="600"/>
              <w:spacing w:after="0"/>
              <w:rPr>
                <w:sz w:val="20"/>
                <w:szCs w:val="20"/>
                <w:color w:val="auto"/>
              </w:rPr>
            </w:pPr>
            <w:r>
              <w:rPr>
                <w:rFonts w:ascii="Courier New" w:cs="Courier New" w:eastAsia="Courier New" w:hAnsi="Courier New"/>
                <w:sz w:val="16"/>
                <w:szCs w:val="16"/>
                <w:color w:val="auto"/>
              </w:rPr>
              <w:t>Asset Purchase Agreement, dated as of July 4, 1999, by and</w:t>
            </w:r>
          </w:p>
        </w:tc>
      </w:tr>
      <w:tr>
        <w:trPr>
          <w:trHeight w:val="180"/>
        </w:trPr>
        <w:tc>
          <w:tcPr>
            <w:tcW w:w="1080" w:type="dxa"/>
            <w:vAlign w:val="bottom"/>
          </w:tcPr>
          <w:p>
            <w:pPr>
              <w:spacing w:after="0"/>
              <w:rPr>
                <w:sz w:val="15"/>
                <w:szCs w:val="15"/>
                <w:color w:val="auto"/>
              </w:rPr>
            </w:pPr>
          </w:p>
        </w:tc>
        <w:tc>
          <w:tcPr>
            <w:tcW w:w="6420" w:type="dxa"/>
            <w:vAlign w:val="bottom"/>
          </w:tcPr>
          <w:p>
            <w:pPr>
              <w:ind w:left="600"/>
              <w:spacing w:after="0"/>
              <w:rPr>
                <w:sz w:val="20"/>
                <w:szCs w:val="20"/>
                <w:color w:val="auto"/>
              </w:rPr>
            </w:pPr>
            <w:r>
              <w:rPr>
                <w:rFonts w:ascii="Courier New" w:cs="Courier New" w:eastAsia="Courier New" w:hAnsi="Courier New"/>
                <w:sz w:val="16"/>
                <w:szCs w:val="16"/>
                <w:color w:val="auto"/>
                <w:w w:val="97"/>
              </w:rPr>
              <w:t>between NN Ball &amp; Roller, Inc. and Earsley Capital Corporation</w:t>
            </w:r>
          </w:p>
        </w:tc>
      </w:tr>
      <w:tr>
        <w:trPr>
          <w:trHeight w:val="180"/>
        </w:trPr>
        <w:tc>
          <w:tcPr>
            <w:tcW w:w="1080" w:type="dxa"/>
            <w:vAlign w:val="bottom"/>
          </w:tcPr>
          <w:p>
            <w:pPr>
              <w:spacing w:after="0"/>
              <w:rPr>
                <w:sz w:val="15"/>
                <w:szCs w:val="15"/>
                <w:color w:val="auto"/>
              </w:rPr>
            </w:pPr>
          </w:p>
        </w:tc>
        <w:tc>
          <w:tcPr>
            <w:tcW w:w="6420" w:type="dxa"/>
            <w:vAlign w:val="bottom"/>
          </w:tcPr>
          <w:p>
            <w:pPr>
              <w:ind w:left="600"/>
              <w:spacing w:after="0"/>
              <w:rPr>
                <w:sz w:val="20"/>
                <w:szCs w:val="20"/>
                <w:color w:val="auto"/>
              </w:rPr>
            </w:pPr>
            <w:r>
              <w:rPr>
                <w:rFonts w:ascii="Courier New" w:cs="Courier New" w:eastAsia="Courier New" w:hAnsi="Courier New"/>
                <w:sz w:val="16"/>
                <w:szCs w:val="16"/>
                <w:color w:val="auto"/>
              </w:rPr>
              <w:t>(incorporated by reference to Exhibit 10.17 of the Company's</w:t>
            </w:r>
          </w:p>
        </w:tc>
      </w:tr>
      <w:tr>
        <w:trPr>
          <w:trHeight w:val="180"/>
        </w:trPr>
        <w:tc>
          <w:tcPr>
            <w:tcW w:w="1080" w:type="dxa"/>
            <w:vAlign w:val="bottom"/>
          </w:tcPr>
          <w:p>
            <w:pPr>
              <w:spacing w:after="0"/>
              <w:rPr>
                <w:sz w:val="15"/>
                <w:szCs w:val="15"/>
                <w:color w:val="auto"/>
              </w:rPr>
            </w:pPr>
          </w:p>
        </w:tc>
        <w:tc>
          <w:tcPr>
            <w:tcW w:w="6420" w:type="dxa"/>
            <w:vAlign w:val="bottom"/>
          </w:tcPr>
          <w:p>
            <w:pPr>
              <w:ind w:left="600"/>
              <w:spacing w:after="0"/>
              <w:rPr>
                <w:sz w:val="20"/>
                <w:szCs w:val="20"/>
                <w:color w:val="auto"/>
              </w:rPr>
            </w:pPr>
            <w:r>
              <w:rPr>
                <w:rFonts w:ascii="Courier New" w:cs="Courier New" w:eastAsia="Courier New" w:hAnsi="Courier New"/>
                <w:sz w:val="16"/>
                <w:szCs w:val="16"/>
                <w:color w:val="auto"/>
              </w:rPr>
              <w:t>Form 8-K filed on July 16, 1999).</w:t>
            </w:r>
          </w:p>
        </w:tc>
      </w:tr>
      <w:tr>
        <w:trPr>
          <w:trHeight w:val="361"/>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1"/>
              </w:rPr>
              <w:t>10.18</w:t>
            </w:r>
          </w:p>
        </w:tc>
        <w:tc>
          <w:tcPr>
            <w:tcW w:w="6420" w:type="dxa"/>
            <w:vAlign w:val="bottom"/>
          </w:tcPr>
          <w:p>
            <w:pPr>
              <w:ind w:left="600"/>
              <w:spacing w:after="0"/>
              <w:rPr>
                <w:sz w:val="20"/>
                <w:szCs w:val="20"/>
                <w:color w:val="auto"/>
              </w:rPr>
            </w:pPr>
            <w:r>
              <w:rPr>
                <w:rFonts w:ascii="Courier New" w:cs="Courier New" w:eastAsia="Courier New" w:hAnsi="Courier New"/>
                <w:sz w:val="16"/>
                <w:szCs w:val="16"/>
                <w:color w:val="auto"/>
              </w:rPr>
              <w:t>Operating Agreement of NN General, LLC (incorporated by</w:t>
            </w:r>
          </w:p>
        </w:tc>
      </w:tr>
      <w:tr>
        <w:trPr>
          <w:trHeight w:val="180"/>
        </w:trPr>
        <w:tc>
          <w:tcPr>
            <w:tcW w:w="1080" w:type="dxa"/>
            <w:vAlign w:val="bottom"/>
          </w:tcPr>
          <w:p>
            <w:pPr>
              <w:spacing w:after="0"/>
              <w:rPr>
                <w:sz w:val="15"/>
                <w:szCs w:val="15"/>
                <w:color w:val="auto"/>
              </w:rPr>
            </w:pPr>
          </w:p>
        </w:tc>
        <w:tc>
          <w:tcPr>
            <w:tcW w:w="6420" w:type="dxa"/>
            <w:vAlign w:val="bottom"/>
          </w:tcPr>
          <w:p>
            <w:pPr>
              <w:ind w:left="600"/>
              <w:spacing w:after="0"/>
              <w:rPr>
                <w:sz w:val="20"/>
                <w:szCs w:val="20"/>
                <w:color w:val="auto"/>
              </w:rPr>
            </w:pPr>
            <w:r>
              <w:rPr>
                <w:rFonts w:ascii="Courier New" w:cs="Courier New" w:eastAsia="Courier New" w:hAnsi="Courier New"/>
                <w:sz w:val="16"/>
                <w:szCs w:val="16"/>
                <w:color w:val="auto"/>
                <w:w w:val="97"/>
              </w:rPr>
              <w:t>reference to Exhibit 99.1 of the Company's Quarterly Report on</w:t>
            </w:r>
          </w:p>
        </w:tc>
      </w:tr>
      <w:tr>
        <w:trPr>
          <w:trHeight w:val="180"/>
        </w:trPr>
        <w:tc>
          <w:tcPr>
            <w:tcW w:w="1080" w:type="dxa"/>
            <w:vAlign w:val="bottom"/>
          </w:tcPr>
          <w:p>
            <w:pPr>
              <w:spacing w:after="0"/>
              <w:rPr>
                <w:sz w:val="15"/>
                <w:szCs w:val="15"/>
                <w:color w:val="auto"/>
              </w:rPr>
            </w:pPr>
          </w:p>
        </w:tc>
        <w:tc>
          <w:tcPr>
            <w:tcW w:w="6420" w:type="dxa"/>
            <w:vAlign w:val="bottom"/>
          </w:tcPr>
          <w:p>
            <w:pPr>
              <w:ind w:left="600"/>
              <w:spacing w:after="0"/>
              <w:rPr>
                <w:sz w:val="20"/>
                <w:szCs w:val="20"/>
                <w:color w:val="auto"/>
              </w:rPr>
            </w:pPr>
            <w:r>
              <w:rPr>
                <w:rFonts w:ascii="Courier New" w:cs="Courier New" w:eastAsia="Courier New" w:hAnsi="Courier New"/>
                <w:sz w:val="16"/>
                <w:szCs w:val="16"/>
                <w:color w:val="auto"/>
              </w:rPr>
              <w:t>Form 10-Q for the quarter ended March 31, 2000).</w:t>
            </w:r>
          </w:p>
        </w:tc>
      </w:tr>
      <w:tr>
        <w:trPr>
          <w:trHeight w:val="361"/>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1"/>
              </w:rPr>
              <w:t>10.19</w:t>
            </w:r>
          </w:p>
        </w:tc>
        <w:tc>
          <w:tcPr>
            <w:tcW w:w="6420" w:type="dxa"/>
            <w:vAlign w:val="bottom"/>
          </w:tcPr>
          <w:p>
            <w:pPr>
              <w:ind w:left="600"/>
              <w:spacing w:after="0"/>
              <w:rPr>
                <w:sz w:val="20"/>
                <w:szCs w:val="20"/>
                <w:color w:val="auto"/>
              </w:rPr>
            </w:pPr>
            <w:r>
              <w:rPr>
                <w:rFonts w:ascii="Courier New" w:cs="Courier New" w:eastAsia="Courier New" w:hAnsi="Courier New"/>
                <w:sz w:val="16"/>
                <w:szCs w:val="16"/>
                <w:color w:val="auto"/>
                <w:w w:val="99"/>
              </w:rPr>
              <w:t>Operating Agreement of NNA, LLC (incorporated by reference to</w:t>
            </w:r>
          </w:p>
        </w:tc>
      </w:tr>
      <w:tr>
        <w:trPr>
          <w:trHeight w:val="180"/>
        </w:trPr>
        <w:tc>
          <w:tcPr>
            <w:tcW w:w="1080" w:type="dxa"/>
            <w:vAlign w:val="bottom"/>
          </w:tcPr>
          <w:p>
            <w:pPr>
              <w:spacing w:after="0"/>
              <w:rPr>
                <w:sz w:val="15"/>
                <w:szCs w:val="15"/>
                <w:color w:val="auto"/>
              </w:rPr>
            </w:pPr>
          </w:p>
        </w:tc>
        <w:tc>
          <w:tcPr>
            <w:tcW w:w="6420" w:type="dxa"/>
            <w:vAlign w:val="bottom"/>
          </w:tcPr>
          <w:p>
            <w:pPr>
              <w:ind w:left="600"/>
              <w:spacing w:after="0"/>
              <w:rPr>
                <w:sz w:val="20"/>
                <w:szCs w:val="20"/>
                <w:color w:val="auto"/>
              </w:rPr>
            </w:pPr>
            <w:r>
              <w:rPr>
                <w:rFonts w:ascii="Courier New" w:cs="Courier New" w:eastAsia="Courier New" w:hAnsi="Courier New"/>
                <w:sz w:val="16"/>
                <w:szCs w:val="16"/>
                <w:color w:val="auto"/>
              </w:rPr>
              <w:t>Exhibit 99.2 of the Company's Quarterly Report on Form 10-Q</w:t>
            </w:r>
          </w:p>
        </w:tc>
      </w:tr>
      <w:tr>
        <w:trPr>
          <w:trHeight w:val="180"/>
        </w:trPr>
        <w:tc>
          <w:tcPr>
            <w:tcW w:w="1080" w:type="dxa"/>
            <w:vAlign w:val="bottom"/>
          </w:tcPr>
          <w:p>
            <w:pPr>
              <w:spacing w:after="0"/>
              <w:rPr>
                <w:sz w:val="15"/>
                <w:szCs w:val="15"/>
                <w:color w:val="auto"/>
              </w:rPr>
            </w:pPr>
          </w:p>
        </w:tc>
        <w:tc>
          <w:tcPr>
            <w:tcW w:w="6420" w:type="dxa"/>
            <w:vAlign w:val="bottom"/>
          </w:tcPr>
          <w:p>
            <w:pPr>
              <w:ind w:left="600"/>
              <w:spacing w:after="0"/>
              <w:rPr>
                <w:sz w:val="20"/>
                <w:szCs w:val="20"/>
                <w:color w:val="auto"/>
              </w:rPr>
            </w:pPr>
            <w:r>
              <w:rPr>
                <w:rFonts w:ascii="Courier New" w:cs="Courier New" w:eastAsia="Courier New" w:hAnsi="Courier New"/>
                <w:sz w:val="16"/>
                <w:szCs w:val="16"/>
                <w:color w:val="auto"/>
              </w:rPr>
              <w:t>for the quarter ended March 31, 2000).</w:t>
            </w:r>
          </w:p>
        </w:tc>
      </w:tr>
      <w:tr>
        <w:trPr>
          <w:trHeight w:val="361"/>
        </w:trPr>
        <w:tc>
          <w:tcPr>
            <w:tcW w:w="1080" w:type="dxa"/>
            <w:vAlign w:val="bottom"/>
          </w:tcPr>
          <w:p>
            <w:pPr>
              <w:spacing w:after="0"/>
              <w:rPr>
                <w:sz w:val="24"/>
                <w:szCs w:val="24"/>
                <w:color w:val="auto"/>
              </w:rPr>
            </w:pPr>
          </w:p>
        </w:tc>
        <w:tc>
          <w:tcPr>
            <w:tcW w:w="6420" w:type="dxa"/>
            <w:vAlign w:val="bottom"/>
          </w:tcPr>
          <w:p>
            <w:pPr>
              <w:ind w:left="2580"/>
              <w:spacing w:after="0"/>
              <w:rPr>
                <w:sz w:val="20"/>
                <w:szCs w:val="20"/>
                <w:color w:val="auto"/>
              </w:rPr>
            </w:pPr>
            <w:r>
              <w:rPr>
                <w:rFonts w:ascii="Courier New" w:cs="Courier New" w:eastAsia="Courier New" w:hAnsi="Courier New"/>
                <w:sz w:val="16"/>
                <w:szCs w:val="16"/>
                <w:color w:val="auto"/>
              </w:rPr>
              <w:t>15</w:t>
            </w:r>
          </w:p>
        </w:tc>
      </w:tr>
    </w:tbl>
    <w:p>
      <w:pPr>
        <w:sectPr>
          <w:pgSz w:w="11900" w:h="16838" w:orient="portrait"/>
          <w:cols w:equalWidth="0" w:num="1">
            <w:col w:w="10223"/>
          </w:cols>
          <w:pgMar w:left="236" w:top="834" w:right="1440" w:bottom="1440" w:gutter="0" w:footer="0" w:header="0"/>
        </w:sectPr>
      </w:pPr>
    </w:p>
    <w:bookmarkStart w:id="15" w:name="page16"/>
    <w:bookmarkEnd w:id="15"/>
    <w:p>
      <w:pPr>
        <w:ind w:left="4"/>
        <w:spacing w:after="0"/>
        <w:tabs>
          <w:tab w:leader="none" w:pos="1663"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Financial Data Schedules (for information of SEC only)</w:t>
      </w:r>
    </w:p>
    <w:p>
      <w:pPr>
        <w:spacing w:after="0" w:line="185" w:lineRule="exact"/>
        <w:rPr>
          <w:sz w:val="20"/>
          <w:szCs w:val="20"/>
          <w:color w:val="auto"/>
        </w:rPr>
      </w:pPr>
    </w:p>
    <w:p>
      <w:pPr>
        <w:ind w:left="564" w:right="2899" w:hanging="564"/>
        <w:spacing w:after="0" w:line="236" w:lineRule="auto"/>
        <w:tabs>
          <w:tab w:leader="none" w:pos="5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filed reports on Form 8-K during the quarter ending June 30, 2000, as follows:</w:t>
      </w:r>
    </w:p>
    <w:p>
      <w:pPr>
        <w:sectPr>
          <w:pgSz w:w="11900" w:h="16838" w:orient="portrait"/>
          <w:cols w:equalWidth="0" w:num="1">
            <w:col w:w="10223"/>
          </w:cols>
          <w:pgMar w:left="236" w:top="654" w:right="1440" w:bottom="1440" w:gutter="0" w:footer="0" w:header="0"/>
        </w:sectPr>
      </w:pPr>
    </w:p>
    <w:p>
      <w:pPr>
        <w:spacing w:after="0" w:line="185" w:lineRule="exact"/>
        <w:rPr>
          <w:sz w:val="20"/>
          <w:szCs w:val="20"/>
          <w:color w:val="auto"/>
        </w:rPr>
      </w:pPr>
    </w:p>
    <w:p>
      <w:pPr>
        <w:ind w:left="1304"/>
        <w:spacing w:after="0"/>
        <w:rPr>
          <w:sz w:val="20"/>
          <w:szCs w:val="20"/>
          <w:color w:val="auto"/>
        </w:rPr>
      </w:pPr>
      <w:r>
        <w:rPr>
          <w:rFonts w:ascii="Courier New" w:cs="Courier New" w:eastAsia="Courier New" w:hAnsi="Courier New"/>
          <w:sz w:val="15"/>
          <w:szCs w:val="15"/>
          <w:color w:val="auto"/>
        </w:rPr>
        <w:t>Date</w:t>
      </w:r>
    </w:p>
    <w:p>
      <w:pPr>
        <w:spacing w:after="0" w:line="10" w:lineRule="exact"/>
        <w:rPr>
          <w:sz w:val="20"/>
          <w:szCs w:val="20"/>
          <w:color w:val="auto"/>
        </w:rPr>
      </w:pPr>
    </w:p>
    <w:p>
      <w:pPr>
        <w:ind w:left="1304"/>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3224" w:space="720"/>
            <w:col w:w="6279"/>
          </w:cols>
          <w:pgMar w:left="236" w:top="654" w:right="1440" w:bottom="1440" w:gutter="0" w:footer="0" w:header="0"/>
          <w:type w:val="continuous"/>
        </w:sectPr>
      </w:pPr>
    </w:p>
    <w:p>
      <w:pPr>
        <w:spacing w:after="0" w:line="5" w:lineRule="exact"/>
        <w:rPr>
          <w:sz w:val="20"/>
          <w:szCs w:val="20"/>
          <w:color w:val="auto"/>
        </w:rPr>
      </w:pPr>
    </w:p>
    <w:p>
      <w:pPr>
        <w:ind w:left="844"/>
        <w:spacing w:after="0"/>
        <w:rPr>
          <w:sz w:val="20"/>
          <w:szCs w:val="20"/>
          <w:color w:val="auto"/>
        </w:rPr>
      </w:pPr>
      <w:r>
        <w:rPr>
          <w:rFonts w:ascii="Courier New" w:cs="Courier New" w:eastAsia="Courier New" w:hAnsi="Courier New"/>
          <w:sz w:val="15"/>
          <w:szCs w:val="15"/>
          <w:color w:val="auto"/>
        </w:rPr>
        <w:t>May 23, 2000</w:t>
      </w:r>
    </w:p>
    <w:p>
      <w:pPr>
        <w:spacing w:after="0" w:line="20" w:lineRule="exact"/>
        <w:rPr>
          <w:sz w:val="20"/>
          <w:szCs w:val="20"/>
          <w:color w:val="auto"/>
        </w:rPr>
      </w:pPr>
      <w:r>
        <w:rPr>
          <w:sz w:val="20"/>
          <w:szCs w:val="20"/>
          <w:color w:val="auto"/>
        </w:rPr>
        <w:br w:type="column"/>
      </w:r>
    </w:p>
    <w:p>
      <w:pPr>
        <w:spacing w:after="0"/>
        <w:tabs>
          <w:tab w:leader="none" w:pos="1940" w:val="left"/>
        </w:tabs>
        <w:rPr>
          <w:sz w:val="20"/>
          <w:szCs w:val="20"/>
          <w:color w:val="auto"/>
        </w:rPr>
      </w:pPr>
      <w:r>
        <w:rPr>
          <w:rFonts w:ascii="Courier New" w:cs="Courier New" w:eastAsia="Courier New" w:hAnsi="Courier New"/>
          <w:sz w:val="16"/>
          <w:szCs w:val="16"/>
          <w:color w:val="auto"/>
        </w:rPr>
        <w:t>Reporting change of</w:t>
      </w:r>
      <w:r>
        <w:rPr>
          <w:sz w:val="20"/>
          <w:szCs w:val="20"/>
          <w:color w:val="auto"/>
        </w:rPr>
        <w:tab/>
      </w:r>
      <w:r>
        <w:rPr>
          <w:rFonts w:ascii="Courier New" w:cs="Courier New" w:eastAsia="Courier New" w:hAnsi="Courier New"/>
          <w:sz w:val="15"/>
          <w:szCs w:val="15"/>
          <w:color w:val="auto"/>
        </w:rPr>
        <w:t>Company 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NN Ball &amp; Roller, Inc. to NN, Inc.</w:t>
      </w:r>
    </w:p>
    <w:p>
      <w:pPr>
        <w:spacing w:after="0" w:line="200" w:lineRule="exact"/>
        <w:rPr>
          <w:sz w:val="20"/>
          <w:szCs w:val="20"/>
          <w:color w:val="auto"/>
        </w:rPr>
      </w:pPr>
    </w:p>
    <w:p>
      <w:pPr>
        <w:sectPr>
          <w:pgSz w:w="11900" w:h="16838" w:orient="portrait"/>
          <w:cols w:equalWidth="0" w:num="2">
            <w:col w:w="2944" w:space="720"/>
            <w:col w:w="6559"/>
          </w:cols>
          <w:pgMar w:left="236" w:top="654" w:right="1440" w:bottom="1440" w:gutter="0" w:footer="0" w:header="0"/>
          <w:type w:val="continuous"/>
        </w:sectPr>
      </w:pPr>
    </w:p>
    <w:p>
      <w:pPr>
        <w:spacing w:after="0" w:line="352"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3"/>
          </w:cols>
          <w:pgMar w:left="236" w:top="654" w:right="1440" w:bottom="1440" w:gutter="0" w:footer="0" w:header="0"/>
          <w:type w:val="continuous"/>
        </w:sectPr>
      </w:pPr>
    </w:p>
    <w:bookmarkStart w:id="16" w:name="page17"/>
    <w:bookmarkEnd w:id="16"/>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NN, Inc.</w:t>
      </w:r>
    </w:p>
    <w:p>
      <w:pPr>
        <w:ind w:left="422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1195" w:right="1440" w:bottom="1440" w:gutter="0" w:footer="0" w:header="0"/>
        </w:sect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11, 2000</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Roderick R. Baty</w:t>
      </w:r>
    </w:p>
    <w:p>
      <w:pPr>
        <w:spacing w:after="0" w:line="186" w:lineRule="exact"/>
        <w:rPr>
          <w:sz w:val="20"/>
          <w:szCs w:val="20"/>
          <w:color w:val="auto"/>
        </w:rPr>
      </w:pPr>
    </w:p>
    <w:p>
      <w:pPr>
        <w:sectPr>
          <w:pgSz w:w="11900" w:h="16838" w:orient="portrait"/>
          <w:cols w:equalWidth="0" w:num="2">
            <w:col w:w="3500" w:space="720"/>
            <w:col w:w="5999"/>
          </w:cols>
          <w:pgMar w:left="240" w:top="1195"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Roderick R. Baty,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President and Chief Executive</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Officer</w:t>
      </w:r>
    </w:p>
    <w:p>
      <w:pPr>
        <w:ind w:left="4400"/>
        <w:spacing w:after="0"/>
        <w:rPr>
          <w:sz w:val="20"/>
          <w:szCs w:val="20"/>
          <w:color w:val="auto"/>
        </w:rPr>
      </w:pPr>
      <w:r>
        <w:rPr>
          <w:rFonts w:ascii="Courier New" w:cs="Courier New" w:eastAsia="Courier New" w:hAnsi="Courier New"/>
          <w:sz w:val="16"/>
          <w:szCs w:val="16"/>
          <w:color w:val="auto"/>
        </w:rPr>
        <w:t>(Duly Authorized Officer)</w:t>
      </w:r>
    </w:p>
    <w:p>
      <w:pPr>
        <w:sectPr>
          <w:pgSz w:w="11900" w:h="16838" w:orient="portrait"/>
          <w:cols w:equalWidth="0" w:num="1">
            <w:col w:w="10219"/>
          </w:cols>
          <w:pgMar w:left="240" w:top="1195" w:right="1440" w:bottom="1440" w:gutter="0" w:footer="0" w:header="0"/>
          <w:type w:val="continuous"/>
        </w:sect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11, 2000</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Dyckman</w:t>
      </w:r>
    </w:p>
    <w:p>
      <w:pPr>
        <w:spacing w:after="0" w:line="186" w:lineRule="exact"/>
        <w:rPr>
          <w:sz w:val="20"/>
          <w:szCs w:val="20"/>
          <w:color w:val="auto"/>
        </w:rPr>
      </w:pPr>
    </w:p>
    <w:p>
      <w:pPr>
        <w:sectPr>
          <w:pgSz w:w="11900" w:h="16838" w:orient="portrait"/>
          <w:cols w:equalWidth="0" w:num="2">
            <w:col w:w="3500" w:space="720"/>
            <w:col w:w="5999"/>
          </w:cols>
          <w:pgMar w:left="240" w:top="1195"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David Dyckman</w:t>
      </w:r>
    </w:p>
    <w:p>
      <w:pPr>
        <w:ind w:left="4220"/>
        <w:spacing w:after="0"/>
        <w:rPr>
          <w:sz w:val="20"/>
          <w:szCs w:val="20"/>
          <w:color w:val="auto"/>
        </w:rPr>
      </w:pPr>
      <w:r>
        <w:rPr>
          <w:rFonts w:ascii="Courier New" w:cs="Courier New" w:eastAsia="Courier New" w:hAnsi="Courier New"/>
          <w:sz w:val="16"/>
          <w:szCs w:val="16"/>
          <w:color w:val="auto"/>
        </w:rPr>
        <w:t>Chief Financial Officer</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(Principal Financial Officer)</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(Duly Authorized Officer)</w:t>
      </w:r>
    </w:p>
    <w:p>
      <w:pPr>
        <w:sectPr>
          <w:pgSz w:w="11900" w:h="16838" w:orient="portrait"/>
          <w:cols w:equalWidth="0" w:num="1">
            <w:col w:w="10219"/>
          </w:cols>
          <w:pgMar w:left="240" w:top="1195" w:right="1440" w:bottom="1440" w:gutter="0" w:footer="0" w:header="0"/>
          <w:type w:val="continuous"/>
        </w:sect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11, 2000</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C. Kelly, Jr.</w:t>
      </w:r>
    </w:p>
    <w:p>
      <w:pPr>
        <w:spacing w:after="0" w:line="186" w:lineRule="exact"/>
        <w:rPr>
          <w:sz w:val="20"/>
          <w:szCs w:val="20"/>
          <w:color w:val="auto"/>
        </w:rPr>
      </w:pPr>
    </w:p>
    <w:p>
      <w:pPr>
        <w:sectPr>
          <w:pgSz w:w="11900" w:h="16838" w:orient="portrait"/>
          <w:cols w:equalWidth="0" w:num="2">
            <w:col w:w="3500" w:space="720"/>
            <w:col w:w="5999"/>
          </w:cols>
          <w:pgMar w:left="240" w:top="1195"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William C. Kelly, Jr.,</w:t>
      </w:r>
    </w:p>
    <w:p>
      <w:pPr>
        <w:ind w:left="4220"/>
        <w:spacing w:after="0"/>
        <w:rPr>
          <w:sz w:val="20"/>
          <w:szCs w:val="20"/>
          <w:color w:val="auto"/>
        </w:rPr>
      </w:pPr>
      <w:r>
        <w:rPr>
          <w:rFonts w:ascii="Courier New" w:cs="Courier New" w:eastAsia="Courier New" w:hAnsi="Courier New"/>
          <w:sz w:val="16"/>
          <w:szCs w:val="16"/>
          <w:color w:val="auto"/>
        </w:rPr>
        <w:t>Treasurer, Secretary and</w:t>
      </w:r>
    </w:p>
    <w:p>
      <w:pPr>
        <w:ind w:left="4220"/>
        <w:spacing w:after="0" w:line="237" w:lineRule="auto"/>
        <w:rPr>
          <w:sz w:val="20"/>
          <w:szCs w:val="20"/>
          <w:color w:val="auto"/>
        </w:rPr>
      </w:pPr>
      <w:r>
        <w:rPr>
          <w:rFonts w:ascii="Courier New" w:cs="Courier New" w:eastAsia="Courier New" w:hAnsi="Courier New"/>
          <w:sz w:val="16"/>
          <w:szCs w:val="16"/>
          <w:color w:val="auto"/>
        </w:rPr>
        <w:t>Chief Accounting Officer</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(Principal Accounting Officer)</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(Duly Authorized Officer)</w:t>
      </w:r>
    </w:p>
    <w:p>
      <w:pPr>
        <w:sectPr>
          <w:pgSz w:w="11900" w:h="16838" w:orient="portrait"/>
          <w:cols w:equalWidth="0" w:num="1">
            <w:col w:w="10219"/>
          </w:cols>
          <w:pgMar w:left="240" w:top="11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1195" w:right="1440" w:bottom="1440" w:gutter="0" w:footer="0" w:header="0"/>
          <w:type w:val="continuous"/>
        </w:sectPr>
      </w:pPr>
    </w:p>
    <w:bookmarkStart w:id="17" w:name="page18"/>
    <w:bookmarkEnd w:id="17"/>
    <w:p>
      <w:pPr>
        <w:ind w:left="300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19"/>
          </w:cols>
          <w:pgMar w:left="240" w:top="659" w:right="1440" w:bottom="1440" w:gutter="0" w:footer="0" w:header="0"/>
        </w:sect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rPr>
          <w:sz w:val="20"/>
          <w:szCs w:val="20"/>
          <w:color w:val="auto"/>
        </w:rPr>
      </w:pPr>
      <w:r>
        <w:rPr>
          <w:rFonts w:ascii="Courier New" w:cs="Courier New" w:eastAsia="Courier New" w:hAnsi="Courier New"/>
          <w:sz w:val="16"/>
          <w:szCs w:val="16"/>
          <w:color w:val="auto"/>
        </w:rPr>
        <w:t>Number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2">
            <w:col w:w="2000" w:space="720"/>
            <w:col w:w="749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Schedules (for information of SEC only)</w:t>
      </w:r>
    </w:p>
    <w:p>
      <w:pPr>
        <w:sectPr>
          <w:pgSz w:w="11900" w:h="16838" w:orient="portrait"/>
          <w:cols w:equalWidth="0" w:num="2">
            <w:col w:w="400" w:space="720"/>
            <w:col w:w="9099"/>
          </w:cols>
          <w:pgMar w:left="240" w:top="659" w:right="1440" w:bottom="1440" w:gutter="0" w:footer="0" w:header="0"/>
          <w:type w:val="continuous"/>
        </w:sectPr>
      </w:pPr>
    </w:p>
    <w:bookmarkStart w:id="18" w:name="page19"/>
    <w:bookmarkEnd w:id="18"/>
    <w:p>
      <w:pPr>
        <w:ind w:left="760"/>
        <w:spacing w:after="0"/>
        <w:rPr>
          <w:sz w:val="20"/>
          <w:szCs w:val="20"/>
          <w:color w:val="auto"/>
        </w:rPr>
      </w:pPr>
      <w:r>
        <w:rPr>
          <w:rFonts w:ascii="Courier New" w:cs="Courier New" w:eastAsia="Courier New" w:hAnsi="Courier New"/>
          <w:sz w:val="16"/>
          <w:szCs w:val="16"/>
          <w:color w:val="auto"/>
        </w:rPr>
        <w:t>5</w:t>
      </w:r>
    </w:p>
    <w:p>
      <w:pPr>
        <w:ind w:left="1140"/>
        <w:spacing w:after="0"/>
        <w:rPr>
          <w:sz w:val="20"/>
          <w:szCs w:val="20"/>
          <w:color w:val="auto"/>
        </w:rPr>
      </w:pPr>
      <w:r>
        <w:rPr>
          <w:rFonts w:ascii="Courier New" w:cs="Courier New" w:eastAsia="Courier New" w:hAnsi="Courier New"/>
          <w:sz w:val="16"/>
          <w:szCs w:val="16"/>
          <w:color w:val="auto"/>
        </w:rPr>
        <w:t>0000918541</w:t>
      </w:r>
    </w:p>
    <w:p>
      <w:pPr>
        <w:ind w:left="1040"/>
        <w:spacing w:after="0" w:line="237" w:lineRule="auto"/>
        <w:rPr>
          <w:sz w:val="20"/>
          <w:szCs w:val="20"/>
          <w:color w:val="auto"/>
        </w:rPr>
      </w:pPr>
      <w:r>
        <w:rPr>
          <w:rFonts w:ascii="Courier New" w:cs="Courier New" w:eastAsia="Courier New" w:hAnsi="Courier New"/>
          <w:sz w:val="16"/>
          <w:szCs w:val="16"/>
          <w:color w:val="auto"/>
        </w:rPr>
        <w:t>NN, Inc.</w:t>
      </w:r>
    </w:p>
    <w:p>
      <w:pPr>
        <w:ind w:left="2080"/>
        <w:spacing w:after="0"/>
        <w:rPr>
          <w:sz w:val="20"/>
          <w:szCs w:val="20"/>
          <w:color w:val="auto"/>
        </w:rPr>
      </w:pPr>
      <w:r>
        <w:rPr>
          <w:rFonts w:ascii="Courier New" w:cs="Courier New" w:eastAsia="Courier New" w:hAnsi="Courier New"/>
          <w:sz w:val="16"/>
          <w:szCs w:val="16"/>
          <w:color w:val="auto"/>
        </w:rPr>
        <w:t>1,000</w:t>
      </w:r>
    </w:p>
    <w:p>
      <w:pPr>
        <w:ind w:left="1620"/>
        <w:spacing w:after="0" w:line="238" w:lineRule="auto"/>
        <w:rPr>
          <w:sz w:val="20"/>
          <w:szCs w:val="20"/>
          <w:color w:val="auto"/>
        </w:rPr>
      </w:pPr>
      <w:r>
        <w:rPr>
          <w:rFonts w:ascii="Courier New" w:cs="Courier New" w:eastAsia="Courier New" w:hAnsi="Courier New"/>
          <w:sz w:val="16"/>
          <w:szCs w:val="16"/>
          <w:color w:val="auto"/>
        </w:rPr>
        <w:t>U.S. Dollars</w:t>
      </w:r>
    </w:p>
    <w:p>
      <w:pPr>
        <w:spacing w:after="0" w:line="360"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3-MOS</w:t>
      </w:r>
    </w:p>
    <w:p>
      <w:pPr>
        <w:ind w:left="1040"/>
        <w:spacing w:after="0"/>
        <w:rPr>
          <w:sz w:val="20"/>
          <w:szCs w:val="20"/>
          <w:color w:val="auto"/>
        </w:rPr>
      </w:pPr>
      <w:r>
        <w:rPr>
          <w:rFonts w:ascii="Courier New" w:cs="Courier New" w:eastAsia="Courier New" w:hAnsi="Courier New"/>
          <w:sz w:val="16"/>
          <w:szCs w:val="16"/>
          <w:color w:val="auto"/>
        </w:rPr>
        <w:t>DEC-31-2000</w:t>
      </w:r>
    </w:p>
    <w:p>
      <w:pPr>
        <w:ind w:left="1320"/>
        <w:spacing w:after="0" w:line="237" w:lineRule="auto"/>
        <w:rPr>
          <w:sz w:val="20"/>
          <w:szCs w:val="20"/>
          <w:color w:val="auto"/>
        </w:rPr>
      </w:pPr>
      <w:r>
        <w:rPr>
          <w:rFonts w:ascii="Courier New" w:cs="Courier New" w:eastAsia="Courier New" w:hAnsi="Courier New"/>
          <w:sz w:val="16"/>
          <w:szCs w:val="16"/>
          <w:color w:val="auto"/>
        </w:rPr>
        <w:t>APR-01-2000</w:t>
      </w:r>
    </w:p>
    <w:p>
      <w:pPr>
        <w:ind w:left="1520"/>
        <w:spacing w:after="0"/>
        <w:rPr>
          <w:sz w:val="20"/>
          <w:szCs w:val="20"/>
          <w:color w:val="auto"/>
        </w:rPr>
      </w:pPr>
      <w:r>
        <w:rPr>
          <w:rFonts w:ascii="Courier New" w:cs="Courier New" w:eastAsia="Courier New" w:hAnsi="Courier New"/>
          <w:sz w:val="16"/>
          <w:szCs w:val="16"/>
          <w:color w:val="auto"/>
        </w:rPr>
        <w:t>JUN-30-2000</w:t>
      </w:r>
    </w:p>
    <w:p>
      <w:pPr>
        <w:ind w:left="2180"/>
        <w:spacing w:after="0" w:line="238" w:lineRule="auto"/>
        <w:rPr>
          <w:sz w:val="20"/>
          <w:szCs w:val="20"/>
          <w:color w:val="auto"/>
        </w:rPr>
      </w:pPr>
      <w:r>
        <w:rPr>
          <w:rFonts w:ascii="Courier New" w:cs="Courier New" w:eastAsia="Courier New" w:hAnsi="Courier New"/>
          <w:sz w:val="16"/>
          <w:szCs w:val="16"/>
          <w:color w:val="auto"/>
        </w:rPr>
        <w:t>1</w:t>
      </w:r>
    </w:p>
    <w:p>
      <w:pPr>
        <w:ind w:left="2640"/>
        <w:spacing w:after="0"/>
        <w:rPr>
          <w:sz w:val="20"/>
          <w:szCs w:val="20"/>
          <w:color w:val="auto"/>
        </w:rPr>
      </w:pPr>
      <w:r>
        <w:rPr>
          <w:rFonts w:ascii="Courier New" w:cs="Courier New" w:eastAsia="Courier New" w:hAnsi="Courier New"/>
          <w:sz w:val="16"/>
          <w:szCs w:val="16"/>
          <w:color w:val="auto"/>
        </w:rPr>
        <w:t>2,423</w:t>
      </w:r>
    </w:p>
    <w:p>
      <w:pPr>
        <w:ind w:left="2460"/>
        <w:spacing w:after="0" w:line="238" w:lineRule="auto"/>
        <w:rPr>
          <w:sz w:val="20"/>
          <w:szCs w:val="20"/>
          <w:color w:val="auto"/>
        </w:rPr>
      </w:pPr>
      <w:r>
        <w:rPr>
          <w:rFonts w:ascii="Courier New" w:cs="Courier New" w:eastAsia="Courier New" w:hAnsi="Courier New"/>
          <w:sz w:val="16"/>
          <w:szCs w:val="16"/>
          <w:color w:val="auto"/>
        </w:rPr>
        <w:t>0</w:t>
      </w:r>
    </w:p>
    <w:p>
      <w:pPr>
        <w:ind w:left="1900"/>
        <w:spacing w:after="0"/>
        <w:rPr>
          <w:sz w:val="20"/>
          <w:szCs w:val="20"/>
          <w:color w:val="auto"/>
        </w:rPr>
      </w:pPr>
      <w:r>
        <w:rPr>
          <w:rFonts w:ascii="Courier New" w:cs="Courier New" w:eastAsia="Courier New" w:hAnsi="Courier New"/>
          <w:sz w:val="16"/>
          <w:szCs w:val="16"/>
          <w:color w:val="auto"/>
        </w:rPr>
        <w:t>21,511</w:t>
      </w:r>
    </w:p>
    <w:p>
      <w:pPr>
        <w:ind w:left="2260"/>
        <w:spacing w:after="0" w:line="237" w:lineRule="auto"/>
        <w:rPr>
          <w:sz w:val="20"/>
          <w:szCs w:val="20"/>
          <w:color w:val="auto"/>
        </w:rPr>
      </w:pPr>
      <w:r>
        <w:rPr>
          <w:rFonts w:ascii="Courier New" w:cs="Courier New" w:eastAsia="Courier New" w:hAnsi="Courier New"/>
          <w:sz w:val="16"/>
          <w:szCs w:val="16"/>
          <w:color w:val="auto"/>
        </w:rPr>
        <w:t>831</w:t>
      </w:r>
    </w:p>
    <w:p>
      <w:pPr>
        <w:ind w:left="2080"/>
        <w:spacing w:after="0"/>
        <w:rPr>
          <w:sz w:val="20"/>
          <w:szCs w:val="20"/>
          <w:color w:val="auto"/>
        </w:rPr>
      </w:pPr>
      <w:r>
        <w:rPr>
          <w:rFonts w:ascii="Courier New" w:cs="Courier New" w:eastAsia="Courier New" w:hAnsi="Courier New"/>
          <w:sz w:val="16"/>
          <w:szCs w:val="16"/>
          <w:color w:val="auto"/>
        </w:rPr>
        <w:t>12,012</w:t>
      </w:r>
    </w:p>
    <w:p>
      <w:pPr>
        <w:ind w:left="1620"/>
        <w:spacing w:after="0" w:line="238" w:lineRule="auto"/>
        <w:rPr>
          <w:sz w:val="20"/>
          <w:szCs w:val="20"/>
          <w:color w:val="auto"/>
        </w:rPr>
      </w:pPr>
      <w:r>
        <w:rPr>
          <w:rFonts w:ascii="Courier New" w:cs="Courier New" w:eastAsia="Courier New" w:hAnsi="Courier New"/>
          <w:sz w:val="16"/>
          <w:szCs w:val="16"/>
          <w:color w:val="auto"/>
        </w:rPr>
        <w:t>39,775</w:t>
      </w:r>
    </w:p>
    <w:p>
      <w:pPr>
        <w:ind w:left="2540"/>
        <w:spacing w:after="0"/>
        <w:rPr>
          <w:sz w:val="20"/>
          <w:szCs w:val="20"/>
          <w:color w:val="auto"/>
        </w:rPr>
      </w:pPr>
      <w:r>
        <w:rPr>
          <w:rFonts w:ascii="Courier New" w:cs="Courier New" w:eastAsia="Courier New" w:hAnsi="Courier New"/>
          <w:sz w:val="16"/>
          <w:szCs w:val="16"/>
          <w:color w:val="auto"/>
        </w:rPr>
        <w:t>87,980</w:t>
      </w:r>
    </w:p>
    <w:p>
      <w:pPr>
        <w:ind w:left="1800"/>
        <w:spacing w:after="0" w:line="238" w:lineRule="auto"/>
        <w:rPr>
          <w:sz w:val="20"/>
          <w:szCs w:val="20"/>
          <w:color w:val="auto"/>
        </w:rPr>
      </w:pPr>
      <w:r>
        <w:rPr>
          <w:rFonts w:ascii="Courier New" w:cs="Courier New" w:eastAsia="Courier New" w:hAnsi="Courier New"/>
          <w:sz w:val="16"/>
          <w:szCs w:val="16"/>
          <w:color w:val="auto"/>
        </w:rPr>
        <w:t>33,654</w:t>
      </w:r>
    </w:p>
    <w:p>
      <w:pPr>
        <w:ind w:left="1800"/>
        <w:spacing w:after="0"/>
        <w:rPr>
          <w:sz w:val="20"/>
          <w:szCs w:val="20"/>
          <w:color w:val="auto"/>
        </w:rPr>
      </w:pPr>
      <w:r>
        <w:rPr>
          <w:rFonts w:ascii="Courier New" w:cs="Courier New" w:eastAsia="Courier New" w:hAnsi="Courier New"/>
          <w:sz w:val="16"/>
          <w:szCs w:val="16"/>
          <w:color w:val="auto"/>
        </w:rPr>
        <w:t>97,810</w:t>
      </w:r>
    </w:p>
    <w:p>
      <w:pPr>
        <w:ind w:left="1140"/>
        <w:spacing w:after="0" w:line="237" w:lineRule="auto"/>
        <w:rPr>
          <w:sz w:val="20"/>
          <w:szCs w:val="20"/>
          <w:color w:val="auto"/>
        </w:rPr>
      </w:pPr>
      <w:r>
        <w:rPr>
          <w:rFonts w:ascii="Courier New" w:cs="Courier New" w:eastAsia="Courier New" w:hAnsi="Courier New"/>
          <w:sz w:val="16"/>
          <w:szCs w:val="16"/>
          <w:color w:val="auto"/>
        </w:rPr>
        <w:t>14,450</w:t>
      </w:r>
    </w:p>
    <w:p>
      <w:pPr>
        <w:ind w:left="2920"/>
        <w:spacing w:after="0"/>
        <w:rPr>
          <w:sz w:val="20"/>
          <w:szCs w:val="20"/>
          <w:color w:val="auto"/>
        </w:rPr>
      </w:pPr>
      <w:r>
        <w:rPr>
          <w:rFonts w:ascii="Courier New" w:cs="Courier New" w:eastAsia="Courier New" w:hAnsi="Courier New"/>
          <w:sz w:val="16"/>
          <w:szCs w:val="16"/>
          <w:color w:val="auto"/>
        </w:rPr>
        <w:t>0</w:t>
      </w:r>
    </w:p>
    <w:p>
      <w:pPr>
        <w:ind w:left="1620"/>
        <w:spacing w:after="0" w:line="238" w:lineRule="auto"/>
        <w:rPr>
          <w:sz w:val="20"/>
          <w:szCs w:val="20"/>
          <w:color w:val="auto"/>
        </w:rPr>
      </w:pPr>
      <w:r>
        <w:rPr>
          <w:rFonts w:ascii="Courier New" w:cs="Courier New" w:eastAsia="Courier New" w:hAnsi="Courier New"/>
          <w:sz w:val="16"/>
          <w:szCs w:val="16"/>
          <w:color w:val="auto"/>
        </w:rPr>
        <w:t>0</w:t>
      </w:r>
    </w:p>
    <w:p>
      <w:pPr>
        <w:ind w:left="2540"/>
        <w:spacing w:after="0"/>
        <w:rPr>
          <w:sz w:val="20"/>
          <w:szCs w:val="20"/>
          <w:color w:val="auto"/>
        </w:rPr>
      </w:pPr>
      <w:r>
        <w:rPr>
          <w:rFonts w:ascii="Courier New" w:cs="Courier New" w:eastAsia="Courier New" w:hAnsi="Courier New"/>
          <w:sz w:val="16"/>
          <w:szCs w:val="16"/>
          <w:color w:val="auto"/>
        </w:rPr>
        <w:t>0</w:t>
      </w:r>
    </w:p>
    <w:p>
      <w:pPr>
        <w:ind w:left="2640"/>
        <w:spacing w:after="0" w:line="238" w:lineRule="auto"/>
        <w:rPr>
          <w:sz w:val="20"/>
          <w:szCs w:val="20"/>
          <w:color w:val="auto"/>
        </w:rPr>
      </w:pPr>
      <w:r>
        <w:rPr>
          <w:rFonts w:ascii="Courier New" w:cs="Courier New" w:eastAsia="Courier New" w:hAnsi="Courier New"/>
          <w:sz w:val="16"/>
          <w:szCs w:val="16"/>
          <w:color w:val="auto"/>
        </w:rPr>
        <w:t>153</w:t>
      </w:r>
    </w:p>
    <w:p>
      <w:pPr>
        <w:ind w:left="2180"/>
        <w:spacing w:after="0"/>
        <w:rPr>
          <w:sz w:val="20"/>
          <w:szCs w:val="20"/>
          <w:color w:val="auto"/>
        </w:rPr>
      </w:pPr>
      <w:r>
        <w:rPr>
          <w:rFonts w:ascii="Courier New" w:cs="Courier New" w:eastAsia="Courier New" w:hAnsi="Courier New"/>
          <w:sz w:val="16"/>
          <w:szCs w:val="16"/>
          <w:color w:val="auto"/>
        </w:rPr>
        <w:t>61,466</w:t>
      </w:r>
    </w:p>
    <w:p>
      <w:pPr>
        <w:ind w:left="480"/>
        <w:spacing w:after="0" w:line="237" w:lineRule="auto"/>
        <w:rPr>
          <w:sz w:val="20"/>
          <w:szCs w:val="20"/>
          <w:color w:val="auto"/>
        </w:rPr>
      </w:pPr>
      <w:r>
        <w:rPr>
          <w:rFonts w:ascii="Courier New" w:cs="Courier New" w:eastAsia="Courier New" w:hAnsi="Courier New"/>
          <w:sz w:val="16"/>
          <w:szCs w:val="16"/>
          <w:color w:val="auto"/>
        </w:rPr>
        <w:t>97,810</w:t>
      </w:r>
    </w:p>
    <w:p>
      <w:pPr>
        <w:ind w:left="2460"/>
        <w:spacing w:after="0"/>
        <w:rPr>
          <w:sz w:val="20"/>
          <w:szCs w:val="20"/>
          <w:color w:val="auto"/>
        </w:rPr>
      </w:pPr>
      <w:r>
        <w:rPr>
          <w:rFonts w:ascii="Courier New" w:cs="Courier New" w:eastAsia="Courier New" w:hAnsi="Courier New"/>
          <w:sz w:val="16"/>
          <w:szCs w:val="16"/>
          <w:color w:val="auto"/>
        </w:rPr>
        <w:t>25,643</w:t>
      </w:r>
    </w:p>
    <w:p>
      <w:pPr>
        <w:ind w:left="1620"/>
        <w:spacing w:after="0" w:line="238" w:lineRule="auto"/>
        <w:rPr>
          <w:sz w:val="20"/>
          <w:szCs w:val="20"/>
          <w:color w:val="auto"/>
        </w:rPr>
      </w:pPr>
      <w:r>
        <w:rPr>
          <w:rFonts w:ascii="Courier New" w:cs="Courier New" w:eastAsia="Courier New" w:hAnsi="Courier New"/>
          <w:sz w:val="16"/>
          <w:szCs w:val="16"/>
          <w:color w:val="auto"/>
        </w:rPr>
        <w:t>25,643</w:t>
      </w:r>
    </w:p>
    <w:p>
      <w:pPr>
        <w:jc w:val="right"/>
        <w:ind w:right="5819"/>
        <w:spacing w:after="0"/>
        <w:rPr>
          <w:sz w:val="20"/>
          <w:szCs w:val="20"/>
          <w:color w:val="auto"/>
        </w:rPr>
      </w:pPr>
      <w:r>
        <w:rPr>
          <w:rFonts w:ascii="Courier New" w:cs="Courier New" w:eastAsia="Courier New" w:hAnsi="Courier New"/>
          <w:sz w:val="16"/>
          <w:szCs w:val="16"/>
          <w:color w:val="auto"/>
        </w:rPr>
        <w:t>17,795</w:t>
      </w:r>
    </w:p>
    <w:p>
      <w:pPr>
        <w:ind w:left="1900"/>
        <w:spacing w:after="0" w:line="238" w:lineRule="auto"/>
        <w:rPr>
          <w:sz w:val="20"/>
          <w:szCs w:val="20"/>
          <w:color w:val="auto"/>
        </w:rPr>
      </w:pPr>
      <w:r>
        <w:rPr>
          <w:rFonts w:ascii="Courier New" w:cs="Courier New" w:eastAsia="Courier New" w:hAnsi="Courier New"/>
          <w:sz w:val="16"/>
          <w:szCs w:val="16"/>
          <w:color w:val="auto"/>
        </w:rPr>
        <w:t>22,151</w:t>
      </w:r>
    </w:p>
    <w:p>
      <w:pPr>
        <w:ind w:left="2080"/>
        <w:spacing w:after="0"/>
        <w:rPr>
          <w:sz w:val="20"/>
          <w:szCs w:val="20"/>
          <w:color w:val="auto"/>
        </w:rPr>
      </w:pPr>
      <w:r>
        <w:rPr>
          <w:rFonts w:ascii="Courier New" w:cs="Courier New" w:eastAsia="Courier New" w:hAnsi="Courier New"/>
          <w:sz w:val="16"/>
          <w:szCs w:val="16"/>
          <w:color w:val="auto"/>
        </w:rPr>
        <w:t>0</w:t>
      </w:r>
    </w:p>
    <w:p>
      <w:pPr>
        <w:ind w:left="1900"/>
        <w:spacing w:after="0" w:line="237" w:lineRule="auto"/>
        <w:rPr>
          <w:sz w:val="20"/>
          <w:szCs w:val="20"/>
          <w:color w:val="auto"/>
        </w:rPr>
      </w:pPr>
      <w:r>
        <w:rPr>
          <w:rFonts w:ascii="Courier New" w:cs="Courier New" w:eastAsia="Courier New" w:hAnsi="Courier New"/>
          <w:sz w:val="16"/>
          <w:szCs w:val="16"/>
          <w:color w:val="auto"/>
        </w:rPr>
        <w:t>831</w:t>
      </w:r>
    </w:p>
    <w:p>
      <w:pPr>
        <w:ind w:left="1700"/>
        <w:spacing w:after="0"/>
        <w:rPr>
          <w:sz w:val="20"/>
          <w:szCs w:val="20"/>
          <w:color w:val="auto"/>
        </w:rPr>
      </w:pPr>
      <w:r>
        <w:rPr>
          <w:rFonts w:ascii="Courier New" w:cs="Courier New" w:eastAsia="Courier New" w:hAnsi="Courier New"/>
          <w:sz w:val="16"/>
          <w:szCs w:val="16"/>
          <w:color w:val="auto"/>
        </w:rPr>
        <w:t>268</w:t>
      </w:r>
    </w:p>
    <w:p>
      <w:pPr>
        <w:ind w:left="1800"/>
        <w:spacing w:after="0" w:line="238" w:lineRule="auto"/>
        <w:rPr>
          <w:sz w:val="20"/>
          <w:szCs w:val="20"/>
          <w:color w:val="auto"/>
        </w:rPr>
      </w:pPr>
      <w:r>
        <w:rPr>
          <w:rFonts w:ascii="Courier New" w:cs="Courier New" w:eastAsia="Courier New" w:hAnsi="Courier New"/>
          <w:sz w:val="16"/>
          <w:szCs w:val="16"/>
          <w:color w:val="auto"/>
        </w:rPr>
        <w:t>3,277</w:t>
      </w:r>
    </w:p>
    <w:p>
      <w:pPr>
        <w:ind w:left="2080"/>
        <w:spacing w:after="0"/>
        <w:rPr>
          <w:sz w:val="20"/>
          <w:szCs w:val="20"/>
          <w:color w:val="auto"/>
        </w:rPr>
      </w:pPr>
      <w:r>
        <w:rPr>
          <w:rFonts w:ascii="Courier New" w:cs="Courier New" w:eastAsia="Courier New" w:hAnsi="Courier New"/>
          <w:sz w:val="16"/>
          <w:szCs w:val="16"/>
          <w:color w:val="auto"/>
        </w:rPr>
        <w:t>1,035</w:t>
      </w:r>
    </w:p>
    <w:p>
      <w:pPr>
        <w:ind w:left="1420"/>
        <w:spacing w:after="0" w:line="238" w:lineRule="auto"/>
        <w:rPr>
          <w:sz w:val="20"/>
          <w:szCs w:val="20"/>
          <w:color w:val="auto"/>
        </w:rPr>
      </w:pPr>
      <w:r>
        <w:rPr>
          <w:rFonts w:ascii="Courier New" w:cs="Courier New" w:eastAsia="Courier New" w:hAnsi="Courier New"/>
          <w:sz w:val="16"/>
          <w:szCs w:val="16"/>
          <w:color w:val="auto"/>
        </w:rPr>
        <w:t>3,277</w:t>
      </w:r>
    </w:p>
    <w:p>
      <w:pPr>
        <w:ind w:left="2260"/>
        <w:spacing w:after="0"/>
        <w:rPr>
          <w:sz w:val="20"/>
          <w:szCs w:val="20"/>
          <w:color w:val="auto"/>
        </w:rPr>
      </w:pPr>
      <w:r>
        <w:rPr>
          <w:rFonts w:ascii="Courier New" w:cs="Courier New" w:eastAsia="Courier New" w:hAnsi="Courier New"/>
          <w:sz w:val="16"/>
          <w:szCs w:val="16"/>
          <w:color w:val="auto"/>
        </w:rPr>
        <w:t>0</w:t>
      </w:r>
    </w:p>
    <w:p>
      <w:pPr>
        <w:ind w:left="2180"/>
        <w:spacing w:after="0" w:line="237" w:lineRule="auto"/>
        <w:rPr>
          <w:sz w:val="20"/>
          <w:szCs w:val="20"/>
          <w:color w:val="auto"/>
        </w:rPr>
      </w:pPr>
      <w:r>
        <w:rPr>
          <w:rFonts w:ascii="Courier New" w:cs="Courier New" w:eastAsia="Courier New" w:hAnsi="Courier New"/>
          <w:sz w:val="16"/>
          <w:szCs w:val="16"/>
          <w:color w:val="auto"/>
        </w:rPr>
        <w:t>0</w:t>
      </w:r>
    </w:p>
    <w:p>
      <w:pPr>
        <w:ind w:left="2740"/>
        <w:spacing w:after="0"/>
        <w:rPr>
          <w:sz w:val="20"/>
          <w:szCs w:val="20"/>
          <w:color w:val="auto"/>
        </w:rPr>
      </w:pPr>
      <w:r>
        <w:rPr>
          <w:rFonts w:ascii="Courier New" w:cs="Courier New" w:eastAsia="Courier New" w:hAnsi="Courier New"/>
          <w:sz w:val="16"/>
          <w:szCs w:val="16"/>
          <w:color w:val="auto"/>
        </w:rPr>
        <w:t>0</w:t>
      </w:r>
    </w:p>
    <w:p>
      <w:pPr>
        <w:ind w:left="2080"/>
        <w:spacing w:after="0" w:line="238" w:lineRule="auto"/>
        <w:rPr>
          <w:sz w:val="20"/>
          <w:szCs w:val="20"/>
          <w:color w:val="auto"/>
        </w:rPr>
      </w:pPr>
      <w:r>
        <w:rPr>
          <w:rFonts w:ascii="Courier New" w:cs="Courier New" w:eastAsia="Courier New" w:hAnsi="Courier New"/>
          <w:sz w:val="16"/>
          <w:szCs w:val="16"/>
          <w:color w:val="auto"/>
        </w:rPr>
        <w:t>3,277</w:t>
      </w:r>
    </w:p>
    <w:p>
      <w:pPr>
        <w:ind w:left="2260"/>
        <w:spacing w:after="0"/>
        <w:rPr>
          <w:sz w:val="20"/>
          <w:szCs w:val="20"/>
          <w:color w:val="auto"/>
        </w:rPr>
      </w:pPr>
      <w:r>
        <w:rPr>
          <w:rFonts w:ascii="Courier New" w:cs="Courier New" w:eastAsia="Courier New" w:hAnsi="Courier New"/>
          <w:sz w:val="16"/>
          <w:szCs w:val="16"/>
          <w:color w:val="auto"/>
        </w:rPr>
        <w:t>0.15</w:t>
      </w:r>
    </w:p>
    <w:p>
      <w:pPr>
        <w:ind w:left="2080"/>
        <w:spacing w:after="0" w:line="238" w:lineRule="auto"/>
        <w:rPr>
          <w:sz w:val="20"/>
          <w:szCs w:val="20"/>
          <w:color w:val="auto"/>
        </w:rPr>
      </w:pPr>
      <w:r>
        <w:rPr>
          <w:rFonts w:ascii="Courier New" w:cs="Courier New" w:eastAsia="Courier New" w:hAnsi="Courier New"/>
          <w:sz w:val="16"/>
          <w:szCs w:val="16"/>
          <w:color w:val="auto"/>
        </w:rPr>
        <w:t>0.15</w:t>
      </w:r>
    </w:p>
    <w:sectPr>
      <w:pgSz w:w="11900" w:h="16838" w:orient="portrait"/>
      <w:cols w:equalWidth="0" w:num="1">
        <w:col w:w="9019"/>
      </w:cols>
      <w:pgMar w:left="1440" w:top="6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2"/>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2019-12-14T02:43:28Z</dcterms:created>
  <dcterms:modified xsi:type="dcterms:W3CDTF">2019-12-14T02:43:28Z</dcterms:modified>
</cp:coreProperties>
</file>