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108585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June 15, 2021 (June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128905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189230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ind w:left="3040"/>
        <w:spacing w:after="0"/>
        <w:tabs>
          <w:tab w:leader="none" w:pos="3880" w:val="left"/>
        </w:tabs>
        <w:rPr>
          <w:sz w:val="20"/>
          <w:szCs w:val="20"/>
          <w:color w:val="auto"/>
        </w:rPr>
      </w:pPr>
      <w:r>
        <w:rPr>
          <w:rFonts w:ascii="Arial" w:cs="Arial" w:eastAsia="Arial" w:hAnsi="Arial"/>
          <w:sz w:val="16"/>
          <w:szCs w:val="16"/>
          <w:b w:val="1"/>
          <w:bCs w:val="1"/>
          <w:color w:val="auto"/>
        </w:rPr>
        <w:t>Charlotte ,</w:t>
      </w:r>
      <w:r>
        <w:rPr>
          <w:sz w:val="20"/>
          <w:szCs w:val="20"/>
          <w:color w:val="auto"/>
        </w:rPr>
        <w:tab/>
      </w:r>
      <w:r>
        <w:rPr>
          <w:rFonts w:ascii="Arial" w:cs="Arial" w:eastAsia="Arial" w:hAnsi="Arial"/>
          <w:sz w:val="15"/>
          <w:szCs w:val="15"/>
          <w:b w:val="1"/>
          <w:bCs w:val="1"/>
          <w:color w:val="auto"/>
        </w:rPr>
        <w:t>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28277</w:t>
      </w:r>
    </w:p>
    <w:p>
      <w:pPr>
        <w:spacing w:after="0" w:line="112" w:lineRule="exact"/>
        <w:rPr>
          <w:sz w:val="24"/>
          <w:szCs w:val="24"/>
          <w:color w:val="auto"/>
        </w:rPr>
      </w:pPr>
    </w:p>
    <w:p>
      <w:pPr>
        <w:sectPr>
          <w:pgSz w:w="11900" w:h="16838" w:orient="portrait"/>
          <w:cols w:equalWidth="0" w:num="2">
            <w:col w:w="7400" w:space="720"/>
            <w:col w:w="3120"/>
          </w:cols>
          <w:pgMar w:left="320" w:top="1295" w:right="339" w:bottom="1440" w:gutter="0" w:footer="0" w:header="0"/>
          <w:type w:val="continuous"/>
        </w:sectPr>
      </w:pPr>
    </w:p>
    <w:p>
      <w:pPr>
        <w:jc w:val="center"/>
        <w:ind w:left="6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Arial" w:cs="Arial" w:eastAsia="Arial" w:hAnsi="Arial"/>
          <w:sz w:val="15"/>
          <w:szCs w:val="15"/>
          <w:i w:val="1"/>
          <w:iCs w:val="1"/>
          <w:color w:val="auto"/>
        </w:rPr>
        <w:t>(Zip Code)</w:t>
      </w:r>
    </w:p>
    <w:p>
      <w:pPr>
        <w:spacing w:after="0" w:line="200" w:lineRule="exact"/>
        <w:rPr>
          <w:sz w:val="24"/>
          <w:szCs w:val="24"/>
          <w:color w:val="auto"/>
        </w:rPr>
      </w:pPr>
    </w:p>
    <w:p>
      <w:pPr>
        <w:sectPr>
          <w:pgSz w:w="11900" w:h="16838" w:orient="portrait"/>
          <w:cols w:equalWidth="0" w:num="2">
            <w:col w:w="7240" w:space="720"/>
            <w:col w:w="3280"/>
          </w:cols>
          <w:pgMar w:left="320" w:top="1295"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1340" w:right="200" w:hanging="1322"/>
        <w:spacing w:after="0" w:line="266"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Certain Officers</w:t>
      </w:r>
    </w:p>
    <w:p>
      <w:pPr>
        <w:spacing w:after="0" w:line="225"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On June 15, 2021, NN, Inc. (the “Company”) announced that Thomas D. DeByle is retiring as the Company’s Senior Vice President, Chief Financial Officer and principal financial officer, effective as of June 30,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Mr. DeByle’s retirement, the Company and Mr. DeByle entered into a Separation Agreement and General Release, dated as of</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June 14, 2021 (the “DeByle Separation Agreement”). Under the DeByle Separation Agreement, Mr. DeByle will receive severance payments equal to</w:t>
      </w:r>
    </w:p>
    <w:p>
      <w:pPr>
        <w:spacing w:after="0"/>
        <w:rPr>
          <w:sz w:val="20"/>
          <w:szCs w:val="20"/>
          <w:color w:val="auto"/>
        </w:rPr>
      </w:pPr>
      <w:r>
        <w:rPr>
          <w:rFonts w:ascii="Arial" w:cs="Arial" w:eastAsia="Arial" w:hAnsi="Arial"/>
          <w:sz w:val="16"/>
          <w:szCs w:val="16"/>
          <w:color w:val="auto"/>
        </w:rPr>
        <w:t>$772,500, payable in accordance with the Company’s regular payroll procedures over the 18-month period following his separation date, $17,000, payable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a lump sum, to assist with transition from employment, and a payment equal to his target annual bonus, if any, prorated for the portion of the year during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which he was employed, but only to the extent he is entitled to said bonus under the Company’s Executive Incentive Compensation Program. Further, 8,377</w:t>
      </w:r>
    </w:p>
    <w:p>
      <w:pPr>
        <w:spacing w:after="0" w:line="238" w:lineRule="auto"/>
        <w:rPr>
          <w:sz w:val="20"/>
          <w:szCs w:val="20"/>
          <w:color w:val="auto"/>
        </w:rPr>
      </w:pPr>
      <w:r>
        <w:rPr>
          <w:rFonts w:ascii="Arial" w:cs="Arial" w:eastAsia="Arial" w:hAnsi="Arial"/>
          <w:sz w:val="17"/>
          <w:szCs w:val="17"/>
          <w:color w:val="auto"/>
        </w:rPr>
        <w:t>unvested shares of restricted stock owned by Mr. DeByle will vest. The Company will also reimburse Mr. DeByle for temporary living benefits in an</w:t>
      </w:r>
    </w:p>
    <w:p>
      <w:pPr>
        <w:spacing w:after="0"/>
        <w:rPr>
          <w:sz w:val="20"/>
          <w:szCs w:val="20"/>
          <w:color w:val="auto"/>
        </w:rPr>
      </w:pPr>
      <w:r>
        <w:rPr>
          <w:rFonts w:ascii="Arial" w:cs="Arial" w:eastAsia="Arial" w:hAnsi="Arial"/>
          <w:sz w:val="16"/>
          <w:szCs w:val="16"/>
          <w:color w:val="auto"/>
        </w:rPr>
        <w:t>amount not to exceed $10,000 and pay the remainder of the retention bonus that Mr. DeByle was scheduled to receive in August 2021 pursuant to the</w:t>
      </w:r>
    </w:p>
    <w:p>
      <w:pPr>
        <w:spacing w:after="0" w:line="238" w:lineRule="auto"/>
        <w:rPr>
          <w:sz w:val="20"/>
          <w:szCs w:val="20"/>
          <w:color w:val="auto"/>
        </w:rPr>
      </w:pPr>
      <w:r>
        <w:rPr>
          <w:rFonts w:ascii="Arial" w:cs="Arial" w:eastAsia="Arial" w:hAnsi="Arial"/>
          <w:sz w:val="17"/>
          <w:szCs w:val="17"/>
          <w:color w:val="auto"/>
        </w:rPr>
        <w:t>previously disclosed Retention Bonus Agreement, filed as Exhibit 10.46 to the Company’s Annual Report on Form 10-K for the fiscal year ended</w:t>
      </w:r>
    </w:p>
    <w:p>
      <w:pPr>
        <w:spacing w:after="0"/>
        <w:rPr>
          <w:sz w:val="20"/>
          <w:szCs w:val="20"/>
          <w:color w:val="auto"/>
        </w:rPr>
      </w:pPr>
      <w:r>
        <w:rPr>
          <w:rFonts w:ascii="Arial" w:cs="Arial" w:eastAsia="Arial" w:hAnsi="Arial"/>
          <w:sz w:val="18"/>
          <w:szCs w:val="18"/>
          <w:color w:val="auto"/>
        </w:rPr>
        <w:t>December 31, 2020.</w:t>
      </w:r>
    </w:p>
    <w:p>
      <w:pPr>
        <w:spacing w:after="0" w:line="209" w:lineRule="exact"/>
        <w:rPr>
          <w:sz w:val="20"/>
          <w:szCs w:val="20"/>
          <w:color w:val="auto"/>
        </w:rPr>
      </w:pPr>
    </w:p>
    <w:p>
      <w:pPr>
        <w:jc w:val="both"/>
        <w:ind w:right="340" w:firstLine="648"/>
        <w:spacing w:after="0" w:line="307" w:lineRule="auto"/>
        <w:rPr>
          <w:sz w:val="20"/>
          <w:szCs w:val="20"/>
          <w:color w:val="auto"/>
        </w:rPr>
      </w:pPr>
      <w:r>
        <w:rPr>
          <w:rFonts w:ascii="Arial" w:cs="Arial" w:eastAsia="Arial" w:hAnsi="Arial"/>
          <w:sz w:val="16"/>
          <w:szCs w:val="16"/>
          <w:color w:val="auto"/>
        </w:rPr>
        <w:t>In consideration of the payments and benefits provided under the DeByle Separation Agreement, Mr. DeByle agreed to certain confidentiality, non-disparagement, non-competition and non-solicitation restrictions, as well as other restrictive covenants, and provided a global release of all claims.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Certain Officers</w:t>
      </w:r>
    </w:p>
    <w:p>
      <w:pPr>
        <w:spacing w:after="0" w:line="225"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On June 14, 2021, the Board of Directors of the Company (the “Board”) appointed Michael C. Felcher, age 48, as the Company’s Senior Vice President, Chief Financial Officer and principal financial officer, effective as of July 1, 2021. Mr. Felcher has served as the Company’s Vice President, Chief Accounting Officer and principal accounting officer since June 2018. Prior to joining the Company, Mr. Felcher served as the Vice President, North America Chief Financial Officer for JELD-WEN, Inc., a publicly held, global manufacturer of doors and windows, from 2013 to 2017. Before assuming his role at JELD-WEN, Inc., Mr. Felcher served as a Director of Finance for United Technologies Corp. following its acquisition of Goodrich Corporation in 2012. Previously, Mr. Felcher served in a variety of finance roles at Goodrich. Mr. Felcher began his career at PricewaterhouseCoopers in Boston, is a licensed CPA, and holds a Bachelor of Science, Accountancy, from Bentley University, and a Master of Business Administration from Wake Forest University.</w:t>
      </w:r>
    </w:p>
    <w:p>
      <w:pPr>
        <w:spacing w:after="0" w:line="203" w:lineRule="exact"/>
        <w:rPr>
          <w:sz w:val="20"/>
          <w:szCs w:val="20"/>
          <w:color w:val="auto"/>
        </w:rPr>
      </w:pPr>
    </w:p>
    <w:p>
      <w:pPr>
        <w:ind w:right="60" w:firstLine="648"/>
        <w:spacing w:after="0" w:line="258" w:lineRule="auto"/>
        <w:rPr>
          <w:sz w:val="20"/>
          <w:szCs w:val="20"/>
          <w:color w:val="auto"/>
        </w:rPr>
      </w:pPr>
      <w:r>
        <w:rPr>
          <w:rFonts w:ascii="Arial" w:cs="Arial" w:eastAsia="Arial" w:hAnsi="Arial"/>
          <w:sz w:val="16"/>
          <w:szCs w:val="16"/>
          <w:color w:val="auto"/>
        </w:rPr>
        <w:t>In connection with Mr. Felcher’s appointment, Mr. Felcher’s annual base salary was increased to $355,000, and he received a one-time grant of restricted stock in the amount of $50,000. In addition, Mr. Felcher will now be eligible to receive (i) an annual incentive award based on a target amount of 50% of his annual base salary under the Company’s Executive Incentive Compensation Program, and (ii) long-term incentive awards based on a target amount of 85% of his annual base salary under the Company’s Long-Term Incentive Program. Mr. Felcher’s long-term incentive compensation will be divided equally among performance stock units that vest based on the Company’s total shareholder return, performance stock units that vest based on the Company’s return on invested capital and restricted stock awards, which will vest over a three-year period from the time of grant.</w:t>
      </w:r>
    </w:p>
    <w:p>
      <w:pPr>
        <w:spacing w:after="0" w:line="190"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The Company will enter into its standard form of separation agreement with Mr. Felcher (the “Felcher Separation Agreement”) as of July 1, 2021. Under the Separation Agreement, if terminated without cause, Mr. Felcher would receive: (i) his annual salary, paid on a monthly basis, for twelve months from the date of termination; (ii) a lump sum payment equal to the target annual bonus to which he would have been entitled for the year of termination, if any, pro-rated for the portion of the year during which he was employed with the Company; and (iii) a lump sum payment of $12,000 as a transition assistance payment. The Separation Agreement also includes a non-competition term that ends twelve months after the conclusion of his employment with the Company. Further, under the Separation Agreement, if terminated within two years following a change of control (i.e., a “double-trigger”), as defined therein, he will receive: (x) a lump sum payment equal to the sum of 1.5-times his base salary (as of the date of termination) plus 0.5-times his target annual bonus; (y) a lump sum payment equal to the target annual bonus to which he would have been entitled for the year of termination, if any, pro-rated for the portion of the year during which he was employed with the Company; and (z) a lump sum payment of $12,000 as a transition assistance payment.</w:t>
      </w:r>
    </w:p>
    <w:p>
      <w:pPr>
        <w:spacing w:after="0" w:line="192"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The selection of Mr. Felcher to serve as the Senior Vice President, Chief Financial Officer and principal financial officer was not pursuant to any arrangement or understanding with respect to any other person. In addition, there are no family relationships between Mr. Felcher and any director or executive officer of the Company. Mr. Felcher has not been a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840"/>
        <w:spacing w:after="0" w:line="246" w:lineRule="auto"/>
        <w:rPr>
          <w:sz w:val="20"/>
          <w:szCs w:val="20"/>
          <w:color w:val="auto"/>
        </w:rPr>
      </w:pPr>
      <w:r>
        <w:rPr>
          <w:rFonts w:ascii="Arial" w:cs="Arial" w:eastAsia="Arial" w:hAnsi="Arial"/>
          <w:sz w:val="18"/>
          <w:szCs w:val="18"/>
          <w:color w:val="auto"/>
        </w:rPr>
        <w:t>any transaction with the Company or its subsidiaries of the type required to be disclosed pursuant to Item 404(a) of Regulation S-K, and no such transaction is currently contemplated.</w:t>
      </w:r>
    </w:p>
    <w:p>
      <w:pPr>
        <w:spacing w:after="0" w:line="197"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The foregoing descriptions of the terms of the DeByle Separation Agreement and the Felcher Separation Agreement are only summaries and are qualified in their entirety by the full text of (i) the DeByle Separation Agreement, a copy of which is filed as Exhibit 10.1 to this Current Report on Form 8-K and (ii) the Felcher Separation Agreement, the form of which is filed as Exhibit 10.2 to this Current Report on Form 8-K, each of which are incorporated herein by reference.</w:t>
      </w:r>
    </w:p>
    <w:p>
      <w:pPr>
        <w:spacing w:after="0" w:line="36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202"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On June 15, 2021, the Company issued a press release regarding Mr. DeByle’s retirement and Mr. Felcher’s appointment. A copy of this press release is furnished as Exhibit 99.1 to this Current Report on Form 8-K.</w:t>
      </w:r>
    </w:p>
    <w:p>
      <w:pPr>
        <w:spacing w:after="0" w:line="197" w:lineRule="exact"/>
        <w:rPr>
          <w:sz w:val="20"/>
          <w:szCs w:val="20"/>
          <w:color w:val="auto"/>
        </w:rPr>
      </w:pPr>
    </w:p>
    <w:p>
      <w:pPr>
        <w:ind w:right="340" w:firstLine="648"/>
        <w:spacing w:after="0" w:line="231"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6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02"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No.</w:t>
            </w:r>
          </w:p>
        </w:tc>
        <w:tc>
          <w:tcPr>
            <w:tcW w:w="1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7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jc w:val="center"/>
              <w:ind w:left="354"/>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18"/>
                <w:szCs w:val="18"/>
                <w:color w:val="auto"/>
              </w:rPr>
            </w:pPr>
          </w:p>
        </w:tc>
        <w:tc>
          <w:tcPr>
            <w:tcW w:w="87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Separation Agreement and General Release, dated as of June 14, 2021, by and between NN, Inc. and Thomas D. DeByle.</w:t>
              </w:r>
            </w:hyperlink>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4"/>
          </w:tcPr>
          <w:p>
            <w:pPr>
              <w:jc w:val="center"/>
              <w:ind w:left="354"/>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18"/>
                <w:szCs w:val="18"/>
                <w:color w:val="auto"/>
              </w:rPr>
            </w:pPr>
          </w:p>
        </w:tc>
        <w:tc>
          <w:tcPr>
            <w:tcW w:w="58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Form of Separation Agreement by and between NN, Inc. and Michael C. Felcher.</w:t>
              </w:r>
            </w:hyperlink>
          </w:p>
        </w:tc>
        <w:tc>
          <w:tcPr>
            <w:tcW w:w="3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4"/>
          </w:tcPr>
          <w:p>
            <w:pPr>
              <w:jc w:val="center"/>
              <w:ind w:left="354"/>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18"/>
                <w:szCs w:val="18"/>
                <w:color w:val="auto"/>
              </w:rPr>
            </w:pPr>
          </w:p>
        </w:tc>
        <w:tc>
          <w:tcPr>
            <w:tcW w:w="390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Press Release issued by NN, Inc., dated June 14, 2021</w:t>
              </w:r>
            </w:hyperlink>
          </w:p>
        </w:tc>
        <w:tc>
          <w:tcPr>
            <w:tcW w:w="58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00" w:type="dxa"/>
            <w:vAlign w:val="bottom"/>
            <w:gridSpan w:val="4"/>
          </w:tcPr>
          <w:p>
            <w:pPr>
              <w:jc w:val="center"/>
              <w:ind w:left="354"/>
              <w:spacing w:after="0"/>
              <w:rPr>
                <w:sz w:val="20"/>
                <w:szCs w:val="20"/>
                <w:color w:val="auto"/>
              </w:rPr>
            </w:pPr>
            <w:r>
              <w:rPr>
                <w:rFonts w:ascii="Arial" w:cs="Arial" w:eastAsia="Arial" w:hAnsi="Arial"/>
                <w:sz w:val="18"/>
                <w:szCs w:val="18"/>
                <w:color w:val="auto"/>
                <w:w w:val="86"/>
              </w:rPr>
              <w:t>104</w:t>
            </w:r>
          </w:p>
        </w:tc>
        <w:tc>
          <w:tcPr>
            <w:tcW w:w="560" w:type="dxa"/>
            <w:vAlign w:val="bottom"/>
          </w:tcPr>
          <w:p>
            <w:pPr>
              <w:spacing w:after="0"/>
              <w:rPr>
                <w:sz w:val="21"/>
                <w:szCs w:val="21"/>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00"/>
        </w:trPr>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2021</w:t>
      </w:r>
    </w:p>
    <w:p>
      <w:pPr>
        <w:spacing w:after="0" w:line="397" w:lineRule="exact"/>
        <w:rPr>
          <w:sz w:val="20"/>
          <w:szCs w:val="20"/>
          <w:color w:val="auto"/>
        </w:rPr>
      </w:pPr>
    </w:p>
    <w:tbl>
      <w:tblPr>
        <w:tblLayout w:type="fixed"/>
        <w:tblInd w:w="536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720" w:type="dxa"/>
            <w:vAlign w:val="bottom"/>
          </w:tcPr>
          <w:p>
            <w:pPr>
              <w:spacing w:after="0"/>
              <w:rPr>
                <w:sz w:val="20"/>
                <w:szCs w:val="20"/>
                <w:color w:val="auto"/>
              </w:rPr>
            </w:pPr>
          </w:p>
        </w:tc>
      </w:tr>
      <w:tr>
        <w:trPr>
          <w:trHeight w:val="499"/>
        </w:trPr>
        <w:tc>
          <w:tcPr>
            <w:tcW w:w="216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Heiter</w:t>
            </w:r>
          </w:p>
        </w:tc>
      </w:tr>
      <w:tr>
        <w:trPr>
          <w:trHeight w:val="222"/>
        </w:trPr>
        <w:tc>
          <w:tcPr>
            <w:tcW w:w="216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ind w:left="20"/>
              <w:spacing w:after="0"/>
              <w:rPr>
                <w:sz w:val="20"/>
                <w:szCs w:val="20"/>
                <w:color w:val="auto"/>
              </w:rPr>
            </w:pPr>
            <w:r>
              <w:rPr>
                <w:rFonts w:ascii="Arial" w:cs="Arial" w:eastAsia="Arial" w:hAnsi="Arial"/>
                <w:sz w:val="18"/>
                <w:szCs w:val="18"/>
                <w:color w:val="auto"/>
              </w:rPr>
              <w:t>Matthew S. Heiter</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ind w:left="2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240"/>
          </w:cols>
          <w:pgMar w:left="320" w:top="89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47" w:lineRule="exact"/>
        <w:rPr>
          <w:sz w:val="20"/>
          <w:szCs w:val="20"/>
          <w:color w:val="auto"/>
        </w:rPr>
      </w:pPr>
    </w:p>
    <w:p>
      <w:pPr>
        <w:ind w:right="20" w:firstLine="212"/>
        <w:spacing w:after="0" w:line="304" w:lineRule="auto"/>
        <w:rPr>
          <w:sz w:val="20"/>
          <w:szCs w:val="20"/>
          <w:color w:val="auto"/>
        </w:rPr>
      </w:pPr>
      <w:r>
        <w:rPr>
          <w:rFonts w:ascii="Arial" w:cs="Arial" w:eastAsia="Arial" w:hAnsi="Arial"/>
          <w:sz w:val="19"/>
          <w:szCs w:val="19"/>
          <w:b w:val="1"/>
          <w:bCs w:val="1"/>
          <w:color w:val="auto"/>
        </w:rPr>
        <w:t xml:space="preserve">THIS SEPARATION AGREEMENT AND GENERAL RELEASE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June 14, 2021,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as of June 30, 2021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by and between Thomas D. DeByle (“</w:t>
      </w:r>
      <w:r>
        <w:rPr>
          <w:rFonts w:ascii="Arial" w:cs="Arial" w:eastAsia="Arial" w:hAnsi="Arial"/>
          <w:sz w:val="19"/>
          <w:szCs w:val="19"/>
          <w:u w:val="single" w:color="auto"/>
          <w:color w:val="auto"/>
        </w:rPr>
        <w:t>Executive</w:t>
      </w:r>
      <w:r>
        <w:rPr>
          <w:rFonts w:ascii="Arial" w:cs="Arial" w:eastAsia="Arial" w:hAnsi="Arial"/>
          <w:sz w:val="19"/>
          <w:szCs w:val="19"/>
          <w:color w:val="auto"/>
        </w:rPr>
        <w:t>”) and NN,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consideration of the payments and benefits described in Section 2 below to be provided to Executive, the sufficiency of which is acknowledged hereby, Executive and the Company agree as follows:</w:t>
      </w:r>
    </w:p>
    <w:p>
      <w:pPr>
        <w:spacing w:after="0" w:line="168" w:lineRule="exact"/>
        <w:rPr>
          <w:sz w:val="20"/>
          <w:szCs w:val="20"/>
          <w:color w:val="auto"/>
        </w:rPr>
      </w:pPr>
    </w:p>
    <w:p>
      <w:pPr>
        <w:ind w:right="160" w:firstLine="656"/>
        <w:spacing w:after="0" w:line="290" w:lineRule="auto"/>
        <w:tabs>
          <w:tab w:leader="none" w:pos="1377"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Termination Date</w:t>
      </w:r>
      <w:r>
        <w:rPr>
          <w:rFonts w:ascii="Arial" w:cs="Arial" w:eastAsia="Arial" w:hAnsi="Arial"/>
          <w:sz w:val="19"/>
          <w:szCs w:val="19"/>
          <w:color w:val="auto"/>
        </w:rPr>
        <w:t>. Executive’s employment with the Company terminated on the Termination Date. Executive hereby resigns as Senior Vice President and Chief Financial Officer and from all other positions as a director and/or officer with the Company, its subsidiaries and its affiliates (the “</w:t>
      </w:r>
      <w:r>
        <w:rPr>
          <w:rFonts w:ascii="Arial" w:cs="Arial" w:eastAsia="Arial" w:hAnsi="Arial"/>
          <w:sz w:val="19"/>
          <w:szCs w:val="19"/>
          <w:u w:val="single" w:color="auto"/>
          <w:color w:val="auto"/>
        </w:rPr>
        <w:t>Company Group</w:t>
      </w:r>
      <w:r>
        <w:rPr>
          <w:rFonts w:ascii="Arial" w:cs="Arial" w:eastAsia="Arial" w:hAnsi="Arial"/>
          <w:sz w:val="19"/>
          <w:szCs w:val="19"/>
          <w:color w:val="auto"/>
        </w:rPr>
        <w:t>”), if any, effective as of the Termination Date. Executive confirms and agrees that he has not since the Termination Date taken, and shall not from the date hereof take, any actions on behalf of the Company Group, including acting as an agent of the Company Group. In addition, Executive acknowledges that as of the Termination Date, he has not represented himself to be an employee, officer, director, agent or representative of the Company Group for any purpose, has not directed the work of any employee of the Company Group, or made any management decisions, or undertaken to commit the Company Group to any course of action in relation to third persons.</w:t>
      </w:r>
    </w:p>
    <w:p>
      <w:pPr>
        <w:spacing w:after="0" w:line="155" w:lineRule="exact"/>
        <w:rPr>
          <w:rFonts w:ascii="Arial" w:cs="Arial" w:eastAsia="Arial" w:hAnsi="Arial"/>
          <w:sz w:val="19"/>
          <w:szCs w:val="19"/>
          <w:color w:val="auto"/>
        </w:rPr>
      </w:pPr>
    </w:p>
    <w:p>
      <w:pPr>
        <w:ind w:left="1380" w:hanging="724"/>
        <w:spacing w:after="0"/>
        <w:tabs>
          <w:tab w:leader="none" w:pos="1380"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Termination Payments and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80" w:firstLine="1304"/>
        <w:spacing w:after="0" w:line="285" w:lineRule="auto"/>
        <w:tabs>
          <w:tab w:leader="none" w:pos="1941" w:val="left"/>
        </w:tabs>
        <w:numPr>
          <w:ilvl w:val="2"/>
          <w:numId w:val="3"/>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Subject to (i) Executive’s execution of this Agreement and the effectiveness of the release of claims set forth in Section 5 below (the “</w:t>
      </w:r>
      <w:r>
        <w:rPr>
          <w:rFonts w:ascii="Arial" w:cs="Arial" w:eastAsia="Arial" w:hAnsi="Arial"/>
          <w:sz w:val="19"/>
          <w:szCs w:val="19"/>
          <w:u w:val="single" w:color="auto"/>
          <w:color w:val="auto"/>
        </w:rPr>
        <w:t>Release</w:t>
      </w:r>
      <w:r>
        <w:rPr>
          <w:rFonts w:ascii="Arial" w:cs="Arial" w:eastAsia="Arial" w:hAnsi="Arial"/>
          <w:sz w:val="19"/>
          <w:szCs w:val="19"/>
          <w:color w:val="auto"/>
        </w:rPr>
        <w:t>”) and (ii) Executive’s continued compliance with Paragraphs 2, 3, 4, 5 and 6 of the Separation Agreement between Executive and the Company, effective as of September 23, 2019 (the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Section 8 hereof, the Company shall pay to Executive as severance compensation (“</w:t>
      </w:r>
      <w:r>
        <w:rPr>
          <w:rFonts w:ascii="Arial" w:cs="Arial" w:eastAsia="Arial" w:hAnsi="Arial"/>
          <w:sz w:val="19"/>
          <w:szCs w:val="19"/>
          <w:u w:val="single" w:color="auto"/>
          <w:color w:val="auto"/>
        </w:rPr>
        <w:t>Severance</w:t>
      </w:r>
      <w:r>
        <w:rPr>
          <w:rFonts w:ascii="Arial" w:cs="Arial" w:eastAsia="Arial" w:hAnsi="Arial"/>
          <w:sz w:val="19"/>
          <w:szCs w:val="19"/>
          <w:color w:val="auto"/>
        </w:rPr>
        <w:t>”), (x) $772,500, payable in accordance with the Company’s regular payroll procedures over the 18-month period following the Termination Date,</w:t>
      </w:r>
    </w:p>
    <w:p>
      <w:pPr>
        <w:spacing w:after="0" w:line="3" w:lineRule="exact"/>
        <w:rPr>
          <w:rFonts w:ascii="Arial" w:cs="Arial" w:eastAsia="Arial" w:hAnsi="Arial"/>
          <w:sz w:val="19"/>
          <w:szCs w:val="19"/>
          <w:color w:val="auto"/>
        </w:rPr>
      </w:pPr>
    </w:p>
    <w:p>
      <w:pPr>
        <w:ind w:right="20" w:firstLine="8"/>
        <w:spacing w:after="0" w:line="286"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$17,000, payable in a lump sum on the first regularly scheduled payroll date following the Release Effective Date (as defined below) and (z) a payment, if any, equal to the product of (A) the annual bonus to which Executive would have been entitled under the Executive Incentive Compensation Program for NN, Inc. Executive Leadership and Other Exempt Participants, effective January 1, 2021 (the “</w:t>
      </w:r>
      <w:r>
        <w:rPr>
          <w:rFonts w:ascii="Arial" w:cs="Arial" w:eastAsia="Arial" w:hAnsi="Arial"/>
          <w:sz w:val="19"/>
          <w:szCs w:val="19"/>
          <w:u w:val="single" w:color="auto"/>
          <w:color w:val="auto"/>
        </w:rPr>
        <w:t>EIC Plan</w:t>
      </w:r>
      <w:r>
        <w:rPr>
          <w:rFonts w:ascii="Arial" w:cs="Arial" w:eastAsia="Arial" w:hAnsi="Arial"/>
          <w:sz w:val="19"/>
          <w:szCs w:val="19"/>
          <w:color w:val="auto"/>
        </w:rPr>
        <w:t>”), but for the termination of Executive’s employment as of the Termination Date, in the amount of $180,250 (the “Bonus Amount”) multiplied by (B) a fraction, the numerator of which is 6 and the denominator of which is 12. The amount payable pursuant to Section 2(a)(z), if any, will be determined in accordance with the EIC Plan and relevant Company corporate guidelines and distributed after completion of the Company’s 2021 fiscal year end audit. For the avoidance of doubt, Executive acknowledges and agrees that (1) if no payments are made under the EIC Plan, then no payment shall be made pursuant to Section 2(a)(z) of this Agreement and (2) if payments are made under the EIC Plan at any level, either below or above a 100% payout, the Company will pay Executive the Bonus Amount only, as prorated pursuant to this Section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5" w:name="page6"/>
    <w:bookmarkEnd w:id="5"/>
    <w:p>
      <w:pPr>
        <w:ind w:left="-20" w:right="120" w:firstLine="1304"/>
        <w:spacing w:after="0" w:line="290" w:lineRule="auto"/>
        <w:tabs>
          <w:tab w:leader="none" w:pos="1919"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also pay and provide the Executive with his Accrued Obligations. For purposes of this Agreement, Executive’s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shall consist of the following: (i) accrued and unpaid base salary through the Termination Date; (ii) accrued and unused vacation time through the Termination Date, prorated for the portion of the calendar year worked; (iii) accrued and vested benefits under any employee retirement plan (including 401(k)) in which the Executive participates, in accordance with applicable plan terms; and (iv) unreimbursed business expenses incurred through the termination date, in accordance with the Company’s business expense reimbursement policy. Any benefits accrued or earned will be distributed in accordance with the terms of the applicable benefit plans and programs of the Company Group. Executive confirms that he has received all of his Accrued Obligations due and payable as of the date of this Agreement.</w:t>
      </w:r>
    </w:p>
    <w:p>
      <w:pPr>
        <w:spacing w:after="0" w:line="155" w:lineRule="exact"/>
        <w:rPr>
          <w:rFonts w:ascii="Arial" w:cs="Arial" w:eastAsia="Arial" w:hAnsi="Arial"/>
          <w:sz w:val="19"/>
          <w:szCs w:val="19"/>
          <w:color w:val="auto"/>
        </w:rPr>
      </w:pPr>
    </w:p>
    <w:p>
      <w:pPr>
        <w:ind w:left="-20" w:firstLine="1304"/>
        <w:spacing w:after="0" w:line="250" w:lineRule="auto"/>
        <w:tabs>
          <w:tab w:leader="none" w:pos="1921"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COBRA</w:t>
      </w:r>
      <w:r>
        <w:rPr>
          <w:rFonts w:ascii="Arial" w:cs="Arial" w:eastAsia="Arial" w:hAnsi="Arial"/>
          <w:sz w:val="22"/>
          <w:szCs w:val="22"/>
          <w:color w:val="auto"/>
        </w:rPr>
        <w:t>. Executive and his eligible dependents shall be entitled to continue participating in the Company’s group medical, dental, and other health benefit coverages as required under the health care continuation requirements of the Consolidated Omnibus Reconciliation Act of 1985 (“COBRA”), provided Executive timely elects such coverage and pays the full monthly premium for COBRA coverage.</w:t>
      </w:r>
    </w:p>
    <w:p>
      <w:pPr>
        <w:spacing w:after="0" w:line="187" w:lineRule="exact"/>
        <w:rPr>
          <w:rFonts w:ascii="Arial" w:cs="Arial" w:eastAsia="Arial" w:hAnsi="Arial"/>
          <w:sz w:val="22"/>
          <w:szCs w:val="22"/>
          <w:color w:val="auto"/>
        </w:rPr>
      </w:pPr>
    </w:p>
    <w:p>
      <w:pPr>
        <w:ind w:left="-20" w:right="20" w:firstLine="1304"/>
        <w:spacing w:after="0" w:line="250" w:lineRule="auto"/>
        <w:tabs>
          <w:tab w:leader="none" w:pos="1919"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Treatment of Equity</w:t>
      </w:r>
      <w:r>
        <w:rPr>
          <w:rFonts w:ascii="Arial" w:cs="Arial" w:eastAsia="Arial" w:hAnsi="Arial"/>
          <w:sz w:val="22"/>
          <w:szCs w:val="22"/>
          <w:color w:val="auto"/>
        </w:rPr>
        <w:t>. Notwithstanding the terms of any outstanding award agreement between you and the Company, you will receive accelerated vesting of 8,377 restricted shares of Company common stock. For the avoidance of doubt, all remaining outstanding equity granted to you under any of the Company Group’s equity incentive plans will be forfeited as of the Termination Date.</w:t>
      </w:r>
    </w:p>
    <w:p>
      <w:pPr>
        <w:spacing w:after="0" w:line="187" w:lineRule="exact"/>
        <w:rPr>
          <w:rFonts w:ascii="Arial" w:cs="Arial" w:eastAsia="Arial" w:hAnsi="Arial"/>
          <w:sz w:val="22"/>
          <w:szCs w:val="22"/>
          <w:color w:val="auto"/>
        </w:rPr>
      </w:pPr>
    </w:p>
    <w:p>
      <w:pPr>
        <w:ind w:left="-20" w:right="120" w:firstLine="1304"/>
        <w:spacing w:after="0" w:line="250" w:lineRule="auto"/>
        <w:tabs>
          <w:tab w:leader="none" w:pos="1921"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Retention Bonus</w:t>
      </w:r>
      <w:r>
        <w:rPr>
          <w:rFonts w:ascii="Arial" w:cs="Arial" w:eastAsia="Arial" w:hAnsi="Arial"/>
          <w:sz w:val="22"/>
          <w:szCs w:val="22"/>
          <w:color w:val="auto"/>
        </w:rPr>
        <w:t>. In accordance with the terms of the Retention Bonus Agreement made between you and the Company as of October 6, 2020 and in exchange with your compliance with same, you will receive the remaining unpaid portion of the retention bonus in the amount of Two Hundred Thousand Dollars ($200,000) within thirty (30) days of the Termination Date.</w:t>
      </w:r>
    </w:p>
    <w:p>
      <w:pPr>
        <w:spacing w:after="0" w:line="187" w:lineRule="exact"/>
        <w:rPr>
          <w:rFonts w:ascii="Arial" w:cs="Arial" w:eastAsia="Arial" w:hAnsi="Arial"/>
          <w:sz w:val="22"/>
          <w:szCs w:val="22"/>
          <w:color w:val="auto"/>
        </w:rPr>
      </w:pPr>
    </w:p>
    <w:p>
      <w:pPr>
        <w:ind w:left="-20" w:right="20" w:firstLine="1304"/>
        <w:spacing w:after="0" w:line="294" w:lineRule="auto"/>
        <w:tabs>
          <w:tab w:leader="none" w:pos="1924"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Temporary Living Benefits</w:t>
      </w:r>
      <w:r>
        <w:rPr>
          <w:rFonts w:ascii="Arial" w:cs="Arial" w:eastAsia="Arial" w:hAnsi="Arial"/>
          <w:sz w:val="19"/>
          <w:szCs w:val="19"/>
          <w:color w:val="auto"/>
        </w:rPr>
        <w:t>. In order to assist you in your transition, the Company will pay amounts directly related to the early termination (including contractual early termination fees) of your Charlotte apartment lease arising from your separation of employment. Amounts related to rent prior to the Termination Date are ineligible for reimbursement, and the total amount reimbursed for 2021 shall not exceed Ten Thousand Dollars ($10,000). In exchange for this benefit, you agree to work with the Company to coordinate the communication and timing of providing notice to your Landlord, so that expenses to you and to the Company arising from the termination of your lease can be minimized to the extent possible.</w:t>
      </w:r>
    </w:p>
    <w:p>
      <w:pPr>
        <w:spacing w:after="0" w:line="149" w:lineRule="exact"/>
        <w:rPr>
          <w:rFonts w:ascii="Arial" w:cs="Arial" w:eastAsia="Arial" w:hAnsi="Arial"/>
          <w:sz w:val="19"/>
          <w:szCs w:val="19"/>
          <w:color w:val="auto"/>
        </w:rPr>
      </w:pPr>
    </w:p>
    <w:p>
      <w:pPr>
        <w:ind w:left="-20" w:right="260" w:firstLine="1304"/>
        <w:spacing w:after="0" w:line="343" w:lineRule="auto"/>
        <w:tabs>
          <w:tab w:leader="none" w:pos="1919"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No Further Rights</w:t>
      </w:r>
      <w:r>
        <w:rPr>
          <w:rFonts w:ascii="Arial" w:cs="Arial" w:eastAsia="Arial" w:hAnsi="Arial"/>
          <w:sz w:val="19"/>
          <w:szCs w:val="19"/>
          <w:color w:val="auto"/>
        </w:rPr>
        <w:t>. Following the Termination Date, except as set forth in this Section 2, Executive shall have no further rights to any compensation or any other benefits from the Company or any of its affiliates.</w:t>
      </w:r>
    </w:p>
    <w:p>
      <w:pPr>
        <w:spacing w:after="0" w:line="104" w:lineRule="exact"/>
        <w:rPr>
          <w:rFonts w:ascii="Arial" w:cs="Arial" w:eastAsia="Arial" w:hAnsi="Arial"/>
          <w:sz w:val="19"/>
          <w:szCs w:val="19"/>
          <w:color w:val="auto"/>
        </w:rPr>
      </w:pPr>
    </w:p>
    <w:p>
      <w:pPr>
        <w:ind w:left="-20" w:right="200" w:firstLine="656"/>
        <w:spacing w:after="0" w:line="253" w:lineRule="auto"/>
        <w:tabs>
          <w:tab w:leader="none" w:pos="1357"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As of the date of this Agreement, Executive represents that he has returned to the Company (and has not recreated, or delivered to anyone else) all of the records and property of the Company that were in Executive’s possession or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40" w:top="1428" w:right="359" w:bottom="1440" w:gutter="0" w:footer="0" w:header="0"/>
        </w:sectPr>
      </w:pPr>
    </w:p>
    <w:bookmarkStart w:id="6" w:name="page7"/>
    <w:bookmarkEnd w:id="6"/>
    <w:p>
      <w:pPr>
        <w:spacing w:after="0" w:line="247" w:lineRule="auto"/>
        <w:rPr>
          <w:sz w:val="20"/>
          <w:szCs w:val="20"/>
          <w:color w:val="auto"/>
        </w:rPr>
      </w:pPr>
      <w:r>
        <w:rPr>
          <w:rFonts w:ascii="Arial" w:cs="Arial" w:eastAsia="Arial" w:hAnsi="Arial"/>
          <w:sz w:val="22"/>
          <w:szCs w:val="22"/>
          <w:color w:val="auto"/>
        </w:rPr>
        <w:t xml:space="preserve">which Executive had direct or indirect control, including, but not limited to, all confidential information, files, monies, records, files, credit cards, office keys, office access cards, passwords, laptops, parking access cards and electronically encoded information (such as computer disks and flash drives) and all copies of such records and property. You may retain your Company-provided cellular telephone (including telephone number); </w:t>
      </w:r>
      <w:r>
        <w:rPr>
          <w:rFonts w:ascii="Arial" w:cs="Arial" w:eastAsia="Arial" w:hAnsi="Arial"/>
          <w:sz w:val="22"/>
          <w:szCs w:val="22"/>
          <w:u w:val="single" w:color="auto"/>
          <w:color w:val="auto"/>
        </w:rPr>
        <w:t>provided</w:t>
      </w:r>
      <w:r>
        <w:rPr>
          <w:rFonts w:ascii="Arial" w:cs="Arial" w:eastAsia="Arial" w:hAnsi="Arial"/>
          <w:sz w:val="22"/>
          <w:szCs w:val="22"/>
          <w:color w:val="auto"/>
        </w:rPr>
        <w:t>, that you provide such items to the Company, as requested by the Company, to remove all proprietary and/or confidential information and documents in any form belonging to the Company Group.</w:t>
      </w:r>
    </w:p>
    <w:p>
      <w:pPr>
        <w:spacing w:after="0" w:line="193" w:lineRule="exact"/>
        <w:rPr>
          <w:sz w:val="20"/>
          <w:szCs w:val="20"/>
          <w:color w:val="auto"/>
        </w:rPr>
      </w:pPr>
    </w:p>
    <w:p>
      <w:pPr>
        <w:ind w:right="80" w:firstLine="656"/>
        <w:spacing w:after="0" w:line="248" w:lineRule="auto"/>
        <w:tabs>
          <w:tab w:leader="none" w:pos="137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No Admission</w:t>
      </w:r>
      <w:r>
        <w:rPr>
          <w:rFonts w:ascii="Arial" w:cs="Arial" w:eastAsia="Arial" w:hAnsi="Arial"/>
          <w:sz w:val="22"/>
          <w:szCs w:val="22"/>
          <w:color w:val="auto"/>
        </w:rPr>
        <w:t>. Neither this Agreement nor anything in this Agreement shall be construed to be or shall be admissible in any proceeding as evidence of an admission by the Company or Executive of any violation of the Company’s policies or procedures, or state or federal laws or regulations. This Agreement may be introduced, however, in any proceeding to enforce the Agreement. Such introduction shall be pursuant to an order protecting its confidentiality, except insofar as a court declines to enter any such order.</w:t>
      </w:r>
    </w:p>
    <w:p>
      <w:pPr>
        <w:spacing w:after="0" w:line="191" w:lineRule="exact"/>
        <w:rPr>
          <w:rFonts w:ascii="Arial" w:cs="Arial" w:eastAsia="Arial" w:hAnsi="Arial"/>
          <w:sz w:val="22"/>
          <w:szCs w:val="22"/>
          <w:color w:val="auto"/>
        </w:rPr>
      </w:pPr>
    </w:p>
    <w:p>
      <w:pPr>
        <w:ind w:left="1380" w:hanging="724"/>
        <w:spacing w:after="0"/>
        <w:tabs>
          <w:tab w:leader="none" w:pos="138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285" w:lineRule="auto"/>
        <w:tabs>
          <w:tab w:leader="none" w:pos="1941"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In consideration of the Severance payments, Executive, for and on behalf of Executive and Executive’s heirs, administrators, executors, and assigns, effective as of the Release Effective Date (as defined below), does fully and forever waive and release, remise, and discharge each member of the Company Group, its members, or partners, and each of its and their respective current, past, and future directors, partners, members, employees, advisors and agents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claims that Executive had, may have had, or now has against the Released Parties collectively or any of the Released Parties individually, for or by reason of any matter, cause, or thing whatsoever, including but not limited to any claim arising out of or attributable to Executive’s employment or the termination of Executive’s employment with the Company, and also including but not limited to claims of breach of contract, wrongful termination, unjust dismissal, defamation, libel, or slander, or claims under any federal, state, or local law dealing with discrimination based on age, race, sex, national origin, handicap, religion, disability, sexual preference, or any other protected class or characteristic. This release of claims includes, but is not limited to, all claims arising under the Age Discrimination in Employment Act of 1967 (the “</w:t>
      </w:r>
      <w:r>
        <w:rPr>
          <w:rFonts w:ascii="Arial" w:cs="Arial" w:eastAsia="Arial" w:hAnsi="Arial"/>
          <w:sz w:val="19"/>
          <w:szCs w:val="19"/>
          <w:u w:val="single" w:color="auto"/>
          <w:color w:val="auto"/>
        </w:rPr>
        <w:t>ADEA</w:t>
      </w:r>
      <w:r>
        <w:rPr>
          <w:rFonts w:ascii="Arial" w:cs="Arial" w:eastAsia="Arial" w:hAnsi="Arial"/>
          <w:sz w:val="19"/>
          <w:szCs w:val="19"/>
          <w:color w:val="auto"/>
        </w:rPr>
        <w:t>”), Title VII of the Civil Rights Act, the Americans with Disabilities Act, the Civil Rights Act of 1991, the Family Medical Leave Act, the Equal Pay Act, Chapter 95, Articles 49A and 49B of Chapter 143, or Chapter 168A of the North Carolina General Statutes, and any other federal, state, and local labor and anti-discrimination law, the common law, and any other purported restriction on an employer’s right to terminate the employment of employees. Notwithstanding any provision of this Release to the contrary, by executing this Release, Executive is not releasing any claims to the Severance.</w:t>
      </w:r>
    </w:p>
    <w:p>
      <w:pPr>
        <w:spacing w:after="0" w:line="168" w:lineRule="exact"/>
        <w:rPr>
          <w:rFonts w:ascii="Arial" w:cs="Arial" w:eastAsia="Arial" w:hAnsi="Arial"/>
          <w:sz w:val="19"/>
          <w:szCs w:val="19"/>
          <w:color w:val="auto"/>
        </w:rPr>
      </w:pPr>
    </w:p>
    <w:p>
      <w:pPr>
        <w:ind w:right="120" w:firstLine="1304"/>
        <w:spacing w:after="0" w:line="248" w:lineRule="auto"/>
        <w:tabs>
          <w:tab w:leader="none" w:pos="1939"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Release of Unknown Claims</w:t>
      </w:r>
      <w:r>
        <w:rPr>
          <w:rFonts w:ascii="Arial" w:cs="Arial" w:eastAsia="Arial" w:hAnsi="Arial"/>
          <w:sz w:val="22"/>
          <w:szCs w:val="22"/>
          <w:color w:val="auto"/>
        </w:rPr>
        <w:t>. It is the intention of Executive in executing this Agreement that the Release shall be effective as a bar to each and every claim, demand and cause of action hereinabove specified. Executive acknowledges that Executive may hereafter discover claims or facts in addition to or different from those which Executive now knows or believes to exist with respect to the subject matter of this Release and which, if known or suspected at the time of executing this Release, may have materially affected this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7" w:name="page8"/>
    <w:bookmarkEnd w:id="7"/>
    <w:p>
      <w:pPr>
        <w:ind w:right="80"/>
        <w:spacing w:after="0" w:line="343" w:lineRule="auto"/>
        <w:rPr>
          <w:sz w:val="20"/>
          <w:szCs w:val="20"/>
          <w:color w:val="auto"/>
        </w:rPr>
      </w:pPr>
      <w:r>
        <w:rPr>
          <w:rFonts w:ascii="Arial" w:cs="Arial" w:eastAsia="Arial" w:hAnsi="Arial"/>
          <w:sz w:val="19"/>
          <w:szCs w:val="19"/>
          <w:color w:val="auto"/>
        </w:rPr>
        <w:t>Nevertheless, Executive hereby waives any right, claim or cause of action that might arise as a result of such different or additional claims or facts. Executive acknowledges that Executive understands the significance and consequence of such release.</w:t>
      </w:r>
    </w:p>
    <w:p>
      <w:pPr>
        <w:spacing w:after="0" w:line="104" w:lineRule="exact"/>
        <w:rPr>
          <w:sz w:val="20"/>
          <w:szCs w:val="20"/>
          <w:color w:val="auto"/>
        </w:rPr>
      </w:pPr>
    </w:p>
    <w:p>
      <w:pPr>
        <w:ind w:firstLine="1304"/>
        <w:spacing w:after="0" w:line="257" w:lineRule="auto"/>
        <w:tabs>
          <w:tab w:leader="none" w:pos="1941" w:val="left"/>
        </w:tabs>
        <w:numPr>
          <w:ilvl w:val="1"/>
          <w:numId w:val="8"/>
        </w:numPr>
        <w:rPr>
          <w:rFonts w:ascii="Arial" w:cs="Arial" w:eastAsia="Arial" w:hAnsi="Arial"/>
          <w:sz w:val="21"/>
          <w:szCs w:val="21"/>
          <w:color w:val="auto"/>
        </w:rPr>
      </w:pPr>
      <w:r>
        <w:rPr>
          <w:rFonts w:ascii="Arial" w:cs="Arial" w:eastAsia="Arial" w:hAnsi="Arial"/>
          <w:sz w:val="21"/>
          <w:szCs w:val="21"/>
          <w:u w:val="single" w:color="auto"/>
          <w:color w:val="auto"/>
        </w:rPr>
        <w:t>No Proceedings</w:t>
      </w:r>
      <w:r>
        <w:rPr>
          <w:rFonts w:ascii="Arial" w:cs="Arial" w:eastAsia="Arial" w:hAnsi="Arial"/>
          <w:sz w:val="21"/>
          <w:szCs w:val="21"/>
          <w:color w:val="auto"/>
        </w:rPr>
        <w:t>. Except as provided in Section 10(a) of this Agreement, Executive represents that Executive has not filed or permitted to be filed against any of the Released Parties, individually or collectively, any lawsuit, complaint, charge, proceeding, or the like, before any local, state, or federal agency, court, or other body (each, a “</w:t>
      </w:r>
      <w:r>
        <w:rPr>
          <w:rFonts w:ascii="Arial" w:cs="Arial" w:eastAsia="Arial" w:hAnsi="Arial"/>
          <w:sz w:val="21"/>
          <w:szCs w:val="21"/>
          <w:u w:val="single" w:color="auto"/>
          <w:color w:val="auto"/>
        </w:rPr>
        <w:t>Proceeding</w:t>
      </w:r>
      <w:r>
        <w:rPr>
          <w:rFonts w:ascii="Arial" w:cs="Arial" w:eastAsia="Arial" w:hAnsi="Arial"/>
          <w:sz w:val="21"/>
          <w:szCs w:val="21"/>
          <w:color w:val="auto"/>
        </w:rPr>
        <w:t>”), and Executive covenants and agrees that Executive will not do so at any time hereafter with respect to the subject matter of the Release and claims released pursuant to the Release (including, without limitation, any claims relating to the termination of Executive’s employment), except as may be necessary to enforce the Release or Executive’s rights to Severance under this Agreement, to seek a determination of the validity of the waiver of Executive’s rights under the ADEA, or to initiate or participate in an investigation or proceeding conducted by the Equal Employment Opportunity Commission (“</w:t>
      </w:r>
      <w:r>
        <w:rPr>
          <w:rFonts w:ascii="Arial" w:cs="Arial" w:eastAsia="Arial" w:hAnsi="Arial"/>
          <w:sz w:val="21"/>
          <w:szCs w:val="21"/>
          <w:u w:val="single" w:color="auto"/>
          <w:color w:val="auto"/>
        </w:rPr>
        <w:t>EEOC</w:t>
      </w:r>
      <w:r>
        <w:rPr>
          <w:rFonts w:ascii="Arial" w:cs="Arial" w:eastAsia="Arial" w:hAnsi="Arial"/>
          <w:sz w:val="21"/>
          <w:szCs w:val="21"/>
          <w:color w:val="auto"/>
        </w:rPr>
        <w:t>”). Except as otherwise provided in the preceding sentence or in Sections 5(d) or 10(a) of this Agreement, (i) Executive will not initiate or cause to be initiated on Executive’s behalf any Proceeding, and will not participate (except as required by law) in any Proceeding of any nature against any of the Released Parties individually or collectively that in any way involves the allegations and facts that Executive could have raised against any of the Released Parties individually or collectively as of the date hereof and (ii) Executive waives any right Executive may have to benefit in any manner from any relief (monetary or otherwise) arising out of any Proceeding.</w:t>
      </w:r>
    </w:p>
    <w:p>
      <w:pPr>
        <w:spacing w:after="0" w:line="186" w:lineRule="exact"/>
        <w:rPr>
          <w:rFonts w:ascii="Arial" w:cs="Arial" w:eastAsia="Arial" w:hAnsi="Arial"/>
          <w:sz w:val="21"/>
          <w:szCs w:val="21"/>
          <w:color w:val="auto"/>
        </w:rPr>
      </w:pPr>
    </w:p>
    <w:p>
      <w:pPr>
        <w:ind w:right="380" w:firstLine="1304"/>
        <w:spacing w:after="0" w:line="302" w:lineRule="auto"/>
        <w:tabs>
          <w:tab w:leader="none" w:pos="1939"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Forfeiture of Award from Proceedings</w:t>
      </w:r>
      <w:r>
        <w:rPr>
          <w:rFonts w:ascii="Arial" w:cs="Arial" w:eastAsia="Arial" w:hAnsi="Arial"/>
          <w:sz w:val="19"/>
          <w:szCs w:val="19"/>
          <w:color w:val="auto"/>
        </w:rPr>
        <w:t>. Executive agrees that Executive shall forfeit and not accept any award, damages, recovery or settlement from any Proceeding brought by Executive or on Executive’s behalf pertaining to Executive’s employment, separation or otherwise. Nothing herein shall preclude Executive’s right to receive an award from a Governmental Entity (as defined below) for information provided under any whistleblower program.</w:t>
      </w:r>
    </w:p>
    <w:p>
      <w:pPr>
        <w:spacing w:after="0" w:line="142" w:lineRule="exact"/>
        <w:rPr>
          <w:rFonts w:ascii="Arial" w:cs="Arial" w:eastAsia="Arial" w:hAnsi="Arial"/>
          <w:sz w:val="19"/>
          <w:szCs w:val="19"/>
          <w:color w:val="auto"/>
        </w:rPr>
      </w:pPr>
    </w:p>
    <w:p>
      <w:pPr>
        <w:ind w:left="1380" w:hanging="724"/>
        <w:spacing w:after="0"/>
        <w:tabs>
          <w:tab w:leader="none" w:pos="138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Release Acknowledgements</w:t>
      </w:r>
      <w:r>
        <w:rPr>
          <w:rFonts w:ascii="Arial" w:cs="Arial" w:eastAsia="Arial" w:hAnsi="Arial"/>
          <w:sz w:val="22"/>
          <w:szCs w:val="22"/>
          <w:color w:val="auto"/>
        </w:rPr>
        <w:t>. Executive expressly represents and acknowledges that:</w:t>
      </w:r>
    </w:p>
    <w:p>
      <w:pPr>
        <w:spacing w:after="0" w:line="219" w:lineRule="exact"/>
        <w:rPr>
          <w:rFonts w:ascii="Arial" w:cs="Arial" w:eastAsia="Arial" w:hAnsi="Arial"/>
          <w:sz w:val="22"/>
          <w:szCs w:val="22"/>
          <w:color w:val="auto"/>
        </w:rPr>
      </w:pPr>
    </w:p>
    <w:p>
      <w:pPr>
        <w:ind w:right="40" w:firstLine="1304"/>
        <w:spacing w:after="0" w:line="250" w:lineRule="auto"/>
        <w:tabs>
          <w:tab w:leader="none" w:pos="1941"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 has advised Executive to consult with legal counsel, Executive has had the opportunity to seek the advice of legal counsel of Executive’s own choice, Executive has read this Agreement and the Release and has had the opportunity to have this Agreement and the Release explained to Executive by legal counsel, and the terms and conditions hereof are fully understood and voluntarily accepted by Executive;</w:t>
      </w:r>
    </w:p>
    <w:p>
      <w:pPr>
        <w:spacing w:after="0" w:line="187" w:lineRule="exact"/>
        <w:rPr>
          <w:rFonts w:ascii="Arial" w:cs="Arial" w:eastAsia="Arial" w:hAnsi="Arial"/>
          <w:sz w:val="22"/>
          <w:szCs w:val="22"/>
          <w:color w:val="auto"/>
        </w:rPr>
      </w:pPr>
    </w:p>
    <w:p>
      <w:pPr>
        <w:ind w:right="40" w:firstLine="1304"/>
        <w:spacing w:after="0" w:line="263" w:lineRule="auto"/>
        <w:tabs>
          <w:tab w:leader="none" w:pos="1939" w:val="left"/>
        </w:tabs>
        <w:numPr>
          <w:ilvl w:val="1"/>
          <w:numId w:val="9"/>
        </w:numPr>
        <w:rPr>
          <w:rFonts w:ascii="Arial" w:cs="Arial" w:eastAsia="Arial" w:hAnsi="Arial"/>
          <w:sz w:val="21"/>
          <w:szCs w:val="21"/>
          <w:color w:val="auto"/>
        </w:rPr>
      </w:pPr>
      <w:r>
        <w:rPr>
          <w:rFonts w:ascii="Arial" w:cs="Arial" w:eastAsia="Arial" w:hAnsi="Arial"/>
          <w:sz w:val="21"/>
          <w:szCs w:val="21"/>
          <w:color w:val="auto"/>
        </w:rPr>
        <w:t>Executive is specifically agreeing to the terms of the Release because the Company has agreed to pay Executive compensation, to which Executive was not otherwise entitled under the Company’s policies or any agreement between the Company and Executive (in the absence of providing the Release), and the Company has agreed to provide the compensation because of Executive’s agreement to accept the compensation in full settlement of all possible claims Executive might have or ever had, and because of Executive’s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8" w:name="page9"/>
    <w:bookmarkEnd w:id="8"/>
    <w:p>
      <w:pPr>
        <w:ind w:left="-20" w:right="100" w:firstLine="1304"/>
        <w:spacing w:after="0" w:line="248" w:lineRule="auto"/>
        <w:tabs>
          <w:tab w:leader="none" w:pos="1921"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offer to accept the terms of this Agreement is open for 10 days from the date Executive receives this Agreement, provided, that, should Executive sign this Agreement within 10 days of the date that the Agreement was received by Executive, then Executive’s choice not to wait for the full 10-day period to expire was made knowingly and voluntarily, and was in no way induced by the Company by means of intimidation, fraud, duress, or any other threat to withdraw the terms offered under this Agreement; and</w:t>
      </w:r>
    </w:p>
    <w:p>
      <w:pPr>
        <w:spacing w:after="0" w:line="191" w:lineRule="exact"/>
        <w:rPr>
          <w:rFonts w:ascii="Arial" w:cs="Arial" w:eastAsia="Arial" w:hAnsi="Arial"/>
          <w:sz w:val="22"/>
          <w:szCs w:val="22"/>
          <w:color w:val="auto"/>
        </w:rPr>
      </w:pPr>
    </w:p>
    <w:p>
      <w:pPr>
        <w:ind w:left="-20" w:right="60" w:firstLine="1304"/>
        <w:spacing w:after="0" w:line="263" w:lineRule="auto"/>
        <w:tabs>
          <w:tab w:leader="none" w:pos="1919"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Company’s obligations under Section 2 (other than the Accrued Obligations) shall become effective on the day Executive has executed and returned this Agreement (the “</w:t>
      </w:r>
      <w:r>
        <w:rPr>
          <w:rFonts w:ascii="Arial" w:cs="Arial" w:eastAsia="Arial" w:hAnsi="Arial"/>
          <w:sz w:val="22"/>
          <w:szCs w:val="22"/>
          <w:u w:val="single" w:color="auto"/>
          <w:color w:val="auto"/>
        </w:rPr>
        <w:t>Release Effective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 w:right="180" w:firstLine="656"/>
        <w:spacing w:after="0" w:line="289" w:lineRule="auto"/>
        <w:tabs>
          <w:tab w:leader="none" w:pos="1357"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Executive understands and agrees that if Executive breaches any provision of this Agreement or any provision of Separation Agreement that survives Executive’s termination of employment with the Company, in addition to any other legal or equitable remedies the Company may have, the Company shall be entitled to cease making any payments to Executive under Section 2 above (other than the Accrued Obligations), and Executive shall reimburse the Company for all such payments made to Executive prior to such breach and the reasonable attorneys’ fees and costs incurred by the Company arising out of any such breach and to enforce such reimbursement. Any such action permitted to the Company by this paragraph, however, shall not affect or impair any of Executive’s obligations under this Agreement, including without limitation, the Release. Executive further agrees that nothing herein shall preclude the Company from recovering attorneys’ fees, costs, or any other remedies specifically authorized under applicable law.</w:t>
      </w:r>
    </w:p>
    <w:p>
      <w:pPr>
        <w:spacing w:after="0" w:line="156" w:lineRule="exact"/>
        <w:rPr>
          <w:rFonts w:ascii="Arial" w:cs="Arial" w:eastAsia="Arial" w:hAnsi="Arial"/>
          <w:sz w:val="19"/>
          <w:szCs w:val="19"/>
          <w:color w:val="auto"/>
        </w:rPr>
      </w:pPr>
    </w:p>
    <w:p>
      <w:pPr>
        <w:ind w:left="-20" w:firstLine="656"/>
        <w:spacing w:after="0" w:line="294" w:lineRule="auto"/>
        <w:tabs>
          <w:tab w:leader="none" w:pos="1357"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Executive represents that Executive has not violated any of the provisions in Paragraphs 2, 3, 4, 5 and 6 of the Separation Agreement (which is incorporated by reference and made a part hereof). Executive hereby acknowledges and reaffirms his obligations under Paragraphs 2, 3, 4, 5 and 6 of the Separation Agreement following the Termination Date. Subject to Paragraph 10(a) of this Agreement, Executive agrees that he will not make any statements, written or verbal, that are detrimental, derogatory or disparaging concerning the Company or any member of the Company Group, or concerning any current or former directors, officers, or employees of the Company or any member of the Company Group.</w:t>
      </w:r>
    </w:p>
    <w:p>
      <w:pPr>
        <w:spacing w:after="0" w:line="149" w:lineRule="exact"/>
        <w:rPr>
          <w:rFonts w:ascii="Arial" w:cs="Arial" w:eastAsia="Arial" w:hAnsi="Arial"/>
          <w:sz w:val="19"/>
          <w:szCs w:val="19"/>
          <w:color w:val="auto"/>
        </w:rPr>
      </w:pPr>
    </w:p>
    <w:p>
      <w:pPr>
        <w:ind w:left="-20" w:firstLine="656"/>
        <w:spacing w:after="0" w:line="290" w:lineRule="auto"/>
        <w:tabs>
          <w:tab w:leader="none" w:pos="1357"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Entire Agreement; Assignment</w:t>
      </w:r>
      <w:r>
        <w:rPr>
          <w:rFonts w:ascii="Arial" w:cs="Arial" w:eastAsia="Arial" w:hAnsi="Arial"/>
          <w:sz w:val="19"/>
          <w:szCs w:val="19"/>
          <w:color w:val="auto"/>
        </w:rPr>
        <w:t xml:space="preserve">. This Agreement, together with the Separation Agreement, sets forth the entire agreement and understanding between the parties as to the subject matter hereof and supersedes all prior and contemporaneous oral and/or written discussions, agreements and understandings of any kind or nature.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force and effect. This Agreement may be assigned by the Company to a person or entity which is a successor in interest to substantially all of the business operations of the Company (“</w:t>
      </w:r>
      <w:r>
        <w:rPr>
          <w:rFonts w:ascii="Arial" w:cs="Arial" w:eastAsia="Arial" w:hAnsi="Arial"/>
          <w:sz w:val="19"/>
          <w:szCs w:val="19"/>
          <w:u w:val="single" w:color="auto"/>
          <w:color w:val="auto"/>
        </w:rPr>
        <w:t>Successor</w:t>
      </w:r>
      <w:r>
        <w:rPr>
          <w:rFonts w:ascii="Arial" w:cs="Arial" w:eastAsia="Arial" w:hAnsi="Arial"/>
          <w:sz w:val="19"/>
          <w:szCs w:val="19"/>
          <w:color w:val="auto"/>
        </w:rPr>
        <w:t>”). Upon such assignment, the obligations of Executive shall inure to the benefit of such Successor and the rights and obligation of the Company hereunder shall become the rights and obligations of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40" w:top="1428" w:right="359" w:bottom="1440" w:gutter="0" w:footer="0" w:header="0"/>
        </w:sectPr>
      </w:pPr>
    </w:p>
    <w:bookmarkStart w:id="9" w:name="page10"/>
    <w:bookmarkEnd w:id="9"/>
    <w:p>
      <w:pPr>
        <w:ind w:left="1372" w:hanging="724"/>
        <w:spacing w:after="0"/>
        <w:tabs>
          <w:tab w:leader="none" w:pos="137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Certain Permissible Disclosures and Communications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 w:right="60" w:firstLine="1304"/>
        <w:spacing w:after="0" w:line="260" w:lineRule="auto"/>
        <w:tabs>
          <w:tab w:leader="none" w:pos="1933" w:val="left"/>
        </w:tabs>
        <w:numPr>
          <w:ilvl w:val="2"/>
          <w:numId w:val="12"/>
        </w:numPr>
        <w:rPr>
          <w:rFonts w:ascii="Arial" w:cs="Arial" w:eastAsia="Arial" w:hAnsi="Arial"/>
          <w:sz w:val="21"/>
          <w:szCs w:val="21"/>
          <w:color w:val="auto"/>
        </w:rPr>
      </w:pPr>
      <w:r>
        <w:rPr>
          <w:rFonts w:ascii="Arial" w:cs="Arial" w:eastAsia="Arial" w:hAnsi="Arial"/>
          <w:sz w:val="21"/>
          <w:szCs w:val="21"/>
          <w:u w:val="single" w:color="auto"/>
          <w:color w:val="auto"/>
        </w:rPr>
        <w:t>Securities Exchange Act Rule 21F-17</w:t>
      </w:r>
      <w:r>
        <w:rPr>
          <w:rFonts w:ascii="Arial" w:cs="Arial" w:eastAsia="Arial" w:hAnsi="Arial"/>
          <w:sz w:val="21"/>
          <w:szCs w:val="21"/>
          <w:color w:val="auto"/>
        </w:rPr>
        <w:t>. Nothing in this Agreement, including Sections 5, 7 and 8, shall prohibit or impede the Executive from communicating, cooperating or filing a complaint with any U.S. federal, state or local governmental or law enforcement branch, agency or entity (collectively, a “</w:t>
      </w:r>
      <w:r>
        <w:rPr>
          <w:rFonts w:ascii="Arial" w:cs="Arial" w:eastAsia="Arial" w:hAnsi="Arial"/>
          <w:sz w:val="21"/>
          <w:szCs w:val="21"/>
          <w:u w:val="single" w:color="auto"/>
          <w:color w:val="auto"/>
        </w:rPr>
        <w:t>Governmental Entity</w:t>
      </w:r>
      <w:r>
        <w:rPr>
          <w:rFonts w:ascii="Arial" w:cs="Arial" w:eastAsia="Arial" w:hAnsi="Arial"/>
          <w:sz w:val="21"/>
          <w:szCs w:val="21"/>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does not need the prior authorization of (or to give notice to) the Company regarding any such communication or disclosure.</w:t>
      </w:r>
    </w:p>
    <w:p>
      <w:pPr>
        <w:spacing w:after="0" w:line="180" w:lineRule="exact"/>
        <w:rPr>
          <w:rFonts w:ascii="Arial" w:cs="Arial" w:eastAsia="Arial" w:hAnsi="Arial"/>
          <w:sz w:val="21"/>
          <w:szCs w:val="21"/>
          <w:color w:val="auto"/>
        </w:rPr>
      </w:pPr>
    </w:p>
    <w:p>
      <w:pPr>
        <w:ind w:left="-8" w:right="200" w:firstLine="1304"/>
        <w:spacing w:after="0" w:line="290" w:lineRule="auto"/>
        <w:tabs>
          <w:tab w:leader="none" w:pos="1931" w:val="left"/>
        </w:tabs>
        <w:numPr>
          <w:ilvl w:val="2"/>
          <w:numId w:val="12"/>
        </w:numPr>
        <w:rPr>
          <w:rFonts w:ascii="Arial" w:cs="Arial" w:eastAsia="Arial" w:hAnsi="Arial"/>
          <w:sz w:val="19"/>
          <w:szCs w:val="19"/>
          <w:color w:val="auto"/>
        </w:rPr>
      </w:pPr>
      <w:r>
        <w:rPr>
          <w:rFonts w:ascii="Arial" w:cs="Arial" w:eastAsia="Arial" w:hAnsi="Arial"/>
          <w:sz w:val="19"/>
          <w:szCs w:val="19"/>
          <w:u w:val="single" w:color="auto"/>
          <w:color w:val="auto"/>
        </w:rPr>
        <w:t>Defend Trade Secrets Act</w:t>
      </w:r>
      <w:r>
        <w:rPr>
          <w:rFonts w:ascii="Arial" w:cs="Arial" w:eastAsia="Arial" w:hAnsi="Arial"/>
          <w:sz w:val="19"/>
          <w:szCs w:val="19"/>
          <w:color w:val="auto"/>
        </w:rPr>
        <w:t>. Executive hereby confirms that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5" w:lineRule="exact"/>
        <w:rPr>
          <w:rFonts w:ascii="Arial" w:cs="Arial" w:eastAsia="Arial" w:hAnsi="Arial"/>
          <w:sz w:val="19"/>
          <w:szCs w:val="19"/>
          <w:color w:val="auto"/>
        </w:rPr>
      </w:pPr>
    </w:p>
    <w:p>
      <w:pPr>
        <w:jc w:val="both"/>
        <w:ind w:left="-8" w:right="480" w:firstLine="1304"/>
        <w:spacing w:after="0" w:line="288" w:lineRule="auto"/>
        <w:tabs>
          <w:tab w:leader="none" w:pos="1933" w:val="left"/>
        </w:tabs>
        <w:numPr>
          <w:ilvl w:val="2"/>
          <w:numId w:val="12"/>
        </w:numPr>
        <w:rPr>
          <w:rFonts w:ascii="Arial" w:cs="Arial" w:eastAsia="Arial" w:hAnsi="Arial"/>
          <w:sz w:val="19"/>
          <w:szCs w:val="19"/>
          <w:color w:val="auto"/>
        </w:rPr>
      </w:pPr>
      <w:r>
        <w:rPr>
          <w:rFonts w:ascii="Arial" w:cs="Arial" w:eastAsia="Arial" w:hAnsi="Arial"/>
          <w:sz w:val="19"/>
          <w:szCs w:val="19"/>
          <w:color w:val="auto"/>
        </w:rPr>
        <w:t>Notwithstanding the foregoing provisions in this Section 10, under no circumstance will Executive be authorized to disclose any information covered by the Company’s attorney-client privilege or the Company’s attorney work product (i) without prior written consent of the Company’s General Counsel or other officer designated by the Company, or</w:t>
      </w:r>
    </w:p>
    <w:p>
      <w:pPr>
        <w:ind w:left="-8" w:right="420" w:firstLine="8"/>
        <w:spacing w:after="0" w:line="246" w:lineRule="auto"/>
        <w:tabs>
          <w:tab w:leader="none" w:pos="31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unless such disclosure of that information would otherwise be permitted pursuant to 17 CFR 205.3(d)(2), applicable state attorney conduct rules, or otherwise under applicable law or court order.</w:t>
      </w:r>
    </w:p>
    <w:p>
      <w:pPr>
        <w:spacing w:after="0" w:line="192" w:lineRule="exact"/>
        <w:rPr>
          <w:rFonts w:ascii="Arial" w:cs="Arial" w:eastAsia="Arial" w:hAnsi="Arial"/>
          <w:sz w:val="22"/>
          <w:szCs w:val="22"/>
          <w:color w:val="auto"/>
        </w:rPr>
      </w:pPr>
    </w:p>
    <w:p>
      <w:pPr>
        <w:ind w:left="-8" w:firstLine="656"/>
        <w:spacing w:after="0" w:line="259" w:lineRule="auto"/>
        <w:tabs>
          <w:tab w:leader="none" w:pos="1347"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Executive agrees that he will provide reasonable cooperation to the Company and/or any other member of the Company Group and its or their respective officers, members of the board of directors and counsel in connection with any investigation, administrative proceeding or litigation relating to any matter that occurred during your employment in which you were involved or of which you have knowledge. The Company agrees to reimburse you for reasonable out-of-pocket expenses incurred at the request of the Company with respect to his compliance with this Section 11. Executive agrees that, in the event he is subpoenaed by any person or entity (including, but not limited to, any Governmental Entity) to give testimony or provide documents (in a deposition, court proceeding or otherwise) which in any way relates to your employment by the Company and/or any other member of the Company Group, he will give prompt notice of such request to the Company’s General Counsel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12"/>
          </w:cols>
          <w:pgMar w:left="328" w:top="1428" w:right="359" w:bottom="1440" w:gutter="0" w:footer="0" w:header="0"/>
        </w:sectPr>
      </w:pPr>
    </w:p>
    <w:bookmarkStart w:id="10" w:name="page11"/>
    <w:bookmarkEnd w:id="10"/>
    <w:p>
      <w:pPr>
        <w:ind w:right="400"/>
        <w:spacing w:after="0" w:line="263" w:lineRule="auto"/>
        <w:rPr>
          <w:sz w:val="20"/>
          <w:szCs w:val="20"/>
          <w:color w:val="auto"/>
        </w:rPr>
      </w:pPr>
      <w:r>
        <w:rPr>
          <w:rFonts w:ascii="Arial" w:cs="Arial" w:eastAsia="Arial" w:hAnsi="Arial"/>
          <w:sz w:val="22"/>
          <w:szCs w:val="22"/>
          <w:color w:val="auto"/>
        </w:rPr>
        <w:t>make no disclosure until the Company and/or the other member of the Company Group have had a reasonable opportunity to contest the right of the requesting person or entity to such disclosure.</w:t>
      </w:r>
    </w:p>
    <w:p>
      <w:pPr>
        <w:spacing w:after="0" w:line="175" w:lineRule="exact"/>
        <w:rPr>
          <w:sz w:val="20"/>
          <w:szCs w:val="20"/>
          <w:color w:val="auto"/>
        </w:rPr>
      </w:pPr>
    </w:p>
    <w:p>
      <w:pPr>
        <w:ind w:firstLine="656"/>
        <w:spacing w:after="0" w:line="294" w:lineRule="auto"/>
        <w:tabs>
          <w:tab w:leader="none" w:pos="137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In accordance with Company policy and applicable law, the Company shall indemnify, defend, and hold harmless the Executive from and against any claims, losses, liabilities, damages, fines, penalties, costs, and expenses (including, without limitation, reasonable fees and disbursements of counsel and other professionals) brought against and/or suffered by the Executive as a result of any proceeding commenced against the Executive arising out of or in connection with any act or failure to act by the Executive within the scope of authority as provided in this Agreement, other Agreements or policies pursuant to which the Executive is acting for or on behalf of the Company.</w:t>
      </w:r>
    </w:p>
    <w:p>
      <w:pPr>
        <w:spacing w:after="0" w:line="149" w:lineRule="exact"/>
        <w:rPr>
          <w:rFonts w:ascii="Arial" w:cs="Arial" w:eastAsia="Arial" w:hAnsi="Arial"/>
          <w:sz w:val="19"/>
          <w:szCs w:val="19"/>
          <w:color w:val="auto"/>
        </w:rPr>
      </w:pPr>
    </w:p>
    <w:p>
      <w:pPr>
        <w:ind w:right="140" w:firstLine="656"/>
        <w:spacing w:after="0" w:line="246" w:lineRule="auto"/>
        <w:tabs>
          <w:tab w:leader="none" w:pos="1377"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Mutual Non-Disparagement</w:t>
      </w:r>
      <w:r>
        <w:rPr>
          <w:rFonts w:ascii="Arial" w:cs="Arial" w:eastAsia="Arial" w:hAnsi="Arial"/>
          <w:sz w:val="22"/>
          <w:szCs w:val="22"/>
          <w:color w:val="auto"/>
        </w:rPr>
        <w:t>. Executive agrees that during and after the final payment is made under this Agreement, Executive shall not make any negative public or private statements (through the press, or other method of publication) concerning the Company or any of its officers, employees or members. Executive further covenants and agrees that he will not engage in any conduct that is injurious to the reputation and interest of the Company, its owners, officers, business partners, or employees, including, but not limited to, disparaging, inducing or encouraging others to disparage the Company, encouraging others to terminate or alter their business dealings with the Company, or making or causing to be made any statement that is critical of or otherwise maligns the business reputation, business practices, products, management, or employment practices of the Company.</w:t>
      </w:r>
    </w:p>
    <w:p>
      <w:pPr>
        <w:spacing w:after="0" w:line="15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Company agrees that it will not make any negative, public or private statements concerning Executive, nor will it engage in conduct that is injurious to the reputation and interest of Executive, including but not limited to, disparaging, inducing, or encouraging others to disparage Executive or otherwise causing to be made any statement that maligns Executive’s reputation.</w:t>
      </w:r>
    </w:p>
    <w:p>
      <w:pPr>
        <w:spacing w:after="0" w:line="106" w:lineRule="exact"/>
        <w:rPr>
          <w:sz w:val="20"/>
          <w:szCs w:val="20"/>
          <w:color w:val="auto"/>
        </w:rPr>
      </w:pPr>
    </w:p>
    <w:p>
      <w:pPr>
        <w:ind w:firstLine="656"/>
        <w:spacing w:after="0" w:line="246" w:lineRule="auto"/>
        <w:tabs>
          <w:tab w:leader="none" w:pos="1377"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of this Agreement or the Separation Agreement are determined to be or become invalid, illegal or unenforceable in any respect, in any jurisdiction, by a court of competent jurisdiction, in a final judgment to which no further appeal can be made, such judgment shall not affect such provisions in any other jurisdiction or any other provisions of this Agreement, the validity, legality and enforceability of which shall not be affected thereby and Executive agrees that the court making such determination shall have the power to strike or reform such provision to the maximum and/or broadest duration, scope, and/or area permissible by law, and, as so reformed, such provision shall then be enforceable.</w:t>
      </w:r>
    </w:p>
    <w:p>
      <w:pPr>
        <w:spacing w:after="0" w:line="196" w:lineRule="exact"/>
        <w:rPr>
          <w:rFonts w:ascii="Arial" w:cs="Arial" w:eastAsia="Arial" w:hAnsi="Arial"/>
          <w:sz w:val="22"/>
          <w:szCs w:val="22"/>
          <w:color w:val="auto"/>
        </w:rPr>
      </w:pPr>
    </w:p>
    <w:p>
      <w:pPr>
        <w:ind w:right="120" w:firstLine="656"/>
        <w:spacing w:after="0" w:line="247" w:lineRule="auto"/>
        <w:tabs>
          <w:tab w:leader="none" w:pos="1377"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 and Venue</w:t>
      </w:r>
      <w:r>
        <w:rPr>
          <w:rFonts w:ascii="Arial" w:cs="Arial" w:eastAsia="Arial" w:hAnsi="Arial"/>
          <w:sz w:val="22"/>
          <w:szCs w:val="22"/>
          <w:color w:val="auto"/>
        </w:rPr>
        <w:t>. THIS AGREEMENT AND THE RIGHTS AND OBLIGATIONS OF THE PARTIES HEREUNDER SHALL BE CONSTRUED AND ENFORCED IN ACCORDANCE WITH, AND GOVERNED BY, THE LAWS OF THE STATE OF DELAWARE WITHOUT REGARD TO THE CONFLICT OF LAWS PRINCIPLES THEREOF. EACH PARTY TO THIS AGREEMENT HEREBY IRREVOCABLY SUBMITS TO THE EXCLUSIVE JURISDICTION OF ANY FEDERAL OR STATE COURT SITTING IN DELAWARE WITH RESPECT TO ANY SUIT, ACTION OR PROCEEDING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11" w:name="page12"/>
    <w:bookmarkEnd w:id="11"/>
    <w:p>
      <w:pPr>
        <w:ind w:right="20"/>
        <w:spacing w:after="0" w:line="258" w:lineRule="auto"/>
        <w:rPr>
          <w:sz w:val="20"/>
          <w:szCs w:val="20"/>
          <w:color w:val="auto"/>
        </w:rPr>
      </w:pPr>
      <w:r>
        <w:rPr>
          <w:rFonts w:ascii="Arial" w:cs="Arial" w:eastAsia="Arial" w:hAnsi="Arial"/>
          <w:sz w:val="21"/>
          <w:szCs w:val="21"/>
          <w:color w:val="auto"/>
        </w:rPr>
        <w:t>OF OR RELATING TO THIS AGREEMENT AND EACH OF THE PARTIES AGREES THAT ANY ACTION RELATING IN ANY WAY TO THIS AGREEMENT MUST BE COMMENCED ONLY IN THE COURTS OF DELAWARE,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PARTY TO THIS AGREEMENT HEREBY IRREVOCABLY CONSENTS TO THE SERVICE OF PROCESS IN ANY SUIT, ACTION OR PROCEEDING BY SENDING THE SAME BY CERTIFIED MAIL, RETURN RECEIPT REQUESTED, OR BY RECOGNIZED OVERNIGHT COURIER SERVICE. EACH PARTY TO THIS AGREEMENT ALSO HEREBY WAIVES ANY RIGHT TO TRIAL BY JURY IN CONNECTION WITH ANY SUIT, ACTION, OR PROCEEDING UNDER OR IN CONNECTION WITH THIS AGREEMENT.</w:t>
      </w:r>
    </w:p>
    <w:p>
      <w:pPr>
        <w:spacing w:after="0" w:line="182" w:lineRule="exact"/>
        <w:rPr>
          <w:sz w:val="20"/>
          <w:szCs w:val="20"/>
          <w:color w:val="auto"/>
        </w:rPr>
      </w:pPr>
    </w:p>
    <w:p>
      <w:pPr>
        <w:ind w:right="40" w:firstLine="656"/>
        <w:spacing w:after="0" w:line="253" w:lineRule="auto"/>
        <w:tabs>
          <w:tab w:leader="none" w:pos="1377"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each counterpart, when executed, shall have the efficacy of a signed original. Photographic copies of such signed counterparts may be used in lieu of the originals for any purpose.</w:t>
      </w:r>
    </w:p>
    <w:p>
      <w:pPr>
        <w:spacing w:after="0" w:line="185" w:lineRule="exact"/>
        <w:rPr>
          <w:rFonts w:ascii="Arial" w:cs="Arial" w:eastAsia="Arial" w:hAnsi="Arial"/>
          <w:sz w:val="22"/>
          <w:szCs w:val="22"/>
          <w:color w:val="auto"/>
        </w:rPr>
      </w:pPr>
    </w:p>
    <w:p>
      <w:pPr>
        <w:ind w:firstLine="656"/>
        <w:spacing w:after="0" w:line="253" w:lineRule="auto"/>
        <w:tabs>
          <w:tab w:leader="none" w:pos="1377"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waiver of any breach of any term or provision of this Agreement shall be construed to be, or shall be, a waiver of any other breach of this Agreement. No such waiver shall be binding unless signed in writing by the party waiving the breach.</w:t>
      </w:r>
    </w:p>
    <w:p>
      <w:pPr>
        <w:spacing w:after="0" w:line="185" w:lineRule="exact"/>
        <w:rPr>
          <w:rFonts w:ascii="Arial" w:cs="Arial" w:eastAsia="Arial" w:hAnsi="Arial"/>
          <w:sz w:val="22"/>
          <w:szCs w:val="22"/>
          <w:color w:val="auto"/>
        </w:rPr>
      </w:pPr>
    </w:p>
    <w:p>
      <w:pPr>
        <w:ind w:right="140" w:firstLine="656"/>
        <w:spacing w:after="0" w:line="287" w:lineRule="auto"/>
        <w:tabs>
          <w:tab w:leader="none" w:pos="1377"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The Company may withhold from any amounts payable under this Agreement such federal, state and local taxes as may be required to be withheld pursuant to any applicable law or regulation.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320" w:top="1428" w:right="399" w:bottom="1440" w:gutter="0" w:footer="0" w:header="0"/>
        </w:sectPr>
      </w:pPr>
    </w:p>
    <w:bookmarkStart w:id="12" w:name="page13"/>
    <w:bookmarkEnd w:id="12"/>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have executed and delivered this Agreement this 14</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June, 2021.</w:t>
      </w:r>
    </w:p>
    <w:p>
      <w:pPr>
        <w:sectPr>
          <w:pgSz w:w="11900" w:h="16838" w:orient="portrait"/>
          <w:cols w:equalWidth="0" w:num="1">
            <w:col w:w="10060"/>
          </w:cols>
          <w:pgMar w:left="540" w:top="1440" w:right="12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-17780</wp:posOffset>
            </wp:positionV>
            <wp:extent cx="1398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Name: Thomas D. DeByle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6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060"/>
          </w:cols>
          <w:pgMar w:left="540" w:top="1440" w:right="1299" w:bottom="1440" w:gutter="0" w:footer="0" w:header="0"/>
          <w:type w:val="continuous"/>
        </w:sectPr>
      </w:pPr>
    </w:p>
    <w:bookmarkStart w:id="13" w:name="page14"/>
    <w:bookmarkEnd w:id="13"/>
    <w:p>
      <w:pPr>
        <w:ind w:left="2780"/>
        <w:spacing w:after="0"/>
        <w:rPr>
          <w:sz w:val="20"/>
          <w:szCs w:val="20"/>
          <w:color w:val="auto"/>
        </w:rPr>
      </w:pPr>
      <w:r>
        <w:rPr>
          <w:rFonts w:ascii="Arial" w:cs="Arial" w:eastAsia="Arial" w:hAnsi="Arial"/>
          <w:sz w:val="22"/>
          <w:szCs w:val="22"/>
          <w:color w:val="auto"/>
        </w:rPr>
        <w:t>NN, INC.</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360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Warren A. Veltman,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1428" w:right="1440" w:bottom="1440" w:gutter="0" w:footer="0" w:header="0"/>
        </w:sectPr>
      </w:pPr>
    </w:p>
    <w:bookmarkStart w:id="14" w:name="page15"/>
    <w:bookmarkEnd w:id="14"/>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SEPARATION AGREEMENT</w:t>
      </w:r>
    </w:p>
    <w:p>
      <w:pPr>
        <w:spacing w:after="0" w:line="1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SEPARATION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this 1st day of July,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NN, Inc., a Delaware Corporation with its principal place of business in Charlotte, North Carolina (the “</w:t>
      </w:r>
      <w:r>
        <w:rPr>
          <w:rFonts w:ascii="Arial" w:cs="Arial" w:eastAsia="Arial" w:hAnsi="Arial"/>
          <w:sz w:val="20"/>
          <w:szCs w:val="20"/>
          <w:u w:val="single" w:color="auto"/>
          <w:color w:val="auto"/>
        </w:rPr>
        <w:t>Company</w:t>
      </w:r>
      <w:r>
        <w:rPr>
          <w:rFonts w:ascii="Arial" w:cs="Arial" w:eastAsia="Arial" w:hAnsi="Arial"/>
          <w:sz w:val="20"/>
          <w:szCs w:val="20"/>
          <w:color w:val="auto"/>
        </w:rPr>
        <w:t>”), and Michael C. Felcher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WITNESSETH:</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will employ the Executive for the success of the Company and recognizes that the Executive will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 key functions for the Company; and</w:t>
      </w:r>
    </w:p>
    <w:p>
      <w:pPr>
        <w:spacing w:after="0" w:line="5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determined that it is in the best interests of the Company to institute a formalized separation</w:t>
      </w:r>
      <w:r>
        <w:rPr>
          <w:rFonts w:ascii="Arial" w:cs="Arial" w:eastAsia="Arial" w:hAnsi="Arial"/>
          <w:sz w:val="20"/>
          <w:szCs w:val="20"/>
          <w:b w:val="1"/>
          <w:bCs w:val="1"/>
          <w:color w:val="auto"/>
        </w:rPr>
        <w:t xml:space="preserve"> </w:t>
      </w:r>
      <w:r>
        <w:rPr>
          <w:rFonts w:ascii="Arial" w:cs="Arial" w:eastAsia="Arial" w:hAnsi="Arial"/>
          <w:sz w:val="20"/>
          <w:szCs w:val="20"/>
          <w:color w:val="auto"/>
        </w:rPr>
        <w:t>arrangement with the Executive in the event of a separation of employment; and</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Executive desires to enter into this Agreement with the Company;</w:t>
      </w:r>
    </w:p>
    <w:p>
      <w:pPr>
        <w:spacing w:after="0" w:line="10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promises, covenants and mutual agreements set forth below,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and sufficiency of which are hereby acknowledged, the parties hereby agree as follows:</w:t>
      </w:r>
    </w:p>
    <w:p>
      <w:pPr>
        <w:spacing w:after="0" w:line="16" w:lineRule="exact"/>
        <w:rPr>
          <w:sz w:val="20"/>
          <w:szCs w:val="20"/>
          <w:color w:val="auto"/>
        </w:rPr>
      </w:pPr>
    </w:p>
    <w:p>
      <w:pPr>
        <w:ind w:left="660" w:hanging="652"/>
        <w:spacing w:after="0" w:line="260" w:lineRule="auto"/>
        <w:tabs>
          <w:tab w:leader="none" w:pos="660" w:val="left"/>
        </w:tabs>
        <w:numPr>
          <w:ilvl w:val="0"/>
          <w:numId w:val="1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Compensation and Benefits in the Event of Separation from Service</w:t>
      </w:r>
      <w:r>
        <w:rPr>
          <w:rFonts w:ascii="Arial" w:cs="Arial" w:eastAsia="Arial" w:hAnsi="Arial"/>
          <w:sz w:val="20"/>
          <w:szCs w:val="20"/>
          <w:color w:val="auto"/>
        </w:rPr>
        <w:t>. In the event of the Executive’s Separation from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compensation and benefits shall be paid as set forth below.</w:t>
      </w:r>
    </w:p>
    <w:p>
      <w:pPr>
        <w:spacing w:after="0" w:line="69" w:lineRule="exact"/>
        <w:rPr>
          <w:sz w:val="20"/>
          <w:szCs w:val="20"/>
          <w:color w:val="auto"/>
        </w:rPr>
      </w:pPr>
    </w:p>
    <w:p>
      <w:pPr>
        <w:ind w:left="660" w:hanging="652"/>
        <w:spacing w:after="0" w:line="287" w:lineRule="auto"/>
        <w:tabs>
          <w:tab w:leader="none" w:pos="44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Qualifying Termination Prior To A Change In Control.</w:t>
      </w:r>
      <w:r>
        <w:rPr>
          <w:rFonts w:ascii="Arial" w:cs="Arial" w:eastAsia="Arial" w:hAnsi="Arial"/>
          <w:sz w:val="19"/>
          <w:szCs w:val="19"/>
          <w:color w:val="auto"/>
        </w:rPr>
        <w:t xml:space="preserve"> If the Executive has a Qualifying Termination after the Effective Date and prior to a Change in Control, then upon such Qualifying Termination the Executive shall be entitled to receive the following:</w:t>
      </w:r>
    </w:p>
    <w:p>
      <w:pPr>
        <w:spacing w:after="0" w:line="44" w:lineRule="exact"/>
        <w:rPr>
          <w:rFonts w:ascii="Arial" w:cs="Arial" w:eastAsia="Arial" w:hAnsi="Arial"/>
          <w:sz w:val="19"/>
          <w:szCs w:val="19"/>
          <w:color w:val="auto"/>
        </w:rPr>
      </w:pPr>
    </w:p>
    <w:p>
      <w:pPr>
        <w:ind w:left="1300" w:hanging="644"/>
        <w:spacing w:after="0" w:line="287" w:lineRule="auto"/>
        <w:tabs>
          <w:tab w:leader="none" w:pos="1070"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Executive’s annual salary through the effective date of Separation from Service, at the annual rate in effect at the time the Notice of Termination is given (or death occurs), to the extent unpaid prior to such Separation from Service.</w:t>
      </w:r>
    </w:p>
    <w:p>
      <w:pPr>
        <w:spacing w:after="0" w:line="44" w:lineRule="exact"/>
        <w:rPr>
          <w:rFonts w:ascii="Arial" w:cs="Arial" w:eastAsia="Arial" w:hAnsi="Arial"/>
          <w:sz w:val="19"/>
          <w:szCs w:val="19"/>
          <w:color w:val="auto"/>
        </w:rPr>
      </w:pPr>
    </w:p>
    <w:p>
      <w:pPr>
        <w:ind w:left="1300" w:hanging="644"/>
        <w:spacing w:after="0" w:line="269" w:lineRule="auto"/>
        <w:tabs>
          <w:tab w:leader="none" w:pos="1120" w:val="left"/>
        </w:tabs>
        <w:numPr>
          <w:ilvl w:val="1"/>
          <w:numId w:val="18"/>
        </w:numPr>
        <w:rPr>
          <w:rFonts w:ascii="Arial" w:cs="Arial" w:eastAsia="Arial" w:hAnsi="Arial"/>
          <w:sz w:val="19"/>
          <w:szCs w:val="19"/>
          <w:color w:val="auto"/>
        </w:rPr>
      </w:pPr>
      <w:r>
        <w:rPr>
          <w:rFonts w:ascii="Arial" w:cs="Arial" w:eastAsia="Arial" w:hAnsi="Arial"/>
          <w:sz w:val="19"/>
          <w:szCs w:val="19"/>
          <w:color w:val="auto"/>
        </w:rPr>
        <w:t>In consideration of Executive’s prior service to the Company an amount equal to 12 months of his annual base salary in effect on the date of his Separation from Service. These amounts shall be payable in accordance with the Company’s regular payroll procedures over the 12-month period following the Executive’s Separation from Service.</w:t>
      </w:r>
    </w:p>
    <w:p>
      <w:pPr>
        <w:spacing w:after="0" w:line="61" w:lineRule="exact"/>
        <w:rPr>
          <w:rFonts w:ascii="Arial" w:cs="Arial" w:eastAsia="Arial" w:hAnsi="Arial"/>
          <w:sz w:val="19"/>
          <w:szCs w:val="19"/>
          <w:color w:val="auto"/>
        </w:rPr>
      </w:pPr>
    </w:p>
    <w:p>
      <w:pPr>
        <w:ind w:left="1300" w:hanging="644"/>
        <w:spacing w:after="0" w:line="282" w:lineRule="auto"/>
        <w:tabs>
          <w:tab w:leader="none" w:pos="11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 A payment equal to the target annual bonus to which the Executive would have been entitled but for the Qualifying Termination, prorated for the portion of the year during which the Executive was employed by the Company (which bonus will be determined in accordance with the Company’s corporate guidelines and distributed after completion of the Company’s fiscal year end audit).</w:t>
      </w:r>
    </w:p>
    <w:p>
      <w:pPr>
        <w:spacing w:after="0" w:line="53" w:lineRule="exact"/>
        <w:rPr>
          <w:rFonts w:ascii="Arial" w:cs="Arial" w:eastAsia="Arial" w:hAnsi="Arial"/>
          <w:sz w:val="18"/>
          <w:szCs w:val="18"/>
          <w:color w:val="auto"/>
        </w:rPr>
      </w:pPr>
    </w:p>
    <w:p>
      <w:pPr>
        <w:ind w:left="1300" w:hanging="644"/>
        <w:spacing w:after="0" w:line="260" w:lineRule="auto"/>
        <w:tabs>
          <w:tab w:leader="none" w:pos="1289" w:val="left"/>
        </w:tabs>
        <w:numPr>
          <w:ilvl w:val="1"/>
          <w:numId w:val="18"/>
        </w:numPr>
        <w:rPr>
          <w:rFonts w:ascii="Arial" w:cs="Arial" w:eastAsia="Arial" w:hAnsi="Arial"/>
          <w:sz w:val="20"/>
          <w:szCs w:val="20"/>
          <w:color w:val="auto"/>
        </w:rPr>
      </w:pPr>
      <w:r>
        <w:rPr>
          <w:rFonts w:ascii="Arial" w:cs="Arial" w:eastAsia="Arial" w:hAnsi="Arial"/>
          <w:sz w:val="20"/>
          <w:szCs w:val="20"/>
          <w:color w:val="auto"/>
        </w:rPr>
        <w:t>Prompt reimbursement for any and all reimbursable business expenses (to the extent not already reimbursed) upon Executive’s properly accounting for the same.</w:t>
      </w:r>
    </w:p>
    <w:p>
      <w:pPr>
        <w:spacing w:after="0" w:line="68" w:lineRule="exact"/>
        <w:rPr>
          <w:rFonts w:ascii="Arial" w:cs="Arial" w:eastAsia="Arial" w:hAnsi="Arial"/>
          <w:sz w:val="20"/>
          <w:szCs w:val="20"/>
          <w:color w:val="auto"/>
        </w:rPr>
      </w:pPr>
    </w:p>
    <w:p>
      <w:pPr>
        <w:ind w:left="1300" w:hanging="644"/>
        <w:spacing w:after="0"/>
        <w:tabs>
          <w:tab w:leader="none" w:pos="13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$12,000.00 payable in a single lump sum to assist with the Executive’s transition from employment.</w:t>
      </w:r>
    </w:p>
    <w:p>
      <w:pPr>
        <w:spacing w:after="0" w:line="108"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Payments under (ii) and (v) above shall commence or shall be paid within 60 days following the Executive’s receipt of, and signing and not revoking, a general release, upon terms acceptable to the Company and shall be likewise contingent on Executive’s full compliance with the covenants under paragraphs 2, 3, 4, and 6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15" w:name="page16"/>
    <w:bookmarkEnd w:id="15"/>
    <w:p>
      <w:pPr>
        <w:spacing w:after="0" w:line="87" w:lineRule="exact"/>
        <w:rPr>
          <w:sz w:val="20"/>
          <w:szCs w:val="20"/>
          <w:color w:val="auto"/>
        </w:rPr>
      </w:pPr>
    </w:p>
    <w:p>
      <w:pPr>
        <w:ind w:left="660" w:hanging="652"/>
        <w:spacing w:after="0" w:line="246" w:lineRule="auto"/>
        <w:tabs>
          <w:tab w:leader="none" w:pos="44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Termination By The Company For Cause Or By The Executive Without Good Reason</w:t>
      </w:r>
      <w:r>
        <w:rPr>
          <w:rFonts w:ascii="Arial" w:cs="Arial" w:eastAsia="Arial" w:hAnsi="Arial"/>
          <w:sz w:val="20"/>
          <w:szCs w:val="20"/>
          <w:color w:val="auto"/>
        </w:rPr>
        <w:t>. In the event Executive’s Separation from Service is terminated by: (A) action of the Company for Cause; (B) action of the Executive without Good Reason; or (C) reason of the Executive’s death, Disability or retirement, the following compensation and benefits shall be paid and provided the Executive (or his beneficiary):</w:t>
      </w:r>
    </w:p>
    <w:p>
      <w:pPr>
        <w:spacing w:after="0" w:line="83" w:lineRule="exact"/>
        <w:rPr>
          <w:rFonts w:ascii="Arial" w:cs="Arial" w:eastAsia="Arial" w:hAnsi="Arial"/>
          <w:sz w:val="20"/>
          <w:szCs w:val="20"/>
          <w:color w:val="auto"/>
        </w:rPr>
      </w:pPr>
    </w:p>
    <w:p>
      <w:pPr>
        <w:ind w:left="1300" w:right="20" w:hanging="644"/>
        <w:spacing w:after="0" w:line="316" w:lineRule="auto"/>
        <w:tabs>
          <w:tab w:leader="none" w:pos="129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Executive’s annual salary provided through the effective date of Separation from Service, at the annual rate in effect at the time the Notice of Termination is given (or death occurs), to the extent unpaid prior to such Separation from Service.</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Any vested rights of Executive in accordance with the Company’s plans, programs or policies.</w:t>
      </w:r>
    </w:p>
    <w:p>
      <w:pPr>
        <w:spacing w:after="0" w:line="107"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Prompt reimbursement for any and all reimbursable business expenses (to the extent not already reimbursed) upon Executive’s properly accounting for the same.</w:t>
      </w:r>
    </w:p>
    <w:p>
      <w:pPr>
        <w:spacing w:after="0" w:line="68" w:lineRule="exact"/>
        <w:rPr>
          <w:rFonts w:ascii="Arial" w:cs="Arial" w:eastAsia="Arial" w:hAnsi="Arial"/>
          <w:sz w:val="20"/>
          <w:szCs w:val="20"/>
          <w:color w:val="auto"/>
        </w:rPr>
      </w:pPr>
    </w:p>
    <w:p>
      <w:pPr>
        <w:ind w:left="420" w:hanging="412"/>
        <w:spacing w:after="0"/>
        <w:tabs>
          <w:tab w:leader="none" w:pos="42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Qualifying Termination Following a Change in Control.</w:t>
      </w:r>
    </w:p>
    <w:p>
      <w:pPr>
        <w:spacing w:after="0" w:line="107" w:lineRule="exact"/>
        <w:rPr>
          <w:rFonts w:ascii="Arial" w:cs="Arial" w:eastAsia="Arial" w:hAnsi="Arial"/>
          <w:sz w:val="20"/>
          <w:szCs w:val="20"/>
          <w:color w:val="auto"/>
        </w:rPr>
      </w:pPr>
    </w:p>
    <w:p>
      <w:pPr>
        <w:ind w:left="660" w:hanging="4"/>
        <w:spacing w:after="0" w:line="260" w:lineRule="auto"/>
        <w:tabs>
          <w:tab w:leader="none" w:pos="1133" w:val="left"/>
        </w:tabs>
        <w:numPr>
          <w:ilvl w:val="1"/>
          <w:numId w:val="19"/>
        </w:numPr>
        <w:rPr>
          <w:rFonts w:ascii="Arial" w:cs="Arial" w:eastAsia="Arial" w:hAnsi="Arial"/>
          <w:sz w:val="20"/>
          <w:szCs w:val="20"/>
          <w:color w:val="auto"/>
        </w:rPr>
      </w:pPr>
      <w:r>
        <w:rPr>
          <w:rFonts w:ascii="Arial" w:cs="Arial" w:eastAsia="Arial" w:hAnsi="Arial"/>
          <w:sz w:val="20"/>
          <w:szCs w:val="20"/>
          <w:color w:val="auto"/>
        </w:rPr>
        <w:t>In the event that Executive has a Qualifying Termination within 24 months following a Change in Control, Executive shall receive the following, subject to paragraph 1(c)(ii):</w:t>
      </w:r>
    </w:p>
    <w:p>
      <w:pPr>
        <w:spacing w:after="0" w:line="68" w:lineRule="exact"/>
        <w:rPr>
          <w:rFonts w:ascii="Arial" w:cs="Arial" w:eastAsia="Arial" w:hAnsi="Arial"/>
          <w:sz w:val="20"/>
          <w:szCs w:val="20"/>
          <w:color w:val="auto"/>
        </w:rPr>
      </w:pPr>
    </w:p>
    <w:p>
      <w:pPr>
        <w:ind w:left="1940" w:hanging="636"/>
        <w:spacing w:after="0"/>
        <w:tabs>
          <w:tab w:leader="none" w:pos="1940" w:val="left"/>
        </w:tabs>
        <w:numPr>
          <w:ilvl w:val="2"/>
          <w:numId w:val="19"/>
        </w:numPr>
        <w:rPr>
          <w:rFonts w:ascii="Arial" w:cs="Arial" w:eastAsia="Arial" w:hAnsi="Arial"/>
          <w:sz w:val="20"/>
          <w:szCs w:val="20"/>
          <w:color w:val="auto"/>
        </w:rPr>
      </w:pPr>
      <w:r>
        <w:rPr>
          <w:rFonts w:ascii="Arial" w:cs="Arial" w:eastAsia="Arial" w:hAnsi="Arial"/>
          <w:sz w:val="20"/>
          <w:szCs w:val="20"/>
          <w:color w:val="auto"/>
        </w:rPr>
        <w:t>The annual salary due to the Executive through the date of his Separation from Service.</w:t>
      </w:r>
    </w:p>
    <w:p>
      <w:pPr>
        <w:spacing w:after="0" w:line="107" w:lineRule="exact"/>
        <w:rPr>
          <w:rFonts w:ascii="Arial" w:cs="Arial" w:eastAsia="Arial" w:hAnsi="Arial"/>
          <w:sz w:val="20"/>
          <w:szCs w:val="20"/>
          <w:color w:val="auto"/>
        </w:rPr>
      </w:pPr>
    </w:p>
    <w:p>
      <w:pPr>
        <w:jc w:val="both"/>
        <w:ind w:left="1960" w:hanging="656"/>
        <w:spacing w:after="0" w:line="250" w:lineRule="auto"/>
        <w:tabs>
          <w:tab w:leader="none" w:pos="1948" w:val="left"/>
        </w:tabs>
        <w:numPr>
          <w:ilvl w:val="2"/>
          <w:numId w:val="19"/>
        </w:numPr>
        <w:rPr>
          <w:rFonts w:ascii="Arial" w:cs="Arial" w:eastAsia="Arial" w:hAnsi="Arial"/>
          <w:sz w:val="20"/>
          <w:szCs w:val="20"/>
          <w:color w:val="auto"/>
        </w:rPr>
      </w:pPr>
      <w:r>
        <w:rPr>
          <w:rFonts w:ascii="Arial" w:cs="Arial" w:eastAsia="Arial" w:hAnsi="Arial"/>
          <w:sz w:val="20"/>
          <w:szCs w:val="20"/>
          <w:color w:val="auto"/>
        </w:rPr>
        <w:t xml:space="preserve">A lump sum payment equal to an amount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to this Agreement (the “</w:t>
      </w:r>
      <w:r>
        <w:rPr>
          <w:rFonts w:ascii="Arial" w:cs="Arial" w:eastAsia="Arial" w:hAnsi="Arial"/>
          <w:sz w:val="20"/>
          <w:szCs w:val="20"/>
          <w:u w:val="single" w:color="auto"/>
          <w:color w:val="auto"/>
        </w:rPr>
        <w:t>Severance Payment</w:t>
      </w:r>
      <w:r>
        <w:rPr>
          <w:rFonts w:ascii="Arial" w:cs="Arial" w:eastAsia="Arial" w:hAnsi="Arial"/>
          <w:sz w:val="20"/>
          <w:szCs w:val="20"/>
          <w:color w:val="auto"/>
        </w:rPr>
        <w:t>”). The Severance Payment shall be made by wire transfer or immediately available funds to an account designated by Executive following the date of the Separation from Service.</w:t>
      </w:r>
    </w:p>
    <w:p>
      <w:pPr>
        <w:spacing w:after="0" w:line="77" w:lineRule="exact"/>
        <w:rPr>
          <w:rFonts w:ascii="Arial" w:cs="Arial" w:eastAsia="Arial" w:hAnsi="Arial"/>
          <w:sz w:val="20"/>
          <w:szCs w:val="20"/>
          <w:color w:val="auto"/>
        </w:rPr>
      </w:pPr>
    </w:p>
    <w:p>
      <w:pPr>
        <w:jc w:val="both"/>
        <w:ind w:left="1960" w:hanging="656"/>
        <w:spacing w:after="0" w:line="250" w:lineRule="auto"/>
        <w:tabs>
          <w:tab w:leader="none" w:pos="1948" w:val="left"/>
        </w:tabs>
        <w:numPr>
          <w:ilvl w:val="2"/>
          <w:numId w:val="19"/>
        </w:numPr>
        <w:rPr>
          <w:rFonts w:ascii="Arial" w:cs="Arial" w:eastAsia="Arial" w:hAnsi="Arial"/>
          <w:sz w:val="20"/>
          <w:szCs w:val="20"/>
          <w:color w:val="auto"/>
        </w:rPr>
      </w:pPr>
      <w:r>
        <w:rPr>
          <w:rFonts w:ascii="Arial" w:cs="Arial" w:eastAsia="Arial" w:hAnsi="Arial"/>
          <w:sz w:val="20"/>
          <w:szCs w:val="20"/>
          <w:color w:val="auto"/>
        </w:rPr>
        <w:t>A payment equal to the target annual bonus to which Executive would have been entitled but for Executive’s Separation from Service, for the year of Executive’s termination; pro-rated for the portion of the year during which he was employed by the Company (“</w:t>
      </w:r>
      <w:r>
        <w:rPr>
          <w:rFonts w:ascii="Arial" w:cs="Arial" w:eastAsia="Arial" w:hAnsi="Arial"/>
          <w:sz w:val="20"/>
          <w:szCs w:val="20"/>
          <w:u w:val="single" w:color="auto"/>
          <w:color w:val="auto"/>
        </w:rPr>
        <w:t>Pro-rated Bonus</w:t>
      </w:r>
      <w:r>
        <w:rPr>
          <w:rFonts w:ascii="Arial" w:cs="Arial" w:eastAsia="Arial" w:hAnsi="Arial"/>
          <w:sz w:val="20"/>
          <w:szCs w:val="20"/>
          <w:color w:val="auto"/>
        </w:rPr>
        <w:t>”).</w:t>
      </w:r>
    </w:p>
    <w:p>
      <w:pPr>
        <w:spacing w:after="0" w:line="77" w:lineRule="exact"/>
        <w:rPr>
          <w:rFonts w:ascii="Arial" w:cs="Arial" w:eastAsia="Arial" w:hAnsi="Arial"/>
          <w:sz w:val="20"/>
          <w:szCs w:val="20"/>
          <w:color w:val="auto"/>
        </w:rPr>
      </w:pPr>
    </w:p>
    <w:p>
      <w:pPr>
        <w:ind w:left="1940" w:hanging="636"/>
        <w:spacing w:after="0"/>
        <w:tabs>
          <w:tab w:leader="none" w:pos="1940" w:val="left"/>
        </w:tabs>
        <w:numPr>
          <w:ilvl w:val="2"/>
          <w:numId w:val="19"/>
        </w:numPr>
        <w:rPr>
          <w:rFonts w:ascii="Arial" w:cs="Arial" w:eastAsia="Arial" w:hAnsi="Arial"/>
          <w:sz w:val="20"/>
          <w:szCs w:val="20"/>
          <w:color w:val="auto"/>
        </w:rPr>
      </w:pPr>
      <w:r>
        <w:rPr>
          <w:rFonts w:ascii="Arial" w:cs="Arial" w:eastAsia="Arial" w:hAnsi="Arial"/>
          <w:sz w:val="20"/>
          <w:szCs w:val="20"/>
          <w:color w:val="auto"/>
        </w:rPr>
        <w:t>Any vested rights of Executive in accordance with the Company’s plans, programs or policies.</w:t>
      </w:r>
    </w:p>
    <w:p>
      <w:pPr>
        <w:spacing w:after="0" w:line="107" w:lineRule="exact"/>
        <w:rPr>
          <w:rFonts w:ascii="Arial" w:cs="Arial" w:eastAsia="Arial" w:hAnsi="Arial"/>
          <w:sz w:val="20"/>
          <w:szCs w:val="20"/>
          <w:color w:val="auto"/>
        </w:rPr>
      </w:pPr>
    </w:p>
    <w:p>
      <w:pPr>
        <w:ind w:left="1960" w:right="20" w:hanging="656"/>
        <w:spacing w:after="0" w:line="260" w:lineRule="auto"/>
        <w:tabs>
          <w:tab w:leader="none" w:pos="1948" w:val="left"/>
        </w:tabs>
        <w:numPr>
          <w:ilvl w:val="2"/>
          <w:numId w:val="19"/>
        </w:numPr>
        <w:rPr>
          <w:rFonts w:ascii="Arial" w:cs="Arial" w:eastAsia="Arial" w:hAnsi="Arial"/>
          <w:sz w:val="20"/>
          <w:szCs w:val="20"/>
          <w:color w:val="auto"/>
        </w:rPr>
      </w:pPr>
      <w:r>
        <w:rPr>
          <w:rFonts w:ascii="Arial" w:cs="Arial" w:eastAsia="Arial" w:hAnsi="Arial"/>
          <w:sz w:val="20"/>
          <w:szCs w:val="20"/>
          <w:color w:val="auto"/>
        </w:rPr>
        <w:t>Prompt reimbursement for any and all reimbursable business expenses (to the extent not already reimbursed) upon Executive’s properly accounting for the same.</w:t>
      </w:r>
    </w:p>
    <w:p>
      <w:pPr>
        <w:spacing w:after="0" w:line="68" w:lineRule="exact"/>
        <w:rPr>
          <w:rFonts w:ascii="Arial" w:cs="Arial" w:eastAsia="Arial" w:hAnsi="Arial"/>
          <w:sz w:val="20"/>
          <w:szCs w:val="20"/>
          <w:color w:val="auto"/>
        </w:rPr>
      </w:pPr>
    </w:p>
    <w:p>
      <w:pPr>
        <w:ind w:left="1940" w:hanging="636"/>
        <w:spacing w:after="0"/>
        <w:tabs>
          <w:tab w:leader="none" w:pos="1940" w:val="left"/>
        </w:tabs>
        <w:numPr>
          <w:ilvl w:val="2"/>
          <w:numId w:val="19"/>
        </w:numPr>
        <w:rPr>
          <w:rFonts w:ascii="Arial" w:cs="Arial" w:eastAsia="Arial" w:hAnsi="Arial"/>
          <w:sz w:val="20"/>
          <w:szCs w:val="20"/>
          <w:color w:val="auto"/>
        </w:rPr>
      </w:pPr>
      <w:r>
        <w:rPr>
          <w:rFonts w:ascii="Arial" w:cs="Arial" w:eastAsia="Arial" w:hAnsi="Arial"/>
          <w:sz w:val="20"/>
          <w:szCs w:val="20"/>
          <w:color w:val="auto"/>
        </w:rPr>
        <w:t>$12,000.00 payable in a single lump sum to assist with the Executive’s transition from employment.</w:t>
      </w:r>
    </w:p>
    <w:p>
      <w:pPr>
        <w:spacing w:after="0" w:line="108" w:lineRule="exact"/>
        <w:rPr>
          <w:sz w:val="20"/>
          <w:szCs w:val="20"/>
          <w:color w:val="auto"/>
        </w:rPr>
      </w:pPr>
    </w:p>
    <w:p>
      <w:pPr>
        <w:jc w:val="both"/>
        <w:ind w:left="1300"/>
        <w:spacing w:after="0" w:line="291" w:lineRule="auto"/>
        <w:rPr>
          <w:sz w:val="20"/>
          <w:szCs w:val="20"/>
          <w:color w:val="auto"/>
        </w:rPr>
      </w:pPr>
      <w:r>
        <w:rPr>
          <w:rFonts w:ascii="Arial" w:cs="Arial" w:eastAsia="Arial" w:hAnsi="Arial"/>
          <w:sz w:val="18"/>
          <w:szCs w:val="18"/>
          <w:color w:val="auto"/>
        </w:rPr>
        <w:t>Payments under (2), (3) and (6) above shall commence or shall be paid within 60 days following the Executive’s receipt of, and signing and not revoking, a general release, upon terms acceptable to the Company and shall be likewise contingent on Executive’s full compliance with the covenants under paragraphs 2, 3, 4, and 6 of this Agreement.</w:t>
      </w:r>
    </w:p>
    <w:p>
      <w:pPr>
        <w:spacing w:after="0" w:line="44" w:lineRule="exact"/>
        <w:rPr>
          <w:sz w:val="20"/>
          <w:szCs w:val="20"/>
          <w:color w:val="auto"/>
        </w:rPr>
      </w:pPr>
    </w:p>
    <w:p>
      <w:pPr>
        <w:ind w:left="1100" w:hanging="444"/>
        <w:spacing w:after="0"/>
        <w:tabs>
          <w:tab w:leader="none" w:pos="11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Excise Tax.</w:t>
      </w:r>
    </w:p>
    <w:p>
      <w:pPr>
        <w:spacing w:after="0" w:line="107" w:lineRule="exact"/>
        <w:rPr>
          <w:rFonts w:ascii="Arial" w:cs="Arial" w:eastAsia="Arial" w:hAnsi="Arial"/>
          <w:sz w:val="20"/>
          <w:szCs w:val="20"/>
          <w:color w:val="auto"/>
        </w:rPr>
      </w:pPr>
    </w:p>
    <w:p>
      <w:pPr>
        <w:jc w:val="both"/>
        <w:ind w:left="1960" w:hanging="656"/>
        <w:spacing w:after="0" w:line="246" w:lineRule="auto"/>
        <w:tabs>
          <w:tab w:leader="none" w:pos="1948" w:val="left"/>
        </w:tabs>
        <w:numPr>
          <w:ilvl w:val="1"/>
          <w:numId w:val="20"/>
        </w:numPr>
        <w:rPr>
          <w:rFonts w:ascii="Arial" w:cs="Arial" w:eastAsia="Arial" w:hAnsi="Arial"/>
          <w:sz w:val="20"/>
          <w:szCs w:val="20"/>
          <w:color w:val="auto"/>
        </w:rPr>
      </w:pPr>
      <w:r>
        <w:rPr>
          <w:rFonts w:ascii="Arial" w:cs="Arial" w:eastAsia="Arial" w:hAnsi="Arial"/>
          <w:sz w:val="20"/>
          <w:szCs w:val="20"/>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Arial" w:cs="Arial" w:eastAsia="Arial" w:hAnsi="Arial"/>
          <w:sz w:val="20"/>
          <w:szCs w:val="20"/>
          <w:u w:val="single" w:color="auto"/>
          <w:color w:val="auto"/>
        </w:rPr>
        <w:t>Change in Control Payment</w:t>
      </w:r>
      <w:r>
        <w:rPr>
          <w:rFonts w:ascii="Arial" w:cs="Arial" w:eastAsia="Arial" w:hAnsi="Arial"/>
          <w:sz w:val="20"/>
          <w:szCs w:val="20"/>
          <w:color w:val="auto"/>
        </w:rPr>
        <w:t>”), would constitute an “excess parachute payment” within the meaning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87" w:lineRule="exact"/>
        <w:rPr>
          <w:sz w:val="20"/>
          <w:szCs w:val="20"/>
          <w:color w:val="auto"/>
        </w:rPr>
      </w:pPr>
    </w:p>
    <w:p>
      <w:pPr>
        <w:jc w:val="both"/>
        <w:ind w:left="1960"/>
        <w:spacing w:after="0" w:line="276" w:lineRule="auto"/>
        <w:rPr>
          <w:sz w:val="20"/>
          <w:szCs w:val="20"/>
          <w:color w:val="auto"/>
        </w:rPr>
      </w:pPr>
      <w:r>
        <w:rPr>
          <w:rFonts w:ascii="Arial" w:cs="Arial" w:eastAsia="Arial" w:hAnsi="Arial"/>
          <w:sz w:val="18"/>
          <w:szCs w:val="18"/>
          <w:color w:val="auto"/>
        </w:rPr>
        <w:t>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 payable pursuant to paragraph 1(c)(i)(1) of this Agreement and then, to the extent necessary, paragraph 1(c)(i)(2) of this Agreement.</w:t>
      </w:r>
    </w:p>
    <w:p>
      <w:pPr>
        <w:spacing w:after="0" w:line="57" w:lineRule="exact"/>
        <w:rPr>
          <w:sz w:val="20"/>
          <w:szCs w:val="20"/>
          <w:color w:val="auto"/>
        </w:rPr>
      </w:pPr>
    </w:p>
    <w:p>
      <w:pPr>
        <w:jc w:val="both"/>
        <w:ind w:left="1960" w:hanging="656"/>
        <w:spacing w:after="0" w:line="259" w:lineRule="auto"/>
        <w:tabs>
          <w:tab w:leader="none" w:pos="1948" w:val="left"/>
        </w:tabs>
        <w:numPr>
          <w:ilvl w:val="2"/>
          <w:numId w:val="21"/>
        </w:numPr>
        <w:rPr>
          <w:rFonts w:ascii="Arial" w:cs="Arial" w:eastAsia="Arial" w:hAnsi="Arial"/>
          <w:sz w:val="19"/>
          <w:szCs w:val="19"/>
          <w:color w:val="auto"/>
        </w:rPr>
      </w:pPr>
      <w:r>
        <w:rPr>
          <w:rFonts w:ascii="Arial" w:cs="Arial" w:eastAsia="Arial" w:hAnsi="Arial"/>
          <w:sz w:val="19"/>
          <w:szCs w:val="19"/>
          <w:color w:val="auto"/>
        </w:rPr>
        <w:t>All determinations to be made under this paragraph 1(c)(ii) shall be made by an independent public accounting firm selected by the Company immediately prior to the Change in Control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spacing w:after="0" w:line="70" w:lineRule="exact"/>
        <w:rPr>
          <w:rFonts w:ascii="Arial" w:cs="Arial" w:eastAsia="Arial" w:hAnsi="Arial"/>
          <w:sz w:val="19"/>
          <w:szCs w:val="19"/>
          <w:color w:val="auto"/>
        </w:rPr>
      </w:pPr>
    </w:p>
    <w:p>
      <w:pPr>
        <w:jc w:val="both"/>
        <w:ind w:left="1300" w:hanging="644"/>
        <w:spacing w:after="0" w:line="269" w:lineRule="auto"/>
        <w:tabs>
          <w:tab w:leader="none" w:pos="1288"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Continuation of Benefits.</w:t>
      </w:r>
      <w:r>
        <w:rPr>
          <w:rFonts w:ascii="Arial" w:cs="Arial" w:eastAsia="Arial" w:hAnsi="Arial"/>
          <w:sz w:val="19"/>
          <w:szCs w:val="19"/>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61" w:lineRule="exact"/>
        <w:rPr>
          <w:rFonts w:ascii="Arial" w:cs="Arial" w:eastAsia="Arial" w:hAnsi="Arial"/>
          <w:sz w:val="19"/>
          <w:szCs w:val="19"/>
          <w:color w:val="auto"/>
        </w:rPr>
      </w:pPr>
    </w:p>
    <w:p>
      <w:pPr>
        <w:jc w:val="both"/>
        <w:ind w:left="1300" w:hanging="644"/>
        <w:spacing w:after="0" w:line="244" w:lineRule="auto"/>
        <w:tabs>
          <w:tab w:leader="none" w:pos="1290"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Limit on Company Liability.</w:t>
      </w:r>
      <w:r>
        <w:rPr>
          <w:rFonts w:ascii="Arial" w:cs="Arial" w:eastAsia="Arial" w:hAnsi="Arial"/>
          <w:sz w:val="20"/>
          <w:szCs w:val="20"/>
          <w:color w:val="auto"/>
        </w:rPr>
        <w:t xml:space="preserve"> 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 contribution for Executive’s benefit under this Agreement except as provided in this paragraph 1.</w:t>
      </w:r>
    </w:p>
    <w:p>
      <w:pPr>
        <w:spacing w:after="0" w:line="113" w:lineRule="exact"/>
        <w:rPr>
          <w:rFonts w:ascii="Arial" w:cs="Arial" w:eastAsia="Arial" w:hAnsi="Arial"/>
          <w:sz w:val="20"/>
          <w:szCs w:val="20"/>
          <w:color w:val="auto"/>
        </w:rPr>
      </w:pPr>
    </w:p>
    <w:p>
      <w:pPr>
        <w:jc w:val="both"/>
        <w:ind w:left="660" w:hanging="652"/>
        <w:spacing w:after="0" w:line="282" w:lineRule="auto"/>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color w:val="auto"/>
        </w:rPr>
        <w:t>Disclosure of Confidential Information</w:t>
      </w:r>
      <w:r>
        <w:rPr>
          <w:rFonts w:ascii="Arial" w:cs="Arial" w:eastAsia="Arial" w:hAnsi="Arial"/>
          <w:sz w:val="17"/>
          <w:szCs w:val="17"/>
          <w:color w:val="auto"/>
        </w:rPr>
        <w:t>. The Company has developed confidential information, strategies and programs,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w:t>
      </w:r>
    </w:p>
    <w:p>
      <w:pPr>
        <w:jc w:val="both"/>
        <w:ind w:left="660" w:hanging="4"/>
        <w:spacing w:after="0" w:line="241" w:lineRule="auto"/>
        <w:tabs>
          <w:tab w:leader="none" w:pos="952"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87"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 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224" w:lineRule="exact"/>
        <w:rPr>
          <w:sz w:val="20"/>
          <w:szCs w:val="20"/>
          <w:color w:val="auto"/>
        </w:rPr>
      </w:pPr>
    </w:p>
    <w:p>
      <w:pPr>
        <w:jc w:val="both"/>
        <w:ind w:left="660" w:hanging="652"/>
        <w:spacing w:after="0" w:line="253" w:lineRule="auto"/>
        <w:tabs>
          <w:tab w:leader="none" w:pos="660" w:val="left"/>
        </w:tabs>
        <w:numPr>
          <w:ilvl w:val="0"/>
          <w:numId w:val="24"/>
        </w:numPr>
        <w:rPr>
          <w:rFonts w:ascii="Arial" w:cs="Arial" w:eastAsia="Arial" w:hAnsi="Arial"/>
          <w:sz w:val="21"/>
          <w:szCs w:val="21"/>
          <w:b w:val="1"/>
          <w:bCs w:val="1"/>
          <w:i w:val="1"/>
          <w:iCs w:val="1"/>
          <w:color w:val="auto"/>
        </w:rPr>
      </w:pPr>
      <w:r>
        <w:rPr>
          <w:rFonts w:ascii="Arial" w:cs="Arial" w:eastAsia="Arial" w:hAnsi="Arial"/>
          <w:sz w:val="19"/>
          <w:szCs w:val="19"/>
          <w:b w:val="1"/>
          <w:bCs w:val="1"/>
          <w:i w:val="1"/>
          <w:iCs w:val="1"/>
          <w:color w:val="auto"/>
        </w:rPr>
        <w:t>Non-Interference with Personnel Relations</w:t>
      </w:r>
      <w:r>
        <w:rPr>
          <w:rFonts w:ascii="Arial" w:cs="Arial" w:eastAsia="Arial" w:hAnsi="Arial"/>
          <w:sz w:val="19"/>
          <w:szCs w:val="19"/>
          <w:color w:val="auto"/>
        </w:rPr>
        <w:t>. At any time while Executive is employed by the Company and at any time during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Restrictive Period,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w:t>
      </w:r>
      <w:r>
        <w:rPr>
          <w:rFonts w:ascii="Arial" w:cs="Arial" w:eastAsia="Arial" w:hAnsi="Arial"/>
          <w:sz w:val="19"/>
          <w:szCs w:val="19"/>
          <w:u w:val="single" w:color="auto"/>
          <w:color w:val="auto"/>
        </w:rPr>
        <w:t>Restricted Employees</w:t>
      </w:r>
      <w:r>
        <w:rPr>
          <w:rFonts w:ascii="Arial" w:cs="Arial" w:eastAsia="Arial" w:hAnsi="Arial"/>
          <w:sz w:val="19"/>
          <w:szCs w:val="19"/>
          <w:color w:val="auto"/>
        </w:rPr>
        <w:t>”). Further, Executive will not induce or attempt to induce or influence any of the Restricted Employees to terminate employment with the Company, affiliate, and/or subsidiary.</w:t>
      </w:r>
    </w:p>
    <w:p>
      <w:pPr>
        <w:spacing w:after="0" w:line="240" w:lineRule="exact"/>
        <w:rPr>
          <w:rFonts w:ascii="Arial" w:cs="Arial" w:eastAsia="Arial" w:hAnsi="Arial"/>
          <w:sz w:val="21"/>
          <w:szCs w:val="21"/>
          <w:b w:val="1"/>
          <w:bCs w:val="1"/>
          <w:i w:val="1"/>
          <w:iCs w:val="1"/>
          <w:color w:val="auto"/>
        </w:rPr>
      </w:pPr>
    </w:p>
    <w:p>
      <w:pPr>
        <w:jc w:val="both"/>
        <w:ind w:left="660" w:hanging="652"/>
        <w:spacing w:after="0" w:line="269" w:lineRule="auto"/>
        <w:tabs>
          <w:tab w:leader="none" w:pos="660" w:val="left"/>
        </w:tabs>
        <w:numPr>
          <w:ilvl w:val="0"/>
          <w:numId w:val="24"/>
        </w:numPr>
        <w:rPr>
          <w:rFonts w:ascii="Arial" w:cs="Arial" w:eastAsia="Arial" w:hAnsi="Arial"/>
          <w:sz w:val="19"/>
          <w:szCs w:val="19"/>
          <w:b w:val="1"/>
          <w:bCs w:val="1"/>
          <w:i w:val="1"/>
          <w:iCs w:val="1"/>
          <w:color w:val="auto"/>
        </w:rPr>
      </w:pPr>
      <w:r>
        <w:rPr>
          <w:rFonts w:ascii="Arial" w:cs="Arial" w:eastAsia="Arial" w:hAnsi="Arial"/>
          <w:sz w:val="18"/>
          <w:szCs w:val="18"/>
          <w:b w:val="1"/>
          <w:bCs w:val="1"/>
          <w:i w:val="1"/>
          <w:iCs w:val="1"/>
          <w:color w:val="auto"/>
        </w:rPr>
        <w:t>Non-Competition</w:t>
      </w:r>
      <w:r>
        <w:rPr>
          <w:rFonts w:ascii="Arial" w:cs="Arial" w:eastAsia="Arial" w:hAnsi="Arial"/>
          <w:sz w:val="18"/>
          <w:szCs w:val="18"/>
          <w:color w:val="auto"/>
        </w:rPr>
        <w:t>. While Executive is employed by the Company and for the Restrictive Period, Executive will not,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w:t>
      </w:r>
      <w:r>
        <w:rPr>
          <w:rFonts w:ascii="Arial" w:cs="Arial" w:eastAsia="Arial" w:hAnsi="Arial"/>
          <w:sz w:val="18"/>
          <w:szCs w:val="18"/>
          <w:u w:val="single" w:color="auto"/>
          <w:color w:val="auto"/>
        </w:rPr>
        <w:t>Competing Business</w:t>
      </w:r>
      <w:r>
        <w:rPr>
          <w:rFonts w:ascii="Arial" w:cs="Arial" w:eastAsia="Arial" w:hAnsi="Arial"/>
          <w:sz w:val="18"/>
          <w:szCs w:val="18"/>
          <w:color w:val="auto"/>
        </w:rPr>
        <w:t>”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national securities exchange or over-the-counter.</w:t>
      </w:r>
    </w:p>
    <w:p>
      <w:pPr>
        <w:spacing w:after="0" w:line="227" w:lineRule="exact"/>
        <w:rPr>
          <w:rFonts w:ascii="Arial" w:cs="Arial" w:eastAsia="Arial" w:hAnsi="Arial"/>
          <w:sz w:val="19"/>
          <w:szCs w:val="19"/>
          <w:b w:val="1"/>
          <w:bCs w:val="1"/>
          <w:i w:val="1"/>
          <w:iCs w:val="1"/>
          <w:color w:val="auto"/>
        </w:rPr>
      </w:pPr>
    </w:p>
    <w:p>
      <w:pPr>
        <w:ind w:left="660" w:right="20" w:hanging="652"/>
        <w:spacing w:after="0" w:line="238" w:lineRule="auto"/>
        <w:tabs>
          <w:tab w:leader="none" w:pos="660" w:val="left"/>
        </w:tabs>
        <w:numPr>
          <w:ilvl w:val="0"/>
          <w:numId w:val="24"/>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Notification to Subsequent Employers</w:t>
      </w:r>
      <w:r>
        <w:rPr>
          <w:rFonts w:ascii="Arial" w:cs="Arial" w:eastAsia="Arial" w:hAnsi="Arial"/>
          <w:sz w:val="20"/>
          <w:szCs w:val="20"/>
          <w:color w:val="auto"/>
        </w:rPr>
        <w:t>. Executive grants the Company the right to notify any future employer or prospective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of Executive concerning the existence of and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8" w:name="page19"/>
    <w:bookmarkEnd w:id="18"/>
    <w:p>
      <w:pPr>
        <w:ind w:left="660"/>
        <w:spacing w:after="0" w:line="260" w:lineRule="auto"/>
        <w:rPr>
          <w:sz w:val="20"/>
          <w:szCs w:val="20"/>
          <w:color w:val="auto"/>
        </w:rPr>
      </w:pPr>
      <w:r>
        <w:rPr>
          <w:rFonts w:ascii="Arial" w:cs="Arial" w:eastAsia="Arial" w:hAnsi="Arial"/>
          <w:sz w:val="20"/>
          <w:szCs w:val="20"/>
          <w:color w:val="auto"/>
        </w:rPr>
        <w:t>this Agreement and grants the Company the right to provide a copy of this Agreement to any such subsequent employer or prospective employer.</w:t>
      </w:r>
    </w:p>
    <w:p>
      <w:pPr>
        <w:spacing w:after="0" w:line="22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Company Proprietary Rights</w:t>
      </w:r>
      <w:r>
        <w:rPr>
          <w:rFonts w:ascii="Arial" w:cs="Arial" w:eastAsia="Arial" w:hAnsi="Arial"/>
          <w:sz w:val="20"/>
          <w:szCs w:val="20"/>
          <w:color w:val="auto"/>
        </w:rPr>
        <w:t>.</w:t>
      </w:r>
    </w:p>
    <w:p>
      <w:pPr>
        <w:spacing w:after="0" w:line="87" w:lineRule="exact"/>
        <w:rPr>
          <w:rFonts w:ascii="Arial" w:cs="Arial" w:eastAsia="Arial" w:hAnsi="Arial"/>
          <w:sz w:val="22"/>
          <w:szCs w:val="22"/>
          <w:b w:val="1"/>
          <w:bCs w:val="1"/>
          <w:i w:val="1"/>
          <w:iCs w:val="1"/>
          <w:color w:val="auto"/>
        </w:rPr>
      </w:pPr>
    </w:p>
    <w:p>
      <w:pPr>
        <w:ind w:left="1300" w:hanging="644"/>
        <w:spacing w:after="0" w:line="276" w:lineRule="auto"/>
        <w:tabs>
          <w:tab w:leader="none" w:pos="115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shall become and remain the exclusive property of the Company and/or such parent, subsidiary or affiliate, and Executive shall have no interest therein.</w:t>
      </w:r>
    </w:p>
    <w:p>
      <w:pPr>
        <w:spacing w:after="0" w:line="56"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68" w:lineRule="exact"/>
        <w:rPr>
          <w:rFonts w:ascii="Arial" w:cs="Arial" w:eastAsia="Arial" w:hAnsi="Arial"/>
          <w:sz w:val="19"/>
          <w:szCs w:val="19"/>
          <w:color w:val="auto"/>
        </w:rPr>
      </w:pPr>
    </w:p>
    <w:p>
      <w:pPr>
        <w:jc w:val="both"/>
        <w:ind w:left="1300" w:hanging="644"/>
        <w:spacing w:after="0" w:line="246" w:lineRule="auto"/>
        <w:tabs>
          <w:tab w:leader="none" w:pos="1290"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Return of Material.</w:t>
      </w:r>
      <w:r>
        <w:rPr>
          <w:rFonts w:ascii="Arial" w:cs="Arial" w:eastAsia="Arial" w:hAnsi="Arial"/>
          <w:sz w:val="20"/>
          <w:szCs w:val="20"/>
          <w:color w:val="auto"/>
        </w:rPr>
        <w:t xml:space="preserve"> 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spacing w:after="0" w:line="110" w:lineRule="exact"/>
        <w:rPr>
          <w:rFonts w:ascii="Arial" w:cs="Arial" w:eastAsia="Arial" w:hAnsi="Arial"/>
          <w:sz w:val="20"/>
          <w:szCs w:val="20"/>
          <w:color w:val="auto"/>
        </w:rPr>
      </w:pPr>
    </w:p>
    <w:p>
      <w:pPr>
        <w:jc w:val="both"/>
        <w:ind w:left="660" w:hanging="652"/>
        <w:spacing w:after="0" w:line="254" w:lineRule="auto"/>
        <w:tabs>
          <w:tab w:leader="none" w:pos="660" w:val="left"/>
        </w:tabs>
        <w:numPr>
          <w:ilvl w:val="0"/>
          <w:numId w:val="25"/>
        </w:numPr>
        <w:rPr>
          <w:rFonts w:ascii="Arial" w:cs="Arial" w:eastAsia="Arial" w:hAnsi="Arial"/>
          <w:sz w:val="21"/>
          <w:szCs w:val="21"/>
          <w:b w:val="1"/>
          <w:bCs w:val="1"/>
          <w:i w:val="1"/>
          <w:iCs w:val="1"/>
          <w:color w:val="auto"/>
        </w:rPr>
      </w:pPr>
      <w:r>
        <w:rPr>
          <w:rFonts w:ascii="Arial" w:cs="Arial" w:eastAsia="Arial" w:hAnsi="Arial"/>
          <w:sz w:val="19"/>
          <w:szCs w:val="19"/>
          <w:b w:val="1"/>
          <w:bCs w:val="1"/>
          <w:i w:val="1"/>
          <w:iCs w:val="1"/>
          <w:color w:val="auto"/>
        </w:rPr>
        <w:t>Withholding</w:t>
      </w:r>
      <w:r>
        <w:rPr>
          <w:rFonts w:ascii="Arial" w:cs="Arial" w:eastAsia="Arial" w:hAnsi="Arial"/>
          <w:sz w:val="19"/>
          <w:szCs w:val="19"/>
          <w:color w:val="auto"/>
        </w:rPr>
        <w:t>. Any provision of this Agreement to the contrary notwithstanding, all payments made by the Company hereunder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or 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102" w:lineRule="exact"/>
        <w:rPr>
          <w:rFonts w:ascii="Arial" w:cs="Arial" w:eastAsia="Arial" w:hAnsi="Arial"/>
          <w:sz w:val="21"/>
          <w:szCs w:val="21"/>
          <w:b w:val="1"/>
          <w:bCs w:val="1"/>
          <w:i w:val="1"/>
          <w:iCs w:val="1"/>
          <w:color w:val="auto"/>
        </w:rPr>
      </w:pPr>
    </w:p>
    <w:p>
      <w:pPr>
        <w:jc w:val="both"/>
        <w:ind w:left="660" w:hanging="652"/>
        <w:spacing w:after="0" w:line="239" w:lineRule="auto"/>
        <w:tabs>
          <w:tab w:leader="none" w:pos="660" w:val="left"/>
        </w:tabs>
        <w:numPr>
          <w:ilvl w:val="0"/>
          <w:numId w:val="25"/>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Mitigation</w:t>
      </w:r>
      <w:r>
        <w:rPr>
          <w:rFonts w:ascii="Arial" w:cs="Arial" w:eastAsia="Arial" w:hAnsi="Arial"/>
          <w:sz w:val="20"/>
          <w:szCs w:val="20"/>
          <w:color w:val="auto"/>
        </w:rPr>
        <w:t>. Except as otherwise noted herein, Company’s obligation to make the payments provided for in this Agreement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otherwise to perform its obligations 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14" w:lineRule="exact"/>
        <w:rPr>
          <w:rFonts w:ascii="Arial" w:cs="Arial" w:eastAsia="Arial" w:hAnsi="Arial"/>
          <w:sz w:val="22"/>
          <w:szCs w:val="22"/>
          <w:b w:val="1"/>
          <w:bCs w:val="1"/>
          <w:i w:val="1"/>
          <w:iCs w:val="1"/>
          <w:color w:val="auto"/>
        </w:rPr>
      </w:pPr>
    </w:p>
    <w:p>
      <w:pPr>
        <w:jc w:val="both"/>
        <w:ind w:left="660" w:hanging="652"/>
        <w:spacing w:after="0" w:line="238" w:lineRule="auto"/>
        <w:tabs>
          <w:tab w:leader="none" w:pos="660" w:val="left"/>
        </w:tabs>
        <w:numPr>
          <w:ilvl w:val="0"/>
          <w:numId w:val="25"/>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Notices</w:t>
      </w:r>
      <w:r>
        <w:rPr>
          <w:rFonts w:ascii="Arial" w:cs="Arial" w:eastAsia="Arial" w:hAnsi="Arial"/>
          <w:sz w:val="20"/>
          <w:szCs w:val="20"/>
          <w:color w:val="auto"/>
        </w:rPr>
        <w:t>. All notices, requests, demands and other communications provided for by this Agreement shall be in writing and shall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sufficiently given if and when mailed in the continental United States by registered or certified mail, or personally delivered to the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9" w:name="page20"/>
    <w:bookmarkEnd w:id="19"/>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entitled thereto, at the address stated below or to such changed address as the addressee may have given by a similar notice:</w:t>
      </w:r>
    </w:p>
    <w:p>
      <w:pPr>
        <w:spacing w:after="0" w:line="131" w:lineRule="exact"/>
        <w:rPr>
          <w:sz w:val="20"/>
          <w:szCs w:val="20"/>
          <w:color w:val="auto"/>
        </w:rPr>
      </w:pPr>
    </w:p>
    <w:p>
      <w:pPr>
        <w:jc w:val="center"/>
        <w:ind w:right="7660"/>
        <w:spacing w:after="0"/>
        <w:tabs>
          <w:tab w:leader="none" w:pos="180" w:val="left"/>
        </w:tabs>
        <w:rPr>
          <w:sz w:val="20"/>
          <w:szCs w:val="20"/>
          <w:color w:val="auto"/>
        </w:rPr>
      </w:pPr>
      <w:r>
        <w:rPr>
          <w:rFonts w:ascii="Arial" w:cs="Arial" w:eastAsia="Arial" w:hAnsi="Arial"/>
          <w:sz w:val="20"/>
          <w:szCs w:val="20"/>
          <w:color w:val="auto"/>
        </w:rPr>
        <w:t>To the Company:</w:t>
      </w:r>
      <w:r>
        <w:rPr>
          <w:sz w:val="20"/>
          <w:szCs w:val="20"/>
          <w:color w:val="auto"/>
        </w:rPr>
        <w:tab/>
      </w:r>
      <w:r>
        <w:rPr>
          <w:rFonts w:ascii="Arial" w:cs="Arial" w:eastAsia="Arial" w:hAnsi="Arial"/>
          <w:sz w:val="19"/>
          <w:szCs w:val="19"/>
          <w:color w:val="auto"/>
        </w:rPr>
        <w:t>NN,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6210 Ardrey Kell Road</w:t>
      </w:r>
    </w:p>
    <w:p>
      <w:pPr>
        <w:ind w:left="860"/>
        <w:spacing w:after="0"/>
        <w:rPr>
          <w:sz w:val="20"/>
          <w:szCs w:val="20"/>
          <w:color w:val="auto"/>
        </w:rPr>
      </w:pPr>
      <w:r>
        <w:rPr>
          <w:rFonts w:ascii="Arial" w:cs="Arial" w:eastAsia="Arial" w:hAnsi="Arial"/>
          <w:sz w:val="20"/>
          <w:szCs w:val="20"/>
          <w:color w:val="auto"/>
        </w:rPr>
        <w:t>Charlotte, NC 28277</w:t>
      </w:r>
    </w:p>
    <w:p>
      <w:pPr>
        <w:ind w:left="840"/>
        <w:spacing w:after="0"/>
        <w:rPr>
          <w:sz w:val="20"/>
          <w:szCs w:val="20"/>
          <w:color w:val="auto"/>
        </w:rPr>
      </w:pPr>
      <w:r>
        <w:rPr>
          <w:rFonts w:ascii="Arial" w:cs="Arial" w:eastAsia="Arial" w:hAnsi="Arial"/>
          <w:sz w:val="20"/>
          <w:szCs w:val="20"/>
          <w:color w:val="auto"/>
        </w:rPr>
        <w:t>Attn: General Counsel</w:t>
      </w:r>
    </w:p>
    <w:p>
      <w:pPr>
        <w:spacing w:after="0" w:line="22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0"/>
          <w:szCs w:val="20"/>
          <w:color w:val="auto"/>
        </w:rPr>
        <w:t>To the Executive:</w:t>
      </w:r>
      <w:r>
        <w:rPr>
          <w:sz w:val="20"/>
          <w:szCs w:val="20"/>
          <w:color w:val="auto"/>
        </w:rPr>
        <w:tab/>
      </w:r>
      <w:r>
        <w:rPr>
          <w:rFonts w:ascii="Arial" w:cs="Arial" w:eastAsia="Arial" w:hAnsi="Arial"/>
          <w:sz w:val="18"/>
          <w:szCs w:val="18"/>
          <w:color w:val="auto"/>
        </w:rPr>
        <w:t>Michael C. Felcher</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6210 Ardrey Kell Road</w:t>
      </w:r>
    </w:p>
    <w:p>
      <w:pPr>
        <w:ind w:left="4020"/>
        <w:spacing w:after="0"/>
        <w:rPr>
          <w:sz w:val="20"/>
          <w:szCs w:val="20"/>
          <w:color w:val="auto"/>
        </w:rPr>
      </w:pPr>
      <w:r>
        <w:rPr>
          <w:rFonts w:ascii="Arial" w:cs="Arial" w:eastAsia="Arial" w:hAnsi="Arial"/>
          <w:sz w:val="20"/>
          <w:szCs w:val="20"/>
          <w:color w:val="auto"/>
        </w:rPr>
        <w:t>Charlotte, NC 28277</w:t>
      </w:r>
    </w:p>
    <w:p>
      <w:pPr>
        <w:spacing w:after="0" w:line="119" w:lineRule="exact"/>
        <w:rPr>
          <w:sz w:val="20"/>
          <w:szCs w:val="20"/>
          <w:color w:val="auto"/>
        </w:rPr>
      </w:pPr>
    </w:p>
    <w:p>
      <w:pPr>
        <w:jc w:val="both"/>
        <w:ind w:left="660" w:hanging="652"/>
        <w:spacing w:after="0" w:line="239" w:lineRule="auto"/>
        <w:tabs>
          <w:tab w:leader="none" w:pos="660" w:val="left"/>
        </w:tabs>
        <w:numPr>
          <w:ilvl w:val="0"/>
          <w:numId w:val="26"/>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Successors: Binding Agreement</w:t>
      </w:r>
      <w:r>
        <w:rPr>
          <w:rFonts w:ascii="Arial" w:cs="Arial" w:eastAsia="Arial" w:hAnsi="Arial"/>
          <w:sz w:val="20"/>
          <w:szCs w:val="20"/>
          <w:color w:val="auto"/>
        </w:rPr>
        <w:t>. The Company shall require any successor (whether direct or indirect, by purchase, merger,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88" w:lineRule="exact"/>
        <w:rPr>
          <w:rFonts w:ascii="Arial" w:cs="Arial" w:eastAsia="Arial" w:hAnsi="Arial"/>
          <w:sz w:val="22"/>
          <w:szCs w:val="22"/>
          <w:b w:val="1"/>
          <w:bCs w:val="1"/>
          <w:i w:val="1"/>
          <w:iCs w:val="1"/>
          <w:color w:val="auto"/>
        </w:rPr>
      </w:pPr>
    </w:p>
    <w:p>
      <w:pPr>
        <w:jc w:val="both"/>
        <w:ind w:left="660"/>
        <w:spacing w:after="0" w:line="244" w:lineRule="auto"/>
        <w:rPr>
          <w:rFonts w:ascii="Arial" w:cs="Arial" w:eastAsia="Arial" w:hAnsi="Arial"/>
          <w:sz w:val="22"/>
          <w:szCs w:val="22"/>
          <w:b w:val="1"/>
          <w:bCs w:val="1"/>
          <w:i w:val="1"/>
          <w:iCs w:val="1"/>
          <w:color w:val="auto"/>
        </w:rPr>
      </w:pPr>
      <w:r>
        <w:rPr>
          <w:rFonts w:ascii="Arial" w:cs="Arial" w:eastAsia="Arial" w:hAnsi="Arial"/>
          <w:sz w:val="20"/>
          <w:szCs w:val="20"/>
          <w:color w:val="auto"/>
        </w:rPr>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113" w:lineRule="exact"/>
        <w:rPr>
          <w:rFonts w:ascii="Arial" w:cs="Arial" w:eastAsia="Arial" w:hAnsi="Arial"/>
          <w:sz w:val="22"/>
          <w:szCs w:val="22"/>
          <w:b w:val="1"/>
          <w:bCs w:val="1"/>
          <w:i w:val="1"/>
          <w:iCs w:val="1"/>
          <w:color w:val="auto"/>
        </w:rPr>
      </w:pPr>
    </w:p>
    <w:p>
      <w:pPr>
        <w:jc w:val="both"/>
        <w:ind w:left="660" w:hanging="652"/>
        <w:spacing w:after="0" w:line="253" w:lineRule="auto"/>
        <w:tabs>
          <w:tab w:leader="none" w:pos="648" w:val="left"/>
        </w:tabs>
        <w:numPr>
          <w:ilvl w:val="0"/>
          <w:numId w:val="26"/>
        </w:numPr>
        <w:rPr>
          <w:rFonts w:ascii="Arial" w:cs="Arial" w:eastAsia="Arial" w:hAnsi="Arial"/>
          <w:sz w:val="21"/>
          <w:szCs w:val="21"/>
          <w:b w:val="1"/>
          <w:bCs w:val="1"/>
          <w:i w:val="1"/>
          <w:iCs w:val="1"/>
          <w:color w:val="auto"/>
        </w:rPr>
      </w:pPr>
      <w:r>
        <w:rPr>
          <w:rFonts w:ascii="Arial" w:cs="Arial" w:eastAsia="Arial" w:hAnsi="Arial"/>
          <w:sz w:val="19"/>
          <w:szCs w:val="19"/>
          <w:b w:val="1"/>
          <w:bCs w:val="1"/>
          <w:i w:val="1"/>
          <w:iCs w:val="1"/>
          <w:color w:val="auto"/>
        </w:rPr>
        <w:t>Modification, Waiver or Discharge</w:t>
      </w:r>
      <w:r>
        <w:rPr>
          <w:rFonts w:ascii="Arial" w:cs="Arial" w:eastAsia="Arial" w:hAnsi="Arial"/>
          <w:sz w:val="19"/>
          <w:szCs w:val="19"/>
          <w:color w:val="auto"/>
        </w:rPr>
        <w:t>. No provision of this Agreement may be modified or discharged unless such modification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discharge is 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103" w:lineRule="exact"/>
        <w:rPr>
          <w:rFonts w:ascii="Arial" w:cs="Arial" w:eastAsia="Arial" w:hAnsi="Arial"/>
          <w:sz w:val="21"/>
          <w:szCs w:val="21"/>
          <w:b w:val="1"/>
          <w:bCs w:val="1"/>
          <w:i w:val="1"/>
          <w:iCs w:val="1"/>
          <w:color w:val="auto"/>
        </w:rPr>
      </w:pPr>
    </w:p>
    <w:p>
      <w:pPr>
        <w:jc w:val="both"/>
        <w:ind w:left="660" w:hanging="652"/>
        <w:spacing w:after="0" w:line="239" w:lineRule="auto"/>
        <w:tabs>
          <w:tab w:leader="none" w:pos="660" w:val="left"/>
        </w:tabs>
        <w:numPr>
          <w:ilvl w:val="0"/>
          <w:numId w:val="26"/>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Entire Agreement</w:t>
      </w:r>
      <w:r>
        <w:rPr>
          <w:rFonts w:ascii="Arial" w:cs="Arial" w:eastAsia="Arial" w:hAnsi="Arial"/>
          <w:sz w:val="20"/>
          <w:szCs w:val="20"/>
          <w:color w:val="auto"/>
        </w:rPr>
        <w:t>. This Agreement constitutes the entire understanding of the parties hereto with respect to its subject matter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supersedes all prior agreements between the parties hereto with respect to its subject matter, including, but not limited to, all employment agreements, change of control agreements, non-competition agreements, that certain Separation Agreement between Executive and the Company dated as of June 4, 2019 or any other agreement related to Executive’s employment with the Company; provided, however, nothing herein shall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87"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terms of any indemnification agreement by and between the Company and Executive or any general indemnification policy in favor of Executive, which shall continue and remain in full force and effect.</w:t>
      </w:r>
    </w:p>
    <w:p>
      <w:pPr>
        <w:spacing w:after="0" w:line="96" w:lineRule="exact"/>
        <w:rPr>
          <w:sz w:val="20"/>
          <w:szCs w:val="20"/>
          <w:color w:val="auto"/>
        </w:rPr>
      </w:pPr>
    </w:p>
    <w:p>
      <w:pPr>
        <w:ind w:left="660" w:hanging="652"/>
        <w:spacing w:after="0" w:line="238" w:lineRule="auto"/>
        <w:tabs>
          <w:tab w:leader="none" w:pos="660" w:val="left"/>
        </w:tabs>
        <w:numPr>
          <w:ilvl w:val="0"/>
          <w:numId w:val="27"/>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Governing Law</w:t>
      </w:r>
      <w:r>
        <w:rPr>
          <w:rFonts w:ascii="Arial" w:cs="Arial" w:eastAsia="Arial" w:hAnsi="Arial"/>
          <w:sz w:val="20"/>
          <w:szCs w:val="20"/>
          <w:color w:val="auto"/>
        </w:rPr>
        <w:t>. The validity, interpretation, construction and performance of this Agreement shall be governed by the laws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of Delaware, without regard to its conflict of laws principles, to the extent federal law does not apply.</w:t>
      </w:r>
    </w:p>
    <w:p>
      <w:pPr>
        <w:spacing w:after="0" w:line="115" w:lineRule="exact"/>
        <w:rPr>
          <w:rFonts w:ascii="Arial" w:cs="Arial" w:eastAsia="Arial" w:hAnsi="Arial"/>
          <w:sz w:val="22"/>
          <w:szCs w:val="22"/>
          <w:b w:val="1"/>
          <w:bCs w:val="1"/>
          <w:i w:val="1"/>
          <w:iCs w:val="1"/>
          <w:color w:val="auto"/>
        </w:rPr>
      </w:pPr>
    </w:p>
    <w:p>
      <w:pPr>
        <w:jc w:val="both"/>
        <w:ind w:left="660" w:hanging="652"/>
        <w:spacing w:after="0" w:line="254" w:lineRule="auto"/>
        <w:tabs>
          <w:tab w:leader="none" w:pos="660" w:val="left"/>
        </w:tabs>
        <w:numPr>
          <w:ilvl w:val="0"/>
          <w:numId w:val="27"/>
        </w:numPr>
        <w:rPr>
          <w:rFonts w:ascii="Arial" w:cs="Arial" w:eastAsia="Arial" w:hAnsi="Arial"/>
          <w:sz w:val="21"/>
          <w:szCs w:val="21"/>
          <w:b w:val="1"/>
          <w:bCs w:val="1"/>
          <w:i w:val="1"/>
          <w:iCs w:val="1"/>
          <w:color w:val="auto"/>
        </w:rPr>
      </w:pPr>
      <w:r>
        <w:rPr>
          <w:rFonts w:ascii="Arial" w:cs="Arial" w:eastAsia="Arial" w:hAnsi="Arial"/>
          <w:sz w:val="19"/>
          <w:szCs w:val="19"/>
          <w:b w:val="1"/>
          <w:bCs w:val="1"/>
          <w:i w:val="1"/>
          <w:iCs w:val="1"/>
          <w:color w:val="auto"/>
        </w:rPr>
        <w:t>Resolution of Disputes</w:t>
      </w:r>
      <w:r>
        <w:rPr>
          <w:rFonts w:ascii="Arial" w:cs="Arial" w:eastAsia="Arial" w:hAnsi="Arial"/>
          <w:sz w:val="19"/>
          <w:szCs w:val="19"/>
          <w:color w:val="auto"/>
        </w:rPr>
        <w:t>. Any dispute or claim arising out of or relating to this Agreement shall be settled by final and binding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arbitration in Charlotte, North Carolina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102" w:lineRule="exact"/>
        <w:rPr>
          <w:rFonts w:ascii="Arial" w:cs="Arial" w:eastAsia="Arial" w:hAnsi="Arial"/>
          <w:sz w:val="21"/>
          <w:szCs w:val="21"/>
          <w:b w:val="1"/>
          <w:bCs w:val="1"/>
          <w:i w:val="1"/>
          <w:iCs w:val="1"/>
          <w:color w:val="auto"/>
        </w:rPr>
      </w:pPr>
    </w:p>
    <w:p>
      <w:pPr>
        <w:ind w:left="660" w:right="20" w:hanging="652"/>
        <w:spacing w:after="0" w:line="238" w:lineRule="auto"/>
        <w:tabs>
          <w:tab w:leader="none" w:pos="660" w:val="left"/>
        </w:tabs>
        <w:numPr>
          <w:ilvl w:val="0"/>
          <w:numId w:val="27"/>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Validity</w:t>
      </w:r>
      <w:r>
        <w:rPr>
          <w:rFonts w:ascii="Arial" w:cs="Arial" w:eastAsia="Arial" w:hAnsi="Arial"/>
          <w:sz w:val="20"/>
          <w:szCs w:val="20"/>
          <w:color w:val="auto"/>
        </w:rPr>
        <w:t>. The invalidity or unenforceability of any provision of this Agreement shall not affect the validity or enforceability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provisions of this Agreement, which latter provisions shall remain in full force and effect.</w:t>
      </w:r>
    </w:p>
    <w:p>
      <w:pPr>
        <w:spacing w:after="0" w:line="112" w:lineRule="exact"/>
        <w:rPr>
          <w:rFonts w:ascii="Arial" w:cs="Arial" w:eastAsia="Arial" w:hAnsi="Arial"/>
          <w:sz w:val="22"/>
          <w:szCs w:val="22"/>
          <w:b w:val="1"/>
          <w:bCs w:val="1"/>
          <w:i w:val="1"/>
          <w:iCs w:val="1"/>
          <w:color w:val="auto"/>
        </w:rPr>
      </w:pPr>
    </w:p>
    <w:p>
      <w:pPr>
        <w:ind w:left="660" w:hanging="652"/>
        <w:spacing w:after="0"/>
        <w:tabs>
          <w:tab w:leader="none" w:pos="660" w:val="left"/>
        </w:tabs>
        <w:numPr>
          <w:ilvl w:val="0"/>
          <w:numId w:val="27"/>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Compliance with Section 409A</w:t>
      </w:r>
      <w:r>
        <w:rPr>
          <w:rFonts w:ascii="Arial" w:cs="Arial" w:eastAsia="Arial" w:hAnsi="Arial"/>
          <w:sz w:val="20"/>
          <w:szCs w:val="20"/>
          <w:color w:val="auto"/>
        </w:rPr>
        <w:t>.</w:t>
      </w:r>
    </w:p>
    <w:p>
      <w:pPr>
        <w:spacing w:after="0" w:line="87" w:lineRule="exact"/>
        <w:rPr>
          <w:sz w:val="20"/>
          <w:szCs w:val="20"/>
          <w:color w:val="auto"/>
        </w:rPr>
      </w:pPr>
    </w:p>
    <w:p>
      <w:pPr>
        <w:jc w:val="both"/>
        <w:ind w:left="660" w:hanging="652"/>
        <w:spacing w:after="0" w:line="254" w:lineRule="auto"/>
        <w:tabs>
          <w:tab w:leader="none" w:pos="65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It is intended that the Agreement will comply with Section 409A of the Code and the regulations and other guidance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This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80" w:lineRule="exact"/>
        <w:rPr>
          <w:rFonts w:ascii="Arial" w:cs="Arial" w:eastAsia="Arial" w:hAnsi="Arial"/>
          <w:sz w:val="19"/>
          <w:szCs w:val="19"/>
          <w:color w:val="auto"/>
        </w:rPr>
      </w:pPr>
    </w:p>
    <w:p>
      <w:pPr>
        <w:jc w:val="both"/>
        <w:ind w:left="660" w:hanging="652"/>
        <w:spacing w:after="0" w:line="260" w:lineRule="auto"/>
        <w:tabs>
          <w:tab w:leader="none" w:pos="64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Six Month Delay for Specified Employees.</w:t>
      </w:r>
      <w:r>
        <w:rPr>
          <w:rFonts w:ascii="Arial" w:cs="Arial" w:eastAsia="Arial" w:hAnsi="Arial"/>
          <w:sz w:val="19"/>
          <w:szCs w:val="19"/>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87" w:lineRule="exact"/>
        <w:rPr>
          <w:sz w:val="20"/>
          <w:szCs w:val="20"/>
          <w:color w:val="auto"/>
        </w:rPr>
      </w:pPr>
    </w:p>
    <w:p>
      <w:pPr>
        <w:ind w:left="660" w:hanging="652"/>
        <w:spacing w:after="0" w:line="263" w:lineRule="auto"/>
        <w:tabs>
          <w:tab w:leader="none" w:pos="574" w:val="left"/>
        </w:tabs>
        <w:numPr>
          <w:ilvl w:val="0"/>
          <w:numId w:val="2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No Adequate Remedy At Law</w:t>
      </w:r>
      <w:r>
        <w:rPr>
          <w:rFonts w:ascii="Arial" w:cs="Arial" w:eastAsia="Arial" w:hAnsi="Arial"/>
          <w:sz w:val="19"/>
          <w:szCs w:val="19"/>
          <w:color w:val="auto"/>
        </w:rPr>
        <w:t>. The Company and the Executive recognize that each party may have no adequate remedy at law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breach by the other 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spacing w:after="0" w:line="95" w:lineRule="exact"/>
        <w:rPr>
          <w:rFonts w:ascii="Arial" w:cs="Arial" w:eastAsia="Arial" w:hAnsi="Arial"/>
          <w:sz w:val="19"/>
          <w:szCs w:val="19"/>
          <w:b w:val="1"/>
          <w:bCs w:val="1"/>
          <w:i w:val="1"/>
          <w:iCs w:val="1"/>
          <w:color w:val="auto"/>
        </w:rPr>
      </w:pPr>
    </w:p>
    <w:p>
      <w:pPr>
        <w:jc w:val="both"/>
        <w:ind w:left="660" w:hanging="652"/>
        <w:spacing w:after="0" w:line="239" w:lineRule="auto"/>
        <w:tabs>
          <w:tab w:leader="none" w:pos="660" w:val="left"/>
        </w:tabs>
        <w:numPr>
          <w:ilvl w:val="0"/>
          <w:numId w:val="29"/>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Non-Assignability</w:t>
      </w:r>
      <w:r>
        <w:rPr>
          <w:rFonts w:ascii="Arial" w:cs="Arial" w:eastAsia="Arial" w:hAnsi="Arial"/>
          <w:sz w:val="20"/>
          <w:szCs w:val="20"/>
          <w:color w:val="auto"/>
        </w:rPr>
        <w:t>. This Agreement, and the rights and obligations of the parties hereunder, are personal and neither this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nor any right, 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114" w:lineRule="exact"/>
        <w:rPr>
          <w:rFonts w:ascii="Arial" w:cs="Arial" w:eastAsia="Arial" w:hAnsi="Arial"/>
          <w:sz w:val="22"/>
          <w:szCs w:val="22"/>
          <w:b w:val="1"/>
          <w:bCs w:val="1"/>
          <w:i w:val="1"/>
          <w:iCs w:val="1"/>
          <w:color w:val="auto"/>
        </w:rPr>
      </w:pPr>
    </w:p>
    <w:p>
      <w:pPr>
        <w:jc w:val="both"/>
        <w:ind w:left="660" w:hanging="652"/>
        <w:spacing w:after="0" w:line="238" w:lineRule="auto"/>
        <w:tabs>
          <w:tab w:leader="none" w:pos="660" w:val="left"/>
        </w:tabs>
        <w:numPr>
          <w:ilvl w:val="0"/>
          <w:numId w:val="29"/>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Headings</w:t>
      </w:r>
      <w:r>
        <w:rPr>
          <w:rFonts w:ascii="Arial" w:cs="Arial" w:eastAsia="Arial" w:hAnsi="Arial"/>
          <w:sz w:val="20"/>
          <w:szCs w:val="20"/>
          <w:color w:val="auto"/>
        </w:rPr>
        <w:t>. The section headings contained in this Agreement are for convenience of reference only and will not be deemed to control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affect the meaning or construction of any provision of this Agreement. Reference to paragraphs are to paragraphs in this Agreement.</w:t>
      </w:r>
    </w:p>
    <w:p>
      <w:pPr>
        <w:spacing w:after="0" w:line="116" w:lineRule="exact"/>
        <w:rPr>
          <w:rFonts w:ascii="Arial" w:cs="Arial" w:eastAsia="Arial" w:hAnsi="Arial"/>
          <w:sz w:val="22"/>
          <w:szCs w:val="22"/>
          <w:b w:val="1"/>
          <w:bCs w:val="1"/>
          <w:i w:val="1"/>
          <w:iCs w:val="1"/>
          <w:color w:val="auto"/>
        </w:rPr>
      </w:pPr>
    </w:p>
    <w:p>
      <w:pPr>
        <w:ind w:left="660" w:hanging="652"/>
        <w:spacing w:after="0" w:line="238" w:lineRule="auto"/>
        <w:tabs>
          <w:tab w:leader="none" w:pos="660" w:val="left"/>
        </w:tabs>
        <w:numPr>
          <w:ilvl w:val="0"/>
          <w:numId w:val="29"/>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Counterparts</w:t>
      </w:r>
      <w:r>
        <w:rPr>
          <w:rFonts w:ascii="Arial" w:cs="Arial" w:eastAsia="Arial" w:hAnsi="Arial"/>
          <w:sz w:val="20"/>
          <w:szCs w:val="20"/>
          <w:color w:val="auto"/>
        </w:rPr>
        <w:t>. This Agreement may be executed in one or more counterparts, each of which shall be deemed to be an original, but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together will constitute one and the same instrument.</w:t>
      </w:r>
    </w:p>
    <w:p>
      <w:pPr>
        <w:spacing w:after="0" w:line="112" w:lineRule="exact"/>
        <w:rPr>
          <w:rFonts w:ascii="Arial" w:cs="Arial" w:eastAsia="Arial" w:hAnsi="Arial"/>
          <w:sz w:val="22"/>
          <w:szCs w:val="22"/>
          <w:b w:val="1"/>
          <w:bCs w:val="1"/>
          <w:i w:val="1"/>
          <w:iCs w:val="1"/>
          <w:color w:val="auto"/>
        </w:rPr>
      </w:pPr>
    </w:p>
    <w:p>
      <w:pPr>
        <w:ind w:left="660" w:hanging="652"/>
        <w:spacing w:after="0"/>
        <w:tabs>
          <w:tab w:leader="none" w:pos="660" w:val="left"/>
        </w:tabs>
        <w:numPr>
          <w:ilvl w:val="0"/>
          <w:numId w:val="29"/>
        </w:numPr>
        <w:rPr>
          <w:rFonts w:ascii="Arial" w:cs="Arial" w:eastAsia="Arial" w:hAnsi="Arial"/>
          <w:sz w:val="22"/>
          <w:szCs w:val="22"/>
          <w:b w:val="1"/>
          <w:bCs w:val="1"/>
          <w:i w:val="1"/>
          <w:iCs w:val="1"/>
          <w:color w:val="auto"/>
        </w:rPr>
      </w:pPr>
      <w:r>
        <w:rPr>
          <w:rFonts w:ascii="Arial" w:cs="Arial" w:eastAsia="Arial" w:hAnsi="Arial"/>
          <w:sz w:val="20"/>
          <w:szCs w:val="20"/>
          <w:b w:val="1"/>
          <w:bCs w:val="1"/>
          <w:i w:val="1"/>
          <w:iCs w:val="1"/>
          <w:color w:val="auto"/>
        </w:rPr>
        <w:t>Definitions</w:t>
      </w:r>
      <w:r>
        <w:rPr>
          <w:rFonts w:ascii="Arial" w:cs="Arial" w:eastAsia="Arial" w:hAnsi="Arial"/>
          <w:sz w:val="20"/>
          <w:szCs w:val="20"/>
          <w:color w:val="auto"/>
        </w:rPr>
        <w:t>. For purposes of this Agreement, the following terms shall have the following meanings:</w:t>
      </w:r>
    </w:p>
    <w:p>
      <w:pPr>
        <w:spacing w:after="0" w:line="87" w:lineRule="exact"/>
        <w:rPr>
          <w:rFonts w:ascii="Arial" w:cs="Arial" w:eastAsia="Arial" w:hAnsi="Arial"/>
          <w:sz w:val="22"/>
          <w:szCs w:val="22"/>
          <w:b w:val="1"/>
          <w:bCs w:val="1"/>
          <w:i w:val="1"/>
          <w:iCs w:val="1"/>
          <w:color w:val="auto"/>
        </w:rPr>
      </w:pPr>
    </w:p>
    <w:p>
      <w:pPr>
        <w:ind w:left="1080" w:hanging="424"/>
        <w:spacing w:after="0"/>
        <w:tabs>
          <w:tab w:leader="none" w:pos="10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any of the following:</w:t>
      </w:r>
    </w:p>
    <w:p>
      <w:pPr>
        <w:spacing w:after="0" w:line="107" w:lineRule="exact"/>
        <w:rPr>
          <w:rFonts w:ascii="Arial" w:cs="Arial" w:eastAsia="Arial" w:hAnsi="Arial"/>
          <w:sz w:val="20"/>
          <w:szCs w:val="20"/>
          <w:color w:val="auto"/>
        </w:rPr>
      </w:pPr>
    </w:p>
    <w:p>
      <w:pPr>
        <w:jc w:val="both"/>
        <w:ind w:left="2040" w:hanging="655"/>
        <w:spacing w:after="0" w:line="276" w:lineRule="auto"/>
        <w:tabs>
          <w:tab w:leader="none" w:pos="2038" w:val="left"/>
        </w:tabs>
        <w:numPr>
          <w:ilvl w:val="3"/>
          <w:numId w:val="29"/>
        </w:numPr>
        <w:rPr>
          <w:rFonts w:ascii="Arial" w:cs="Arial" w:eastAsia="Arial" w:hAnsi="Arial"/>
          <w:sz w:val="18"/>
          <w:szCs w:val="18"/>
          <w:color w:val="auto"/>
        </w:rPr>
      </w:pPr>
      <w:r>
        <w:rPr>
          <w:rFonts w:ascii="Arial" w:cs="Arial" w:eastAsia="Arial" w:hAnsi="Arial"/>
          <w:sz w:val="18"/>
          <w:szCs w:val="18"/>
          <w:color w:val="auto"/>
        </w:rPr>
        <w:t>the willful and continued failure of the Executive to substantially perform the Executive’s duties to the Company (other than as a result of physical or mental illness or injury), after demand for substantial performance is delivered by the Company that specifically identifies the manner in which the Company believes the Executive has not substantially performed the Executive’s duties, which failure, if correctable, and provided it does not constitute willful misconduct or gross negligence, remains uncorrected for 30 days following written notice to Executive by the Chief Executive Officer or the Board of Directors of the Company of such failure;</w:t>
      </w:r>
    </w:p>
    <w:p>
      <w:pPr>
        <w:spacing w:after="0" w:line="56" w:lineRule="exact"/>
        <w:rPr>
          <w:rFonts w:ascii="Arial" w:cs="Arial" w:eastAsia="Arial" w:hAnsi="Arial"/>
          <w:sz w:val="18"/>
          <w:szCs w:val="18"/>
          <w:color w:val="auto"/>
        </w:rPr>
      </w:pPr>
    </w:p>
    <w:p>
      <w:pPr>
        <w:jc w:val="both"/>
        <w:ind w:left="1960" w:hanging="656"/>
        <w:spacing w:after="0" w:line="250" w:lineRule="auto"/>
        <w:tabs>
          <w:tab w:leader="none" w:pos="1959" w:val="left"/>
        </w:tabs>
        <w:numPr>
          <w:ilvl w:val="2"/>
          <w:numId w:val="29"/>
        </w:numPr>
        <w:rPr>
          <w:rFonts w:ascii="Arial" w:cs="Arial" w:eastAsia="Arial" w:hAnsi="Arial"/>
          <w:sz w:val="20"/>
          <w:szCs w:val="20"/>
          <w:color w:val="auto"/>
        </w:rPr>
      </w:pPr>
      <w:r>
        <w:rPr>
          <w:rFonts w:ascii="Arial" w:cs="Arial" w:eastAsia="Arial" w:hAnsi="Arial"/>
          <w:sz w:val="20"/>
          <w:szCs w:val="20"/>
          <w:color w:val="auto"/>
        </w:rPr>
        <w:t>willful misconduct or gross negligence by the Executive in either case that results in material damage to the business of the Company, monetarily or otherwise, including any conduct that is in violation of the written workplace policies of the Company;</w:t>
      </w:r>
    </w:p>
    <w:p>
      <w:pPr>
        <w:spacing w:after="0" w:line="77" w:lineRule="exact"/>
        <w:rPr>
          <w:rFonts w:ascii="Arial" w:cs="Arial" w:eastAsia="Arial" w:hAnsi="Arial"/>
          <w:sz w:val="20"/>
          <w:szCs w:val="20"/>
          <w:color w:val="auto"/>
        </w:rPr>
      </w:pPr>
    </w:p>
    <w:p>
      <w:pPr>
        <w:jc w:val="both"/>
        <w:ind w:left="1960" w:hanging="656"/>
        <w:spacing w:after="0" w:line="250" w:lineRule="auto"/>
        <w:tabs>
          <w:tab w:leader="none" w:pos="1960" w:val="left"/>
        </w:tabs>
        <w:numPr>
          <w:ilvl w:val="2"/>
          <w:numId w:val="29"/>
        </w:numPr>
        <w:rPr>
          <w:rFonts w:ascii="Arial" w:cs="Arial" w:eastAsia="Arial" w:hAnsi="Arial"/>
          <w:sz w:val="20"/>
          <w:szCs w:val="20"/>
          <w:color w:val="auto"/>
        </w:rPr>
      </w:pPr>
      <w:r>
        <w:rPr>
          <w:rFonts w:ascii="Arial" w:cs="Arial" w:eastAsia="Arial" w:hAnsi="Arial"/>
          <w:sz w:val="20"/>
          <w:szCs w:val="20"/>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77" w:lineRule="exact"/>
        <w:rPr>
          <w:rFonts w:ascii="Arial" w:cs="Arial" w:eastAsia="Arial" w:hAnsi="Arial"/>
          <w:sz w:val="20"/>
          <w:szCs w:val="20"/>
          <w:color w:val="auto"/>
        </w:rPr>
      </w:pPr>
    </w:p>
    <w:p>
      <w:pPr>
        <w:ind w:left="1960" w:right="20" w:hanging="656"/>
        <w:spacing w:after="0" w:line="316" w:lineRule="auto"/>
        <w:tabs>
          <w:tab w:leader="none" w:pos="1949"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Executive is convicted of a felony or any other crime (other than traffic violations) involving dishonesty or moral turpitude (whether or not in connection with the performance by Executive of his duties under this Agreement).</w:t>
      </w:r>
    </w:p>
    <w:p>
      <w:pPr>
        <w:spacing w:after="0" w:line="21" w:lineRule="exact"/>
        <w:rPr>
          <w:rFonts w:ascii="Arial" w:cs="Arial" w:eastAsia="Arial" w:hAnsi="Arial"/>
          <w:sz w:val="18"/>
          <w:szCs w:val="18"/>
          <w:color w:val="auto"/>
        </w:rPr>
      </w:pPr>
    </w:p>
    <w:p>
      <w:pPr>
        <w:ind w:left="1960"/>
        <w:spacing w:after="0" w:line="260" w:lineRule="auto"/>
        <w:rPr>
          <w:rFonts w:ascii="Arial" w:cs="Arial" w:eastAsia="Arial" w:hAnsi="Arial"/>
          <w:sz w:val="18"/>
          <w:szCs w:val="18"/>
          <w:color w:val="auto"/>
        </w:rPr>
      </w:pPr>
      <w:r>
        <w:rPr>
          <w:rFonts w:ascii="Arial" w:cs="Arial" w:eastAsia="Arial" w:hAnsi="Arial"/>
          <w:sz w:val="20"/>
          <w:szCs w:val="20"/>
          <w:color w:val="auto"/>
        </w:rPr>
        <w:t>For purposes of this subsection, no act, or failure to act, shall be deemed “willful” unless done, or omitted to be done, by the Executive not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without reasonable belief that such action or omission was in the best interest of the Company.</w:t>
      </w:r>
    </w:p>
    <w:p>
      <w:pPr>
        <w:spacing w:after="0" w:line="108" w:lineRule="exact"/>
        <w:rPr>
          <w:sz w:val="20"/>
          <w:szCs w:val="20"/>
          <w:color w:val="auto"/>
        </w:rPr>
      </w:pPr>
    </w:p>
    <w:p>
      <w:pPr>
        <w:ind w:left="1080" w:hanging="424"/>
        <w:spacing w:after="0"/>
        <w:tabs>
          <w:tab w:leader="none" w:pos="10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and shall occur on the date that any of the following occurs:</w:t>
      </w:r>
    </w:p>
    <w:p>
      <w:pPr>
        <w:spacing w:after="0" w:line="107" w:lineRule="exact"/>
        <w:rPr>
          <w:rFonts w:ascii="Arial" w:cs="Arial" w:eastAsia="Arial" w:hAnsi="Arial"/>
          <w:sz w:val="20"/>
          <w:szCs w:val="20"/>
          <w:color w:val="auto"/>
        </w:rPr>
      </w:pPr>
    </w:p>
    <w:p>
      <w:pPr>
        <w:jc w:val="both"/>
        <w:ind w:left="1960" w:hanging="656"/>
        <w:spacing w:after="0" w:line="273" w:lineRule="auto"/>
        <w:tabs>
          <w:tab w:leader="none" w:pos="1958" w:val="left"/>
        </w:tabs>
        <w:numPr>
          <w:ilvl w:val="2"/>
          <w:numId w:val="30"/>
        </w:numPr>
        <w:rPr>
          <w:rFonts w:ascii="Arial" w:cs="Arial" w:eastAsia="Arial" w:hAnsi="Arial"/>
          <w:sz w:val="18"/>
          <w:szCs w:val="18"/>
          <w:color w:val="auto"/>
        </w:rPr>
      </w:pPr>
      <w:r>
        <w:rPr>
          <w:rFonts w:ascii="Arial" w:cs="Arial" w:eastAsia="Arial" w:hAnsi="Arial"/>
          <w:sz w:val="18"/>
          <w:szCs w:val="18"/>
          <w:color w:val="auto"/>
        </w:rPr>
        <w:t>A person, corporation, entity or group (1) makes a tender or exchange offer for the issued and outstanding voting stock of NN, Inc., (“</w:t>
      </w:r>
      <w:r>
        <w:rPr>
          <w:rFonts w:ascii="Arial" w:cs="Arial" w:eastAsia="Arial" w:hAnsi="Arial"/>
          <w:sz w:val="18"/>
          <w:szCs w:val="18"/>
          <w:u w:val="single" w:color="auto"/>
          <w:color w:val="auto"/>
        </w:rPr>
        <w:t>NN</w:t>
      </w:r>
      <w:r>
        <w:rPr>
          <w:rFonts w:ascii="Arial" w:cs="Arial" w:eastAsia="Arial" w:hAnsi="Arial"/>
          <w:sz w:val="18"/>
          <w:szCs w:val="18"/>
          <w:color w:val="auto"/>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60" w:lineRule="exact"/>
        <w:rPr>
          <w:rFonts w:ascii="Arial" w:cs="Arial" w:eastAsia="Arial" w:hAnsi="Arial"/>
          <w:sz w:val="18"/>
          <w:szCs w:val="18"/>
          <w:color w:val="auto"/>
        </w:rPr>
      </w:pPr>
    </w:p>
    <w:p>
      <w:pPr>
        <w:jc w:val="both"/>
        <w:ind w:left="1960" w:hanging="656"/>
        <w:spacing w:after="0" w:line="291" w:lineRule="auto"/>
        <w:tabs>
          <w:tab w:leader="none" w:pos="1959" w:val="left"/>
        </w:tabs>
        <w:numPr>
          <w:ilvl w:val="2"/>
          <w:numId w:val="30"/>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43" w:lineRule="exact"/>
        <w:rPr>
          <w:rFonts w:ascii="Arial" w:cs="Arial" w:eastAsia="Arial" w:hAnsi="Arial"/>
          <w:sz w:val="18"/>
          <w:szCs w:val="18"/>
          <w:color w:val="auto"/>
        </w:rPr>
      </w:pPr>
    </w:p>
    <w:p>
      <w:pPr>
        <w:ind w:left="1960" w:hanging="656"/>
        <w:spacing w:after="0" w:line="260" w:lineRule="auto"/>
        <w:tabs>
          <w:tab w:leader="none" w:pos="1960" w:val="left"/>
        </w:tabs>
        <w:numPr>
          <w:ilvl w:val="2"/>
          <w:numId w:val="30"/>
        </w:numPr>
        <w:rPr>
          <w:rFonts w:ascii="Arial" w:cs="Arial" w:eastAsia="Arial" w:hAnsi="Arial"/>
          <w:sz w:val="20"/>
          <w:szCs w:val="20"/>
          <w:color w:val="auto"/>
        </w:rPr>
      </w:pPr>
      <w:r>
        <w:rPr>
          <w:rFonts w:ascii="Arial" w:cs="Arial" w:eastAsia="Arial" w:hAnsi="Arial"/>
          <w:sz w:val="20"/>
          <w:szCs w:val="20"/>
          <w:color w:val="auto"/>
        </w:rPr>
        <w:t>NN sells fifty percent (50%) or more of its assets to any other person or persons (other than an affiliate or affiliates of NN); or</w:t>
      </w:r>
    </w:p>
    <w:p>
      <w:pPr>
        <w:spacing w:after="0" w:line="68" w:lineRule="exact"/>
        <w:rPr>
          <w:rFonts w:ascii="Arial" w:cs="Arial" w:eastAsia="Arial" w:hAnsi="Arial"/>
          <w:sz w:val="20"/>
          <w:szCs w:val="20"/>
          <w:color w:val="auto"/>
        </w:rPr>
      </w:pPr>
    </w:p>
    <w:p>
      <w:pPr>
        <w:jc w:val="both"/>
        <w:ind w:left="1960" w:hanging="656"/>
        <w:spacing w:after="0" w:line="257" w:lineRule="auto"/>
        <w:tabs>
          <w:tab w:leader="none" w:pos="1949" w:val="left"/>
        </w:tabs>
        <w:numPr>
          <w:ilvl w:val="2"/>
          <w:numId w:val="30"/>
        </w:numPr>
        <w:rPr>
          <w:rFonts w:ascii="Arial" w:cs="Arial" w:eastAsia="Arial" w:hAnsi="Arial"/>
          <w:sz w:val="19"/>
          <w:szCs w:val="19"/>
          <w:color w:val="auto"/>
        </w:rPr>
      </w:pPr>
      <w:r>
        <w:rPr>
          <w:rFonts w:ascii="Arial" w:cs="Arial" w:eastAsia="Arial" w:hAnsi="Arial"/>
          <w:sz w:val="19"/>
          <w:szCs w:val="19"/>
          <w:color w:val="auto"/>
        </w:rPr>
        <w:t>Individuals who, during any 12-month period, constitute the Board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76" w:lineRule="exact"/>
        <w:rPr>
          <w:rFonts w:ascii="Arial" w:cs="Arial" w:eastAsia="Arial" w:hAnsi="Arial"/>
          <w:sz w:val="19"/>
          <w:szCs w:val="19"/>
          <w:color w:val="auto"/>
        </w:rPr>
      </w:pPr>
    </w:p>
    <w:p>
      <w:pPr>
        <w:ind w:left="1960" w:right="380"/>
        <w:spacing w:after="0" w:line="260" w:lineRule="auto"/>
        <w:rPr>
          <w:rFonts w:ascii="Arial" w:cs="Arial" w:eastAsia="Arial" w:hAnsi="Arial"/>
          <w:sz w:val="19"/>
          <w:szCs w:val="19"/>
          <w:color w:val="auto"/>
        </w:rPr>
      </w:pPr>
      <w:r>
        <w:rPr>
          <w:rFonts w:ascii="Arial" w:cs="Arial" w:eastAsia="Arial" w:hAnsi="Arial"/>
          <w:sz w:val="20"/>
          <w:szCs w:val="20"/>
          <w:color w:val="auto"/>
        </w:rPr>
        <w:t>It is not intended that a Change in Control, in and of itself, will serve as an event which entitles Executive to any payment hereunder.</w:t>
      </w:r>
    </w:p>
    <w:p>
      <w:pPr>
        <w:spacing w:after="0" w:line="68" w:lineRule="exact"/>
        <w:rPr>
          <w:rFonts w:ascii="Arial" w:cs="Arial" w:eastAsia="Arial" w:hAnsi="Arial"/>
          <w:sz w:val="19"/>
          <w:szCs w:val="19"/>
          <w:color w:val="auto"/>
        </w:rPr>
      </w:pPr>
    </w:p>
    <w:p>
      <w:pPr>
        <w:ind w:left="420" w:hanging="412"/>
        <w:spacing w:after="0"/>
        <w:tabs>
          <w:tab w:leader="none" w:pos="4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07" w:lineRule="exact"/>
        <w:rPr>
          <w:rFonts w:ascii="Arial" w:cs="Arial" w:eastAsia="Arial" w:hAnsi="Arial"/>
          <w:sz w:val="20"/>
          <w:szCs w:val="20"/>
          <w:color w:val="auto"/>
        </w:rPr>
      </w:pPr>
    </w:p>
    <w:p>
      <w:pPr>
        <w:ind w:left="660" w:hanging="652"/>
        <w:spacing w:after="0" w:line="257" w:lineRule="auto"/>
        <w:tabs>
          <w:tab w:leader="none" w:pos="508"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87"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0"/>
          <w:szCs w:val="20"/>
          <w:color w:val="auto"/>
        </w:rPr>
        <w:t>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78" w:lineRule="exact"/>
        <w:rPr>
          <w:sz w:val="20"/>
          <w:szCs w:val="20"/>
          <w:color w:val="auto"/>
        </w:rPr>
      </w:pPr>
    </w:p>
    <w:p>
      <w:pPr>
        <w:ind w:left="660" w:hanging="652"/>
        <w:spacing w:after="0" w:line="244" w:lineRule="auto"/>
        <w:tabs>
          <w:tab w:leader="none" w:pos="456" w:val="left"/>
        </w:tabs>
        <w:numPr>
          <w:ilvl w:val="0"/>
          <w:numId w:val="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any of the following events if not remedied by the Company within 30 days after receipt of notice thereof from the Executive: (i) any material diminution in the Executive’s position, authority, duties or responsibilities; (ii) any material failure by the Company to comply with this Agreement; (iii) any material adverse change in Executive’s annual compensation; or (iv) a requirement to relocate Executive’s place of employment in excess of fifty (50) miles from the current principal office of the Company as of the date hereof.</w:t>
      </w:r>
    </w:p>
    <w:p>
      <w:pPr>
        <w:spacing w:after="0" w:line="8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113" w:lineRule="exact"/>
        <w:rPr>
          <w:sz w:val="20"/>
          <w:szCs w:val="20"/>
          <w:color w:val="auto"/>
        </w:rPr>
      </w:pPr>
    </w:p>
    <w:p>
      <w:pPr>
        <w:jc w:val="both"/>
        <w:ind w:left="660" w:hanging="652"/>
        <w:spacing w:after="0" w:line="239"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114" w:lineRule="exact"/>
        <w:rPr>
          <w:rFonts w:ascii="Arial" w:cs="Arial" w:eastAsia="Arial" w:hAnsi="Arial"/>
          <w:sz w:val="22"/>
          <w:szCs w:val="22"/>
          <w:color w:val="auto"/>
        </w:rPr>
      </w:pPr>
    </w:p>
    <w:p>
      <w:pPr>
        <w:ind w:left="660" w:hanging="652"/>
        <w:spacing w:after="0" w:line="238"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 Separation from Service by action of the Company that is not for Cause, or a Separation from Service by action of the Executive that is for Good Reason.</w:t>
      </w:r>
    </w:p>
    <w:p>
      <w:pPr>
        <w:spacing w:after="0" w:line="115" w:lineRule="exact"/>
        <w:rPr>
          <w:sz w:val="20"/>
          <w:szCs w:val="20"/>
          <w:color w:val="auto"/>
        </w:rPr>
      </w:pPr>
    </w:p>
    <w:p>
      <w:pPr>
        <w:jc w:val="both"/>
        <w:ind w:left="660" w:hanging="4"/>
        <w:spacing w:after="0" w:line="238" w:lineRule="auto"/>
        <w:tabs>
          <w:tab w:leader="none" w:pos="1303" w:val="left"/>
        </w:tabs>
        <w:numPr>
          <w:ilvl w:val="1"/>
          <w:numId w:val="3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Restrictive Period</w:t>
      </w:r>
      <w:r>
        <w:rPr>
          <w:rFonts w:ascii="Arial" w:cs="Arial" w:eastAsia="Arial" w:hAnsi="Arial"/>
          <w:sz w:val="20"/>
          <w:szCs w:val="20"/>
          <w:color w:val="auto"/>
        </w:rPr>
        <w:t>” means a period of months following the end of Executive’s employment, regardless of reason, which is equal to twelve (12) months or the number of months for which Executive has received base salary payments (whether in the form of continuation payments or lump sum payment), whichever is greater.</w:t>
      </w:r>
    </w:p>
    <w:p>
      <w:pPr>
        <w:spacing w:after="0" w:line="89" w:lineRule="exact"/>
        <w:rPr>
          <w:rFonts w:ascii="Arial" w:cs="Arial" w:eastAsia="Arial" w:hAnsi="Arial"/>
          <w:sz w:val="22"/>
          <w:szCs w:val="22"/>
          <w:color w:val="auto"/>
        </w:rPr>
      </w:pPr>
    </w:p>
    <w:p>
      <w:pPr>
        <w:ind w:left="400" w:hanging="392"/>
        <w:spacing w:after="0"/>
        <w:tabs>
          <w:tab w:leader="none" w:pos="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Executive’s “separation from service” as defined in Treasury Regulation Section 1.409A-1(h).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8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Executive and the Company (by action of its duly authorized officers) have executed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of the date first above written.</w:t>
      </w:r>
    </w:p>
    <w:p>
      <w:pPr>
        <w:spacing w:after="0" w:line="5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NN, INC.</w:t>
      </w:r>
    </w:p>
    <w:p>
      <w:pPr>
        <w:spacing w:after="0" w:line="343"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By:___________________________________________</w:t>
      </w:r>
    </w:p>
    <w:p>
      <w:pPr>
        <w:spacing w:after="0" w:line="15" w:lineRule="exact"/>
        <w:rPr>
          <w:sz w:val="20"/>
          <w:szCs w:val="20"/>
          <w:color w:val="auto"/>
        </w:rPr>
      </w:pPr>
    </w:p>
    <w:p>
      <w:pPr>
        <w:ind w:left="3820"/>
        <w:spacing w:after="0"/>
        <w:tabs>
          <w:tab w:leader="none" w:pos="4580" w:val="left"/>
        </w:tabs>
        <w:rPr>
          <w:sz w:val="20"/>
          <w:szCs w:val="20"/>
          <w:color w:val="auto"/>
        </w:rPr>
      </w:pPr>
      <w:r>
        <w:rPr>
          <w:rFonts w:ascii="Arial" w:cs="Arial" w:eastAsia="Arial" w:hAnsi="Arial"/>
          <w:sz w:val="20"/>
          <w:szCs w:val="20"/>
          <w:color w:val="auto"/>
        </w:rPr>
        <w:t>Name:</w:t>
        <w:tab/>
        <w:t>Matthew S. Heiter</w:t>
      </w:r>
    </w:p>
    <w:p>
      <w:pPr>
        <w:ind w:left="3820"/>
        <w:spacing w:after="0"/>
        <w:tabs>
          <w:tab w:leader="none" w:pos="4460" w:val="left"/>
        </w:tabs>
        <w:rPr>
          <w:sz w:val="20"/>
          <w:szCs w:val="20"/>
          <w:color w:val="auto"/>
        </w:rPr>
      </w:pPr>
      <w:r>
        <w:rPr>
          <w:rFonts w:ascii="Arial" w:cs="Arial" w:eastAsia="Arial" w:hAnsi="Arial"/>
          <w:sz w:val="20"/>
          <w:szCs w:val="20"/>
          <w:color w:val="auto"/>
        </w:rPr>
        <w:t>Title:</w:t>
        <w:tab/>
        <w:t>Senior Vice President and General Counsel</w:t>
      </w: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5"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______________________________________________</w:t>
      </w:r>
    </w:p>
    <w:p>
      <w:pPr>
        <w:spacing w:after="0" w:line="16" w:lineRule="exact"/>
        <w:rPr>
          <w:sz w:val="20"/>
          <w:szCs w:val="20"/>
          <w:color w:val="auto"/>
        </w:rPr>
      </w:pPr>
    </w:p>
    <w:p>
      <w:pPr>
        <w:ind w:left="3820"/>
        <w:spacing w:after="0"/>
        <w:tabs>
          <w:tab w:leader="none" w:pos="4560" w:val="left"/>
        </w:tabs>
        <w:rPr>
          <w:sz w:val="20"/>
          <w:szCs w:val="20"/>
          <w:color w:val="auto"/>
        </w:rPr>
      </w:pPr>
      <w:r>
        <w:rPr>
          <w:rFonts w:ascii="Arial" w:cs="Arial" w:eastAsia="Arial" w:hAnsi="Arial"/>
          <w:sz w:val="20"/>
          <w:szCs w:val="20"/>
          <w:color w:val="auto"/>
        </w:rPr>
        <w:t>Name:</w:t>
        <w:tab/>
        <w:t>Michael C. Felcher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SCHEDULE 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1(c)(i) shall be a lump sum payment equal to:</w:t>
      </w:r>
    </w:p>
    <w:p>
      <w:pPr>
        <w:spacing w:after="0" w:line="15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1.5 times Executive’s base salary (as of the date of Executive’s termination); plus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0.5 times Executive’s target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80"/>
          </w:cols>
          <w:pgMar w:left="320" w:top="1440" w:right="5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702945</wp:posOffset>
            </wp:positionV>
            <wp:extent cx="1285875" cy="1259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1020445</wp:posOffset>
            </wp:positionV>
            <wp:extent cx="192849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NAMES MIKE FELCHER AS CHIEF FINANCIAL OFFICER</w:t>
      </w:r>
    </w:p>
    <w:p>
      <w:pPr>
        <w:spacing w:after="0" w:line="200" w:lineRule="exact"/>
        <w:rPr>
          <w:sz w:val="20"/>
          <w:szCs w:val="20"/>
          <w:color w:val="auto"/>
        </w:rPr>
      </w:pPr>
    </w:p>
    <w:p>
      <w:pPr>
        <w:spacing w:after="0" w:line="286"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b w:val="1"/>
          <w:bCs w:val="1"/>
          <w:color w:val="auto"/>
        </w:rPr>
        <w:t xml:space="preserve">Charlotte, N.C., June 15, 2021 </w:t>
      </w:r>
      <w:r>
        <w:rPr>
          <w:rFonts w:ascii="Arial" w:cs="Arial" w:eastAsia="Arial" w:hAnsi="Arial"/>
          <w:sz w:val="20"/>
          <w:szCs w:val="20"/>
          <w:color w:val="auto"/>
        </w:rPr>
        <w:t>– NN, Inc. (NASDAQ: NNBR), a diversified industrial company, today named Mike Felcher as</w:t>
      </w:r>
      <w:r>
        <w:rPr>
          <w:rFonts w:ascii="Arial" w:cs="Arial" w:eastAsia="Arial" w:hAnsi="Arial"/>
          <w:sz w:val="20"/>
          <w:szCs w:val="20"/>
          <w:b w:val="1"/>
          <w:bCs w:val="1"/>
          <w:color w:val="auto"/>
        </w:rPr>
        <w:t xml:space="preserve"> </w:t>
      </w:r>
      <w:r>
        <w:rPr>
          <w:rFonts w:ascii="Arial" w:cs="Arial" w:eastAsia="Arial" w:hAnsi="Arial"/>
          <w:sz w:val="20"/>
          <w:szCs w:val="20"/>
          <w:color w:val="auto"/>
        </w:rPr>
        <w:t>Senior Vice President and Chief Financial Officer effective July 1, 2021. Mr. Felcher will be assuming the CFO role from Tom DeByle, who will be retiring from his current role but will remain with the Company until June 30, 2021, to ensure a smooth transition.</w:t>
      </w:r>
    </w:p>
    <w:p>
      <w:pPr>
        <w:spacing w:after="0" w:line="223"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“We want to thank Tom for his significant contributions to the transformation of NN and wish him well in retirement. In just two short years, he helped us through the deleveraging event that led to the divestment of the Life Sciences business, played a critical role in finalizing our recent refinancing, and led the remediation of our material weaknesses,” commented Warren Veltman, NN President and Chief Executive Officer. “As Mike transitions into his new role, we have confidence in his ability to leverage the breadth of his prior experience, as well as the knowledge of our company gained during his tenure with NN as our Chief Accounting Officer.”</w:t>
      </w:r>
    </w:p>
    <w:p>
      <w:pPr>
        <w:spacing w:after="0" w:line="222" w:lineRule="exact"/>
        <w:rPr>
          <w:sz w:val="20"/>
          <w:szCs w:val="20"/>
          <w:color w:val="auto"/>
        </w:rPr>
      </w:pPr>
    </w:p>
    <w:p>
      <w:pPr>
        <w:jc w:val="both"/>
        <w:ind w:right="140"/>
        <w:spacing w:after="0" w:line="232" w:lineRule="auto"/>
        <w:rPr>
          <w:sz w:val="20"/>
          <w:szCs w:val="20"/>
          <w:color w:val="auto"/>
        </w:rPr>
      </w:pPr>
      <w:r>
        <w:rPr>
          <w:rFonts w:ascii="Arial" w:cs="Arial" w:eastAsia="Arial" w:hAnsi="Arial"/>
          <w:sz w:val="20"/>
          <w:szCs w:val="20"/>
          <w:color w:val="auto"/>
        </w:rPr>
        <w:t>Thomas Wilson, NN Audit Committee Chairman, added, "We would like to thank Tom for his invaluable leadership since joining the Company and wish him well in retirement. His efforts over the past two years have helped position us for future growth and success."</w:t>
      </w:r>
    </w:p>
    <w:p>
      <w:pPr>
        <w:spacing w:after="0" w:line="224" w:lineRule="exact"/>
        <w:rPr>
          <w:sz w:val="20"/>
          <w:szCs w:val="20"/>
          <w:color w:val="auto"/>
        </w:rPr>
      </w:pPr>
    </w:p>
    <w:p>
      <w:pPr>
        <w:ind w:right="340"/>
        <w:spacing w:after="0" w:line="229" w:lineRule="auto"/>
        <w:rPr>
          <w:sz w:val="20"/>
          <w:szCs w:val="20"/>
          <w:color w:val="auto"/>
        </w:rPr>
      </w:pPr>
      <w:r>
        <w:rPr>
          <w:rFonts w:ascii="Arial" w:cs="Arial" w:eastAsia="Arial" w:hAnsi="Arial"/>
          <w:sz w:val="20"/>
          <w:szCs w:val="20"/>
          <w:color w:val="auto"/>
        </w:rPr>
        <w:t>Tom DeByle, NN’s outgoing Chief Financial Officer, said, “I am extremely proud of our team’s focus and successful accomplishments since joining the Company in 2019. Collectively, we transitioned NN’s business, while establishing a strong financial foundation to support the Company’s long-term growth. Additionally, I want to express my confidence in Mike as my successor and overall leader within the organization. Our close working relationship will enable a seamless transition as he assumes the CFO role.”</w:t>
      </w:r>
    </w:p>
    <w:p>
      <w:pPr>
        <w:spacing w:after="0" w:line="22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Mr. Felcher added, "I am excited to extend Tom’s record of successful leadership within NN’s finance team, and I look forward to working with Warren to execute on our strategic growth and financial objectives to accomplish our 2025 revenue and margin goals."</w:t>
      </w:r>
    </w:p>
    <w:p>
      <w:pPr>
        <w:spacing w:after="0" w:line="224"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Mr. Felcher has served as NN’s Chief Accounting Officer since June 2018. Prior to joining the Company, he served as the Vice President, North America Chief Financial Officer for JELD-WEN, Inc., a publicly held, global manufacturer of doors and windows, from 2013 to 2017. Before assuming his role at JELD-WEN, Inc., Mr. Felcher served as a Director of Finance for United Technologies Corp. following its acquisition of Goodrich Corporation in 2012. He also previously served in a variety of finance roles at Goodrich and began his career at PricewaterhouseCoopers in Boston. Mr. Felcher is a licensed CPA and holds a Bachelor of Science, Accountancy from Bentley University and a Master of Business Administration from Wake Forest University.</w:t>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u w:val="single" w:color="auto"/>
          <w:color w:val="auto"/>
        </w:rPr>
        <w:t>About NN, Inc.</w:t>
      </w:r>
    </w:p>
    <w:p>
      <w:pPr>
        <w:spacing w:after="0" w:line="91"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10"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218"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and the Company’s Quarterly Report on Form 10-Q for the three months ended March 31, 2021. Except as required by law, we undertake no obligation to update or revise any forward-looking statements we make in our press releases, whether as a result of new information, future events or otherwise.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Mike Danehy, CPA</w:t>
      </w:r>
    </w:p>
    <w:p>
      <w:pPr>
        <w:spacing w:after="0"/>
        <w:rPr>
          <w:sz w:val="20"/>
          <w:szCs w:val="20"/>
          <w:color w:val="auto"/>
        </w:rPr>
      </w:pPr>
      <w:r>
        <w:rPr>
          <w:rFonts w:ascii="Arial" w:cs="Arial" w:eastAsia="Arial" w:hAnsi="Arial"/>
          <w:sz w:val="20"/>
          <w:szCs w:val="20"/>
          <w:color w:val="auto"/>
        </w:rPr>
        <w:t>Investor Relations Contact</w:t>
      </w:r>
    </w:p>
    <w:p>
      <w:pPr>
        <w:spacing w:after="0"/>
        <w:rPr>
          <w:sz w:val="20"/>
          <w:szCs w:val="20"/>
          <w:color w:val="auto"/>
        </w:rPr>
      </w:pPr>
      <w:r>
        <w:rPr>
          <w:rFonts w:ascii="Arial" w:cs="Arial" w:eastAsia="Arial" w:hAnsi="Arial"/>
          <w:sz w:val="20"/>
          <w:szCs w:val="20"/>
          <w:color w:val="auto"/>
        </w:rPr>
        <w:t>Mike.Danehy@nninc.com</w:t>
      </w:r>
    </w:p>
    <w:p>
      <w:pPr>
        <w:spacing w:after="0"/>
        <w:rPr>
          <w:sz w:val="20"/>
          <w:szCs w:val="20"/>
          <w:color w:val="auto"/>
        </w:rPr>
      </w:pPr>
      <w:r>
        <w:rPr>
          <w:rFonts w:ascii="Arial" w:cs="Arial" w:eastAsia="Arial" w:hAnsi="Arial"/>
          <w:sz w:val="20"/>
          <w:szCs w:val="20"/>
          <w:color w:val="auto"/>
        </w:rPr>
        <w:t>(980) 264-4312</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9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Letter"/>
      <w:start w:val="4"/>
    </w:lvl>
  </w:abstractNum>
  <w:abstractNum w:abstractNumId="2">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
    <w:nsid w:val="62BBD95A"/>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4">
    <w:nsid w:val="436C6125"/>
    <w:multiLevelType w:val="hybridMultilevel"/>
    <w:lvl w:ilvl="0">
      <w:lvlJc w:val="left"/>
      <w:lvlText w:val="%1"/>
      <w:numFmt w:val="decimal"/>
      <w:start w:val="1"/>
    </w:lvl>
    <w:lvl w:ilvl="1">
      <w:lvlJc w:val="left"/>
      <w:lvlText w:val="(%2)"/>
      <w:numFmt w:val="lowerLetter"/>
      <w:start w:val="2"/>
    </w:lvl>
  </w:abstractNum>
  <w:abstractNum w:abstractNumId="5">
    <w:nsid w:val="628C895D"/>
    <w:multiLevelType w:val="hybridMultilevel"/>
    <w:lvl w:ilvl="0">
      <w:lvlJc w:val="left"/>
      <w:lvlText w:val="%1."/>
      <w:numFmt w:val="decimal"/>
      <w:start w:val="3"/>
    </w:lvl>
    <w:lvl w:ilvl="1">
      <w:lvlJc w:val="left"/>
      <w:lvlText w:val="%2"/>
      <w:numFmt w:val="lowerLetter"/>
      <w:start w:val="1"/>
    </w:lvl>
  </w:abstractNum>
  <w:abstractNum w:abstractNumId="6">
    <w:nsid w:val="333AB105"/>
    <w:multiLevelType w:val="hybridMultilevel"/>
    <w:lvl w:ilvl="0">
      <w:lvlJc w:val="left"/>
      <w:lvlText w:val="%1."/>
      <w:numFmt w:val="decimal"/>
      <w:start w:val="4"/>
    </w:lvl>
    <w:lvl w:ilvl="1">
      <w:lvlJc w:val="left"/>
      <w:lvlText w:val="(%2)"/>
      <w:numFmt w:val="lowerLetter"/>
      <w:start w:val="1"/>
    </w:lvl>
  </w:abstractNum>
  <w:abstractNum w:abstractNumId="7">
    <w:nsid w:val="721DA317"/>
    <w:multiLevelType w:val="hybridMultilevel"/>
    <w:lvl w:ilvl="0">
      <w:lvlJc w:val="left"/>
      <w:lvlText w:val="%1"/>
      <w:numFmt w:val="decimal"/>
      <w:start w:val="1"/>
    </w:lvl>
    <w:lvl w:ilvl="1">
      <w:lvlJc w:val="left"/>
      <w:lvlText w:val="(%2)"/>
      <w:numFmt w:val="lowerLetter"/>
      <w:start w:val="3"/>
    </w:lvl>
  </w:abstractNum>
  <w:abstractNum w:abstractNumId="8">
    <w:nsid w:val="2443A858"/>
    <w:multiLevelType w:val="hybridMultilevel"/>
    <w:lvl w:ilvl="0">
      <w:lvlJc w:val="left"/>
      <w:lvlText w:val="%1."/>
      <w:numFmt w:val="decimal"/>
      <w:start w:val="6"/>
    </w:lvl>
    <w:lvl w:ilvl="1">
      <w:lvlJc w:val="left"/>
      <w:lvlText w:val="(%2)"/>
      <w:numFmt w:val="lowerLetter"/>
      <w:start w:val="1"/>
    </w:lvl>
  </w:abstractNum>
  <w:abstractNum w:abstractNumId="9">
    <w:nsid w:val="2D1D5AE9"/>
    <w:multiLevelType w:val="hybridMultilevel"/>
    <w:lvl w:ilvl="0">
      <w:lvlJc w:val="left"/>
      <w:lvlText w:val="%1"/>
      <w:numFmt w:val="decimal"/>
      <w:start w:val="1"/>
    </w:lvl>
    <w:lvl w:ilvl="1">
      <w:lvlJc w:val="left"/>
      <w:lvlText w:val="(%2)"/>
      <w:numFmt w:val="lowerLetter"/>
      <w:start w:val="3"/>
    </w:lvl>
  </w:abstractNum>
  <w:abstractNum w:abstractNumId="10">
    <w:nsid w:val="6763845E"/>
    <w:multiLevelType w:val="hybridMultilevel"/>
    <w:lvl w:ilvl="0">
      <w:lvlJc w:val="left"/>
      <w:lvlText w:val="%1."/>
      <w:numFmt w:val="decimal"/>
      <w:start w:val="7"/>
    </w:lvl>
    <w:lvl w:ilvl="1">
      <w:lvlJc w:val="left"/>
      <w:lvlText w:val="%2"/>
      <w:numFmt w:val="lowerLetter"/>
      <w:start w:val="1"/>
    </w:lvl>
  </w:abstractNum>
  <w:abstractNum w:abstractNumId="11">
    <w:nsid w:val="75A2A8D4"/>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2">
    <w:nsid w:val="8EDBDAB"/>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13">
    <w:nsid w:val="79838CB2"/>
    <w:multiLevelType w:val="hybridMultilevel"/>
    <w:lvl w:ilvl="0">
      <w:lvlJc w:val="left"/>
      <w:lvlText w:val="%1."/>
      <w:numFmt w:val="decimal"/>
      <w:start w:val="12"/>
    </w:lvl>
  </w:abstractNum>
  <w:abstractNum w:abstractNumId="14">
    <w:nsid w:val="4353D0CD"/>
    <w:multiLevelType w:val="hybridMultilevel"/>
    <w:lvl w:ilvl="0">
      <w:lvlJc w:val="left"/>
      <w:lvlText w:val="%1."/>
      <w:numFmt w:val="decimal"/>
      <w:start w:val="14"/>
    </w:lvl>
  </w:abstractNum>
  <w:abstractNum w:abstractNumId="15">
    <w:nsid w:val="B03E0C6"/>
    <w:multiLevelType w:val="hybridMultilevel"/>
    <w:lvl w:ilvl="0">
      <w:lvlJc w:val="left"/>
      <w:lvlText w:val="%1."/>
      <w:numFmt w:val="decimal"/>
      <w:start w:val="16"/>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Letter"/>
      <w:start w:val="1"/>
    </w:lvl>
    <w:lvl w:ilvl="1">
      <w:lvlJc w:val="left"/>
      <w:lvlText w:val="(%2)"/>
      <w:numFmt w:val="lowerRoman"/>
      <w:start w:val="1"/>
    </w:lvl>
  </w:abstractNum>
  <w:abstractNum w:abstractNumId="18">
    <w:nsid w:val="71F3245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9">
    <w:nsid w:val="2CA88611"/>
    <w:multiLevelType w:val="hybridMultilevel"/>
    <w:lvl w:ilvl="0">
      <w:lvlJc w:val="left"/>
      <w:lvlText w:val="(%1)"/>
      <w:numFmt w:val="lowerRoman"/>
      <w:start w:val="2"/>
    </w:lvl>
    <w:lvl w:ilvl="1">
      <w:lvlJc w:val="left"/>
      <w:lvlText w:val="(%2)"/>
      <w:numFmt w:val="decimal"/>
      <w:start w:val="1"/>
    </w:lvl>
  </w:abstractNum>
  <w:abstractNum w:abstractNumId="20">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1">
    <w:nsid w:val="2901D82"/>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2">
    <w:nsid w:val="3A95F874"/>
    <w:multiLevelType w:val="hybridMultilevel"/>
    <w:lvl w:ilvl="0">
      <w:lvlJc w:val="left"/>
      <w:lvlText w:val="%1."/>
      <w:numFmt w:val="decimal"/>
      <w:start w:val="2"/>
    </w:lvl>
    <w:lvl w:ilvl="1">
      <w:lvlJc w:val="left"/>
      <w:lvlText w:val="(%2)"/>
      <w:numFmt w:val="lowerLetter"/>
      <w:start w:val="35"/>
    </w:lvl>
    <w:lvl w:ilvl="2">
      <w:lvlJc w:val="left"/>
      <w:lvlText w:val="%3"/>
      <w:numFmt w:val="decimal"/>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decimal"/>
      <w:start w:val="6"/>
    </w:lvl>
    <w:lvl w:ilvl="1">
      <w:lvlJc w:val="left"/>
      <w:lvlText w:val="(%2)"/>
      <w:numFmt w:val="lowerLetter"/>
      <w:start w:val="1"/>
    </w:lvl>
  </w:abstractNum>
  <w:abstractNum w:abstractNumId="25">
    <w:nsid w:val="7C3DBD3D"/>
    <w:multiLevelType w:val="hybridMultilevel"/>
    <w:lvl w:ilvl="0">
      <w:lvlJc w:val="left"/>
      <w:lvlText w:val="%1."/>
      <w:numFmt w:val="decimal"/>
      <w:start w:val="10"/>
    </w:lvl>
  </w:abstractNum>
  <w:abstractNum w:abstractNumId="26">
    <w:nsid w:val="737B8DDC"/>
    <w:multiLevelType w:val="hybridMultilevel"/>
    <w:lvl w:ilvl="0">
      <w:lvlJc w:val="left"/>
      <w:lvlText w:val="%1."/>
      <w:numFmt w:val="decimal"/>
      <w:start w:val="13"/>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9">
    <w:nsid w:val="4516DDE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
    <w:nsid w:val="3006C83E"/>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1">
    <w:nsid w:val="614FD4A1"/>
    <w:multiLevelType w:val="hybridMultilevel"/>
    <w:lvl w:ilvl="0">
      <w:lvlJc w:val="left"/>
      <w:lvlText w:val="(%1)"/>
      <w:numFmt w:val="lowerLetter"/>
      <w:start w:val="5"/>
    </w:lvl>
  </w:abstractNum>
  <w:abstractNum w:abstractNumId="32">
    <w:nsid w:val="419AC241"/>
    <w:multiLevelType w:val="hybridMultilevel"/>
    <w:lvl w:ilvl="0">
      <w:lvlJc w:val="left"/>
      <w:lvlText w:val="(%1)"/>
      <w:numFmt w:val="lowerLetter"/>
      <w:start w:val="6"/>
    </w:lvl>
  </w:abstractNum>
  <w:abstractNum w:abstractNumId="33">
    <w:nsid w:val="5577F8E1"/>
    <w:multiLevelType w:val="hybridMultilevel"/>
    <w:lvl w:ilvl="0">
      <w:lvlJc w:val="left"/>
      <w:lvlText w:val="%1"/>
      <w:numFmt w:val="lowerLetter"/>
      <w:start w:val="1"/>
    </w:lvl>
    <w:lvl w:ilvl="1">
      <w:lvlJc w:val="left"/>
      <w:lvlText w:val="(%2)"/>
      <w:numFmt w:val="lowerLetter"/>
      <w:start w:val="8"/>
    </w:lvl>
  </w:abstractNum>
  <w:abstractNum w:abstractNumId="34">
    <w:nsid w:val="440BADFC"/>
    <w:multiLevelType w:val="hybridMultilevel"/>
    <w:lvl w:ilvl="0">
      <w:lvlJc w:val="left"/>
      <w:lvlText w:val="(%1)"/>
      <w:numFmt w:val="lowerLetter"/>
      <w:start w:val="9"/>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2021-06-15T07:00:05Z</dcterms:created>
  <dcterms:modified xsi:type="dcterms:W3CDTF">2021-06-15T07:00:05Z</dcterms:modified>
</cp:coreProperties>
</file>