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60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069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Heiter Matthew S.</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0"/>
          <w:szCs w:val="20"/>
          <w:color w:val="0000EE"/>
        </w:rPr>
      </w:pPr>
      <w:hyperlink r:id="rId13">
        <w:r>
          <w:rPr>
            <w:rFonts w:ascii="Arial" w:cs="Arial" w:eastAsia="Arial" w:hAnsi="Arial"/>
            <w:sz w:val="20"/>
            <w:szCs w:val="20"/>
            <w:u w:val="single" w:color="auto"/>
            <w:color w:val="0000EE"/>
          </w:rPr>
          <w:t>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NNBR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03/28/2022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31"/>
        <w:spacing w:after="0"/>
        <w:rPr>
          <w:sz w:val="20"/>
          <w:szCs w:val="20"/>
          <w:color w:val="auto"/>
        </w:rPr>
      </w:pPr>
      <w:r>
        <w:rPr>
          <w:rFonts w:ascii="Arial" w:cs="Arial" w:eastAsia="Arial" w:hAnsi="Arial"/>
          <w:sz w:val="16"/>
          <w:szCs w:val="16"/>
          <w:color w:val="0000FF"/>
        </w:rPr>
        <w:t>Senior VP and General Counsel</w:t>
      </w:r>
    </w:p>
    <w:p>
      <w:pPr>
        <w:spacing w:after="0" w:line="31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20"/>
              <w:spacing w:after="0"/>
              <w:rPr>
                <w:sz w:val="20"/>
                <w:szCs w:val="20"/>
                <w:color w:val="auto"/>
              </w:rPr>
            </w:pPr>
            <w:r>
              <w:rPr>
                <w:rFonts w:ascii="Arial" w:cs="Arial" w:eastAsia="Arial" w:hAnsi="Arial"/>
                <w:sz w:val="17"/>
                <w:szCs w:val="17"/>
                <w:color w:val="0000FF"/>
              </w:rPr>
              <w:t>NC</w:t>
            </w:r>
          </w:p>
        </w:tc>
        <w:tc>
          <w:tcPr>
            <w:tcW w:w="1620" w:type="dxa"/>
            <w:vAlign w:val="bottom"/>
          </w:tcPr>
          <w:p>
            <w:pPr>
              <w:ind w:left="420"/>
              <w:spacing w:after="0"/>
              <w:rPr>
                <w:sz w:val="20"/>
                <w:szCs w:val="20"/>
                <w:color w:val="auto"/>
              </w:rPr>
            </w:pPr>
            <w:r>
              <w:rPr>
                <w:rFonts w:ascii="Arial" w:cs="Arial" w:eastAsia="Arial" w:hAnsi="Arial"/>
                <w:sz w:val="17"/>
                <w:szCs w:val="17"/>
                <w:color w:val="0000FF"/>
              </w:rPr>
              <w:t>28277</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4"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03/28/2022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47,619</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130,965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40"/>
              <w:spacing w:after="0"/>
              <w:rPr>
                <w:sz w:val="20"/>
                <w:szCs w:val="20"/>
                <w:color w:val="auto"/>
              </w:rPr>
            </w:pPr>
            <w:r>
              <w:rPr>
                <w:rFonts w:ascii="Arial" w:cs="Arial" w:eastAsia="Arial" w:hAnsi="Arial"/>
                <w:sz w:val="13"/>
                <w:szCs w:val="13"/>
                <w:color w:val="0000FF"/>
              </w:rPr>
              <w:t>03/28/2022</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44,670</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44,670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44,670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28, 2023.</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2" w:lineRule="exact"/>
        <w:rPr>
          <w:rFonts w:ascii="Arial" w:cs="Arial" w:eastAsia="Arial" w:hAnsi="Arial"/>
          <w:sz w:val="13"/>
          <w:szCs w:val="13"/>
          <w:color w:val="008000"/>
        </w:rPr>
      </w:pPr>
    </w:p>
    <w:p>
      <w:pPr>
        <w:ind w:left="40" w:right="160" w:firstLine="1"/>
        <w:spacing w:after="0" w:line="265" w:lineRule="auto"/>
        <w:tabs>
          <w:tab w:leader="none" w:pos="16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a custom S&amp;P "MicroCap" Capital Goods Index over the period beginning on January 1, 2022 and ending December 31, 2024. The performance rights granted represent the right to receive the target shares, and actual performance rights earned may be between 25% and 150% of the target shares.</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Arial" w:cs="Arial" w:eastAsia="Arial" w:hAnsi="Arial"/>
                <w:sz w:val="17"/>
                <w:szCs w:val="17"/>
                <w:color w:val="0000FF"/>
                <w:w w:val="88"/>
              </w:rPr>
              <w:t>/s/ Matthew S. Heiter</w:t>
            </w:r>
          </w:p>
        </w:tc>
        <w:tc>
          <w:tcPr>
            <w:tcW w:w="60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03/30/2022</w:t>
            </w:r>
          </w:p>
        </w:tc>
      </w:tr>
      <w:tr>
        <w:trPr>
          <w:trHeight w:val="20"/>
        </w:trPr>
        <w:tc>
          <w:tcPr>
            <w:tcW w:w="1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78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2022-03-30T16:26:28Z</dcterms:created>
  <dcterms:modified xsi:type="dcterms:W3CDTF">2022-03-30T16:26:28Z</dcterms:modified>
</cp:coreProperties>
</file>