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154305</wp:posOffset>
            </wp:positionH>
            <wp:positionV relativeFrom="page">
              <wp:posOffset>112395</wp:posOffset>
            </wp:positionV>
            <wp:extent cx="725297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3810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CURRENT REPORT</w:t>
      </w:r>
    </w:p>
    <w:p>
      <w:pPr>
        <w:spacing w:after="0" w:line="290" w:lineRule="exact"/>
        <w:rPr>
          <w:sz w:val="24"/>
          <w:szCs w:val="24"/>
          <w:color w:val="auto"/>
        </w:rPr>
      </w:pPr>
    </w:p>
    <w:p>
      <w:pPr>
        <w:ind w:left="148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96" w:lineRule="exact"/>
        <w:rPr>
          <w:sz w:val="24"/>
          <w:szCs w:val="24"/>
          <w:color w:val="auto"/>
        </w:rPr>
      </w:pPr>
    </w:p>
    <w:p>
      <w:pPr>
        <w:spacing w:after="0"/>
        <w:rPr>
          <w:sz w:val="20"/>
          <w:szCs w:val="20"/>
          <w:color w:val="auto"/>
        </w:rPr>
      </w:pPr>
      <w:r>
        <w:rPr>
          <w:rFonts w:ascii="Arial" w:cs="Arial" w:eastAsia="Arial" w:hAnsi="Arial"/>
          <w:sz w:val="21"/>
          <w:szCs w:val="21"/>
          <w:color w:val="auto"/>
        </w:rPr>
        <w:t>Date of Report (Date of earliest event reported): August 3, 2006</w:t>
      </w:r>
    </w:p>
    <w:p>
      <w:pPr>
        <w:spacing w:after="0" w:line="200" w:lineRule="exact"/>
        <w:rPr>
          <w:sz w:val="24"/>
          <w:szCs w:val="24"/>
          <w:color w:val="auto"/>
        </w:rPr>
      </w:pPr>
    </w:p>
    <w:p>
      <w:pPr>
        <w:spacing w:after="0" w:line="345" w:lineRule="exact"/>
        <w:rPr>
          <w:sz w:val="24"/>
          <w:szCs w:val="24"/>
          <w:color w:val="auto"/>
        </w:rPr>
      </w:pPr>
    </w:p>
    <w:p>
      <w:pPr>
        <w:jc w:val="center"/>
        <w:ind w:right="80"/>
        <w:spacing w:after="0"/>
        <w:rPr>
          <w:sz w:val="20"/>
          <w:szCs w:val="20"/>
          <w:color w:val="auto"/>
        </w:rPr>
      </w:pPr>
      <w:r>
        <w:rPr>
          <w:rFonts w:ascii="Arial" w:cs="Arial" w:eastAsia="Arial" w:hAnsi="Arial"/>
          <w:sz w:val="39"/>
          <w:szCs w:val="39"/>
          <w:b w:val="1"/>
          <w:bCs w:val="1"/>
          <w:color w:val="auto"/>
        </w:rPr>
        <w:t>NN,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3760" w:type="dxa"/>
            <w:vAlign w:val="bottom"/>
          </w:tcPr>
          <w:p>
            <w:pPr>
              <w:ind w:left="60"/>
              <w:spacing w:after="0"/>
              <w:rPr>
                <w:sz w:val="20"/>
                <w:szCs w:val="20"/>
                <w:color w:val="auto"/>
              </w:rPr>
            </w:pPr>
            <w:r>
              <w:rPr>
                <w:rFonts w:ascii="Arial" w:cs="Arial" w:eastAsia="Arial" w:hAnsi="Arial"/>
                <w:sz w:val="21"/>
                <w:szCs w:val="21"/>
                <w:b w:val="1"/>
                <w:bCs w:val="1"/>
                <w:color w:val="auto"/>
              </w:rPr>
              <w:t>Delaware</w:t>
            </w:r>
          </w:p>
        </w:tc>
        <w:tc>
          <w:tcPr>
            <w:tcW w:w="3480" w:type="dxa"/>
            <w:vAlign w:val="bottom"/>
          </w:tcPr>
          <w:p>
            <w:pPr>
              <w:ind w:left="1840"/>
              <w:spacing w:after="0"/>
              <w:rPr>
                <w:sz w:val="20"/>
                <w:szCs w:val="20"/>
                <w:color w:val="auto"/>
              </w:rPr>
            </w:pPr>
            <w:r>
              <w:rPr>
                <w:rFonts w:ascii="Arial" w:cs="Arial" w:eastAsia="Arial" w:hAnsi="Arial"/>
                <w:sz w:val="21"/>
                <w:szCs w:val="21"/>
                <w:b w:val="1"/>
                <w:bCs w:val="1"/>
                <w:color w:val="auto"/>
              </w:rPr>
              <w:t>0-23486</w:t>
            </w:r>
          </w:p>
        </w:tc>
        <w:tc>
          <w:tcPr>
            <w:tcW w:w="1700" w:type="dxa"/>
            <w:vAlign w:val="bottom"/>
          </w:tcPr>
          <w:p>
            <w:pPr>
              <w:jc w:val="right"/>
              <w:ind w:right="146"/>
              <w:spacing w:after="0"/>
              <w:rPr>
                <w:sz w:val="20"/>
                <w:szCs w:val="20"/>
                <w:color w:val="auto"/>
              </w:rPr>
            </w:pPr>
            <w:r>
              <w:rPr>
                <w:rFonts w:ascii="Arial" w:cs="Arial" w:eastAsia="Arial" w:hAnsi="Arial"/>
                <w:sz w:val="21"/>
                <w:szCs w:val="21"/>
                <w:b w:val="1"/>
                <w:bCs w:val="1"/>
                <w:color w:val="auto"/>
              </w:rPr>
              <w:t>62-1096725</w:t>
            </w:r>
          </w:p>
        </w:tc>
        <w:tc>
          <w:tcPr>
            <w:tcW w:w="0" w:type="dxa"/>
            <w:vAlign w:val="bottom"/>
          </w:tcPr>
          <w:p>
            <w:pPr>
              <w:spacing w:after="0"/>
              <w:rPr>
                <w:sz w:val="1"/>
                <w:szCs w:val="1"/>
                <w:color w:val="auto"/>
              </w:rPr>
            </w:pPr>
          </w:p>
        </w:tc>
      </w:tr>
      <w:tr>
        <w:trPr>
          <w:trHeight w:val="213"/>
        </w:trPr>
        <w:tc>
          <w:tcPr>
            <w:tcW w:w="3760" w:type="dxa"/>
            <w:vAlign w:val="bottom"/>
          </w:tcPr>
          <w:p>
            <w:pPr>
              <w:ind w:left="60"/>
              <w:spacing w:after="0"/>
              <w:rPr>
                <w:sz w:val="20"/>
                <w:szCs w:val="20"/>
                <w:color w:val="auto"/>
              </w:rPr>
            </w:pPr>
            <w:r>
              <w:rPr>
                <w:rFonts w:ascii="Arial" w:cs="Arial" w:eastAsia="Arial" w:hAnsi="Arial"/>
                <w:sz w:val="18"/>
                <w:szCs w:val="18"/>
                <w:color w:val="auto"/>
              </w:rPr>
              <w:t>(State or other jurisdiction</w:t>
            </w:r>
          </w:p>
        </w:tc>
        <w:tc>
          <w:tcPr>
            <w:tcW w:w="3480" w:type="dxa"/>
            <w:vAlign w:val="bottom"/>
          </w:tcPr>
          <w:p>
            <w:pPr>
              <w:ind w:left="1840"/>
              <w:spacing w:after="0"/>
              <w:rPr>
                <w:sz w:val="20"/>
                <w:szCs w:val="20"/>
                <w:color w:val="auto"/>
              </w:rPr>
            </w:pPr>
            <w:r>
              <w:rPr>
                <w:rFonts w:ascii="Arial" w:cs="Arial" w:eastAsia="Arial" w:hAnsi="Arial"/>
                <w:sz w:val="18"/>
                <w:szCs w:val="18"/>
                <w:color w:val="auto"/>
              </w:rPr>
              <w:t>(Commission File</w:t>
            </w:r>
          </w:p>
        </w:tc>
        <w:tc>
          <w:tcPr>
            <w:tcW w:w="1700" w:type="dxa"/>
            <w:vAlign w:val="bottom"/>
          </w:tcPr>
          <w:p>
            <w:pPr>
              <w:ind w:left="380"/>
              <w:spacing w:after="0"/>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24"/>
        </w:trPr>
        <w:tc>
          <w:tcPr>
            <w:tcW w:w="3760" w:type="dxa"/>
            <w:vAlign w:val="bottom"/>
          </w:tcPr>
          <w:p>
            <w:pPr>
              <w:ind w:left="100"/>
              <w:spacing w:after="0"/>
              <w:rPr>
                <w:sz w:val="20"/>
                <w:szCs w:val="20"/>
                <w:color w:val="auto"/>
              </w:rPr>
            </w:pPr>
            <w:r>
              <w:rPr>
                <w:rFonts w:ascii="Arial" w:cs="Arial" w:eastAsia="Arial" w:hAnsi="Arial"/>
                <w:sz w:val="18"/>
                <w:szCs w:val="18"/>
                <w:color w:val="auto"/>
              </w:rPr>
              <w:t>of incorporation</w:t>
            </w:r>
          </w:p>
        </w:tc>
        <w:tc>
          <w:tcPr>
            <w:tcW w:w="3480" w:type="dxa"/>
            <w:vAlign w:val="bottom"/>
          </w:tcPr>
          <w:p>
            <w:pPr>
              <w:ind w:left="1880"/>
              <w:spacing w:after="0"/>
              <w:rPr>
                <w:sz w:val="20"/>
                <w:szCs w:val="20"/>
                <w:color w:val="auto"/>
              </w:rPr>
            </w:pPr>
            <w:r>
              <w:rPr>
                <w:rFonts w:ascii="Arial" w:cs="Arial" w:eastAsia="Arial" w:hAnsi="Arial"/>
                <w:sz w:val="18"/>
                <w:szCs w:val="18"/>
                <w:color w:val="auto"/>
              </w:rPr>
              <w:t>Number)</w:t>
            </w: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691"/>
        </w:trPr>
        <w:tc>
          <w:tcPr>
            <w:tcW w:w="3760" w:type="dxa"/>
            <w:vAlign w:val="bottom"/>
          </w:tcPr>
          <w:p>
            <w:pPr>
              <w:ind w:left="60"/>
              <w:spacing w:after="0"/>
              <w:rPr>
                <w:sz w:val="20"/>
                <w:szCs w:val="20"/>
                <w:color w:val="auto"/>
              </w:rPr>
            </w:pPr>
            <w:r>
              <w:rPr>
                <w:rFonts w:ascii="Arial" w:cs="Arial" w:eastAsia="Arial" w:hAnsi="Arial"/>
                <w:sz w:val="21"/>
                <w:szCs w:val="21"/>
                <w:b w:val="1"/>
                <w:bCs w:val="1"/>
                <w:color w:val="auto"/>
              </w:rPr>
              <w:t>2000 Waters Edge Drive</w:t>
            </w:r>
          </w:p>
        </w:tc>
        <w:tc>
          <w:tcPr>
            <w:tcW w:w="3480" w:type="dxa"/>
            <w:vAlign w:val="bottom"/>
            <w:vMerge w:val="restart"/>
          </w:tcPr>
          <w:p>
            <w:pPr>
              <w:ind w:left="920"/>
              <w:spacing w:after="0"/>
              <w:rPr>
                <w:sz w:val="20"/>
                <w:szCs w:val="20"/>
                <w:color w:val="auto"/>
              </w:rPr>
            </w:pPr>
            <w:r>
              <w:rPr>
                <w:rFonts w:ascii="Arial" w:cs="Arial" w:eastAsia="Arial" w:hAnsi="Arial"/>
                <w:sz w:val="21"/>
                <w:szCs w:val="21"/>
                <w:b w:val="1"/>
                <w:bCs w:val="1"/>
                <w:color w:val="auto"/>
              </w:rPr>
              <w:t>37604</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60" w:type="dxa"/>
            <w:vAlign w:val="bottom"/>
            <w:vMerge w:val="restart"/>
          </w:tcPr>
          <w:p>
            <w:pPr>
              <w:spacing w:after="0"/>
              <w:rPr>
                <w:sz w:val="20"/>
                <w:szCs w:val="20"/>
                <w:color w:val="auto"/>
              </w:rPr>
            </w:pPr>
            <w:r>
              <w:rPr>
                <w:rFonts w:ascii="Arial" w:cs="Arial" w:eastAsia="Arial" w:hAnsi="Arial"/>
                <w:sz w:val="21"/>
                <w:szCs w:val="21"/>
                <w:b w:val="1"/>
                <w:bCs w:val="1"/>
                <w:color w:val="auto"/>
              </w:rPr>
              <w:t>Johnson City, Tennessee</w:t>
            </w:r>
          </w:p>
        </w:tc>
        <w:tc>
          <w:tcPr>
            <w:tcW w:w="348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3760" w:type="dxa"/>
            <w:vAlign w:val="bottom"/>
            <w:vMerge w:val="continue"/>
          </w:tcPr>
          <w:p>
            <w:pPr>
              <w:spacing w:after="0"/>
              <w:rPr>
                <w:sz w:val="8"/>
                <w:szCs w:val="8"/>
                <w:color w:val="auto"/>
              </w:rPr>
            </w:pPr>
          </w:p>
        </w:tc>
        <w:tc>
          <w:tcPr>
            <w:tcW w:w="3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760" w:type="dxa"/>
            <w:vAlign w:val="bottom"/>
          </w:tcPr>
          <w:p>
            <w:pPr>
              <w:ind w:left="60"/>
              <w:spacing w:after="0"/>
              <w:rPr>
                <w:sz w:val="20"/>
                <w:szCs w:val="20"/>
                <w:color w:val="auto"/>
              </w:rPr>
            </w:pPr>
            <w:r>
              <w:rPr>
                <w:rFonts w:ascii="Arial" w:cs="Arial" w:eastAsia="Arial" w:hAnsi="Arial"/>
                <w:sz w:val="18"/>
                <w:szCs w:val="18"/>
                <w:color w:val="auto"/>
              </w:rPr>
              <w:t>(Address of principal executive offices)</w:t>
            </w:r>
          </w:p>
        </w:tc>
        <w:tc>
          <w:tcPr>
            <w:tcW w:w="3480" w:type="dxa"/>
            <w:vAlign w:val="bottom"/>
          </w:tcPr>
          <w:p>
            <w:pPr>
              <w:ind w:left="900"/>
              <w:spacing w:after="0"/>
              <w:rPr>
                <w:sz w:val="20"/>
                <w:szCs w:val="20"/>
                <w:color w:val="auto"/>
              </w:rPr>
            </w:pPr>
            <w:r>
              <w:rPr>
                <w:rFonts w:ascii="Arial" w:cs="Arial" w:eastAsia="Arial" w:hAnsi="Arial"/>
                <w:sz w:val="18"/>
                <w:szCs w:val="18"/>
                <w:color w:val="auto"/>
              </w:rPr>
              <w:t>(Zip Code)</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Registrant's telephone number, including area code: </w:t>
      </w:r>
      <w:r>
        <w:rPr>
          <w:rFonts w:ascii="Arial" w:cs="Arial" w:eastAsia="Arial" w:hAnsi="Arial"/>
          <w:sz w:val="21"/>
          <w:szCs w:val="21"/>
          <w:b w:val="1"/>
          <w:bCs w:val="1"/>
          <w:color w:val="auto"/>
        </w:rPr>
        <w:t>(423)743-9151</w:t>
      </w:r>
    </w:p>
    <w:p>
      <w:pPr>
        <w:spacing w:after="0" w:line="200" w:lineRule="exact"/>
        <w:rPr>
          <w:sz w:val="24"/>
          <w:szCs w:val="24"/>
          <w:color w:val="auto"/>
        </w:rPr>
      </w:pPr>
    </w:p>
    <w:p>
      <w:pPr>
        <w:spacing w:after="0" w:line="362" w:lineRule="exact"/>
        <w:rPr>
          <w:sz w:val="24"/>
          <w:szCs w:val="24"/>
          <w:color w:val="auto"/>
        </w:rPr>
      </w:pPr>
    </w:p>
    <w:p>
      <w:pPr>
        <w:spacing w:after="0" w:line="293"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spacing w:after="0"/>
        <w:rPr>
          <w:sz w:val="20"/>
          <w:szCs w:val="20"/>
          <w:color w:val="auto"/>
        </w:rPr>
      </w:pPr>
      <w:r>
        <w:rPr>
          <w:rFonts w:ascii="Arial" w:cs="Arial" w:eastAsia="Arial" w:hAnsi="Arial"/>
          <w:sz w:val="21"/>
          <w:szCs w:val="21"/>
          <w:color w:val="auto"/>
        </w:rPr>
        <w:t>oWritten communications pursuant to Rule 425 under the Securities Act (17 CFR 230.425)</w:t>
      </w:r>
    </w:p>
    <w:p>
      <w:pPr>
        <w:spacing w:after="0" w:line="290" w:lineRule="exact"/>
        <w:rPr>
          <w:sz w:val="24"/>
          <w:szCs w:val="24"/>
          <w:color w:val="auto"/>
        </w:rPr>
      </w:pPr>
    </w:p>
    <w:p>
      <w:pPr>
        <w:spacing w:after="0"/>
        <w:rPr>
          <w:sz w:val="20"/>
          <w:szCs w:val="20"/>
          <w:color w:val="auto"/>
        </w:rPr>
      </w:pPr>
      <w:r>
        <w:rPr>
          <w:rFonts w:ascii="Arial" w:cs="Arial" w:eastAsia="Arial" w:hAnsi="Arial"/>
          <w:sz w:val="21"/>
          <w:szCs w:val="21"/>
          <w:color w:val="auto"/>
        </w:rPr>
        <w:t>o Soliciting material pursuant to Rule 14a-12 under the Exchange Act (17 CFR 240.14a-12)</w:t>
      </w:r>
    </w:p>
    <w:p>
      <w:pPr>
        <w:spacing w:after="0" w:line="290" w:lineRule="exact"/>
        <w:rPr>
          <w:sz w:val="24"/>
          <w:szCs w:val="24"/>
          <w:color w:val="auto"/>
        </w:rPr>
      </w:pPr>
    </w:p>
    <w:p>
      <w:pPr>
        <w:spacing w:after="0"/>
        <w:rPr>
          <w:sz w:val="20"/>
          <w:szCs w:val="20"/>
          <w:color w:val="auto"/>
        </w:rPr>
      </w:pPr>
      <w:r>
        <w:rPr>
          <w:rFonts w:ascii="Arial" w:cs="Arial" w:eastAsia="Arial" w:hAnsi="Arial"/>
          <w:sz w:val="21"/>
          <w:szCs w:val="21"/>
          <w:color w:val="auto"/>
        </w:rPr>
        <w:t>oPre-commencement communications pursuant to Rule 14d-2(b) under the Exchange Act (17 CFR 240.14d-2(b))</w:t>
      </w:r>
    </w:p>
    <w:p>
      <w:pPr>
        <w:spacing w:after="0" w:line="290" w:lineRule="exact"/>
        <w:rPr>
          <w:sz w:val="24"/>
          <w:szCs w:val="24"/>
          <w:color w:val="auto"/>
        </w:rPr>
      </w:pPr>
    </w:p>
    <w:p>
      <w:pPr>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448945</wp:posOffset>
            </wp:positionV>
            <wp:extent cx="7252970"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786130</wp:posOffset>
            </wp:positionV>
            <wp:extent cx="72529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29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Furnished as Exhibit 99.1 is a copy of the earnings release of NN, Inc. reporting results for the quarter ended June 30, 2006, which was issued on August 3, 2006.</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(c) Exhibits.</w:t>
      </w:r>
    </w:p>
    <w:p>
      <w:pPr>
        <w:spacing w:after="0" w:line="290" w:lineRule="exact"/>
        <w:rPr>
          <w:sz w:val="20"/>
          <w:szCs w:val="20"/>
          <w:color w:val="auto"/>
        </w:rPr>
      </w:pPr>
    </w:p>
    <w:p>
      <w:pPr>
        <w:jc w:val="both"/>
        <w:ind w:firstLine="687"/>
        <w:spacing w:after="0" w:line="279"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40" w:type="dxa"/>
            <w:vAlign w:val="bottom"/>
            <w:gridSpan w:val="2"/>
          </w:tcPr>
          <w:p>
            <w:pPr>
              <w:spacing w:after="0"/>
              <w:rPr>
                <w:sz w:val="20"/>
                <w:szCs w:val="20"/>
                <w:color w:val="auto"/>
              </w:rPr>
            </w:pPr>
            <w:r>
              <w:rPr>
                <w:rFonts w:ascii="Arial" w:cs="Arial" w:eastAsia="Arial" w:hAnsi="Arial"/>
                <w:sz w:val="21"/>
                <w:szCs w:val="21"/>
                <w:color w:val="auto"/>
              </w:rPr>
              <w:t>Exhibit</w:t>
            </w:r>
          </w:p>
        </w:tc>
        <w:tc>
          <w:tcPr>
            <w:tcW w:w="5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21"/>
        </w:trPr>
        <w:tc>
          <w:tcPr>
            <w:tcW w:w="1240" w:type="dxa"/>
            <w:vAlign w:val="bottom"/>
            <w:gridSpan w:val="2"/>
          </w:tcPr>
          <w:p>
            <w:pPr>
              <w:spacing w:after="0" w:line="221" w:lineRule="exact"/>
              <w:rPr>
                <w:sz w:val="20"/>
                <w:szCs w:val="20"/>
                <w:color w:val="auto"/>
              </w:rPr>
            </w:pPr>
            <w:r>
              <w:rPr>
                <w:rFonts w:ascii="Arial" w:cs="Arial" w:eastAsia="Arial" w:hAnsi="Arial"/>
                <w:sz w:val="21"/>
                <w:szCs w:val="21"/>
                <w:color w:val="auto"/>
              </w:rPr>
              <w:t>Number</w:t>
            </w:r>
          </w:p>
        </w:tc>
        <w:tc>
          <w:tcPr>
            <w:tcW w:w="4620" w:type="dxa"/>
            <w:vAlign w:val="bottom"/>
            <w:gridSpan w:val="3"/>
          </w:tcPr>
          <w:p>
            <w:pPr>
              <w:ind w:left="520"/>
              <w:spacing w:after="0" w:line="221" w:lineRule="exact"/>
              <w:rPr>
                <w:sz w:val="20"/>
                <w:szCs w:val="20"/>
                <w:color w:val="auto"/>
              </w:rPr>
            </w:pPr>
            <w:r>
              <w:rPr>
                <w:rFonts w:ascii="Arial" w:cs="Arial" w:eastAsia="Arial" w:hAnsi="Arial"/>
                <w:sz w:val="21"/>
                <w:szCs w:val="21"/>
                <w:color w:val="auto"/>
              </w:rPr>
              <w:t>Description of Exhibit</w:t>
            </w:r>
          </w:p>
        </w:tc>
      </w:tr>
      <w:tr>
        <w:trPr>
          <w:trHeight w:val="20"/>
        </w:trPr>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562"/>
        </w:trPr>
        <w:tc>
          <w:tcPr>
            <w:tcW w:w="700" w:type="dxa"/>
            <w:vAlign w:val="bottom"/>
          </w:tcPr>
          <w:p>
            <w:pPr>
              <w:spacing w:after="0"/>
              <w:rPr>
                <w:sz w:val="20"/>
                <w:szCs w:val="20"/>
                <w:color w:val="auto"/>
              </w:rPr>
            </w:pPr>
            <w:r>
              <w:rPr>
                <w:rFonts w:ascii="Arial" w:cs="Arial" w:eastAsia="Arial" w:hAnsi="Arial"/>
                <w:sz w:val="21"/>
                <w:szCs w:val="21"/>
                <w:color w:val="auto"/>
              </w:rPr>
              <w:t>99.1</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21"/>
                <w:szCs w:val="21"/>
                <w:color w:val="auto"/>
                <w:w w:val="90"/>
              </w:rPr>
              <w:t>Press Release of NN, Inc. dated August 3,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96" w:lineRule="exact"/>
        <w:rPr>
          <w:sz w:val="20"/>
          <w:szCs w:val="20"/>
          <w:color w:val="auto"/>
        </w:rPr>
      </w:pPr>
    </w:p>
    <w:p>
      <w:pPr>
        <w:spacing w:after="0" w:line="29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21"/>
          <w:szCs w:val="21"/>
          <w:b w:val="1"/>
          <w:bCs w:val="1"/>
          <w:color w:val="auto"/>
        </w:rPr>
        <w:t>NN, INC.</w:t>
      </w:r>
    </w:p>
    <w:p>
      <w:pPr>
        <w:spacing w:after="0" w:line="200" w:lineRule="exact"/>
        <w:rPr>
          <w:sz w:val="20"/>
          <w:szCs w:val="20"/>
          <w:color w:val="auto"/>
        </w:rPr>
      </w:pPr>
    </w:p>
    <w:p>
      <w:pPr>
        <w:spacing w:after="0" w:line="223" w:lineRule="exact"/>
        <w:rPr>
          <w:sz w:val="20"/>
          <w:szCs w:val="20"/>
          <w:color w:val="auto"/>
        </w:rPr>
      </w:pPr>
    </w:p>
    <w:p>
      <w:pPr>
        <w:spacing w:after="0"/>
        <w:tabs>
          <w:tab w:leader="none" w:pos="5520" w:val="left"/>
        </w:tabs>
        <w:rPr>
          <w:sz w:val="20"/>
          <w:szCs w:val="20"/>
          <w:color w:val="auto"/>
        </w:rPr>
      </w:pPr>
      <w:r>
        <w:rPr>
          <w:rFonts w:ascii="Arial" w:cs="Arial" w:eastAsia="Arial" w:hAnsi="Arial"/>
          <w:sz w:val="21"/>
          <w:szCs w:val="21"/>
          <w:b w:val="1"/>
          <w:bCs w:val="1"/>
          <w:color w:val="auto"/>
        </w:rPr>
        <w:t>Date: August 3, 2006</w:t>
      </w:r>
      <w:r>
        <w:rPr>
          <w:sz w:val="20"/>
          <w:szCs w:val="20"/>
          <w:color w:val="auto"/>
        </w:rPr>
        <w:tab/>
      </w:r>
      <w:r>
        <w:rPr>
          <w:rFonts w:ascii="Arial" w:cs="Arial" w:eastAsia="Arial" w:hAnsi="Arial"/>
          <w:sz w:val="20"/>
          <w:szCs w:val="20"/>
          <w:b w:val="1"/>
          <w:bCs w:val="1"/>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81280</wp:posOffset>
            </wp:positionV>
            <wp:extent cx="278892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8920" cy="20955"/>
                    </a:xfrm>
                    <a:prstGeom prst="rect">
                      <a:avLst/>
                    </a:prstGeom>
                    <a:noFill/>
                  </pic:spPr>
                </pic:pic>
              </a:graphicData>
            </a:graphic>
          </wp:anchor>
        </w:drawing>
      </w:r>
    </w:p>
    <w:p>
      <w:pPr>
        <w:spacing w:after="0" w:line="223"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Title: Vice President and</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21"/>
          <w:szCs w:val="21"/>
          <w:color w:val="auto"/>
        </w:rPr>
        <w:t>Chief Administrative Officer</w:t>
      </w:r>
    </w:p>
    <w:p>
      <w:pPr>
        <w:sectPr>
          <w:pgSz w:w="11900" w:h="16838" w:orient="portrait"/>
          <w:cols w:equalWidth="0" w:num="1">
            <w:col w:w="11400"/>
          </w:cols>
          <w:pgMar w:left="240" w:top="657" w:right="25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40"/>
        <w:spacing w:after="0" w:line="295" w:lineRule="auto"/>
        <w:rPr>
          <w:sz w:val="20"/>
          <w:szCs w:val="20"/>
          <w:color w:val="auto"/>
        </w:rPr>
      </w:pPr>
      <w:r>
        <w:rPr>
          <w:rFonts w:ascii="Arial" w:cs="Arial" w:eastAsia="Arial" w:hAnsi="Arial"/>
          <w:sz w:val="27"/>
          <w:szCs w:val="27"/>
          <w:color w:val="auto"/>
        </w:rPr>
        <w:t>FINANCIAL 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AT THE COMPANY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Will Kelly</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5"/>
          <w:szCs w:val="15"/>
          <w:color w:val="auto"/>
        </w:rPr>
        <w:t>Vice President and Chief Administrative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Officer</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(423) 743-9151</w:t>
      </w:r>
    </w:p>
    <w:p>
      <w:pPr>
        <w:spacing w:after="0" w:line="273"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b w:val="1"/>
          <w:bCs w:val="1"/>
          <w:color w:val="auto"/>
        </w:rPr>
        <w:t xml:space="preserve">FOR IMMEDIATE RELEASE </w:t>
      </w:r>
      <w:r>
        <w:rPr>
          <w:rFonts w:ascii="Arial" w:cs="Arial" w:eastAsia="Arial" w:hAnsi="Arial"/>
          <w:sz w:val="18"/>
          <w:szCs w:val="18"/>
          <w:color w:val="auto"/>
        </w:rPr>
        <w:t>August 3, 2006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b w:val="1"/>
          <w:bCs w:val="1"/>
          <w:color w:val="auto"/>
        </w:rPr>
        <w:t>EXHIBIT 99.1</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43"/>
          <w:szCs w:val="43"/>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RE: NN, Inc.</w:t>
      </w:r>
    </w:p>
    <w:p>
      <w:pPr>
        <w:spacing w:after="0" w:line="2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2000 Waters Edge Drive</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28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AT FINANCIAL RELATIONS</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40" w:type="dxa"/>
            <w:vAlign w:val="bottom"/>
            <w:gridSpan w:val="4"/>
          </w:tcPr>
          <w:p>
            <w:pPr>
              <w:spacing w:after="0" w:line="193" w:lineRule="exact"/>
              <w:rPr>
                <w:sz w:val="20"/>
                <w:szCs w:val="20"/>
                <w:color w:val="auto"/>
              </w:rPr>
            </w:pPr>
            <w:r>
              <w:rPr>
                <w:rFonts w:ascii="Arial" w:cs="Arial" w:eastAsia="Arial" w:hAnsi="Arial"/>
                <w:sz w:val="17"/>
                <w:szCs w:val="17"/>
                <w:b w:val="1"/>
                <w:bCs w:val="1"/>
                <w:color w:val="auto"/>
              </w:rPr>
              <w:t>BOARD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360" w:type="dxa"/>
            <w:vAlign w:val="bottom"/>
            <w:vMerge w:val="restart"/>
          </w:tcPr>
          <w:p>
            <w:pPr>
              <w:ind w:left="320"/>
              <w:spacing w:after="0"/>
              <w:rPr>
                <w:sz w:val="20"/>
                <w:szCs w:val="20"/>
                <w:color w:val="auto"/>
              </w:rPr>
            </w:pPr>
            <w:r>
              <w:rPr>
                <w:rFonts w:ascii="Arial" w:cs="Arial" w:eastAsia="Arial" w:hAnsi="Arial"/>
                <w:sz w:val="18"/>
                <w:szCs w:val="18"/>
                <w:color w:val="auto"/>
                <w:w w:val="84"/>
              </w:rPr>
              <w:t>Susan Garland</w:t>
            </w:r>
          </w:p>
        </w:tc>
        <w:tc>
          <w:tcPr>
            <w:tcW w:w="0" w:type="dxa"/>
            <w:vAlign w:val="bottom"/>
          </w:tcPr>
          <w:p>
            <w:pPr>
              <w:spacing w:after="0" w:line="20" w:lineRule="exact"/>
              <w:rPr>
                <w:sz w:val="1"/>
                <w:szCs w:val="1"/>
                <w:color w:val="auto"/>
              </w:rPr>
            </w:pPr>
          </w:p>
        </w:tc>
      </w:tr>
      <w:tr>
        <w:trPr>
          <w:trHeight w:val="258"/>
        </w:trPr>
        <w:tc>
          <w:tcPr>
            <w:tcW w:w="60" w:type="dxa"/>
            <w:vAlign w:val="bottom"/>
          </w:tcPr>
          <w:p>
            <w:pPr>
              <w:spacing w:after="0"/>
              <w:rPr>
                <w:sz w:val="22"/>
                <w:szCs w:val="22"/>
                <w:color w:val="auto"/>
              </w:rPr>
            </w:pPr>
          </w:p>
        </w:tc>
        <w:tc>
          <w:tcPr>
            <w:tcW w:w="2580" w:type="dxa"/>
            <w:vAlign w:val="bottom"/>
            <w:gridSpan w:val="3"/>
          </w:tcPr>
          <w:p>
            <w:pPr>
              <w:spacing w:after="0"/>
              <w:rPr>
                <w:sz w:val="20"/>
                <w:szCs w:val="20"/>
                <w:color w:val="auto"/>
              </w:rPr>
            </w:pPr>
            <w:r>
              <w:rPr>
                <w:rFonts w:ascii="Arial" w:cs="Arial" w:eastAsia="Arial" w:hAnsi="Arial"/>
                <w:sz w:val="17"/>
                <w:szCs w:val="17"/>
                <w:color w:val="auto"/>
              </w:rPr>
              <w:t>Marilynn Meek</w:t>
            </w: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6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7"/>
                <w:szCs w:val="17"/>
                <w:color w:val="auto"/>
              </w:rPr>
              <w:t>(General info)</w:t>
            </w:r>
          </w:p>
        </w:tc>
        <w:tc>
          <w:tcPr>
            <w:tcW w:w="1360" w:type="dxa"/>
            <w:vAlign w:val="bottom"/>
          </w:tcPr>
          <w:p>
            <w:pPr>
              <w:ind w:left="320"/>
              <w:spacing w:after="0"/>
              <w:rPr>
                <w:sz w:val="20"/>
                <w:szCs w:val="20"/>
                <w:color w:val="auto"/>
              </w:rPr>
            </w:pPr>
            <w:r>
              <w:rPr>
                <w:rFonts w:ascii="Arial" w:cs="Arial" w:eastAsia="Arial" w:hAnsi="Arial"/>
                <w:sz w:val="18"/>
                <w:szCs w:val="18"/>
                <w:color w:val="auto"/>
                <w:w w:val="97"/>
              </w:rPr>
              <w:t>(Analyst info)</w:t>
            </w:r>
          </w:p>
        </w:tc>
        <w:tc>
          <w:tcPr>
            <w:tcW w:w="0" w:type="dxa"/>
            <w:vAlign w:val="bottom"/>
          </w:tcPr>
          <w:p>
            <w:pPr>
              <w:spacing w:after="0"/>
              <w:rPr>
                <w:sz w:val="1"/>
                <w:szCs w:val="1"/>
                <w:color w:val="auto"/>
              </w:rPr>
            </w:pPr>
          </w:p>
        </w:tc>
      </w:tr>
      <w:tr>
        <w:trPr>
          <w:trHeight w:val="359"/>
        </w:trPr>
        <w:tc>
          <w:tcPr>
            <w:tcW w:w="2360" w:type="dxa"/>
            <w:vAlign w:val="bottom"/>
            <w:gridSpan w:val="3"/>
          </w:tcPr>
          <w:p>
            <w:pPr>
              <w:ind w:left="60"/>
              <w:spacing w:after="0"/>
              <w:rPr>
                <w:sz w:val="20"/>
                <w:szCs w:val="20"/>
                <w:color w:val="auto"/>
              </w:rPr>
            </w:pPr>
            <w:r>
              <w:rPr>
                <w:rFonts w:ascii="Arial" w:cs="Arial" w:eastAsia="Arial" w:hAnsi="Arial"/>
                <w:sz w:val="17"/>
                <w:szCs w:val="17"/>
                <w:color w:val="auto"/>
              </w:rPr>
              <w:t>212-827-3773</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212-827-3775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440"/>
        <w:spacing w:after="0" w:line="259" w:lineRule="auto"/>
        <w:rPr>
          <w:sz w:val="20"/>
          <w:szCs w:val="20"/>
          <w:color w:val="auto"/>
        </w:rPr>
      </w:pPr>
      <w:r>
        <w:rPr>
          <w:rFonts w:ascii="Arial" w:cs="Arial" w:eastAsia="Arial" w:hAnsi="Arial"/>
          <w:sz w:val="18"/>
          <w:szCs w:val="18"/>
          <w:b w:val="1"/>
          <w:bCs w:val="1"/>
          <w:color w:val="auto"/>
        </w:rPr>
        <w:t>NN, INC. REPORTS SECOND QUARTER 2006 RESULTS Earnings Per Share Rise 5% For The Quarter and 16% For The Six Month Period</w:t>
      </w:r>
    </w:p>
    <w:p>
      <w:pPr>
        <w:spacing w:after="0" w:line="200" w:lineRule="exact"/>
        <w:rPr>
          <w:sz w:val="20"/>
          <w:szCs w:val="20"/>
          <w:color w:val="auto"/>
        </w:rPr>
      </w:pPr>
    </w:p>
    <w:p>
      <w:pPr>
        <w:sectPr>
          <w:pgSz w:w="11900" w:h="16838" w:orient="portrait"/>
          <w:cols w:equalWidth="0" w:num="2">
            <w:col w:w="2860" w:space="580"/>
            <w:col w:w="7980"/>
          </w:cols>
          <w:pgMar w:left="240" w:top="351" w:right="239" w:bottom="1440" w:gutter="0" w:footer="0" w:header="0"/>
        </w:sectPr>
      </w:pPr>
    </w:p>
    <w:p>
      <w:pPr>
        <w:spacing w:after="0" w:line="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Johnson City, Tenn, August 3, 2006 </w:t>
      </w:r>
      <w:r>
        <w:rPr>
          <w:rFonts w:ascii="Arial" w:cs="Arial" w:eastAsia="Arial" w:hAnsi="Arial"/>
          <w:sz w:val="18"/>
          <w:szCs w:val="18"/>
          <w:color w:val="auto"/>
        </w:rPr>
        <w:t>- NN, Inc. (Nasdaq: NNBR) today reported its financial results for the second quarter ended June 30, 2006. Net sales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2006 decreased slightly to $83.6 million from $83.8 million for the same period of 2005. Net income for the second quarter of 2006 totaled $3.5 million, or $0.20 per diluted share, compared to $3.3 million, or $0.19 per diluted share for the second quarter of 2005, an increase of 6.1% and 5.3%, respectively.</w:t>
      </w:r>
    </w:p>
    <w:p>
      <w:pPr>
        <w:spacing w:after="0" w:line="24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Net sales for the first half of 2006 were $169.6 million, compared to $170.5 million for the same period of 2005. Net income for the first half of 2006 totaled $8.7 million, or $0.50 per diluted share, compared to $7.3 million, or $0.43 per diluted share for the same period of 2005, an increase of 19.2% and 16.3%, respectively. Net income for the first half of 2006 includes an after-tax gain on the sale of excess land of $1.5 million or $0.08 per diluted share and an after-tax write-off of certain unused equipment of $667,000 or $0.04 per diluted share, both recorded in the first quarter.</w:t>
      </w:r>
    </w:p>
    <w:p>
      <w:pPr>
        <w:spacing w:after="0" w:line="2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James H. Dorton, Vice President and Chief Financial Officer, commented</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of $169.6 million for the first half of 2006 were down compared to $170.5 million for the same period in 2005. Increased revenues from our global business units for the six month period were offset by the negative effects of currency translation. In the absence of this currency movement during the first half of the year, revenues would have been approximately $175.0 million, an increase of 2.6% over the same period in 2005.</w:t>
      </w:r>
    </w:p>
    <w:p>
      <w:pPr>
        <w:spacing w:after="0" w:line="244"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“As a percentage of net sales, 2006 second quarter cost of products sold was 77.7% compared to 78.8% recorded in the prior year. Year-to-date cost of products sold was 77.2% in 2006 as compared to 78.4% for the same period last year. The improvement in our cost of products sold relative to sales was the result of the timing of material price pass through to certain customers and Level 3 cost reduction and efficiency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5" w:name="page6"/>
    <w:bookmarkEnd w:id="5"/>
    <w:p>
      <w:pPr>
        <w:jc w:val="both"/>
        <w:ind w:right="40"/>
        <w:spacing w:after="0" w:line="256" w:lineRule="auto"/>
        <w:rPr>
          <w:sz w:val="20"/>
          <w:szCs w:val="20"/>
          <w:color w:val="auto"/>
        </w:rPr>
      </w:pPr>
      <w:r>
        <w:rPr>
          <w:rFonts w:ascii="Arial" w:cs="Arial" w:eastAsia="Arial" w:hAnsi="Arial"/>
          <w:sz w:val="18"/>
          <w:szCs w:val="18"/>
          <w:color w:val="auto"/>
        </w:rPr>
        <w:t>“Selling, general and administrative expenses were $7.1 million or 8.5% of net sales for the second quarter of 2006 as compared to $7.3 million, or 8.7% of net sales for the second quarter of 2005. Selling, general and administrative expenses for the first half of 2006 remained on plan at 8.7% of net sales as compared to 8.7% of net sales for the same period in 2005.”</w:t>
      </w:r>
    </w:p>
    <w:p>
      <w:pPr>
        <w:spacing w:after="0" w:line="241"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Mr. Dorton continued, “During the second quarter we purchased 36,347 shares under our previously announced stock repurchase plan which brings the total shares purchased through the end of June 2006 to 56,821 shares. The program allows for the purchase of up to $10.0 million of the Company’s outstanding stock. This program commenced in mid-March of 2006 and will continue for 18 months thereafter.”</w:t>
      </w:r>
    </w:p>
    <w:p>
      <w:pPr>
        <w:spacing w:after="0" w:line="2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paid down debt by $3.7 million during the first half of the year. At this rate, we are running slightly behind our debt reduction goal of approximately $10.0 million for the full year of 2006. This was due to traditionally higher working capital needs for the first half of the year; however, we remain committed to our goal and will take measures in the second half of the year to more aggressively manage our working capital needs. The $10.0 million debt reduction goal assumes the full funding of the stock repurchase plan of up to $10.0 million and excludes the impact of any potential new acquisitions that may occur during the year.”</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Mr. Dorton concluded, “At the end of the quarter, the remaining balance of our variable rate revolving credit facility was $18.9 million. On June 30, 2007, this credit facility matures; therefore, we have begun the process of negotiating with a bank group a new syndicated five year, $90.0 million loan agreement. This new credit facility will provide us with the necessary capital structure to execute our strategic growth plan. We anticipate the completion of this new credit facility in the third quarter of this year.”</w:t>
      </w:r>
    </w:p>
    <w:p>
      <w:pPr>
        <w:spacing w:after="0" w:line="244"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Roderick R. Baty, Chairman and Chief Executive Officer, commented, “For the remainder of 2006, we expect similar economic conditions to those we have experienced in the U.S. and Europe for the first six months of this year. Therefore, our guidance for the full year remains unchanged with estimated total year revenues at approximately $325 million and full year earnings to be in the range of $0.86 to $0.92 per diluted share.”</w:t>
      </w:r>
    </w:p>
    <w:p>
      <w:pPr>
        <w:spacing w:after="0" w:line="22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Mr. Baty further commented, “While we remain focused on the disciplined management of our current operations, we are pursuing new opportunities to grow our business which are consistent with our recently developed five year strategic growth plan. To execute this plan, we will focus on three major areas of potential growth: further geographic expansion of existing bearing component products; acquisitive growth of both captive and independent businesses within bearing components, and identified acquisition opportunities that leverage our competencies in related high precision steel component manufacturing.”</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393" w:right="279" w:bottom="1440" w:gutter="0" w:footer="0" w:header="0"/>
        </w:sectPr>
      </w:pPr>
    </w:p>
    <w:bookmarkStart w:id="6" w:name="page7"/>
    <w:bookmarkEnd w:id="6"/>
    <w:p>
      <w:pPr>
        <w:ind w:right="100"/>
        <w:spacing w:after="0" w:line="256" w:lineRule="auto"/>
        <w:rPr>
          <w:sz w:val="20"/>
          <w:szCs w:val="20"/>
          <w:color w:val="auto"/>
        </w:rPr>
      </w:pPr>
      <w:r>
        <w:rPr>
          <w:rFonts w:ascii="Arial" w:cs="Arial" w:eastAsia="Arial" w:hAnsi="Arial"/>
          <w:sz w:val="18"/>
          <w:szCs w:val="18"/>
          <w:color w:val="auto"/>
        </w:rPr>
        <w:t>Mr. Baty concluded, “Our five year objectives are to grow revenues and earnings at a compound annual rate which would double the size of the Company over the five year planning horizon. We believe the current plan provides a clear strategic direction to achieve our objectives and to create long-term value for our customers, employees and shareholders.”</w:t>
      </w:r>
    </w:p>
    <w:p>
      <w:pPr>
        <w:spacing w:after="0" w:line="241"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i w:val="1"/>
          <w:iCs w:val="1"/>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$321 million in 2005.</w:t>
      </w:r>
    </w:p>
    <w:p>
      <w:pPr>
        <w:spacing w:after="0" w:line="187"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2005.</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2" w:lineRule="exact"/>
        <w:rPr>
          <w:sz w:val="20"/>
          <w:szCs w:val="20"/>
          <w:color w:val="auto"/>
        </w:rPr>
      </w:pPr>
    </w:p>
    <w:p>
      <w:pPr>
        <w:ind w:right="760"/>
        <w:spacing w:after="0" w:line="288" w:lineRule="auto"/>
        <w:rPr>
          <w:sz w:val="20"/>
          <w:szCs w:val="20"/>
          <w:color w:val="auto"/>
        </w:rPr>
      </w:pPr>
      <w:r>
        <w:rPr>
          <w:rFonts w:ascii="Arial" w:cs="Arial" w:eastAsia="Arial" w:hAnsi="Arial"/>
          <w:sz w:val="16"/>
          <w:szCs w:val="16"/>
          <w:color w:val="auto"/>
        </w:rPr>
        <w:t>Cost of products sold (exclusive of depreciation shown separately below) Selling, general and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on disposal of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NN, Inc.</w:t>
      </w:r>
    </w:p>
    <w:p>
      <w:pPr>
        <w:spacing w:after="0" w:line="23"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Consolidated Statements of Income</w:t>
      </w:r>
    </w:p>
    <w:p>
      <w:pPr>
        <w:spacing w:after="0" w:line="6" w:lineRule="exact"/>
        <w:rPr>
          <w:sz w:val="20"/>
          <w:szCs w:val="20"/>
          <w:color w:val="auto"/>
        </w:rPr>
      </w:pPr>
    </w:p>
    <w:p>
      <w:pPr>
        <w:jc w:val="center"/>
        <w:ind w:right="414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52"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32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w:t>
            </w:r>
          </w:p>
        </w:tc>
        <w:tc>
          <w:tcPr>
            <w:tcW w:w="326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Six Months Ended</w:t>
            </w:r>
          </w:p>
        </w:tc>
      </w:tr>
      <w:tr>
        <w:trPr>
          <w:trHeight w:val="219"/>
        </w:trPr>
        <w:tc>
          <w:tcPr>
            <w:tcW w:w="1940" w:type="dxa"/>
            <w:vAlign w:val="bottom"/>
            <w:gridSpan w:val="3"/>
          </w:tcPr>
          <w:p>
            <w:pPr>
              <w:jc w:val="center"/>
              <w:ind w:left="911"/>
              <w:spacing w:after="0"/>
              <w:rPr>
                <w:sz w:val="20"/>
                <w:szCs w:val="20"/>
                <w:color w:val="auto"/>
              </w:rPr>
            </w:pPr>
            <w:r>
              <w:rPr>
                <w:rFonts w:ascii="Arial" w:cs="Arial" w:eastAsia="Arial" w:hAnsi="Arial"/>
                <w:sz w:val="18"/>
                <w:szCs w:val="18"/>
                <w:b w:val="1"/>
                <w:bCs w:val="1"/>
                <w:color w:val="auto"/>
                <w:w w:val="85"/>
              </w:rPr>
              <w:t>June 30,</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871"/>
              <w:spacing w:after="0"/>
              <w:rPr>
                <w:sz w:val="20"/>
                <w:szCs w:val="20"/>
                <w:color w:val="auto"/>
              </w:rPr>
            </w:pPr>
            <w:r>
              <w:rPr>
                <w:rFonts w:ascii="Arial" w:cs="Arial" w:eastAsia="Arial" w:hAnsi="Arial"/>
                <w:sz w:val="18"/>
                <w:szCs w:val="18"/>
                <w:b w:val="1"/>
                <w:bCs w:val="1"/>
                <w:color w:val="auto"/>
                <w:w w:val="99"/>
              </w:rPr>
              <w:t>June 30,</w:t>
            </w:r>
          </w:p>
        </w:tc>
      </w:tr>
      <w:tr>
        <w:trPr>
          <w:trHeight w:val="232"/>
        </w:trPr>
        <w:tc>
          <w:tcPr>
            <w:tcW w:w="13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2005</w:t>
            </w:r>
          </w:p>
        </w:tc>
      </w:tr>
      <w:tr>
        <w:trPr>
          <w:trHeight w:val="238"/>
        </w:trPr>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$ 83,554</w:t>
            </w: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$ 83,787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$ 169,571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$ 170,502</w:t>
            </w:r>
          </w:p>
        </w:tc>
      </w:tr>
      <w:tr>
        <w:trPr>
          <w:trHeight w:val="425"/>
        </w:trPr>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64,905</w:t>
            </w:r>
          </w:p>
        </w:tc>
        <w:tc>
          <w:tcPr>
            <w:tcW w:w="32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66,005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130,904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133,670</w:t>
            </w:r>
          </w:p>
        </w:tc>
      </w:tr>
      <w:tr>
        <w:trPr>
          <w:trHeight w:val="239"/>
        </w:trPr>
        <w:tc>
          <w:tcPr>
            <w:tcW w:w="1340" w:type="dxa"/>
            <w:vAlign w:val="bottom"/>
          </w:tcPr>
          <w:p>
            <w:pPr>
              <w:jc w:val="right"/>
              <w:spacing w:after="0"/>
              <w:rPr>
                <w:sz w:val="20"/>
                <w:szCs w:val="20"/>
                <w:color w:val="auto"/>
              </w:rPr>
            </w:pPr>
            <w:r>
              <w:rPr>
                <w:rFonts w:ascii="Arial" w:cs="Arial" w:eastAsia="Arial" w:hAnsi="Arial"/>
                <w:sz w:val="18"/>
                <w:szCs w:val="18"/>
                <w:color w:val="auto"/>
              </w:rPr>
              <w:t>7,063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7,297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14,744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14,782</w:t>
            </w:r>
          </w:p>
        </w:tc>
      </w:tr>
      <w:tr>
        <w:trPr>
          <w:trHeight w:val="239"/>
        </w:trPr>
        <w:tc>
          <w:tcPr>
            <w:tcW w:w="1340" w:type="dxa"/>
            <w:vAlign w:val="bottom"/>
          </w:tcPr>
          <w:p>
            <w:pPr>
              <w:jc w:val="right"/>
              <w:spacing w:after="0"/>
              <w:rPr>
                <w:sz w:val="20"/>
                <w:szCs w:val="20"/>
                <w:color w:val="auto"/>
              </w:rPr>
            </w:pPr>
            <w:r>
              <w:rPr>
                <w:rFonts w:ascii="Arial" w:cs="Arial" w:eastAsia="Arial" w:hAnsi="Arial"/>
                <w:sz w:val="18"/>
                <w:szCs w:val="18"/>
                <w:color w:val="auto"/>
              </w:rPr>
              <w:t>4,425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4,130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8,587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8,303</w:t>
            </w:r>
          </w:p>
        </w:tc>
      </w:tr>
      <w:tr>
        <w:trPr>
          <w:trHeight w:val="226"/>
        </w:trPr>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32"/>
        </w:trPr>
        <w:tc>
          <w:tcPr>
            <w:tcW w:w="1340" w:type="dxa"/>
            <w:vAlign w:val="bottom"/>
          </w:tcPr>
          <w:p>
            <w:pPr>
              <w:jc w:val="right"/>
              <w:spacing w:after="0"/>
              <w:rPr>
                <w:sz w:val="20"/>
                <w:szCs w:val="20"/>
                <w:color w:val="auto"/>
              </w:rPr>
            </w:pPr>
            <w:r>
              <w:rPr>
                <w:rFonts w:ascii="Arial" w:cs="Arial" w:eastAsia="Arial" w:hAnsi="Arial"/>
                <w:sz w:val="18"/>
                <w:szCs w:val="18"/>
                <w:color w:val="auto"/>
              </w:rPr>
              <w:t>7,157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6,353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16,062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13,741</w:t>
            </w:r>
          </w:p>
        </w:tc>
      </w:tr>
      <w:tr>
        <w:trPr>
          <w:trHeight w:val="478"/>
        </w:trPr>
        <w:tc>
          <w:tcPr>
            <w:tcW w:w="1340" w:type="dxa"/>
            <w:vAlign w:val="bottom"/>
          </w:tcPr>
          <w:p>
            <w:pPr>
              <w:jc w:val="right"/>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1,025</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-1331595</wp:posOffset>
            </wp:positionV>
            <wp:extent cx="7248525" cy="151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1517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-909320</wp:posOffset>
            </wp:positionV>
            <wp:extent cx="7248525" cy="151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1517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-605790</wp:posOffset>
            </wp:positionV>
            <wp:extent cx="7248525" cy="151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8525" cy="15176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-301625</wp:posOffset>
            </wp:positionV>
            <wp:extent cx="7248525" cy="151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1517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40" w:space="720"/>
            <w:col w:w="7260"/>
          </w:cols>
          <w:pgMar w:left="240" w:top="360"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9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340" w:type="dxa"/>
            <w:vAlign w:val="bottom"/>
          </w:tcPr>
          <w:p>
            <w:pPr>
              <w:jc w:val="right"/>
              <w:spacing w:after="0"/>
              <w:rPr>
                <w:sz w:val="20"/>
                <w:szCs w:val="20"/>
                <w:color w:val="auto"/>
              </w:rPr>
            </w:pPr>
            <w:r>
              <w:rPr>
                <w:rFonts w:ascii="Arial" w:cs="Arial" w:eastAsia="Arial" w:hAnsi="Arial"/>
                <w:sz w:val="18"/>
                <w:szCs w:val="18"/>
                <w:color w:val="auto"/>
              </w:rPr>
              <w:t>5,687</w:t>
            </w:r>
          </w:p>
        </w:tc>
        <w:tc>
          <w:tcPr>
            <w:tcW w:w="28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5,496</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13,815</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2,184</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$ 3,453</w:t>
            </w:r>
          </w:p>
        </w:tc>
        <w:tc>
          <w:tcPr>
            <w:tcW w:w="28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$ 3,312</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$ 8,715</w:t>
            </w:r>
          </w:p>
        </w:tc>
        <w:tc>
          <w:tcPr>
            <w:tcW w:w="1520" w:type="dxa"/>
            <w:vAlign w:val="bottom"/>
          </w:tcPr>
          <w:p>
            <w:pPr>
              <w:jc w:val="right"/>
              <w:spacing w:after="0"/>
              <w:rPr>
                <w:sz w:val="20"/>
                <w:szCs w:val="20"/>
                <w:color w:val="auto"/>
              </w:rPr>
            </w:pPr>
            <w:r>
              <w:rPr>
                <w:rFonts w:ascii="Arial" w:cs="Arial" w:eastAsia="Arial" w:hAnsi="Arial"/>
                <w:sz w:val="18"/>
                <w:szCs w:val="18"/>
                <w:color w:val="auto"/>
              </w:rPr>
              <w:t>$ 7,337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$ 0.20</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$ 0.19</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$ 0.50</w:t>
            </w:r>
          </w:p>
        </w:tc>
        <w:tc>
          <w:tcPr>
            <w:tcW w:w="1520" w:type="dxa"/>
            <w:vAlign w:val="bottom"/>
          </w:tcPr>
          <w:p>
            <w:pPr>
              <w:jc w:val="right"/>
              <w:spacing w:after="0"/>
              <w:rPr>
                <w:sz w:val="20"/>
                <w:szCs w:val="20"/>
                <w:color w:val="auto"/>
              </w:rPr>
            </w:pPr>
            <w:r>
              <w:rPr>
                <w:rFonts w:ascii="Arial" w:cs="Arial" w:eastAsia="Arial" w:hAnsi="Arial"/>
                <w:sz w:val="18"/>
                <w:szCs w:val="18"/>
                <w:color w:val="auto"/>
              </w:rPr>
              <w:t>$ 0.43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17,369</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17,328</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17,365</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17,252</w:t>
            </w:r>
          </w:p>
        </w:tc>
        <w:tc>
          <w:tcPr>
            <w:tcW w:w="0" w:type="dxa"/>
            <w:vAlign w:val="bottom"/>
          </w:tcPr>
          <w:p>
            <w:pPr>
              <w:spacing w:after="0"/>
              <w:rPr>
                <w:sz w:val="1"/>
                <w:szCs w:val="1"/>
                <w:color w:val="auto"/>
              </w:rPr>
            </w:pPr>
          </w:p>
        </w:tc>
      </w:tr>
      <w:tr>
        <w:trPr>
          <w:trHeight w:val="926"/>
        </w:trPr>
        <w:tc>
          <w:tcPr>
            <w:tcW w:w="4920" w:type="dxa"/>
            <w:vAlign w:val="bottom"/>
          </w:tcPr>
          <w:p>
            <w:pPr>
              <w:spacing w:after="0"/>
              <w:rPr>
                <w:sz w:val="24"/>
                <w:szCs w:val="24"/>
                <w:color w:val="auto"/>
              </w:rPr>
            </w:pPr>
          </w:p>
        </w:tc>
        <w:tc>
          <w:tcPr>
            <w:tcW w:w="134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71" w:lineRule="exact"/>
        <w:rPr>
          <w:sz w:val="20"/>
          <w:szCs w:val="20"/>
          <w:color w:val="auto"/>
        </w:rPr>
      </w:pPr>
    </w:p>
    <w:p>
      <w:pPr>
        <w:ind w:right="1560"/>
        <w:spacing w:after="0" w:line="294" w:lineRule="auto"/>
        <w:rPr>
          <w:sz w:val="20"/>
          <w:szCs w:val="20"/>
          <w:color w:val="auto"/>
        </w:rPr>
      </w:pPr>
      <w:r>
        <w:rPr>
          <w:rFonts w:ascii="Arial" w:cs="Arial" w:eastAsia="Arial" w:hAnsi="Arial"/>
          <w:sz w:val="18"/>
          <w:szCs w:val="18"/>
          <w:color w:val="auto"/>
        </w:rPr>
        <w:t>Property, plant and equipment, net Goodwill, net</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Arial" w:cs="Arial" w:eastAsia="Arial" w:hAnsi="Arial"/>
          <w:sz w:val="18"/>
          <w:szCs w:val="18"/>
          <w:b w:val="1"/>
          <w:bCs w:val="1"/>
          <w:color w:val="auto"/>
        </w:rPr>
        <w:t>NN, Inc.</w:t>
      </w:r>
    </w:p>
    <w:p>
      <w:pPr>
        <w:spacing w:after="0" w:line="23" w:lineRule="exact"/>
        <w:rPr>
          <w:sz w:val="20"/>
          <w:szCs w:val="20"/>
          <w:color w:val="auto"/>
        </w:rPr>
      </w:pPr>
    </w:p>
    <w:p>
      <w:pPr>
        <w:jc w:val="center"/>
        <w:ind w:right="4700"/>
        <w:spacing w:after="0"/>
        <w:rPr>
          <w:sz w:val="20"/>
          <w:szCs w:val="20"/>
          <w:color w:val="auto"/>
        </w:rPr>
      </w:pPr>
      <w:r>
        <w:rPr>
          <w:rFonts w:ascii="Arial" w:cs="Arial" w:eastAsia="Arial" w:hAnsi="Arial"/>
          <w:sz w:val="14"/>
          <w:szCs w:val="14"/>
          <w:b w:val="1"/>
          <w:bCs w:val="1"/>
          <w:color w:val="auto"/>
        </w:rPr>
        <w:t>Condensed Balance Sheets</w:t>
      </w:r>
    </w:p>
    <w:p>
      <w:pPr>
        <w:spacing w:after="0" w:line="52" w:lineRule="exact"/>
        <w:rPr>
          <w:sz w:val="20"/>
          <w:szCs w:val="20"/>
          <w:color w:val="auto"/>
        </w:rPr>
      </w:pPr>
    </w:p>
    <w:p>
      <w:pPr>
        <w:jc w:val="center"/>
        <w:ind w:right="470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4700"/>
        <w:spacing w:after="0"/>
        <w:rPr>
          <w:sz w:val="20"/>
          <w:szCs w:val="20"/>
          <w:color w:val="auto"/>
        </w:rPr>
      </w:pPr>
      <w:r>
        <w:rPr>
          <w:rFonts w:ascii="Arial" w:cs="Arial" w:eastAsia="Arial" w:hAnsi="Arial"/>
          <w:sz w:val="18"/>
          <w:szCs w:val="18"/>
          <w:b w:val="1"/>
          <w:bCs w:val="1"/>
          <w:color w:val="auto"/>
        </w:rPr>
        <w:t>(Unaudited)</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213"/>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540" w:type="dxa"/>
            <w:vAlign w:val="bottom"/>
          </w:tcPr>
          <w:p>
            <w:pPr>
              <w:spacing w:after="0"/>
              <w:rPr>
                <w:sz w:val="18"/>
                <w:szCs w:val="18"/>
                <w:color w:val="auto"/>
              </w:rPr>
            </w:pPr>
          </w:p>
        </w:tc>
        <w:tc>
          <w:tcPr>
            <w:tcW w:w="2580" w:type="dxa"/>
            <w:vAlign w:val="bottom"/>
          </w:tcPr>
          <w:p>
            <w:pPr>
              <w:jc w:val="right"/>
              <w:ind w:right="69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2580" w:type="dxa"/>
            <w:vAlign w:val="bottom"/>
            <w:tcBorders>
              <w:bottom w:val="single" w:sz="8" w:color="auto"/>
            </w:tcBorders>
          </w:tcPr>
          <w:p>
            <w:pPr>
              <w:jc w:val="right"/>
              <w:ind w:right="1031"/>
              <w:spacing w:after="0"/>
              <w:rPr>
                <w:sz w:val="20"/>
                <w:szCs w:val="20"/>
                <w:color w:val="auto"/>
              </w:rPr>
            </w:pPr>
            <w:r>
              <w:rPr>
                <w:rFonts w:ascii="Arial" w:cs="Arial" w:eastAsia="Arial" w:hAnsi="Arial"/>
                <w:sz w:val="18"/>
                <w:szCs w:val="18"/>
                <w:b w:val="1"/>
                <w:bCs w:val="1"/>
                <w:color w:val="auto"/>
              </w:rPr>
              <w:t>2006</w:t>
            </w:r>
          </w:p>
        </w:tc>
        <w:tc>
          <w:tcPr>
            <w:tcW w:w="540" w:type="dxa"/>
            <w:vAlign w:val="bottom"/>
          </w:tcPr>
          <w:p>
            <w:pPr>
              <w:spacing w:after="0"/>
              <w:rPr>
                <w:sz w:val="20"/>
                <w:szCs w:val="20"/>
                <w:color w:val="auto"/>
              </w:rPr>
            </w:pPr>
          </w:p>
        </w:tc>
        <w:tc>
          <w:tcPr>
            <w:tcW w:w="2580" w:type="dxa"/>
            <w:vAlign w:val="bottom"/>
            <w:tcBorders>
              <w:bottom w:val="single" w:sz="8" w:color="auto"/>
            </w:tcBorders>
          </w:tcPr>
          <w:p>
            <w:pPr>
              <w:jc w:val="right"/>
              <w:ind w:right="1071"/>
              <w:spacing w:after="0"/>
              <w:rPr>
                <w:sz w:val="20"/>
                <w:szCs w:val="20"/>
                <w:color w:val="auto"/>
              </w:rPr>
            </w:pPr>
            <w:r>
              <w:rPr>
                <w:rFonts w:ascii="Arial" w:cs="Arial" w:eastAsia="Arial" w:hAnsi="Arial"/>
                <w:sz w:val="18"/>
                <w:szCs w:val="18"/>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151765</wp:posOffset>
            </wp:positionV>
            <wp:extent cx="7248525" cy="151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15176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455930</wp:posOffset>
            </wp:positionV>
            <wp:extent cx="7248525"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5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00" w:type="dxa"/>
        <w:tblCellMar>
          <w:top w:w="0" w:type="dxa"/>
          <w:left w:w="0" w:type="dxa"/>
          <w:bottom w:w="0" w:type="dxa"/>
          <w:right w:w="0" w:type="dxa"/>
        </w:tblCellMar>
      </w:tblPr>
      <w:tr>
        <w:trPr>
          <w:trHeight w:val="224"/>
        </w:trPr>
        <w:tc>
          <w:tcPr>
            <w:tcW w:w="2580" w:type="dxa"/>
            <w:vAlign w:val="bottom"/>
          </w:tcPr>
          <w:p>
            <w:pPr>
              <w:jc w:val="right"/>
              <w:spacing w:after="0"/>
              <w:rPr>
                <w:sz w:val="20"/>
                <w:szCs w:val="20"/>
                <w:color w:val="auto"/>
              </w:rPr>
            </w:pPr>
            <w:r>
              <w:rPr>
                <w:rFonts w:ascii="Arial" w:cs="Arial" w:eastAsia="Arial" w:hAnsi="Arial"/>
                <w:sz w:val="18"/>
                <w:szCs w:val="18"/>
                <w:color w:val="auto"/>
              </w:rPr>
              <w:t>$ 11,792</w:t>
            </w:r>
          </w:p>
        </w:tc>
        <w:tc>
          <w:tcPr>
            <w:tcW w:w="54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$ 10,856</w:t>
            </w:r>
          </w:p>
        </w:tc>
      </w:tr>
      <w:tr>
        <w:trPr>
          <w:trHeight w:val="239"/>
        </w:trPr>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58,537</w:t>
            </w:r>
          </w:p>
        </w:tc>
        <w:tc>
          <w:tcPr>
            <w:tcW w:w="2580" w:type="dxa"/>
            <w:vAlign w:val="bottom"/>
          </w:tcPr>
          <w:p>
            <w:pPr>
              <w:jc w:val="right"/>
              <w:spacing w:after="0"/>
              <w:rPr>
                <w:sz w:val="20"/>
                <w:szCs w:val="20"/>
                <w:color w:val="auto"/>
              </w:rPr>
            </w:pPr>
            <w:r>
              <w:rPr>
                <w:rFonts w:ascii="Arial" w:cs="Arial" w:eastAsia="Arial" w:hAnsi="Arial"/>
                <w:sz w:val="18"/>
                <w:szCs w:val="18"/>
                <w:color w:val="auto"/>
              </w:rPr>
              <w:t>47,297</w:t>
            </w:r>
          </w:p>
        </w:tc>
      </w:tr>
      <w:tr>
        <w:trPr>
          <w:trHeight w:val="239"/>
        </w:trPr>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36,538</w:t>
            </w:r>
          </w:p>
        </w:tc>
        <w:tc>
          <w:tcPr>
            <w:tcW w:w="2580" w:type="dxa"/>
            <w:vAlign w:val="bottom"/>
          </w:tcPr>
          <w:p>
            <w:pPr>
              <w:jc w:val="right"/>
              <w:spacing w:after="0"/>
              <w:rPr>
                <w:sz w:val="20"/>
                <w:szCs w:val="20"/>
                <w:color w:val="auto"/>
              </w:rPr>
            </w:pPr>
            <w:r>
              <w:rPr>
                <w:rFonts w:ascii="Arial" w:cs="Arial" w:eastAsia="Arial" w:hAnsi="Arial"/>
                <w:sz w:val="18"/>
                <w:szCs w:val="18"/>
                <w:color w:val="auto"/>
              </w:rPr>
              <w:t>38,096</w:t>
            </w:r>
          </w:p>
        </w:tc>
      </w:tr>
      <w:tr>
        <w:trPr>
          <w:trHeight w:val="226"/>
        </w:trPr>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12,310</w:t>
            </w:r>
          </w:p>
        </w:tc>
        <w:tc>
          <w:tcPr>
            <w:tcW w:w="2580" w:type="dxa"/>
            <w:vAlign w:val="bottom"/>
          </w:tcPr>
          <w:p>
            <w:pPr>
              <w:jc w:val="right"/>
              <w:spacing w:after="0"/>
              <w:rPr>
                <w:sz w:val="20"/>
                <w:szCs w:val="20"/>
                <w:color w:val="auto"/>
              </w:rPr>
            </w:pPr>
            <w:r>
              <w:rPr>
                <w:rFonts w:ascii="Arial" w:cs="Arial" w:eastAsia="Arial" w:hAnsi="Arial"/>
                <w:sz w:val="18"/>
                <w:szCs w:val="18"/>
                <w:color w:val="auto"/>
              </w:rPr>
              <w:t>9,701</w:t>
            </w:r>
          </w:p>
        </w:tc>
      </w:tr>
      <w:tr>
        <w:trPr>
          <w:trHeight w:val="232"/>
        </w:trPr>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119,177</w:t>
            </w:r>
          </w:p>
        </w:tc>
        <w:tc>
          <w:tcPr>
            <w:tcW w:w="540" w:type="dxa"/>
            <w:vAlign w:val="bottom"/>
          </w:tcPr>
          <w:p>
            <w:pPr>
              <w:spacing w:after="0"/>
              <w:rPr>
                <w:sz w:val="20"/>
                <w:szCs w:val="20"/>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105,950</w:t>
            </w:r>
          </w:p>
        </w:tc>
      </w:tr>
      <w:tr>
        <w:trPr>
          <w:trHeight w:val="478"/>
        </w:trPr>
        <w:tc>
          <w:tcPr>
            <w:tcW w:w="2580" w:type="dxa"/>
            <w:vAlign w:val="bottom"/>
          </w:tcPr>
          <w:p>
            <w:pPr>
              <w:jc w:val="right"/>
              <w:spacing w:after="0"/>
              <w:rPr>
                <w:sz w:val="20"/>
                <w:szCs w:val="20"/>
                <w:color w:val="auto"/>
              </w:rPr>
            </w:pPr>
            <w:r>
              <w:rPr>
                <w:rFonts w:ascii="Arial" w:cs="Arial" w:eastAsia="Arial" w:hAnsi="Arial"/>
                <w:sz w:val="18"/>
                <w:szCs w:val="18"/>
                <w:color w:val="auto"/>
              </w:rPr>
              <w:t>121,987</w:t>
            </w:r>
          </w:p>
        </w:tc>
        <w:tc>
          <w:tcPr>
            <w:tcW w:w="5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118,829</w:t>
            </w:r>
          </w:p>
        </w:tc>
      </w:tr>
      <w:tr>
        <w:trPr>
          <w:trHeight w:val="238"/>
        </w:trPr>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43,049</w:t>
            </w:r>
          </w:p>
        </w:tc>
        <w:tc>
          <w:tcPr>
            <w:tcW w:w="2580" w:type="dxa"/>
            <w:vAlign w:val="bottom"/>
          </w:tcPr>
          <w:p>
            <w:pPr>
              <w:jc w:val="right"/>
              <w:spacing w:after="0"/>
              <w:rPr>
                <w:sz w:val="20"/>
                <w:szCs w:val="20"/>
                <w:color w:val="auto"/>
              </w:rPr>
            </w:pPr>
            <w:r>
              <w:rPr>
                <w:rFonts w:ascii="Arial" w:cs="Arial" w:eastAsia="Arial" w:hAnsi="Arial"/>
                <w:sz w:val="18"/>
                <w:szCs w:val="18"/>
                <w:color w:val="auto"/>
              </w:rPr>
              <w:t>41,648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-909320</wp:posOffset>
            </wp:positionV>
            <wp:extent cx="7248525" cy="151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15176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-605790</wp:posOffset>
            </wp:positionV>
            <wp:extent cx="7248525"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15176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-301625</wp:posOffset>
            </wp:positionV>
            <wp:extent cx="7248525" cy="15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1517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00" w:space="720"/>
            <w:col w:w="6700"/>
          </w:cols>
          <w:pgMar w:left="240" w:top="360"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54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line="206" w:lineRule="exact"/>
              <w:rPr>
                <w:sz w:val="20"/>
                <w:szCs w:val="20"/>
                <w:color w:val="auto"/>
              </w:rPr>
            </w:pPr>
            <w:r>
              <w:rPr>
                <w:rFonts w:ascii="Arial" w:cs="Arial" w:eastAsia="Arial" w:hAnsi="Arial"/>
                <w:sz w:val="18"/>
                <w:szCs w:val="18"/>
                <w:color w:val="auto"/>
              </w:rPr>
              <w:t>Total assets</w:t>
            </w:r>
          </w:p>
        </w:tc>
        <w:tc>
          <w:tcPr>
            <w:tcW w:w="3120" w:type="dxa"/>
            <w:vAlign w:val="bottom"/>
            <w:gridSpan w:val="2"/>
          </w:tcPr>
          <w:p>
            <w:pPr>
              <w:jc w:val="right"/>
              <w:ind w:right="540"/>
              <w:spacing w:after="0" w:line="206" w:lineRule="exact"/>
              <w:rPr>
                <w:sz w:val="20"/>
                <w:szCs w:val="20"/>
                <w:color w:val="auto"/>
              </w:rPr>
            </w:pPr>
            <w:r>
              <w:rPr>
                <w:rFonts w:ascii="Arial" w:cs="Arial" w:eastAsia="Arial" w:hAnsi="Arial"/>
                <w:sz w:val="18"/>
                <w:szCs w:val="18"/>
                <w:color w:val="auto"/>
              </w:rPr>
              <w:t>$ 288,200</w:t>
            </w:r>
          </w:p>
        </w:tc>
        <w:tc>
          <w:tcPr>
            <w:tcW w:w="2580" w:type="dxa"/>
            <w:vAlign w:val="bottom"/>
          </w:tcPr>
          <w:p>
            <w:pPr>
              <w:jc w:val="right"/>
              <w:spacing w:after="0" w:line="206" w:lineRule="exact"/>
              <w:rPr>
                <w:sz w:val="20"/>
                <w:szCs w:val="20"/>
                <w:color w:val="auto"/>
              </w:rPr>
            </w:pPr>
            <w:r>
              <w:rPr>
                <w:rFonts w:ascii="Arial" w:cs="Arial" w:eastAsia="Arial" w:hAnsi="Arial"/>
                <w:sz w:val="18"/>
                <w:szCs w:val="18"/>
                <w:color w:val="auto"/>
              </w:rPr>
              <w:t>$ 269,655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7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r>
              <w:rPr>
                <w:rFonts w:ascii="Arial" w:cs="Arial" w:eastAsia="Arial" w:hAnsi="Arial"/>
                <w:sz w:val="18"/>
                <w:szCs w:val="18"/>
                <w:color w:val="auto"/>
              </w:rPr>
              <w:t>Accounts payable</w:t>
            </w:r>
          </w:p>
        </w:tc>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$ 44,312</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$ 41,660</w:t>
            </w:r>
          </w:p>
        </w:tc>
        <w:tc>
          <w:tcPr>
            <w:tcW w:w="0" w:type="dxa"/>
            <w:vAlign w:val="bottom"/>
          </w:tcPr>
          <w:p>
            <w:pPr>
              <w:spacing w:after="0"/>
              <w:rPr>
                <w:sz w:val="1"/>
                <w:szCs w:val="1"/>
                <w:color w:val="auto"/>
              </w:rPr>
            </w:pPr>
          </w:p>
        </w:tc>
      </w:tr>
      <w:tr>
        <w:trPr>
          <w:trHeight w:val="24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wages</w:t>
            </w:r>
          </w:p>
        </w:tc>
        <w:tc>
          <w:tcPr>
            <w:tcW w:w="3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12,705</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18,917</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2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5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84,851</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40"/>
        </w:trPr>
        <w:tc>
          <w:tcPr>
            <w:tcW w:w="57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120" w:type="dxa"/>
            <w:vAlign w:val="bottom"/>
            <w:gridSpan w:val="2"/>
          </w:tcPr>
          <w:p>
            <w:pPr>
              <w:jc w:val="right"/>
              <w:ind w:right="540"/>
              <w:spacing w:after="0"/>
              <w:rPr>
                <w:sz w:val="20"/>
                <w:szCs w:val="20"/>
                <w:color w:val="auto"/>
              </w:rPr>
            </w:pPr>
            <w:r>
              <w:rPr>
                <w:rFonts w:ascii="Arial" w:cs="Arial" w:eastAsia="Arial" w:hAnsi="Arial"/>
                <w:sz w:val="18"/>
                <w:szCs w:val="18"/>
                <w:color w:val="auto"/>
              </w:rPr>
              <w:t>16,435</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24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3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40,000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540" w:type="dxa"/>
            <w:vAlign w:val="bottom"/>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158,293</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129,907</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$ 288,200</w:t>
            </w:r>
          </w:p>
        </w:tc>
        <w:tc>
          <w:tcPr>
            <w:tcW w:w="5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$ 269,655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2019-12-11T23:48:01Z</dcterms:created>
  <dcterms:modified xsi:type="dcterms:W3CDTF">2019-12-11T23:48:01Z</dcterms:modified>
</cp:coreProperties>
</file>