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3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3"/>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391" w:lineRule="exact"/>
        <w:rPr>
          <w:sz w:val="24"/>
          <w:szCs w:val="24"/>
          <w:color w:val="auto"/>
        </w:rPr>
      </w:pPr>
    </w:p>
    <w:p>
      <w:pPr>
        <w:jc w:val="center"/>
        <w:ind w:right="-3"/>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169545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54" w:lineRule="exact"/>
        <w:rPr>
          <w:sz w:val="24"/>
          <w:szCs w:val="24"/>
          <w:color w:val="auto"/>
        </w:rPr>
      </w:pPr>
    </w:p>
    <w:p>
      <w:pPr>
        <w:jc w:val="center"/>
        <w:ind w:right="16"/>
        <w:spacing w:after="0"/>
        <w:rPr>
          <w:sz w:val="20"/>
          <w:szCs w:val="20"/>
          <w:color w:val="auto"/>
        </w:rPr>
      </w:pPr>
      <w:r>
        <w:rPr>
          <w:rFonts w:ascii="Arial" w:cs="Arial" w:eastAsia="Arial" w:hAnsi="Arial"/>
          <w:sz w:val="25"/>
          <w:szCs w:val="25"/>
          <w:b w:val="1"/>
          <w:bCs w:val="1"/>
          <w:color w:val="auto"/>
        </w:rPr>
        <w:t>CURRENT REPORT</w:t>
      </w:r>
    </w:p>
    <w:p>
      <w:pPr>
        <w:spacing w:after="0" w:line="19" w:lineRule="exact"/>
        <w:rPr>
          <w:sz w:val="24"/>
          <w:szCs w:val="24"/>
          <w:color w:val="auto"/>
        </w:rPr>
      </w:pPr>
    </w:p>
    <w:p>
      <w:pPr>
        <w:jc w:val="center"/>
        <w:ind w:right="-3"/>
        <w:spacing w:after="0"/>
        <w:rPr>
          <w:sz w:val="20"/>
          <w:szCs w:val="20"/>
          <w:color w:val="auto"/>
        </w:rPr>
      </w:pPr>
      <w:r>
        <w:rPr>
          <w:rFonts w:ascii="Arial" w:cs="Arial" w:eastAsia="Arial" w:hAnsi="Arial"/>
          <w:sz w:val="22"/>
          <w:szCs w:val="22"/>
          <w:b w:val="1"/>
          <w:bCs w:val="1"/>
          <w:color w:val="auto"/>
        </w:rPr>
        <w:t>PURSUANT TO SECTION 13 OR 15(d)</w:t>
      </w:r>
    </w:p>
    <w:p>
      <w:pPr>
        <w:jc w:val="center"/>
        <w:ind w:right="-3"/>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3"/>
        <w:spacing w:after="0"/>
        <w:rPr>
          <w:sz w:val="20"/>
          <w:szCs w:val="20"/>
          <w:color w:val="auto"/>
        </w:rPr>
      </w:pPr>
      <w:r>
        <w:rPr>
          <w:rFonts w:ascii="Arial" w:cs="Arial" w:eastAsia="Arial" w:hAnsi="Arial"/>
          <w:sz w:val="19"/>
          <w:szCs w:val="19"/>
          <w:b w:val="1"/>
          <w:bCs w:val="1"/>
          <w:color w:val="auto"/>
        </w:rPr>
        <w:t>Date of Report (Date of earliest event reported): May 21, 2020 (May 20, 2020)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187325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drawing>
          <wp:anchor simplePos="0" relativeHeight="251657728" behindDoc="1" locked="0" layoutInCell="0" allowOverlap="1">
            <wp:simplePos x="0" y="0"/>
            <wp:positionH relativeFrom="column">
              <wp:posOffset>3197225</wp:posOffset>
            </wp:positionH>
            <wp:positionV relativeFrom="paragraph">
              <wp:posOffset>367030</wp:posOffset>
            </wp:positionV>
            <wp:extent cx="608330" cy="5829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330" cy="58293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p>
      <w:pPr>
        <w:jc w:val="center"/>
        <w:ind w:right="-3"/>
        <w:spacing w:after="0"/>
        <w:rPr>
          <w:sz w:val="20"/>
          <w:szCs w:val="20"/>
          <w:color w:val="auto"/>
        </w:rPr>
      </w:pPr>
      <w:r>
        <w:rPr>
          <w:rFonts w:ascii="Arial" w:cs="Arial" w:eastAsia="Arial" w:hAnsi="Arial"/>
          <w:sz w:val="43"/>
          <w:szCs w:val="43"/>
          <w:b w:val="1"/>
          <w:bCs w:val="1"/>
          <w:color w:val="auto"/>
        </w:rPr>
        <w:t>NN, INC.</w:t>
      </w:r>
    </w:p>
    <w:p>
      <w:pPr>
        <w:spacing w:after="0" w:line="50"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158750</wp:posOffset>
            </wp:positionV>
            <wp:extent cx="14744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sectPr>
      </w:pPr>
    </w:p>
    <w:p>
      <w:pPr>
        <w:spacing w:after="0" w:line="200" w:lineRule="exact"/>
        <w:rPr>
          <w:sz w:val="24"/>
          <w:szCs w:val="24"/>
          <w:color w:val="auto"/>
        </w:rPr>
      </w:pPr>
    </w:p>
    <w:p>
      <w:pPr>
        <w:spacing w:after="0" w:line="316" w:lineRule="exact"/>
        <w:rPr>
          <w:sz w:val="24"/>
          <w:szCs w:val="24"/>
          <w:color w:val="auto"/>
        </w:rPr>
      </w:pPr>
    </w:p>
    <w:p>
      <w:pPr>
        <w:ind w:left="1504"/>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jc w:val="center"/>
        <w:ind w:right="2100"/>
        <w:spacing w:after="0"/>
        <w:rPr>
          <w:sz w:val="20"/>
          <w:szCs w:val="20"/>
          <w:color w:val="auto"/>
        </w:rPr>
      </w:pPr>
      <w:r>
        <w:rPr>
          <w:rFonts w:ascii="Arial" w:cs="Arial" w:eastAsia="Arial" w:hAnsi="Arial"/>
          <w:sz w:val="16"/>
          <w:szCs w:val="16"/>
          <w:b w:val="1"/>
          <w:bCs w:val="1"/>
          <w:color w:val="auto"/>
        </w:rPr>
        <w:t>000-23486</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6"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62-1096725</w:t>
      </w:r>
    </w:p>
    <w:p>
      <w:pPr>
        <w:spacing w:after="0" w:line="31" w:lineRule="exact"/>
        <w:rPr>
          <w:sz w:val="24"/>
          <w:szCs w:val="24"/>
          <w:color w:val="auto"/>
        </w:rPr>
      </w:pPr>
    </w:p>
    <w:p>
      <w:pPr>
        <w:sectPr>
          <w:pgSz w:w="11900" w:h="16838" w:orient="portrait"/>
          <w:cols w:equalWidth="0" w:num="3">
            <w:col w:w="4504" w:space="720"/>
            <w:col w:w="2880" w:space="720"/>
            <w:col w:w="2200"/>
          </w:cols>
          <w:pgMar w:left="436" w:top="449" w:right="439" w:bottom="1440" w:gutter="0" w:footer="0" w:header="0"/>
          <w:type w:val="continuous"/>
        </w:sectPr>
      </w:pPr>
    </w:p>
    <w:p>
      <w:pPr>
        <w:spacing w:after="0" w:line="12" w:lineRule="exact"/>
        <w:rPr>
          <w:sz w:val="24"/>
          <w:szCs w:val="24"/>
          <w:color w:val="auto"/>
        </w:rPr>
      </w:pPr>
    </w:p>
    <w:p>
      <w:pPr>
        <w:jc w:val="center"/>
        <w:ind w:right="736"/>
        <w:spacing w:after="0"/>
        <w:rPr>
          <w:sz w:val="20"/>
          <w:szCs w:val="20"/>
          <w:color w:val="auto"/>
        </w:rPr>
      </w:pPr>
      <w:r>
        <w:rPr>
          <w:rFonts w:ascii="Arial" w:cs="Arial" w:eastAsia="Arial" w:hAnsi="Arial"/>
          <w:sz w:val="13"/>
          <w:szCs w:val="13"/>
          <w:b w:val="1"/>
          <w:bCs w:val="1"/>
          <w:color w:val="auto"/>
        </w:rPr>
        <w:t>(State or Other Jurisdiction</w:t>
      </w:r>
    </w:p>
    <w:p>
      <w:pPr>
        <w:jc w:val="center"/>
        <w:ind w:right="73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ind w:left="20"/>
        <w:spacing w:after="0"/>
        <w:rPr>
          <w:sz w:val="20"/>
          <w:szCs w:val="20"/>
          <w:color w:val="auto"/>
        </w:rPr>
      </w:pPr>
      <w:r>
        <w:rPr>
          <w:rFonts w:ascii="Arial" w:cs="Arial" w:eastAsia="Arial" w:hAnsi="Arial"/>
          <w:sz w:val="12"/>
          <w:szCs w:val="12"/>
          <w:b w:val="1"/>
          <w:bCs w:val="1"/>
          <w:color w:val="auto"/>
        </w:rPr>
        <w:t>(Commission</w:t>
      </w:r>
    </w:p>
    <w:p>
      <w:pPr>
        <w:spacing w:after="0" w:line="4" w:lineRule="exact"/>
        <w:rPr>
          <w:sz w:val="24"/>
          <w:szCs w:val="24"/>
          <w:color w:val="auto"/>
        </w:rPr>
      </w:pPr>
    </w:p>
    <w:p>
      <w:pPr>
        <w:spacing w:after="0"/>
        <w:rPr>
          <w:sz w:val="20"/>
          <w:szCs w:val="20"/>
          <w:color w:val="auto"/>
        </w:rPr>
      </w:pPr>
      <w:r>
        <w:rPr>
          <w:rFonts w:ascii="Arial" w:cs="Arial" w:eastAsia="Arial" w:hAnsi="Arial"/>
          <w:sz w:val="13"/>
          <w:szCs w:val="13"/>
          <w:b w:val="1"/>
          <w:bCs w:val="1"/>
          <w:color w:val="auto"/>
        </w:rPr>
        <w:t>File Number)</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11" w:lineRule="exact"/>
        <w:rPr>
          <w:sz w:val="24"/>
          <w:szCs w:val="24"/>
          <w:color w:val="auto"/>
        </w:rPr>
      </w:pPr>
    </w:p>
    <w:p>
      <w:pPr>
        <w:sectPr>
          <w:pgSz w:w="11900" w:h="16838" w:orient="portrait"/>
          <w:cols w:equalWidth="0" w:num="3">
            <w:col w:w="4484" w:space="720"/>
            <w:col w:w="2760" w:space="720"/>
            <w:col w:w="2340"/>
          </w:cols>
          <w:pgMar w:left="436" w:top="449" w:right="439" w:bottom="1440" w:gutter="0" w:footer="0" w:header="0"/>
          <w:type w:val="continuous"/>
        </w:sectPr>
      </w:pPr>
    </w:p>
    <w:p>
      <w:pPr>
        <w:spacing w:after="0" w:line="5" w:lineRule="exact"/>
        <w:rPr>
          <w:sz w:val="24"/>
          <w:szCs w:val="24"/>
          <w:color w:val="auto"/>
        </w:rPr>
      </w:pPr>
    </w:p>
    <w:p>
      <w:pPr>
        <w:jc w:val="center"/>
        <w:ind w:right="916"/>
        <w:spacing w:after="0"/>
        <w:rPr>
          <w:sz w:val="20"/>
          <w:szCs w:val="20"/>
          <w:color w:val="auto"/>
        </w:rPr>
      </w:pPr>
      <w:r>
        <w:rPr>
          <w:rFonts w:ascii="Arial" w:cs="Arial" w:eastAsia="Arial" w:hAnsi="Arial"/>
          <w:sz w:val="18"/>
          <w:szCs w:val="18"/>
          <w:b w:val="1"/>
          <w:bCs w:val="1"/>
          <w:color w:val="auto"/>
        </w:rPr>
        <w:t>6210 Ardrey Kell Road</w:t>
      </w:r>
    </w:p>
    <w:p>
      <w:pPr>
        <w:spacing w:after="0" w:line="27" w:lineRule="exact"/>
        <w:rPr>
          <w:sz w:val="24"/>
          <w:szCs w:val="24"/>
          <w:color w:val="auto"/>
        </w:rPr>
      </w:pPr>
    </w:p>
    <w:p>
      <w:pPr>
        <w:jc w:val="center"/>
        <w:ind w:right="916"/>
        <w:spacing w:after="0"/>
        <w:rPr>
          <w:sz w:val="20"/>
          <w:szCs w:val="20"/>
          <w:color w:val="auto"/>
        </w:rPr>
      </w:pPr>
      <w:r>
        <w:rPr>
          <w:rFonts w:ascii="Arial" w:cs="Arial" w:eastAsia="Arial" w:hAnsi="Arial"/>
          <w:sz w:val="16"/>
          <w:szCs w:val="16"/>
          <w:b w:val="1"/>
          <w:bCs w:val="1"/>
          <w:color w:val="auto"/>
        </w:rPr>
        <w:t>Charlotte, North Carolina</w:t>
      </w:r>
    </w:p>
    <w:p>
      <w:pPr>
        <w:spacing w:after="0" w:line="20" w:lineRule="exact"/>
        <w:rPr>
          <w:sz w:val="24"/>
          <w:szCs w:val="24"/>
          <w:color w:val="auto"/>
        </w:rPr>
      </w:pPr>
      <w:r>
        <w:rPr>
          <w:sz w:val="24"/>
          <w:szCs w:val="24"/>
          <w:color w:val="auto"/>
        </w:rPr>
        <w:br w:type="column"/>
      </w:r>
    </w:p>
    <w:p>
      <w:pPr>
        <w:spacing w:after="0" w:line="215"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28277</w:t>
      </w:r>
    </w:p>
    <w:p>
      <w:pPr>
        <w:spacing w:after="0" w:line="50" w:lineRule="exact"/>
        <w:rPr>
          <w:sz w:val="24"/>
          <w:szCs w:val="24"/>
          <w:color w:val="auto"/>
        </w:rPr>
      </w:pPr>
    </w:p>
    <w:p>
      <w:pPr>
        <w:sectPr>
          <w:pgSz w:w="11900" w:h="16838" w:orient="portrait"/>
          <w:cols w:equalWidth="0" w:num="2">
            <w:col w:w="8304" w:space="720"/>
            <w:col w:w="2000"/>
          </w:cols>
          <w:pgMar w:left="436" w:top="449" w:right="439" w:bottom="1440" w:gutter="0" w:footer="0" w:header="0"/>
          <w:type w:val="continuous"/>
        </w:sectPr>
      </w:pPr>
    </w:p>
    <w:p>
      <w:pPr>
        <w:ind w:left="2504"/>
        <w:spacing w:after="0"/>
        <w:rPr>
          <w:sz w:val="20"/>
          <w:szCs w:val="20"/>
          <w:color w:val="auto"/>
        </w:rPr>
      </w:pPr>
      <w:r>
        <w:rPr>
          <w:rFonts w:ascii="Arial" w:cs="Arial" w:eastAsia="Arial" w:hAnsi="Arial"/>
          <w:sz w:val="12"/>
          <w:szCs w:val="12"/>
          <w:b w:val="1"/>
          <w:bCs w:val="1"/>
          <w:color w:val="auto"/>
        </w:rPr>
        <w:t>(Address of principal executive offices)</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b w:val="1"/>
          <w:bCs w:val="1"/>
          <w:color w:val="auto"/>
        </w:rPr>
        <w:t>(Zip Code)</w:t>
      </w:r>
    </w:p>
    <w:p>
      <w:pPr>
        <w:spacing w:after="0" w:line="197" w:lineRule="exact"/>
        <w:rPr>
          <w:sz w:val="24"/>
          <w:szCs w:val="24"/>
          <w:color w:val="auto"/>
        </w:rPr>
      </w:pPr>
    </w:p>
    <w:p>
      <w:pPr>
        <w:sectPr>
          <w:pgSz w:w="11900" w:h="16838" w:orient="portrait"/>
          <w:cols w:equalWidth="0" w:num="2">
            <w:col w:w="8204" w:space="720"/>
            <w:col w:w="2100"/>
          </w:cols>
          <w:pgMar w:left="436" w:top="449"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(980) 264-4300</w:t>
      </w:r>
    </w:p>
    <w:p>
      <w:pPr>
        <w:spacing w:after="0" w:line="21" w:lineRule="exact"/>
        <w:rPr>
          <w:sz w:val="24"/>
          <w:szCs w:val="24"/>
          <w:color w:val="auto"/>
        </w:rPr>
      </w:pPr>
    </w:p>
    <w:p>
      <w:pPr>
        <w:jc w:val="center"/>
        <w:ind w:right="16"/>
        <w:spacing w:after="0"/>
        <w:rPr>
          <w:sz w:val="20"/>
          <w:szCs w:val="20"/>
          <w:color w:val="auto"/>
        </w:rPr>
      </w:pPr>
      <w:r>
        <w:rPr>
          <w:rFonts w:ascii="Arial" w:cs="Arial" w:eastAsia="Arial" w:hAnsi="Arial"/>
          <w:sz w:val="12"/>
          <w:szCs w:val="12"/>
          <w:b w:val="1"/>
          <w:bCs w:val="1"/>
          <w:color w:val="auto"/>
        </w:rPr>
        <w:t>(Registrant’s telephone number, including area code)</w:t>
      </w:r>
    </w:p>
    <w:p>
      <w:pPr>
        <w:sectPr>
          <w:pgSz w:w="11900" w:h="16838" w:orient="portrait"/>
          <w:cols w:equalWidth="0" w:num="1">
            <w:col w:w="11024"/>
          </w:cols>
          <w:pgMar w:left="436" w:top="449" w:right="439" w:bottom="1440" w:gutter="0" w:footer="0" w:header="0"/>
          <w:type w:val="continuous"/>
        </w:sectPr>
      </w:pPr>
    </w:p>
    <w:p>
      <w:pPr>
        <w:spacing w:after="0" w:line="238" w:lineRule="exact"/>
        <w:rPr>
          <w:sz w:val="24"/>
          <w:szCs w:val="24"/>
          <w:color w:val="auto"/>
        </w:rPr>
      </w:pPr>
    </w:p>
    <w:p>
      <w:pPr>
        <w:jc w:val="center"/>
        <w:ind w:right="-3"/>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160655</wp:posOffset>
            </wp:positionV>
            <wp:extent cx="147447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48" w:lineRule="exact"/>
        <w:rPr>
          <w:sz w:val="24"/>
          <w:szCs w:val="24"/>
          <w:color w:val="auto"/>
        </w:rPr>
      </w:pPr>
    </w:p>
    <w:p>
      <w:pPr>
        <w:ind w:left="4" w:right="220"/>
        <w:spacing w:after="0" w:line="277" w:lineRule="auto"/>
        <w:rPr>
          <w:sz w:val="20"/>
          <w:szCs w:val="20"/>
          <w:color w:val="auto"/>
        </w:rPr>
      </w:pPr>
      <w:r>
        <w:rPr>
          <w:rFonts w:ascii="Arial" w:cs="Arial" w:eastAsia="Arial" w:hAnsi="Arial"/>
          <w:sz w:val="18"/>
          <w:szCs w:val="18"/>
          <w:color w:val="auto"/>
        </w:rPr>
        <w:t>Check the appropriate box if the Form 8-K filing is intended to simultaneously satisfy the filing obligation of the registrant under any of the following provisions (see General Instruction A.2. below):</w:t>
      </w:r>
    </w:p>
    <w:p>
      <w:pPr>
        <w:spacing w:after="0" w:line="76"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240.14d- 2(b))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240.13e- 4(c))</w:t>
      </w:r>
    </w:p>
    <w:p>
      <w:pPr>
        <w:spacing w:after="0" w:line="22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122" w:lineRule="exact"/>
        <w:rPr>
          <w:sz w:val="24"/>
          <w:szCs w:val="24"/>
          <w:color w:val="auto"/>
        </w:rPr>
      </w:pPr>
    </w:p>
    <w:tbl>
      <w:tblPr>
        <w:tblLayout w:type="fixed"/>
        <w:tblInd w:w="4" w:type="dxa"/>
        <w:tblCellMar>
          <w:top w:w="0" w:type="dxa"/>
          <w:left w:w="0" w:type="dxa"/>
          <w:bottom w:w="0" w:type="dxa"/>
          <w:right w:w="0" w:type="dxa"/>
        </w:tblCellMar>
      </w:tblP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w w:val="89"/>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92"/>
              </w:rPr>
              <w:t>Trading symbol</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w w:val="89"/>
              </w:rPr>
              <w:t>Name of each exchange on which registered</w:t>
            </w:r>
          </w:p>
        </w:tc>
      </w:tr>
      <w:tr>
        <w:trPr>
          <w:trHeight w:val="228"/>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Common Stock, par value $0.01</w:t>
            </w:r>
          </w:p>
        </w:tc>
        <w:tc>
          <w:tcPr>
            <w:tcW w:w="120" w:type="dxa"/>
            <w:vAlign w:val="bottom"/>
          </w:tcPr>
          <w:p>
            <w:pPr>
              <w:spacing w:after="0"/>
              <w:rPr>
                <w:sz w:val="19"/>
                <w:szCs w:val="19"/>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NNBR</w:t>
            </w:r>
          </w:p>
        </w:tc>
        <w:tc>
          <w:tcPr>
            <w:tcW w:w="100" w:type="dxa"/>
            <w:vAlign w:val="bottom"/>
          </w:tcPr>
          <w:p>
            <w:pPr>
              <w:spacing w:after="0"/>
              <w:rPr>
                <w:sz w:val="19"/>
                <w:szCs w:val="19"/>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The Nasdaq Stock Market LLC</w:t>
            </w:r>
          </w:p>
        </w:tc>
      </w:tr>
    </w:tbl>
    <w:p>
      <w:pPr>
        <w:spacing w:after="0" w:line="183" w:lineRule="exact"/>
        <w:rPr>
          <w:sz w:val="24"/>
          <w:szCs w:val="24"/>
          <w:color w:val="auto"/>
        </w:rPr>
      </w:pPr>
    </w:p>
    <w:p>
      <w:pPr>
        <w:ind w:left="4" w:right="30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38" w:lineRule="exact"/>
        <w:rPr>
          <w:sz w:val="24"/>
          <w:szCs w:val="24"/>
          <w:color w:val="auto"/>
        </w:rPr>
      </w:pPr>
    </w:p>
    <w:p>
      <w:pPr>
        <w:ind w:left="8764"/>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81" w:lineRule="exact"/>
        <w:rPr>
          <w:sz w:val="24"/>
          <w:szCs w:val="24"/>
          <w:color w:val="auto"/>
        </w:rPr>
      </w:pPr>
    </w:p>
    <w:p>
      <w:pPr>
        <w:ind w:left="4" w:right="30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90805</wp:posOffset>
            </wp:positionV>
            <wp:extent cx="69951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133350</wp:posOffset>
            </wp:positionV>
            <wp:extent cx="699516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1024"/>
          </w:cols>
          <w:pgMar w:left="436" w:top="449" w:right="439" w:bottom="1440" w:gutter="0" w:footer="0" w:header="0"/>
          <w:type w:val="continuous"/>
        </w:sectPr>
      </w:pPr>
    </w:p>
    <w:bookmarkStart w:id="1" w:name="page2"/>
    <w:bookmarkEnd w:id="1"/>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60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49465" cy="26035"/>
                    </a:xfrm>
                    <a:prstGeom prst="rect">
                      <a:avLst/>
                    </a:prstGeom>
                    <a:noFill/>
                  </pic:spPr>
                </pic:pic>
              </a:graphicData>
            </a:graphic>
          </wp:anchor>
        </w:drawing>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121" w:lineRule="exact"/>
        <w:rPr>
          <w:sz w:val="20"/>
          <w:szCs w:val="20"/>
          <w:color w:val="auto"/>
        </w:rPr>
      </w:pPr>
    </w:p>
    <w:p>
      <w:pPr>
        <w:jc w:val="both"/>
        <w:ind w:right="100" w:firstLine="440"/>
        <w:spacing w:after="0" w:line="259" w:lineRule="auto"/>
        <w:rPr>
          <w:sz w:val="20"/>
          <w:szCs w:val="20"/>
          <w:color w:val="auto"/>
        </w:rPr>
      </w:pPr>
      <w:r>
        <w:rPr>
          <w:rFonts w:ascii="Arial" w:cs="Arial" w:eastAsia="Arial" w:hAnsi="Arial"/>
          <w:sz w:val="18"/>
          <w:szCs w:val="18"/>
          <w:color w:val="auto"/>
        </w:rPr>
        <w:t>The 2020 annual meeting of the stockholders (the “Annual Meeting”) of NN, Inc. (the “Company”) was held on May 20, 2020. As of March 24, 2020, the record date for the Annual Meeting, a total of 42,767,168 shares of the Company’s common stock were outstanding and entitled to vote on all matters presented to the Company’s stockholders at the Annual Meeting. At the Annual Meeting, the Company’s stockholders considered the following proposals:</w:t>
      </w:r>
    </w:p>
    <w:p>
      <w:pPr>
        <w:spacing w:after="0" w:line="92" w:lineRule="exact"/>
        <w:rPr>
          <w:sz w:val="20"/>
          <w:szCs w:val="20"/>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elect three Class I directors and three Class III directors to serve for a term of one year;</w:t>
      </w:r>
    </w:p>
    <w:p>
      <w:pPr>
        <w:spacing w:after="0" w:line="130" w:lineRule="exact"/>
        <w:rPr>
          <w:rFonts w:ascii="Arial" w:cs="Arial" w:eastAsia="Arial" w:hAnsi="Arial"/>
          <w:sz w:val="18"/>
          <w:szCs w:val="18"/>
          <w:color w:val="auto"/>
        </w:rPr>
      </w:pPr>
    </w:p>
    <w:p>
      <w:pPr>
        <w:ind w:left="960" w:hanging="532"/>
        <w:spacing w:after="0"/>
        <w:tabs>
          <w:tab w:leader="none" w:pos="960" w:val="left"/>
        </w:tabs>
        <w:numPr>
          <w:ilvl w:val="0"/>
          <w:numId w:val="2"/>
        </w:numPr>
        <w:rPr>
          <w:rFonts w:ascii="Arial" w:cs="Arial" w:eastAsia="Arial" w:hAnsi="Arial"/>
          <w:sz w:val="16"/>
          <w:szCs w:val="16"/>
          <w:color w:val="auto"/>
        </w:rPr>
      </w:pPr>
      <w:r>
        <w:rPr>
          <w:rFonts w:ascii="Arial" w:cs="Arial" w:eastAsia="Arial" w:hAnsi="Arial"/>
          <w:sz w:val="16"/>
          <w:szCs w:val="16"/>
          <w:color w:val="auto"/>
        </w:rPr>
        <w:t>To approve the issuance of the Company’s common stock in accordance with the Nasdaq Marketplace Rules 5635(b) and 5635(d) upon</w:t>
      </w:r>
    </w:p>
    <w:p>
      <w:pPr>
        <w:spacing w:after="0" w:line="46" w:lineRule="exact"/>
        <w:rPr>
          <w:rFonts w:ascii="Arial" w:cs="Arial" w:eastAsia="Arial" w:hAnsi="Arial"/>
          <w:sz w:val="16"/>
          <w:szCs w:val="16"/>
          <w:color w:val="auto"/>
        </w:rPr>
      </w:pPr>
    </w:p>
    <w:p>
      <w:pPr>
        <w:jc w:val="both"/>
        <w:ind w:left="960" w:right="340"/>
        <w:spacing w:after="0" w:line="255" w:lineRule="auto"/>
        <w:rPr>
          <w:rFonts w:ascii="Arial" w:cs="Arial" w:eastAsia="Arial" w:hAnsi="Arial"/>
          <w:sz w:val="16"/>
          <w:szCs w:val="16"/>
          <w:color w:val="auto"/>
        </w:rPr>
      </w:pPr>
      <w:r>
        <w:rPr>
          <w:rFonts w:ascii="Arial" w:cs="Arial" w:eastAsia="Arial" w:hAnsi="Arial"/>
          <w:sz w:val="18"/>
          <w:szCs w:val="18"/>
          <w:color w:val="auto"/>
        </w:rPr>
        <w:t>(i) conversion or redemption of the Company’s Series B Convertible Preferred Stock, and (ii) exercise of warrants, in each case, issued pursuant to that certain Securities Purchase Agreement, dated December 5, 2019, by and among the Company and the investors named therein;</w:t>
      </w:r>
    </w:p>
    <w:p>
      <w:pPr>
        <w:spacing w:after="0" w:line="95" w:lineRule="exact"/>
        <w:rPr>
          <w:rFonts w:ascii="Arial" w:cs="Arial" w:eastAsia="Arial" w:hAnsi="Arial"/>
          <w:sz w:val="16"/>
          <w:szCs w:val="16"/>
          <w:color w:val="auto"/>
        </w:rPr>
      </w:pPr>
    </w:p>
    <w:p>
      <w:pPr>
        <w:ind w:left="960" w:hanging="532"/>
        <w:spacing w:after="0"/>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approve the compensation of the Company’s named executive officers; and</w:t>
      </w:r>
    </w:p>
    <w:p>
      <w:pPr>
        <w:spacing w:after="0" w:line="130" w:lineRule="exact"/>
        <w:rPr>
          <w:rFonts w:ascii="Arial" w:cs="Arial" w:eastAsia="Arial" w:hAnsi="Arial"/>
          <w:sz w:val="18"/>
          <w:szCs w:val="18"/>
          <w:color w:val="auto"/>
        </w:rPr>
      </w:pPr>
    </w:p>
    <w:p>
      <w:pPr>
        <w:ind w:left="960" w:right="300" w:hanging="532"/>
        <w:spacing w:after="0" w:line="277" w:lineRule="auto"/>
        <w:tabs>
          <w:tab w:leader="none" w:pos="9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To cast an advisory (non-binding) vote to ratify the selection of PricewaterhouseCoopers LLP as the Company’s registered independent public accounting firm for the fiscal year ending December 31, 2020.</w:t>
      </w:r>
    </w:p>
    <w:p>
      <w:pPr>
        <w:spacing w:after="0" w:line="170" w:lineRule="exact"/>
        <w:rPr>
          <w:sz w:val="20"/>
          <w:szCs w:val="20"/>
          <w:color w:val="auto"/>
        </w:rPr>
      </w:pPr>
    </w:p>
    <w:p>
      <w:pPr>
        <w:ind w:right="140" w:firstLine="440"/>
        <w:spacing w:after="0" w:line="263" w:lineRule="auto"/>
        <w:rPr>
          <w:sz w:val="20"/>
          <w:szCs w:val="20"/>
          <w:color w:val="auto"/>
        </w:rPr>
      </w:pPr>
      <w:r>
        <w:rPr>
          <w:rFonts w:ascii="Arial" w:cs="Arial" w:eastAsia="Arial" w:hAnsi="Arial"/>
          <w:sz w:val="18"/>
          <w:szCs w:val="18"/>
          <w:color w:val="auto"/>
        </w:rPr>
        <w:t>The final voting results for each proposal are described below. For beneficial owners holding the Company’s common stock at a bank or brokerage institution, a “broker non-vote” occurred if the owner failed to give voting instructions, and the bank or broker was otherwise restricted from voting on the owner’s behalf.</w:t>
      </w:r>
    </w:p>
    <w:p>
      <w:pPr>
        <w:spacing w:after="0" w:line="2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1</w:t>
      </w:r>
    </w:p>
    <w:p>
      <w:pPr>
        <w:spacing w:after="0" w:line="117" w:lineRule="exact"/>
        <w:rPr>
          <w:sz w:val="20"/>
          <w:szCs w:val="20"/>
          <w:color w:val="auto"/>
        </w:rPr>
      </w:pPr>
    </w:p>
    <w:p>
      <w:pPr>
        <w:ind w:left="440"/>
        <w:spacing w:after="0"/>
        <w:rPr>
          <w:sz w:val="20"/>
          <w:szCs w:val="20"/>
          <w:color w:val="auto"/>
        </w:rPr>
      </w:pPr>
      <w:r>
        <w:rPr>
          <w:rFonts w:ascii="Arial" w:cs="Arial" w:eastAsia="Arial" w:hAnsi="Arial"/>
          <w:sz w:val="17"/>
          <w:szCs w:val="17"/>
          <w:color w:val="auto"/>
        </w:rPr>
        <w:t>Three Class I directors and three Class III directors were elected to serve for a term of one year. The results of the election were as follows:</w:t>
      </w:r>
    </w:p>
    <w:p>
      <w:pPr>
        <w:spacing w:after="0" w:line="134"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184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rPr>
              <w:t>Name</w:t>
            </w:r>
          </w:p>
        </w:tc>
        <w:tc>
          <w:tcPr>
            <w:tcW w:w="5740" w:type="dxa"/>
            <w:vAlign w:val="bottom"/>
          </w:tcPr>
          <w:p>
            <w:pPr>
              <w:spacing w:after="0"/>
              <w:rPr>
                <w:sz w:val="16"/>
                <w:szCs w:val="16"/>
                <w:color w:val="auto"/>
              </w:rPr>
            </w:pPr>
          </w:p>
        </w:tc>
        <w:tc>
          <w:tcPr>
            <w:tcW w:w="1140" w:type="dxa"/>
            <w:vAlign w:val="bottom"/>
            <w:gridSpan w:val="2"/>
          </w:tcPr>
          <w:p>
            <w:pPr>
              <w:ind w:left="320"/>
              <w:spacing w:after="0"/>
              <w:rPr>
                <w:sz w:val="20"/>
                <w:szCs w:val="20"/>
                <w:color w:val="auto"/>
              </w:rPr>
            </w:pPr>
            <w:r>
              <w:rPr>
                <w:rFonts w:ascii="Arial" w:cs="Arial" w:eastAsia="Arial" w:hAnsi="Arial"/>
                <w:sz w:val="14"/>
                <w:szCs w:val="14"/>
                <w:b w:val="1"/>
                <w:bCs w:val="1"/>
                <w:color w:val="auto"/>
              </w:rPr>
              <w:t>For</w:t>
            </w:r>
          </w:p>
        </w:tc>
        <w:tc>
          <w:tcPr>
            <w:tcW w:w="1140" w:type="dxa"/>
            <w:vAlign w:val="bottom"/>
            <w:gridSpan w:val="2"/>
          </w:tcPr>
          <w:p>
            <w:pPr>
              <w:jc w:val="right"/>
              <w:ind w:right="420"/>
              <w:spacing w:after="0"/>
              <w:rPr>
                <w:sz w:val="20"/>
                <w:szCs w:val="20"/>
                <w:color w:val="auto"/>
              </w:rPr>
            </w:pPr>
            <w:r>
              <w:rPr>
                <w:rFonts w:ascii="Arial" w:cs="Arial" w:eastAsia="Arial" w:hAnsi="Arial"/>
                <w:sz w:val="14"/>
                <w:szCs w:val="14"/>
                <w:b w:val="1"/>
                <w:bCs w:val="1"/>
                <w:color w:val="auto"/>
              </w:rPr>
              <w:t>Withheld</w:t>
            </w:r>
          </w:p>
        </w:tc>
        <w:tc>
          <w:tcPr>
            <w:tcW w:w="1160" w:type="dxa"/>
            <w:vAlign w:val="bottom"/>
            <w:gridSpan w:val="2"/>
          </w:tcPr>
          <w:p>
            <w:pPr>
              <w:jc w:val="right"/>
              <w:ind w:right="60"/>
              <w:spacing w:after="0"/>
              <w:rPr>
                <w:sz w:val="20"/>
                <w:szCs w:val="20"/>
                <w:color w:val="auto"/>
              </w:rPr>
            </w:pPr>
            <w:r>
              <w:rPr>
                <w:rFonts w:ascii="Arial" w:cs="Arial" w:eastAsia="Arial" w:hAnsi="Arial"/>
                <w:sz w:val="14"/>
                <w:szCs w:val="14"/>
                <w:b w:val="1"/>
                <w:bCs w:val="1"/>
                <w:color w:val="auto"/>
                <w:w w:val="90"/>
              </w:rPr>
              <w:t>Broker Non-Votes</w:t>
            </w:r>
          </w:p>
        </w:tc>
      </w:tr>
      <w:tr>
        <w:trPr>
          <w:trHeight w:val="203"/>
        </w:trPr>
        <w:tc>
          <w:tcPr>
            <w:tcW w:w="1840" w:type="dxa"/>
            <w:vAlign w:val="bottom"/>
            <w:tcBorders>
              <w:top w:val="single" w:sz="8" w:color="CCEEFF"/>
            </w:tcBorders>
            <w:shd w:val="clear" w:color="auto" w:fill="CCEEFF"/>
          </w:tcPr>
          <w:p>
            <w:pPr>
              <w:spacing w:after="0" w:line="203" w:lineRule="exact"/>
              <w:rPr>
                <w:sz w:val="20"/>
                <w:szCs w:val="20"/>
                <w:color w:val="auto"/>
              </w:rPr>
            </w:pPr>
            <w:r>
              <w:rPr>
                <w:rFonts w:ascii="Arial" w:cs="Arial" w:eastAsia="Arial" w:hAnsi="Arial"/>
                <w:sz w:val="18"/>
                <w:szCs w:val="18"/>
                <w:color w:val="auto"/>
              </w:rPr>
              <w:t>Raynard D. Benvenuti</w:t>
            </w:r>
          </w:p>
        </w:tc>
        <w:tc>
          <w:tcPr>
            <w:tcW w:w="574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ind w:left="60"/>
              <w:spacing w:after="0" w:line="203" w:lineRule="exact"/>
              <w:rPr>
                <w:sz w:val="20"/>
                <w:szCs w:val="20"/>
                <w:color w:val="auto"/>
              </w:rPr>
            </w:pPr>
            <w:r>
              <w:rPr>
                <w:rFonts w:ascii="Arial" w:cs="Arial" w:eastAsia="Arial" w:hAnsi="Arial"/>
                <w:sz w:val="18"/>
                <w:szCs w:val="18"/>
                <w:color w:val="auto"/>
                <w:w w:val="86"/>
              </w:rPr>
              <w:t>33,628,884</w:t>
            </w:r>
          </w:p>
        </w:tc>
        <w:tc>
          <w:tcPr>
            <w:tcW w:w="28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3,560,634</w:t>
            </w:r>
          </w:p>
        </w:tc>
        <w:tc>
          <w:tcPr>
            <w:tcW w:w="280" w:type="dxa"/>
            <w:vAlign w:val="bottom"/>
            <w:tcBorders>
              <w:top w:val="single" w:sz="8" w:color="CCEEFF"/>
            </w:tcBorders>
            <w:shd w:val="clear" w:color="auto" w:fill="CCEEFF"/>
          </w:tcPr>
          <w:p>
            <w:pPr>
              <w:spacing w:after="0"/>
              <w:rPr>
                <w:sz w:val="17"/>
                <w:szCs w:val="17"/>
                <w:color w:val="auto"/>
              </w:rPr>
            </w:pPr>
          </w:p>
        </w:tc>
        <w:tc>
          <w:tcPr>
            <w:tcW w:w="11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3,450,898</w:t>
            </w:r>
          </w:p>
        </w:tc>
        <w:tc>
          <w:tcPr>
            <w:tcW w:w="60" w:type="dxa"/>
            <w:vAlign w:val="bottom"/>
            <w:tcBorders>
              <w:top w:val="single" w:sz="8" w:color="CCEEFF"/>
            </w:tcBorders>
            <w:shd w:val="clear" w:color="auto" w:fill="CCEEFF"/>
          </w:tcPr>
          <w:p>
            <w:pPr>
              <w:spacing w:after="0"/>
              <w:rPr>
                <w:sz w:val="17"/>
                <w:szCs w:val="17"/>
                <w:color w:val="auto"/>
              </w:rPr>
            </w:pP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Christina E. Carroll</w:t>
            </w:r>
          </w:p>
        </w:tc>
        <w:tc>
          <w:tcPr>
            <w:tcW w:w="6880" w:type="dxa"/>
            <w:vAlign w:val="bottom"/>
            <w:gridSpan w:val="3"/>
          </w:tcPr>
          <w:p>
            <w:pPr>
              <w:ind w:left="5800"/>
              <w:spacing w:after="0"/>
              <w:rPr>
                <w:sz w:val="20"/>
                <w:szCs w:val="20"/>
                <w:color w:val="auto"/>
              </w:rPr>
            </w:pPr>
            <w:r>
              <w:rPr>
                <w:rFonts w:ascii="Arial" w:cs="Arial" w:eastAsia="Arial" w:hAnsi="Arial"/>
                <w:sz w:val="18"/>
                <w:szCs w:val="18"/>
                <w:color w:val="auto"/>
              </w:rPr>
              <w:t>33,694,257</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3,495,261</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3,450,898</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David K. Floyd</w:t>
            </w:r>
          </w:p>
        </w:tc>
        <w:tc>
          <w:tcPr>
            <w:tcW w:w="6880" w:type="dxa"/>
            <w:vAlign w:val="bottom"/>
            <w:gridSpan w:val="3"/>
            <w:shd w:val="clear" w:color="auto" w:fill="CCEEFF"/>
          </w:tcPr>
          <w:p>
            <w:pPr>
              <w:ind w:left="5800"/>
              <w:spacing w:after="0"/>
              <w:rPr>
                <w:sz w:val="20"/>
                <w:szCs w:val="20"/>
                <w:color w:val="auto"/>
              </w:rPr>
            </w:pPr>
            <w:r>
              <w:rPr>
                <w:rFonts w:ascii="Arial" w:cs="Arial" w:eastAsia="Arial" w:hAnsi="Arial"/>
                <w:sz w:val="18"/>
                <w:szCs w:val="18"/>
                <w:color w:val="auto"/>
              </w:rPr>
              <w:t>32,378,371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4,811,147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3,450,898</w:t>
            </w:r>
          </w:p>
        </w:tc>
      </w:tr>
      <w:tr>
        <w:trPr>
          <w:trHeight w:val="216"/>
        </w:trPr>
        <w:tc>
          <w:tcPr>
            <w:tcW w:w="1840" w:type="dxa"/>
            <w:vAlign w:val="bottom"/>
          </w:tcPr>
          <w:p>
            <w:pPr>
              <w:spacing w:after="0"/>
              <w:rPr>
                <w:sz w:val="20"/>
                <w:szCs w:val="20"/>
                <w:color w:val="auto"/>
              </w:rPr>
            </w:pPr>
            <w:r>
              <w:rPr>
                <w:rFonts w:ascii="Arial" w:cs="Arial" w:eastAsia="Arial" w:hAnsi="Arial"/>
                <w:sz w:val="18"/>
                <w:szCs w:val="18"/>
                <w:color w:val="auto"/>
              </w:rPr>
              <w:t>Jeri J. Harman</w:t>
            </w:r>
          </w:p>
        </w:tc>
        <w:tc>
          <w:tcPr>
            <w:tcW w:w="6880" w:type="dxa"/>
            <w:vAlign w:val="bottom"/>
            <w:gridSpan w:val="3"/>
          </w:tcPr>
          <w:p>
            <w:pPr>
              <w:ind w:left="5800"/>
              <w:spacing w:after="0"/>
              <w:rPr>
                <w:sz w:val="20"/>
                <w:szCs w:val="20"/>
                <w:color w:val="auto"/>
              </w:rPr>
            </w:pPr>
            <w:r>
              <w:rPr>
                <w:rFonts w:ascii="Arial" w:cs="Arial" w:eastAsia="Arial" w:hAnsi="Arial"/>
                <w:sz w:val="18"/>
                <w:szCs w:val="18"/>
                <w:color w:val="auto"/>
              </w:rPr>
              <w:t>33,160,246</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4,029,272</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3,450,898</w:t>
            </w:r>
          </w:p>
        </w:tc>
      </w:tr>
      <w:tr>
        <w:trPr>
          <w:trHeight w:val="216"/>
        </w:trPr>
        <w:tc>
          <w:tcPr>
            <w:tcW w:w="1840" w:type="dxa"/>
            <w:vAlign w:val="bottom"/>
            <w:shd w:val="clear" w:color="auto" w:fill="CCEEFF"/>
          </w:tcPr>
          <w:p>
            <w:pPr>
              <w:spacing w:after="0"/>
              <w:rPr>
                <w:sz w:val="20"/>
                <w:szCs w:val="20"/>
                <w:color w:val="auto"/>
              </w:rPr>
            </w:pPr>
            <w:r>
              <w:rPr>
                <w:rFonts w:ascii="Arial" w:cs="Arial" w:eastAsia="Arial" w:hAnsi="Arial"/>
                <w:sz w:val="18"/>
                <w:szCs w:val="18"/>
                <w:color w:val="auto"/>
              </w:rPr>
              <w:t>Steven T. Warshaw</w:t>
            </w:r>
          </w:p>
        </w:tc>
        <w:tc>
          <w:tcPr>
            <w:tcW w:w="6880" w:type="dxa"/>
            <w:vAlign w:val="bottom"/>
            <w:gridSpan w:val="3"/>
            <w:shd w:val="clear" w:color="auto" w:fill="CCEEFF"/>
          </w:tcPr>
          <w:p>
            <w:pPr>
              <w:ind w:left="5800"/>
              <w:spacing w:after="0"/>
              <w:rPr>
                <w:sz w:val="20"/>
                <w:szCs w:val="20"/>
                <w:color w:val="auto"/>
              </w:rPr>
            </w:pPr>
            <w:r>
              <w:rPr>
                <w:rFonts w:ascii="Arial" w:cs="Arial" w:eastAsia="Arial" w:hAnsi="Arial"/>
                <w:sz w:val="18"/>
                <w:szCs w:val="18"/>
                <w:color w:val="auto"/>
              </w:rPr>
              <w:t>21,065,101</w:t>
            </w:r>
          </w:p>
        </w:tc>
        <w:tc>
          <w:tcPr>
            <w:tcW w:w="11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3"/>
              </w:rPr>
              <w:t>16,124,417</w:t>
            </w:r>
          </w:p>
        </w:tc>
        <w:tc>
          <w:tcPr>
            <w:tcW w:w="11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3,450,898</w:t>
            </w:r>
          </w:p>
        </w:tc>
      </w:tr>
      <w:tr>
        <w:trPr>
          <w:trHeight w:val="230"/>
        </w:trPr>
        <w:tc>
          <w:tcPr>
            <w:tcW w:w="1840" w:type="dxa"/>
            <w:vAlign w:val="bottom"/>
          </w:tcPr>
          <w:p>
            <w:pPr>
              <w:spacing w:after="0"/>
              <w:rPr>
                <w:sz w:val="20"/>
                <w:szCs w:val="20"/>
                <w:color w:val="auto"/>
              </w:rPr>
            </w:pPr>
            <w:r>
              <w:rPr>
                <w:rFonts w:ascii="Arial" w:cs="Arial" w:eastAsia="Arial" w:hAnsi="Arial"/>
                <w:sz w:val="18"/>
                <w:szCs w:val="18"/>
                <w:color w:val="auto"/>
              </w:rPr>
              <w:t>Thomas H. Wilson, Jr.</w:t>
            </w:r>
          </w:p>
        </w:tc>
        <w:tc>
          <w:tcPr>
            <w:tcW w:w="6880" w:type="dxa"/>
            <w:vAlign w:val="bottom"/>
            <w:gridSpan w:val="3"/>
          </w:tcPr>
          <w:p>
            <w:pPr>
              <w:ind w:left="5800"/>
              <w:spacing w:after="0"/>
              <w:rPr>
                <w:sz w:val="20"/>
                <w:szCs w:val="20"/>
                <w:color w:val="auto"/>
              </w:rPr>
            </w:pPr>
            <w:r>
              <w:rPr>
                <w:rFonts w:ascii="Arial" w:cs="Arial" w:eastAsia="Arial" w:hAnsi="Arial"/>
                <w:sz w:val="18"/>
                <w:szCs w:val="18"/>
                <w:color w:val="auto"/>
              </w:rPr>
              <w:t>33,776,080</w:t>
            </w:r>
          </w:p>
        </w:tc>
        <w:tc>
          <w:tcPr>
            <w:tcW w:w="1140" w:type="dxa"/>
            <w:vAlign w:val="bottom"/>
            <w:gridSpan w:val="2"/>
          </w:tcPr>
          <w:p>
            <w:pPr>
              <w:jc w:val="right"/>
              <w:ind w:right="280"/>
              <w:spacing w:after="0"/>
              <w:rPr>
                <w:sz w:val="20"/>
                <w:szCs w:val="20"/>
                <w:color w:val="auto"/>
              </w:rPr>
            </w:pPr>
            <w:r>
              <w:rPr>
                <w:rFonts w:ascii="Arial" w:cs="Arial" w:eastAsia="Arial" w:hAnsi="Arial"/>
                <w:sz w:val="18"/>
                <w:szCs w:val="18"/>
                <w:color w:val="auto"/>
              </w:rPr>
              <w:t>3,413,438</w:t>
            </w:r>
          </w:p>
        </w:tc>
        <w:tc>
          <w:tcPr>
            <w:tcW w:w="1160" w:type="dxa"/>
            <w:vAlign w:val="bottom"/>
            <w:gridSpan w:val="2"/>
          </w:tcPr>
          <w:p>
            <w:pPr>
              <w:jc w:val="right"/>
              <w:ind w:right="60"/>
              <w:spacing w:after="0"/>
              <w:rPr>
                <w:sz w:val="20"/>
                <w:szCs w:val="20"/>
                <w:color w:val="auto"/>
              </w:rPr>
            </w:pPr>
            <w:r>
              <w:rPr>
                <w:rFonts w:ascii="Arial" w:cs="Arial" w:eastAsia="Arial" w:hAnsi="Arial"/>
                <w:sz w:val="18"/>
                <w:szCs w:val="18"/>
                <w:color w:val="auto"/>
              </w:rPr>
              <w:t>3,450,898</w:t>
            </w:r>
          </w:p>
        </w:tc>
      </w:tr>
    </w:tbl>
    <w:p>
      <w:pPr>
        <w:spacing w:after="0" w:line="29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2</w:t>
      </w:r>
    </w:p>
    <w:p>
      <w:pPr>
        <w:spacing w:after="0" w:line="117" w:lineRule="exact"/>
        <w:rPr>
          <w:sz w:val="20"/>
          <w:szCs w:val="20"/>
          <w:color w:val="auto"/>
        </w:rPr>
      </w:pPr>
    </w:p>
    <w:p>
      <w:pPr>
        <w:ind w:right="80" w:firstLine="440"/>
        <w:spacing w:after="0" w:line="259" w:lineRule="auto"/>
        <w:rPr>
          <w:sz w:val="20"/>
          <w:szCs w:val="20"/>
          <w:color w:val="auto"/>
        </w:rPr>
      </w:pPr>
      <w:r>
        <w:rPr>
          <w:rFonts w:ascii="Arial" w:cs="Arial" w:eastAsia="Arial" w:hAnsi="Arial"/>
          <w:sz w:val="18"/>
          <w:szCs w:val="18"/>
          <w:color w:val="auto"/>
        </w:rPr>
        <w:t>The issuance of Company’s common stock in accordance with the Nasdaq Marketplace Rules 5635(b) and 5635(d) upon (i) conversion or redemption of the Company’s Series B Convertible Preferred Stock, and (ii) exercise of warrants, in each case, issued pursuant to that certain Securities Purchase Agreement, dated December 5, 2019, by and among the Company and the investors named therein was approved. The aggregate votes cast for or against, as well as abstentions and broker non-votes, were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2740" w:type="dxa"/>
            <w:vAlign w:val="bottom"/>
            <w:gridSpan w:val="2"/>
          </w:tcPr>
          <w:p>
            <w:pPr>
              <w:ind w:left="1020"/>
              <w:spacing w:after="0"/>
              <w:rPr>
                <w:sz w:val="20"/>
                <w:szCs w:val="20"/>
                <w:color w:val="auto"/>
              </w:rPr>
            </w:pPr>
            <w:r>
              <w:rPr>
                <w:rFonts w:ascii="Arial" w:cs="Arial" w:eastAsia="Arial" w:hAnsi="Arial"/>
                <w:sz w:val="18"/>
                <w:szCs w:val="18"/>
                <w:b w:val="1"/>
                <w:bCs w:val="1"/>
                <w:color w:val="auto"/>
              </w:rPr>
              <w:t>Against</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Abstentions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36,444,543</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ind w:left="1020"/>
              <w:spacing w:after="0"/>
              <w:rPr>
                <w:sz w:val="20"/>
                <w:szCs w:val="20"/>
                <w:color w:val="auto"/>
              </w:rPr>
            </w:pPr>
            <w:r>
              <w:rPr>
                <w:rFonts w:ascii="Arial" w:cs="Arial" w:eastAsia="Arial" w:hAnsi="Arial"/>
                <w:sz w:val="18"/>
                <w:szCs w:val="18"/>
                <w:color w:val="auto"/>
              </w:rPr>
              <w:t>680,777</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50"/>
              <w:spacing w:after="0"/>
              <w:rPr>
                <w:sz w:val="20"/>
                <w:szCs w:val="20"/>
                <w:color w:val="auto"/>
              </w:rPr>
            </w:pPr>
            <w:r>
              <w:rPr>
                <w:rFonts w:ascii="Arial" w:cs="Arial" w:eastAsia="Arial" w:hAnsi="Arial"/>
                <w:sz w:val="18"/>
                <w:szCs w:val="18"/>
                <w:color w:val="auto"/>
              </w:rPr>
              <w:t>64,198</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3,450,898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3</w:t>
      </w:r>
    </w:p>
    <w:p>
      <w:pPr>
        <w:spacing w:after="0" w:line="117" w:lineRule="exact"/>
        <w:rPr>
          <w:sz w:val="20"/>
          <w:szCs w:val="20"/>
          <w:color w:val="auto"/>
        </w:rPr>
      </w:pPr>
    </w:p>
    <w:p>
      <w:pPr>
        <w:ind w:right="940" w:firstLine="440"/>
        <w:spacing w:after="0" w:line="277" w:lineRule="auto"/>
        <w:rPr>
          <w:sz w:val="20"/>
          <w:szCs w:val="20"/>
          <w:color w:val="auto"/>
        </w:rPr>
      </w:pPr>
      <w:r>
        <w:rPr>
          <w:rFonts w:ascii="Arial" w:cs="Arial" w:eastAsia="Arial" w:hAnsi="Arial"/>
          <w:sz w:val="18"/>
          <w:szCs w:val="18"/>
          <w:color w:val="auto"/>
        </w:rPr>
        <w:t>The advisory (non-binding) vote on the executive compensation of the Company’s named executive officers was in favor of executive compensation. The results were as follows:</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41"/>
        </w:trPr>
        <w:tc>
          <w:tcPr>
            <w:tcW w:w="2780" w:type="dxa"/>
            <w:vAlign w:val="bottom"/>
            <w:gridSpan w:val="2"/>
          </w:tcPr>
          <w:p>
            <w:pPr>
              <w:jc w:val="center"/>
              <w:ind w:right="140"/>
              <w:spacing w:after="0"/>
              <w:rPr>
                <w:sz w:val="20"/>
                <w:szCs w:val="20"/>
                <w:color w:val="auto"/>
              </w:rPr>
            </w:pPr>
            <w:r>
              <w:rPr>
                <w:rFonts w:ascii="Arial" w:cs="Arial" w:eastAsia="Arial" w:hAnsi="Arial"/>
                <w:sz w:val="18"/>
                <w:szCs w:val="18"/>
                <w:b w:val="1"/>
                <w:bCs w:val="1"/>
                <w:color w:val="auto"/>
                <w:w w:val="96"/>
              </w:rPr>
              <w:t>For</w:t>
            </w:r>
          </w:p>
        </w:tc>
        <w:tc>
          <w:tcPr>
            <w:tcW w:w="27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7"/>
              </w:rPr>
              <w:t>Against</w:t>
            </w:r>
          </w:p>
        </w:tc>
        <w:tc>
          <w:tcPr>
            <w:tcW w:w="286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6"/>
              </w:rPr>
              <w:t>Abstentions</w:t>
            </w:r>
          </w:p>
        </w:tc>
        <w:tc>
          <w:tcPr>
            <w:tcW w:w="2640" w:type="dxa"/>
            <w:vAlign w:val="bottom"/>
          </w:tcPr>
          <w:p>
            <w:pPr>
              <w:jc w:val="center"/>
              <w:spacing w:after="0"/>
              <w:rPr>
                <w:sz w:val="20"/>
                <w:szCs w:val="20"/>
                <w:color w:val="auto"/>
              </w:rPr>
            </w:pPr>
            <w:r>
              <w:rPr>
                <w:rFonts w:ascii="Arial" w:cs="Arial" w:eastAsia="Arial" w:hAnsi="Arial"/>
                <w:sz w:val="18"/>
                <w:szCs w:val="18"/>
                <w:b w:val="1"/>
                <w:bCs w:val="1"/>
                <w:color w:val="auto"/>
                <w:w w:val="90"/>
              </w:rPr>
              <w:t>Broker Non-Votes</w:t>
            </w:r>
          </w:p>
        </w:tc>
      </w:tr>
      <w:tr>
        <w:trPr>
          <w:trHeight w:val="216"/>
        </w:trPr>
        <w:tc>
          <w:tcPr>
            <w:tcW w:w="2620" w:type="dxa"/>
            <w:vAlign w:val="bottom"/>
            <w:tcBorders>
              <w:top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rPr>
              <w:t>35,427,487</w:t>
            </w:r>
          </w:p>
        </w:tc>
        <w:tc>
          <w:tcPr>
            <w:tcW w:w="160" w:type="dxa"/>
            <w:vAlign w:val="bottom"/>
            <w:tcBorders>
              <w:top w:val="single" w:sz="8" w:color="CCEEFF"/>
            </w:tcBorders>
            <w:shd w:val="clear" w:color="auto" w:fill="CCEEFF"/>
          </w:tcPr>
          <w:p>
            <w:pPr>
              <w:spacing w:after="0"/>
              <w:rPr>
                <w:sz w:val="18"/>
                <w:szCs w:val="18"/>
                <w:color w:val="auto"/>
              </w:rPr>
            </w:pPr>
          </w:p>
        </w:tc>
        <w:tc>
          <w:tcPr>
            <w:tcW w:w="2620" w:type="dxa"/>
            <w:vAlign w:val="bottom"/>
            <w:tcBorders>
              <w:top w:val="single" w:sz="8" w:color="auto"/>
            </w:tcBorders>
            <w:shd w:val="clear" w:color="auto" w:fill="CCEEFF"/>
          </w:tcPr>
          <w:p>
            <w:pPr>
              <w:jc w:val="right"/>
              <w:ind w:right="850"/>
              <w:spacing w:after="0"/>
              <w:rPr>
                <w:sz w:val="20"/>
                <w:szCs w:val="20"/>
                <w:color w:val="auto"/>
              </w:rPr>
            </w:pPr>
            <w:r>
              <w:rPr>
                <w:rFonts w:ascii="Arial" w:cs="Arial" w:eastAsia="Arial" w:hAnsi="Arial"/>
                <w:sz w:val="18"/>
                <w:szCs w:val="18"/>
                <w:color w:val="auto"/>
              </w:rPr>
              <w:t>1,272,409</w:t>
            </w:r>
          </w:p>
        </w:tc>
        <w:tc>
          <w:tcPr>
            <w:tcW w:w="120" w:type="dxa"/>
            <w:vAlign w:val="bottom"/>
            <w:tcBorders>
              <w:top w:val="single" w:sz="8" w:color="CCEEFF"/>
            </w:tcBorders>
            <w:shd w:val="clear" w:color="auto" w:fill="CCEEFF"/>
          </w:tcPr>
          <w:p>
            <w:pPr>
              <w:spacing w:after="0"/>
              <w:rPr>
                <w:sz w:val="18"/>
                <w:szCs w:val="18"/>
                <w:color w:val="auto"/>
              </w:rPr>
            </w:pPr>
          </w:p>
        </w:tc>
        <w:tc>
          <w:tcPr>
            <w:tcW w:w="2760" w:type="dxa"/>
            <w:vAlign w:val="bottom"/>
            <w:tcBorders>
              <w:top w:val="single" w:sz="8" w:color="auto"/>
            </w:tcBorders>
            <w:shd w:val="clear" w:color="auto" w:fill="CCEEFF"/>
          </w:tcPr>
          <w:p>
            <w:pPr>
              <w:jc w:val="right"/>
              <w:ind w:right="1010"/>
              <w:spacing w:after="0"/>
              <w:rPr>
                <w:sz w:val="20"/>
                <w:szCs w:val="20"/>
                <w:color w:val="auto"/>
              </w:rPr>
            </w:pPr>
            <w:r>
              <w:rPr>
                <w:rFonts w:ascii="Arial" w:cs="Arial" w:eastAsia="Arial" w:hAnsi="Arial"/>
                <w:sz w:val="18"/>
                <w:szCs w:val="18"/>
                <w:color w:val="auto"/>
              </w:rPr>
              <w:t>489,622</w:t>
            </w:r>
          </w:p>
        </w:tc>
        <w:tc>
          <w:tcPr>
            <w:tcW w:w="100" w:type="dxa"/>
            <w:vAlign w:val="bottom"/>
            <w:tcBorders>
              <w:top w:val="single" w:sz="8" w:color="CCEEFF"/>
            </w:tcBorders>
            <w:shd w:val="clear" w:color="auto" w:fill="CCEEFF"/>
          </w:tcPr>
          <w:p>
            <w:pPr>
              <w:spacing w:after="0"/>
              <w:rPr>
                <w:sz w:val="18"/>
                <w:szCs w:val="18"/>
                <w:color w:val="auto"/>
              </w:rPr>
            </w:pPr>
          </w:p>
        </w:tc>
        <w:tc>
          <w:tcPr>
            <w:tcW w:w="2640" w:type="dxa"/>
            <w:vAlign w:val="bottom"/>
            <w:tcBorders>
              <w:top w:val="single" w:sz="8" w:color="auto"/>
            </w:tcBorders>
            <w:shd w:val="clear" w:color="auto" w:fill="CCEEFF"/>
          </w:tcPr>
          <w:p>
            <w:pPr>
              <w:jc w:val="right"/>
              <w:ind w:right="870"/>
              <w:spacing w:after="0"/>
              <w:rPr>
                <w:sz w:val="20"/>
                <w:szCs w:val="20"/>
                <w:color w:val="auto"/>
              </w:rPr>
            </w:pPr>
            <w:r>
              <w:rPr>
                <w:rFonts w:ascii="Arial" w:cs="Arial" w:eastAsia="Arial" w:hAnsi="Arial"/>
                <w:sz w:val="18"/>
                <w:szCs w:val="18"/>
                <w:color w:val="auto"/>
              </w:rPr>
              <w:t>3,450,898</w:t>
            </w:r>
          </w:p>
        </w:tc>
      </w:tr>
    </w:tbl>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Proposal 4</w:t>
      </w:r>
    </w:p>
    <w:p>
      <w:pPr>
        <w:spacing w:after="0" w:line="117" w:lineRule="exact"/>
        <w:rPr>
          <w:sz w:val="20"/>
          <w:szCs w:val="20"/>
          <w:color w:val="auto"/>
        </w:rPr>
      </w:pPr>
    </w:p>
    <w:p>
      <w:pPr>
        <w:ind w:right="160" w:firstLine="440"/>
        <w:spacing w:after="0" w:line="277" w:lineRule="auto"/>
        <w:rPr>
          <w:sz w:val="20"/>
          <w:szCs w:val="20"/>
          <w:color w:val="auto"/>
        </w:rPr>
      </w:pPr>
      <w:r>
        <w:rPr>
          <w:rFonts w:ascii="Arial" w:cs="Arial" w:eastAsia="Arial" w:hAnsi="Arial"/>
          <w:sz w:val="18"/>
          <w:szCs w:val="18"/>
          <w:color w:val="auto"/>
        </w:rPr>
        <w:t>The Audit Committee’s selection of PricewaterhouseCoopers LLP as the Company’s registered independent public accounting firm for the fiscal year ending December 31, 2020 was ratified. The results of the vote were as follows:</w:t>
      </w:r>
    </w:p>
    <w:p>
      <w:pPr>
        <w:spacing w:after="0" w:line="193" w:lineRule="exact"/>
        <w:rPr>
          <w:sz w:val="20"/>
          <w:szCs w:val="20"/>
          <w:color w:val="auto"/>
        </w:rPr>
      </w:pPr>
    </w:p>
    <w:tbl>
      <w:tblPr>
        <w:tblLayout w:type="fixed"/>
        <w:tblInd w:w="1100" w:type="dxa"/>
        <w:tblCellMar>
          <w:top w:w="0" w:type="dxa"/>
          <w:left w:w="0" w:type="dxa"/>
          <w:bottom w:w="0" w:type="dxa"/>
          <w:right w:w="0" w:type="dxa"/>
        </w:tblCellMar>
      </w:tblPr>
      <w:tr>
        <w:trPr>
          <w:trHeight w:val="241"/>
        </w:trPr>
        <w:tc>
          <w:tcPr>
            <w:tcW w:w="31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6"/>
              </w:rPr>
              <w:t>For</w:t>
            </w:r>
          </w:p>
        </w:tc>
        <w:tc>
          <w:tcPr>
            <w:tcW w:w="2900" w:type="dxa"/>
            <w:vAlign w:val="bottom"/>
            <w:gridSpan w:val="2"/>
          </w:tcPr>
          <w:p>
            <w:pPr>
              <w:ind w:left="1120"/>
              <w:spacing w:after="0"/>
              <w:rPr>
                <w:sz w:val="20"/>
                <w:szCs w:val="20"/>
                <w:color w:val="auto"/>
              </w:rPr>
            </w:pPr>
            <w:r>
              <w:rPr>
                <w:rFonts w:ascii="Arial" w:cs="Arial" w:eastAsia="Arial" w:hAnsi="Arial"/>
                <w:sz w:val="18"/>
                <w:szCs w:val="18"/>
                <w:b w:val="1"/>
                <w:bCs w:val="1"/>
                <w:color w:val="auto"/>
              </w:rPr>
              <w:t>Against</w:t>
            </w:r>
          </w:p>
        </w:tc>
        <w:tc>
          <w:tcPr>
            <w:tcW w:w="2800" w:type="dxa"/>
            <w:vAlign w:val="bottom"/>
          </w:tcPr>
          <w:p>
            <w:pPr>
              <w:jc w:val="center"/>
              <w:spacing w:after="0"/>
              <w:rPr>
                <w:sz w:val="20"/>
                <w:szCs w:val="20"/>
                <w:color w:val="auto"/>
              </w:rPr>
            </w:pPr>
            <w:r>
              <w:rPr>
                <w:rFonts w:ascii="Arial" w:cs="Arial" w:eastAsia="Arial" w:hAnsi="Arial"/>
                <w:sz w:val="18"/>
                <w:szCs w:val="18"/>
                <w:b w:val="1"/>
                <w:bCs w:val="1"/>
                <w:color w:val="auto"/>
                <w:w w:val="88"/>
              </w:rPr>
              <w:t>Abstentions</w:t>
            </w:r>
          </w:p>
        </w:tc>
      </w:tr>
      <w:tr>
        <w:trPr>
          <w:trHeight w:val="216"/>
        </w:trPr>
        <w:tc>
          <w:tcPr>
            <w:tcW w:w="2980" w:type="dxa"/>
            <w:vAlign w:val="bottom"/>
            <w:tcBorders>
              <w:top w:val="single" w:sz="8" w:color="auto"/>
            </w:tcBorders>
            <w:shd w:val="clear" w:color="auto" w:fill="CCEEFF"/>
          </w:tcPr>
          <w:p>
            <w:pPr>
              <w:jc w:val="right"/>
              <w:ind w:right="990"/>
              <w:spacing w:after="0"/>
              <w:rPr>
                <w:sz w:val="20"/>
                <w:szCs w:val="20"/>
                <w:color w:val="auto"/>
              </w:rPr>
            </w:pPr>
            <w:r>
              <w:rPr>
                <w:rFonts w:ascii="Arial" w:cs="Arial" w:eastAsia="Arial" w:hAnsi="Arial"/>
                <w:sz w:val="18"/>
                <w:szCs w:val="18"/>
                <w:color w:val="auto"/>
              </w:rPr>
              <w:t>40,248,482</w:t>
            </w:r>
          </w:p>
        </w:tc>
        <w:tc>
          <w:tcPr>
            <w:tcW w:w="120" w:type="dxa"/>
            <w:vAlign w:val="bottom"/>
            <w:tcBorders>
              <w:top w:val="single" w:sz="8" w:color="CCEEFF"/>
            </w:tcBorders>
            <w:shd w:val="clear" w:color="auto" w:fill="CCEEFF"/>
          </w:tcPr>
          <w:p>
            <w:pPr>
              <w:spacing w:after="0"/>
              <w:rPr>
                <w:sz w:val="18"/>
                <w:szCs w:val="18"/>
                <w:color w:val="auto"/>
              </w:rPr>
            </w:pPr>
          </w:p>
        </w:tc>
        <w:tc>
          <w:tcPr>
            <w:tcW w:w="2820" w:type="dxa"/>
            <w:vAlign w:val="bottom"/>
            <w:tcBorders>
              <w:top w:val="single" w:sz="8" w:color="auto"/>
            </w:tcBorders>
            <w:shd w:val="clear" w:color="auto" w:fill="CCEEFF"/>
          </w:tcPr>
          <w:p>
            <w:pPr>
              <w:ind w:left="1120"/>
              <w:spacing w:after="0"/>
              <w:rPr>
                <w:sz w:val="20"/>
                <w:szCs w:val="20"/>
                <w:color w:val="auto"/>
              </w:rPr>
            </w:pPr>
            <w:r>
              <w:rPr>
                <w:rFonts w:ascii="Arial" w:cs="Arial" w:eastAsia="Arial" w:hAnsi="Arial"/>
                <w:sz w:val="18"/>
                <w:szCs w:val="18"/>
                <w:color w:val="auto"/>
              </w:rPr>
              <w:t>379,929</w:t>
            </w:r>
          </w:p>
        </w:tc>
        <w:tc>
          <w:tcPr>
            <w:tcW w:w="80" w:type="dxa"/>
            <w:vAlign w:val="bottom"/>
            <w:tcBorders>
              <w:top w:val="single" w:sz="8" w:color="CCEEFF"/>
            </w:tcBorders>
            <w:shd w:val="clear" w:color="auto" w:fill="CCEEFF"/>
          </w:tcPr>
          <w:p>
            <w:pPr>
              <w:spacing w:after="0"/>
              <w:rPr>
                <w:sz w:val="18"/>
                <w:szCs w:val="18"/>
                <w:color w:val="auto"/>
              </w:rPr>
            </w:pPr>
          </w:p>
        </w:tc>
        <w:tc>
          <w:tcPr>
            <w:tcW w:w="2800" w:type="dxa"/>
            <w:vAlign w:val="bottom"/>
            <w:tcBorders>
              <w:top w:val="single" w:sz="8" w:color="auto"/>
            </w:tcBorders>
            <w:shd w:val="clear" w:color="auto" w:fill="CCEEFF"/>
          </w:tcPr>
          <w:p>
            <w:pPr>
              <w:jc w:val="right"/>
              <w:ind w:right="1070"/>
              <w:spacing w:after="0"/>
              <w:rPr>
                <w:sz w:val="20"/>
                <w:szCs w:val="20"/>
                <w:color w:val="auto"/>
              </w:rPr>
            </w:pPr>
            <w:r>
              <w:rPr>
                <w:rFonts w:ascii="Arial" w:cs="Arial" w:eastAsia="Arial" w:hAnsi="Arial"/>
                <w:sz w:val="18"/>
                <w:szCs w:val="18"/>
                <w:color w:val="auto"/>
              </w:rPr>
              <w:t>12,005</w:t>
            </w:r>
          </w:p>
        </w:tc>
      </w:tr>
    </w:tbl>
    <w:p>
      <w:pPr>
        <w:sectPr>
          <w:pgSz w:w="11900" w:h="16838" w:orient="portrait"/>
          <w:cols w:equalWidth="0" w:num="1">
            <w:col w:w="11020"/>
          </w:cols>
          <w:pgMar w:left="440" w:top="270" w:right="43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7149465" cy="254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49465" cy="25400"/>
                    </a:xfrm>
                    <a:prstGeom prst="rect">
                      <a:avLst/>
                    </a:prstGeom>
                    <a:noFill/>
                  </pic:spPr>
                </pic:pic>
              </a:graphicData>
            </a:graphic>
          </wp:anchor>
        </w:drawing>
        <w:t>SIGNATURES</w:t>
      </w:r>
    </w:p>
    <w:p>
      <w:pPr>
        <w:spacing w:after="0" w:line="229" w:lineRule="exact"/>
        <w:rPr>
          <w:sz w:val="20"/>
          <w:szCs w:val="20"/>
          <w:color w:val="auto"/>
        </w:rPr>
      </w:pPr>
    </w:p>
    <w:p>
      <w:pPr>
        <w:ind w:right="320" w:firstLine="44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May 21, 2020</w:t>
      </w:r>
    </w:p>
    <w:p>
      <w:pPr>
        <w:spacing w:after="0" w:line="248" w:lineRule="exact"/>
        <w:rPr>
          <w:sz w:val="20"/>
          <w:szCs w:val="20"/>
          <w:color w:val="auto"/>
        </w:rPr>
      </w:pPr>
    </w:p>
    <w:p>
      <w:pPr>
        <w:ind w:left="6620"/>
        <w:spacing w:after="0"/>
        <w:rPr>
          <w:sz w:val="20"/>
          <w:szCs w:val="20"/>
          <w:color w:val="auto"/>
        </w:rPr>
      </w:pPr>
      <w:r>
        <w:rPr>
          <w:rFonts w:ascii="Arial" w:cs="Arial" w:eastAsia="Arial" w:hAnsi="Arial"/>
          <w:sz w:val="18"/>
          <w:szCs w:val="18"/>
          <w:b w:val="1"/>
          <w:bCs w:val="1"/>
          <w:color w:val="auto"/>
        </w:rPr>
        <w:t>NN, INC.</w:t>
      </w:r>
    </w:p>
    <w:p>
      <w:pPr>
        <w:spacing w:after="0" w:line="229" w:lineRule="exact"/>
        <w:rPr>
          <w:sz w:val="20"/>
          <w:szCs w:val="20"/>
          <w:color w:val="auto"/>
        </w:rPr>
      </w:pPr>
    </w:p>
    <w:tbl>
      <w:tblPr>
        <w:tblLayout w:type="fixed"/>
        <w:tblInd w:w="6620" w:type="dxa"/>
        <w:tblCellMar>
          <w:top w:w="0" w:type="dxa"/>
          <w:left w:w="0" w:type="dxa"/>
          <w:bottom w:w="0" w:type="dxa"/>
          <w:right w:w="0" w:type="dxa"/>
        </w:tblCellMar>
      </w:tblP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By:</w:t>
            </w:r>
          </w:p>
        </w:tc>
        <w:tc>
          <w:tcPr>
            <w:tcW w:w="3880" w:type="dxa"/>
            <w:vAlign w:val="bottom"/>
            <w:tcBorders>
              <w:bottom w:val="single" w:sz="8" w:color="auto"/>
            </w:tcBorders>
          </w:tcPr>
          <w:p>
            <w:pPr>
              <w:ind w:left="60"/>
              <w:spacing w:after="0"/>
              <w:rPr>
                <w:sz w:val="20"/>
                <w:szCs w:val="20"/>
                <w:color w:val="auto"/>
              </w:rPr>
            </w:pPr>
            <w:r>
              <w:rPr>
                <w:rFonts w:ascii="Arial" w:cs="Arial" w:eastAsia="Arial" w:hAnsi="Arial"/>
                <w:sz w:val="18"/>
                <w:szCs w:val="18"/>
                <w:color w:val="auto"/>
              </w:rPr>
              <w:t>/s/ Matthew S. Heiter</w:t>
            </w:r>
          </w:p>
        </w:tc>
      </w:tr>
      <w:tr>
        <w:trPr>
          <w:trHeight w:val="195"/>
        </w:trPr>
        <w:tc>
          <w:tcPr>
            <w:tcW w:w="520" w:type="dxa"/>
            <w:vAlign w:val="bottom"/>
          </w:tcPr>
          <w:p>
            <w:pPr>
              <w:spacing w:after="0" w:line="195" w:lineRule="exact"/>
              <w:rPr>
                <w:sz w:val="20"/>
                <w:szCs w:val="20"/>
                <w:color w:val="auto"/>
              </w:rPr>
            </w:pPr>
            <w:r>
              <w:rPr>
                <w:rFonts w:ascii="Arial" w:cs="Arial" w:eastAsia="Arial" w:hAnsi="Arial"/>
                <w:sz w:val="18"/>
                <w:szCs w:val="18"/>
                <w:color w:val="auto"/>
                <w:w w:val="94"/>
              </w:rPr>
              <w:t>Name:</w:t>
            </w:r>
          </w:p>
        </w:tc>
        <w:tc>
          <w:tcPr>
            <w:tcW w:w="3880" w:type="dxa"/>
            <w:vAlign w:val="bottom"/>
          </w:tcPr>
          <w:p>
            <w:pPr>
              <w:ind w:left="60"/>
              <w:spacing w:after="0" w:line="195" w:lineRule="exact"/>
              <w:rPr>
                <w:sz w:val="20"/>
                <w:szCs w:val="20"/>
                <w:color w:val="auto"/>
              </w:rPr>
            </w:pPr>
            <w:r>
              <w:rPr>
                <w:rFonts w:ascii="Arial" w:cs="Arial" w:eastAsia="Arial" w:hAnsi="Arial"/>
                <w:sz w:val="18"/>
                <w:szCs w:val="18"/>
                <w:color w:val="auto"/>
              </w:rPr>
              <w:t>Matthew S. Heiter</w:t>
            </w:r>
          </w:p>
        </w:tc>
      </w:tr>
      <w:tr>
        <w:trPr>
          <w:trHeight w:val="230"/>
        </w:trPr>
        <w:tc>
          <w:tcPr>
            <w:tcW w:w="520" w:type="dxa"/>
            <w:vAlign w:val="bottom"/>
          </w:tcPr>
          <w:p>
            <w:pPr>
              <w:spacing w:after="0"/>
              <w:rPr>
                <w:sz w:val="20"/>
                <w:szCs w:val="20"/>
                <w:color w:val="auto"/>
              </w:rPr>
            </w:pPr>
            <w:r>
              <w:rPr>
                <w:rFonts w:ascii="Arial" w:cs="Arial" w:eastAsia="Arial" w:hAnsi="Arial"/>
                <w:sz w:val="18"/>
                <w:szCs w:val="18"/>
                <w:color w:val="auto"/>
              </w:rPr>
              <w:t>Title:</w:t>
            </w:r>
          </w:p>
        </w:tc>
        <w:tc>
          <w:tcPr>
            <w:tcW w:w="3880" w:type="dxa"/>
            <w:vAlign w:val="bottom"/>
          </w:tcPr>
          <w:p>
            <w:pPr>
              <w:ind w:left="60"/>
              <w:spacing w:after="0"/>
              <w:rPr>
                <w:sz w:val="20"/>
                <w:szCs w:val="20"/>
                <w:color w:val="auto"/>
              </w:rPr>
            </w:pPr>
            <w:r>
              <w:rPr>
                <w:rFonts w:ascii="Arial" w:cs="Arial" w:eastAsia="Arial" w:hAnsi="Arial"/>
                <w:sz w:val="18"/>
                <w:szCs w:val="18"/>
                <w:color w:val="auto"/>
              </w:rPr>
              <w:t>Senior Vice President, General Counsel</w:t>
            </w:r>
          </w:p>
        </w:tc>
      </w:tr>
    </w:tbl>
    <w:p>
      <w:pPr>
        <w:spacing w:after="0" w:line="1" w:lineRule="exact"/>
        <w:rPr>
          <w:sz w:val="20"/>
          <w:szCs w:val="20"/>
          <w:color w:val="auto"/>
        </w:rPr>
      </w:pPr>
    </w:p>
    <w:sectPr>
      <w:pgSz w:w="11900" w:h="16838" w:orient="portrait"/>
      <w:cols w:equalWidth="0" w:num="1">
        <w:col w:w="11020"/>
      </w:cols>
      <w:pgMar w:left="440" w:top="270"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jpe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2020-05-21T07:02:21Z</dcterms:created>
  <dcterms:modified xsi:type="dcterms:W3CDTF">2020-05-21T07:02:21Z</dcterms:modified>
</cp:coreProperties>
</file>