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13D</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(Rule 13d-101)</w:t>
      </w:r>
    </w:p>
    <w:p>
      <w:pPr>
        <w:spacing w:after="0" w:line="188" w:lineRule="exact"/>
        <w:rPr>
          <w:sz w:val="24"/>
          <w:szCs w:val="24"/>
          <w:color w:val="auto"/>
        </w:rPr>
      </w:pPr>
    </w:p>
    <w:p>
      <w:pPr>
        <w:ind w:left="2180"/>
        <w:spacing w:after="0"/>
        <w:rPr>
          <w:sz w:val="20"/>
          <w:szCs w:val="20"/>
          <w:color w:val="auto"/>
        </w:rPr>
      </w:pPr>
      <w:r>
        <w:rPr>
          <w:rFonts w:ascii="Arial" w:cs="Arial" w:eastAsia="Arial" w:hAnsi="Arial"/>
          <w:sz w:val="22"/>
          <w:szCs w:val="22"/>
          <w:color w:val="auto"/>
        </w:rPr>
        <w:t>INFORMATION TO BE INCLUDED IN STATEMENTS FILED PURSUANT</w:t>
      </w:r>
    </w:p>
    <w:p>
      <w:pPr>
        <w:ind w:left="2160"/>
        <w:spacing w:after="0" w:line="238" w:lineRule="auto"/>
        <w:rPr>
          <w:sz w:val="20"/>
          <w:szCs w:val="20"/>
          <w:color w:val="auto"/>
        </w:rPr>
      </w:pPr>
      <w:r>
        <w:rPr>
          <w:rFonts w:ascii="Arial" w:cs="Arial" w:eastAsia="Arial" w:hAnsi="Arial"/>
          <w:sz w:val="22"/>
          <w:szCs w:val="22"/>
          <w:color w:val="auto"/>
        </w:rPr>
        <w:t>TO § 240.13d-1(a) AND AMENDMENTS THERETO FILED PURSUANT TO</w:t>
      </w:r>
    </w:p>
    <w:p>
      <w:pPr>
        <w:ind w:left="4720" w:right="4700" w:firstLine="262"/>
        <w:spacing w:after="0" w:line="498" w:lineRule="auto"/>
        <w:tabs>
          <w:tab w:leader="none" w:pos="5143" w:val="left"/>
        </w:tabs>
        <w:numPr>
          <w:ilvl w:val="0"/>
          <w:numId w:val="1"/>
        </w:numPr>
        <w:rPr>
          <w:rFonts w:ascii="Arial" w:cs="Arial" w:eastAsia="Arial" w:hAnsi="Arial"/>
          <w:sz w:val="19"/>
          <w:szCs w:val="19"/>
          <w:color w:val="auto"/>
        </w:rPr>
      </w:pPr>
      <w:r>
        <w:rPr>
          <w:rFonts w:ascii="Arial" w:cs="Arial" w:eastAsia="Arial" w:hAnsi="Arial"/>
          <w:sz w:val="19"/>
          <w:szCs w:val="19"/>
          <w:color w:val="auto"/>
        </w:rPr>
        <w:t>240.13d-2(a) (Amendment No. 9)</w:t>
      </w:r>
      <w:r>
        <w:rPr>
          <w:rFonts w:ascii="Arial" w:cs="Arial" w:eastAsia="Arial" w:hAnsi="Arial"/>
          <w:sz w:val="10"/>
          <w:szCs w:val="10"/>
          <w:color w:val="auto"/>
        </w:rPr>
        <w:t>1</w:t>
      </w:r>
    </w:p>
    <w:p>
      <w:pPr>
        <w:jc w:val="center"/>
        <w:ind w:right="-19"/>
        <w:spacing w:after="0"/>
        <w:rPr>
          <w:sz w:val="20"/>
          <w:szCs w:val="20"/>
          <w:color w:val="auto"/>
        </w:rPr>
      </w:pPr>
      <w:r>
        <w:rPr>
          <w:rFonts w:ascii="Arial" w:cs="Arial" w:eastAsia="Arial" w:hAnsi="Arial"/>
          <w:sz w:val="18"/>
          <w:szCs w:val="18"/>
          <w:u w:val="single" w:color="auto"/>
          <w:color w:val="auto"/>
        </w:rPr>
        <w:t>NN, Inc.</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Common Stock, par value $0.01 per share</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(Title of Class of Securities)</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629337106</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(CUSIP Number)</w:t>
      </w:r>
    </w:p>
    <w:p>
      <w:pPr>
        <w:jc w:val="center"/>
        <w:ind w:right="-19"/>
        <w:spacing w:after="0"/>
        <w:rPr>
          <w:sz w:val="20"/>
          <w:szCs w:val="20"/>
          <w:color w:val="auto"/>
        </w:rPr>
      </w:pPr>
      <w:r>
        <w:rPr>
          <w:rFonts w:ascii="Arial" w:cs="Arial" w:eastAsia="Arial" w:hAnsi="Arial"/>
          <w:sz w:val="18"/>
          <w:szCs w:val="18"/>
          <w:color w:val="auto"/>
        </w:rPr>
        <w:t>CHRISTOPHER S. KIPER</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LEGION PARTNERS ASSET MANAGEMENT, LLC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12121 Wilshire Blvd, Suite 1240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Los Angeles, CA 90025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(424) 253-1773</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STEVE WOLOSKY, ESQ.</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ELIZABETH GONZALEZ-SUSSMAN, ESQ.</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OLSHAN FROME WOLOSKY LLP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1325 Avenue of the Americas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New York, New York 10019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(212) 451-2300</w:t>
      </w:r>
    </w:p>
    <w:p>
      <w:pPr>
        <w:jc w:val="center"/>
        <w:ind w:right="-19"/>
        <w:spacing w:after="0" w:line="235" w:lineRule="auto"/>
        <w:rPr>
          <w:sz w:val="20"/>
          <w:szCs w:val="20"/>
          <w:color w:val="auto"/>
        </w:rPr>
      </w:pPr>
      <w:r>
        <w:rPr>
          <w:rFonts w:ascii="Arial" w:cs="Arial" w:eastAsia="Arial" w:hAnsi="Arial"/>
          <w:sz w:val="22"/>
          <w:szCs w:val="22"/>
          <w:color w:val="auto"/>
        </w:rPr>
        <w:t>(Name, Address and Telephone Number of Person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Authorized to Receive Notices and Communications)</w:t>
      </w: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February 22, 2022</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Event Which Requires Filing of This Statement)</w:t>
      </w:r>
    </w:p>
    <w:p>
      <w:pPr>
        <w:spacing w:after="0" w:line="222" w:lineRule="exact"/>
        <w:rPr>
          <w:sz w:val="24"/>
          <w:szCs w:val="24"/>
          <w:color w:val="auto"/>
        </w:rPr>
      </w:pPr>
    </w:p>
    <w:p>
      <w:pPr>
        <w:ind w:right="40" w:firstLine="648"/>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42" w:lineRule="exact"/>
        <w:rPr>
          <w:sz w:val="24"/>
          <w:szCs w:val="24"/>
          <w:color w:val="auto"/>
        </w:rPr>
      </w:pPr>
    </w:p>
    <w:p>
      <w:pPr>
        <w:ind w:right="180" w:firstLine="648"/>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 240.13d-7 for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both"/>
        <w:ind w:firstLine="8"/>
        <w:spacing w:after="0"/>
        <w:tabs>
          <w:tab w:leader="none" w:pos="815" w:val="left"/>
        </w:tabs>
        <w:numPr>
          <w:ilvl w:val="0"/>
          <w:numId w:val="2"/>
        </w:numPr>
        <w:rPr>
          <w:rFonts w:ascii="Arial" w:cs="Arial" w:eastAsia="Arial" w:hAnsi="Arial"/>
          <w:sz w:val="13"/>
          <w:szCs w:val="13"/>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3" w:lineRule="exact"/>
        <w:rPr>
          <w:sz w:val="24"/>
          <w:szCs w:val="24"/>
          <w:color w:val="auto"/>
        </w:rPr>
      </w:pPr>
    </w:p>
    <w:p>
      <w:pPr>
        <w:ind w:right="380" w:firstLine="648"/>
        <w:spacing w:after="0" w:line="263"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629337106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18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Legion Partners, L.P. I</w:t>
            </w:r>
          </w:p>
        </w:tc>
        <w:tc>
          <w:tcPr>
            <w:tcW w:w="1180" w:type="dxa"/>
            <w:vAlign w:val="bottom"/>
            <w:tcBorders>
              <w:bottom w:val="single" w:sz="8" w:color="auto"/>
              <w:right w:val="single" w:sz="8" w:color="auto"/>
            </w:tcBorders>
          </w:tcPr>
          <w:p>
            <w:pPr>
              <w:spacing w:after="0"/>
              <w:rPr>
                <w:sz w:val="24"/>
                <w:szCs w:val="24"/>
                <w:color w:val="auto"/>
              </w:rPr>
            </w:pPr>
          </w:p>
        </w:tc>
      </w:tr>
      <w:tr>
        <w:trPr>
          <w:trHeight w:val="169"/>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79"/>
              </w:rPr>
              <w:t>2</w:t>
            </w:r>
          </w:p>
        </w:tc>
        <w:tc>
          <w:tcPr>
            <w:tcW w:w="8340" w:type="dxa"/>
            <w:vAlign w:val="bottom"/>
            <w:gridSpan w:val="3"/>
          </w:tcPr>
          <w:p>
            <w:pPr>
              <w:ind w:left="12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18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0"/>
        </w:trPr>
        <w:tc>
          <w:tcPr>
            <w:tcW w:w="40" w:type="dxa"/>
            <w:vAlign w:val="bottom"/>
            <w:tcBorders>
              <w:bottom w:val="single" w:sz="8" w:color="auto"/>
              <w:right w:val="single" w:sz="8" w:color="auto"/>
            </w:tcBorders>
            <w:shd w:val="clear" w:color="auto" w:fill="000000"/>
          </w:tcPr>
          <w:p>
            <w:pPr>
              <w:spacing w:after="0"/>
              <w:rPr>
                <w:sz w:val="16"/>
                <w:szCs w:val="16"/>
                <w:color w:val="auto"/>
              </w:rPr>
            </w:pPr>
          </w:p>
        </w:tc>
        <w:tc>
          <w:tcPr>
            <w:tcW w:w="168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580" w:type="dxa"/>
            <w:vAlign w:val="bottom"/>
            <w:tcBorders>
              <w:bottom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spacing w:after="0"/>
              <w:rPr>
                <w:sz w:val="16"/>
                <w:szCs w:val="16"/>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w w:val="93"/>
              </w:rPr>
              <w:t>SOURCE OF FUNDS</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WC</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9"/>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5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3,181,582</w:t>
            </w:r>
          </w:p>
        </w:tc>
        <w:tc>
          <w:tcPr>
            <w:tcW w:w="118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3,181,582</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3,181,582*</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7.35%</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PN</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5580" w:right="3940" w:hanging="5572"/>
        <w:spacing w:after="0" w:line="527" w:lineRule="auto"/>
        <w:tabs>
          <w:tab w:leader="none" w:pos="144"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214,095 Shares underlying certain Warrants beneficially owned by Legion Partners, L.P. I.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CUSIP No. 629337106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18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Legion Partners, L.P. II</w:t>
            </w:r>
          </w:p>
        </w:tc>
        <w:tc>
          <w:tcPr>
            <w:tcW w:w="118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4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1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58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w w:val="93"/>
              </w:rPr>
              <w:t>SOURCE OF FUNDS</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WC</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4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5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248,392</w:t>
            </w:r>
          </w:p>
        </w:tc>
        <w:tc>
          <w:tcPr>
            <w:tcW w:w="118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248,392</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248,392*</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Less than 1%</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PN</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5580" w:right="3960" w:hanging="5572"/>
        <w:spacing w:after="0" w:line="527" w:lineRule="auto"/>
        <w:tabs>
          <w:tab w:leader="none" w:pos="144"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10,905 Shares underlying certain Warrants beneficially owned by Legion Partners, L.P. II.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CUSIP No. 629337106</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18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Legion Partners Special Opportunities, L.P. XI</w:t>
            </w:r>
          </w:p>
        </w:tc>
        <w:tc>
          <w:tcPr>
            <w:tcW w:w="118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4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1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58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w w:val="93"/>
              </w:rPr>
              <w:t>SOURCE OF FUNDS</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WC</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4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5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868,877</w:t>
            </w:r>
          </w:p>
        </w:tc>
        <w:tc>
          <w:tcPr>
            <w:tcW w:w="118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868,877</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868,877</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2.01%</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PN</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2100"/>
              <w:spacing w:after="0"/>
              <w:rPr>
                <w:sz w:val="20"/>
                <w:szCs w:val="20"/>
                <w:color w:val="auto"/>
              </w:rPr>
            </w:pPr>
            <w:r>
              <w:rPr>
                <w:rFonts w:ascii="Arial" w:cs="Arial" w:eastAsia="Arial" w:hAnsi="Arial"/>
                <w:sz w:val="18"/>
                <w:szCs w:val="18"/>
                <w:color w:val="auto"/>
              </w:rPr>
              <w:t>4</w:t>
            </w: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CUSIP No. 629337106</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18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Legion Partners, LLC</w:t>
            </w:r>
          </w:p>
        </w:tc>
        <w:tc>
          <w:tcPr>
            <w:tcW w:w="118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4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1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58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w w:val="93"/>
              </w:rPr>
              <w:t>SOURCE OF FUNDS</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AF</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4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5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4,298,851</w:t>
            </w:r>
          </w:p>
        </w:tc>
        <w:tc>
          <w:tcPr>
            <w:tcW w:w="118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4,298,851</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4,298,851*</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9.94%</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firstLine="8"/>
        <w:spacing w:after="0" w:line="277" w:lineRule="auto"/>
        <w:tabs>
          <w:tab w:leader="none" w:pos="139"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(i) 214,095 Shares underlying certain Warrants beneficially owned by Legion Partners, L.P. I and (ii) 10,905 Shares underlying certain Warrants beneficially owned by Legion Partners, L.P. II.</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229870</wp:posOffset>
            </wp:positionV>
            <wp:extent cx="351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jc w:val="right"/>
              <w:ind w:right="370"/>
              <w:spacing w:after="0"/>
              <w:rPr>
                <w:sz w:val="20"/>
                <w:szCs w:val="20"/>
                <w:color w:val="auto"/>
              </w:rPr>
            </w:pPr>
            <w:r>
              <w:rPr>
                <w:rFonts w:ascii="Arial" w:cs="Arial" w:eastAsia="Arial" w:hAnsi="Arial"/>
                <w:sz w:val="18"/>
                <w:szCs w:val="18"/>
                <w:color w:val="auto"/>
              </w:rPr>
              <w:t>1</w:t>
            </w:r>
          </w:p>
        </w:tc>
        <w:tc>
          <w:tcPr>
            <w:tcW w:w="8700" w:type="dxa"/>
            <w:vAlign w:val="bottom"/>
          </w:tcPr>
          <w:p>
            <w:pPr>
              <w:ind w:left="480"/>
              <w:spacing w:after="0"/>
              <w:rPr>
                <w:sz w:val="20"/>
                <w:szCs w:val="20"/>
                <w:color w:val="auto"/>
              </w:rPr>
            </w:pPr>
            <w:r>
              <w:rPr>
                <w:rFonts w:ascii="Arial" w:cs="Arial" w:eastAsia="Arial" w:hAnsi="Arial"/>
                <w:sz w:val="18"/>
                <w:szCs w:val="18"/>
                <w:color w:val="auto"/>
              </w:rPr>
              <w:t>NAME OF REPORTING PERSON</w:t>
            </w:r>
          </w:p>
        </w:tc>
        <w:tc>
          <w:tcPr>
            <w:tcW w:w="1180" w:type="dxa"/>
            <w:vAlign w:val="bottom"/>
          </w:tcPr>
          <w:p>
            <w:pPr>
              <w:spacing w:after="0"/>
              <w:rPr>
                <w:sz w:val="20"/>
                <w:szCs w:val="20"/>
                <w:color w:val="auto"/>
              </w:rPr>
            </w:pPr>
          </w:p>
        </w:tc>
      </w:tr>
      <w:tr>
        <w:trPr>
          <w:trHeight w:val="432"/>
        </w:trPr>
        <w:tc>
          <w:tcPr>
            <w:tcW w:w="1360" w:type="dxa"/>
            <w:vAlign w:val="bottom"/>
            <w:tcBorders>
              <w:bottom w:val="single" w:sz="8" w:color="auto"/>
            </w:tcBorders>
          </w:tcPr>
          <w:p>
            <w:pPr>
              <w:spacing w:after="0"/>
              <w:rPr>
                <w:sz w:val="24"/>
                <w:szCs w:val="24"/>
                <w:color w:val="auto"/>
              </w:rPr>
            </w:pPr>
          </w:p>
        </w:tc>
        <w:tc>
          <w:tcPr>
            <w:tcW w:w="870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Legion Partners Asset Management, LLC</w:t>
            </w:r>
          </w:p>
        </w:tc>
        <w:tc>
          <w:tcPr>
            <w:tcW w:w="1180" w:type="dxa"/>
            <w:vAlign w:val="bottom"/>
            <w:tcBorders>
              <w:bottom w:val="single" w:sz="8" w:color="auto"/>
            </w:tcBorders>
          </w:tcPr>
          <w:p>
            <w:pPr>
              <w:spacing w:after="0"/>
              <w:rPr>
                <w:sz w:val="24"/>
                <w:szCs w:val="24"/>
                <w:color w:val="auto"/>
              </w:rPr>
            </w:pPr>
          </w:p>
        </w:tc>
      </w:tr>
      <w:tr>
        <w:trPr>
          <w:trHeight w:val="163"/>
        </w:trPr>
        <w:tc>
          <w:tcPr>
            <w:tcW w:w="1360" w:type="dxa"/>
            <w:vAlign w:val="bottom"/>
          </w:tcPr>
          <w:p>
            <w:pPr>
              <w:jc w:val="right"/>
              <w:ind w:right="370"/>
              <w:spacing w:after="0" w:line="163" w:lineRule="exact"/>
              <w:rPr>
                <w:sz w:val="20"/>
                <w:szCs w:val="20"/>
                <w:color w:val="auto"/>
              </w:rPr>
            </w:pPr>
            <w:r>
              <w:rPr>
                <w:rFonts w:ascii="Arial" w:cs="Arial" w:eastAsia="Arial" w:hAnsi="Arial"/>
                <w:sz w:val="18"/>
                <w:szCs w:val="18"/>
                <w:color w:val="auto"/>
              </w:rPr>
              <w:t>2</w:t>
            </w:r>
          </w:p>
        </w:tc>
        <w:tc>
          <w:tcPr>
            <w:tcW w:w="8700" w:type="dxa"/>
            <w:vAlign w:val="bottom"/>
          </w:tcPr>
          <w:p>
            <w:pPr>
              <w:ind w:left="48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180" w:type="dxa"/>
            <w:vAlign w:val="bottom"/>
          </w:tcPr>
          <w:p>
            <w:pPr>
              <w:ind w:left="8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36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11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360" w:type="dxa"/>
            <w:vAlign w:val="bottom"/>
            <w:tcBorders>
              <w:bottom w:val="single" w:sz="8" w:color="auto"/>
            </w:tcBorders>
          </w:tcPr>
          <w:p>
            <w:pPr>
              <w:spacing w:after="0"/>
              <w:rPr>
                <w:sz w:val="17"/>
                <w:szCs w:val="17"/>
                <w:color w:val="auto"/>
              </w:rPr>
            </w:pPr>
          </w:p>
        </w:tc>
        <w:tc>
          <w:tcPr>
            <w:tcW w:w="87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224"/>
        </w:trPr>
        <w:tc>
          <w:tcPr>
            <w:tcW w:w="1360" w:type="dxa"/>
            <w:vAlign w:val="bottom"/>
          </w:tcPr>
          <w:p>
            <w:pPr>
              <w:jc w:val="right"/>
              <w:ind w:right="370"/>
              <w:spacing w:after="0"/>
              <w:rPr>
                <w:sz w:val="20"/>
                <w:szCs w:val="20"/>
                <w:color w:val="auto"/>
              </w:rPr>
            </w:pPr>
            <w:r>
              <w:rPr>
                <w:rFonts w:ascii="Arial" w:cs="Arial" w:eastAsia="Arial" w:hAnsi="Arial"/>
                <w:sz w:val="18"/>
                <w:szCs w:val="18"/>
                <w:color w:val="auto"/>
              </w:rPr>
              <w:t>3</w:t>
            </w:r>
          </w:p>
        </w:tc>
        <w:tc>
          <w:tcPr>
            <w:tcW w:w="8700" w:type="dxa"/>
            <w:vAlign w:val="bottom"/>
          </w:tcPr>
          <w:p>
            <w:pPr>
              <w:ind w:left="480"/>
              <w:spacing w:after="0"/>
              <w:rPr>
                <w:sz w:val="20"/>
                <w:szCs w:val="20"/>
                <w:color w:val="auto"/>
              </w:rPr>
            </w:pPr>
            <w:r>
              <w:rPr>
                <w:rFonts w:ascii="Arial" w:cs="Arial" w:eastAsia="Arial" w:hAnsi="Arial"/>
                <w:sz w:val="18"/>
                <w:szCs w:val="18"/>
                <w:color w:val="auto"/>
              </w:rPr>
              <w:t>SEC USE ONLY</w:t>
            </w:r>
          </w:p>
        </w:tc>
        <w:tc>
          <w:tcPr>
            <w:tcW w:w="1180" w:type="dxa"/>
            <w:vAlign w:val="bottom"/>
          </w:tcPr>
          <w:p>
            <w:pPr>
              <w:spacing w:after="0"/>
              <w:rPr>
                <w:sz w:val="19"/>
                <w:szCs w:val="19"/>
                <w:color w:val="auto"/>
              </w:rPr>
            </w:pPr>
          </w:p>
        </w:tc>
      </w:tr>
      <w:tr>
        <w:trPr>
          <w:trHeight w:val="418"/>
        </w:trPr>
        <w:tc>
          <w:tcPr>
            <w:tcW w:w="1360" w:type="dxa"/>
            <w:vAlign w:val="bottom"/>
            <w:tcBorders>
              <w:bottom w:val="single" w:sz="8" w:color="auto"/>
            </w:tcBorders>
          </w:tcPr>
          <w:p>
            <w:pPr>
              <w:spacing w:after="0"/>
              <w:rPr>
                <w:sz w:val="24"/>
                <w:szCs w:val="24"/>
                <w:color w:val="auto"/>
              </w:rPr>
            </w:pPr>
          </w:p>
        </w:tc>
        <w:tc>
          <w:tcPr>
            <w:tcW w:w="87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224"/>
        </w:trPr>
        <w:tc>
          <w:tcPr>
            <w:tcW w:w="1360" w:type="dxa"/>
            <w:vAlign w:val="bottom"/>
          </w:tcPr>
          <w:p>
            <w:pPr>
              <w:jc w:val="right"/>
              <w:ind w:right="370"/>
              <w:spacing w:after="0"/>
              <w:rPr>
                <w:sz w:val="20"/>
                <w:szCs w:val="20"/>
                <w:color w:val="auto"/>
              </w:rPr>
            </w:pPr>
            <w:r>
              <w:rPr>
                <w:rFonts w:ascii="Arial" w:cs="Arial" w:eastAsia="Arial" w:hAnsi="Arial"/>
                <w:sz w:val="18"/>
                <w:szCs w:val="18"/>
                <w:color w:val="auto"/>
              </w:rPr>
              <w:t>4</w:t>
            </w:r>
          </w:p>
        </w:tc>
        <w:tc>
          <w:tcPr>
            <w:tcW w:w="8700" w:type="dxa"/>
            <w:vAlign w:val="bottom"/>
          </w:tcPr>
          <w:p>
            <w:pPr>
              <w:ind w:left="480"/>
              <w:spacing w:after="0"/>
              <w:rPr>
                <w:sz w:val="20"/>
                <w:szCs w:val="20"/>
                <w:color w:val="auto"/>
              </w:rPr>
            </w:pPr>
            <w:r>
              <w:rPr>
                <w:rFonts w:ascii="Arial" w:cs="Arial" w:eastAsia="Arial" w:hAnsi="Arial"/>
                <w:sz w:val="18"/>
                <w:szCs w:val="18"/>
                <w:color w:val="auto"/>
              </w:rPr>
              <w:t>SOURCE OF FUNDS</w:t>
            </w:r>
          </w:p>
        </w:tc>
        <w:tc>
          <w:tcPr>
            <w:tcW w:w="1180" w:type="dxa"/>
            <w:vAlign w:val="bottom"/>
          </w:tcPr>
          <w:p>
            <w:pPr>
              <w:spacing w:after="0"/>
              <w:rPr>
                <w:sz w:val="19"/>
                <w:szCs w:val="19"/>
                <w:color w:val="auto"/>
              </w:rPr>
            </w:pPr>
          </w:p>
        </w:tc>
      </w:tr>
      <w:tr>
        <w:trPr>
          <w:trHeight w:val="418"/>
        </w:trPr>
        <w:tc>
          <w:tcPr>
            <w:tcW w:w="1360" w:type="dxa"/>
            <w:vAlign w:val="bottom"/>
            <w:tcBorders>
              <w:bottom w:val="single" w:sz="8" w:color="auto"/>
            </w:tcBorders>
          </w:tcPr>
          <w:p>
            <w:pPr>
              <w:spacing w:after="0"/>
              <w:rPr>
                <w:sz w:val="24"/>
                <w:szCs w:val="24"/>
                <w:color w:val="auto"/>
              </w:rPr>
            </w:pPr>
          </w:p>
        </w:tc>
        <w:tc>
          <w:tcPr>
            <w:tcW w:w="870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AF</w:t>
            </w:r>
          </w:p>
        </w:tc>
        <w:tc>
          <w:tcPr>
            <w:tcW w:w="1180" w:type="dxa"/>
            <w:vAlign w:val="bottom"/>
            <w:tcBorders>
              <w:bottom w:val="single" w:sz="8" w:color="auto"/>
            </w:tcBorders>
          </w:tcPr>
          <w:p>
            <w:pPr>
              <w:spacing w:after="0"/>
              <w:rPr>
                <w:sz w:val="24"/>
                <w:szCs w:val="24"/>
                <w:color w:val="auto"/>
              </w:rPr>
            </w:pPr>
          </w:p>
        </w:tc>
      </w:tr>
      <w:tr>
        <w:trPr>
          <w:trHeight w:val="195"/>
        </w:trPr>
        <w:tc>
          <w:tcPr>
            <w:tcW w:w="1360" w:type="dxa"/>
            <w:vAlign w:val="bottom"/>
          </w:tcPr>
          <w:p>
            <w:pPr>
              <w:jc w:val="right"/>
              <w:ind w:right="370"/>
              <w:spacing w:after="0" w:line="195" w:lineRule="exact"/>
              <w:rPr>
                <w:sz w:val="20"/>
                <w:szCs w:val="20"/>
                <w:color w:val="auto"/>
              </w:rPr>
            </w:pPr>
            <w:r>
              <w:rPr>
                <w:rFonts w:ascii="Arial" w:cs="Arial" w:eastAsia="Arial" w:hAnsi="Arial"/>
                <w:sz w:val="18"/>
                <w:szCs w:val="18"/>
                <w:color w:val="auto"/>
              </w:rPr>
              <w:t>5</w:t>
            </w:r>
          </w:p>
        </w:tc>
        <w:tc>
          <w:tcPr>
            <w:tcW w:w="8700" w:type="dxa"/>
            <w:vAlign w:val="bottom"/>
          </w:tcPr>
          <w:p>
            <w:pPr>
              <w:ind w:left="48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1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1360" w:type="dxa"/>
            <w:vAlign w:val="bottom"/>
          </w:tcPr>
          <w:p>
            <w:pPr>
              <w:spacing w:after="0"/>
              <w:rPr>
                <w:sz w:val="20"/>
                <w:szCs w:val="20"/>
                <w:color w:val="auto"/>
              </w:rPr>
            </w:pPr>
          </w:p>
        </w:tc>
        <w:tc>
          <w:tcPr>
            <w:tcW w:w="8700" w:type="dxa"/>
            <w:vAlign w:val="bottom"/>
          </w:tcPr>
          <w:p>
            <w:pPr>
              <w:ind w:left="480"/>
              <w:spacing w:after="0"/>
              <w:rPr>
                <w:sz w:val="20"/>
                <w:szCs w:val="20"/>
                <w:color w:val="auto"/>
              </w:rPr>
            </w:pPr>
            <w:r>
              <w:rPr>
                <w:rFonts w:ascii="Arial" w:cs="Arial" w:eastAsia="Arial" w:hAnsi="Arial"/>
                <w:sz w:val="18"/>
                <w:szCs w:val="18"/>
                <w:color w:val="auto"/>
              </w:rPr>
              <w:t>2(e)</w:t>
            </w:r>
          </w:p>
        </w:tc>
        <w:tc>
          <w:tcPr>
            <w:tcW w:w="1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-1962785</wp:posOffset>
            </wp:positionV>
            <wp:extent cx="351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840" w:hanging="1026"/>
        <w:spacing w:after="0"/>
        <w:tabs>
          <w:tab w:leader="none" w:pos="1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-130175</wp:posOffset>
            </wp:positionV>
            <wp:extent cx="351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Delaware</w:t>
            </w:r>
          </w:p>
        </w:tc>
        <w:tc>
          <w:tcPr>
            <w:tcW w:w="6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22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60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2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2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- 0 -</w:t>
            </w:r>
          </w:p>
        </w:tc>
        <w:tc>
          <w:tcPr>
            <w:tcW w:w="160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22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60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2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2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4,298,851</w:t>
            </w:r>
          </w:p>
        </w:tc>
        <w:tc>
          <w:tcPr>
            <w:tcW w:w="160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22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60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2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- 0 -</w:t>
            </w:r>
          </w:p>
        </w:tc>
        <w:tc>
          <w:tcPr>
            <w:tcW w:w="160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22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60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2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4,298,851</w:t>
            </w:r>
          </w:p>
        </w:tc>
        <w:tc>
          <w:tcPr>
            <w:tcW w:w="160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7940" w:type="dxa"/>
            <w:vAlign w:val="bottom"/>
            <w:gridSpan w:val="2"/>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160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4,298,851*</w:t>
            </w:r>
          </w:p>
        </w:tc>
        <w:tc>
          <w:tcPr>
            <w:tcW w:w="6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276"/>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794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60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0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gridSpan w:val="2"/>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7940" w:type="dxa"/>
            <w:vAlign w:val="bottom"/>
            <w:gridSpan w:val="2"/>
          </w:tcPr>
          <w:p>
            <w:pPr>
              <w:ind w:left="140"/>
              <w:spacing w:after="0"/>
              <w:rPr>
                <w:sz w:val="20"/>
                <w:szCs w:val="20"/>
                <w:color w:val="auto"/>
              </w:rPr>
            </w:pPr>
            <w:r>
              <w:rPr>
                <w:rFonts w:ascii="Arial" w:cs="Arial" w:eastAsia="Arial" w:hAnsi="Arial"/>
                <w:sz w:val="18"/>
                <w:szCs w:val="18"/>
                <w:color w:val="auto"/>
              </w:rPr>
              <w:t>PERCENT OF CLASS REPRESENTED BY AMOUNT IN ROW (11)</w:t>
            </w:r>
          </w:p>
        </w:tc>
        <w:tc>
          <w:tcPr>
            <w:tcW w:w="1600" w:type="dxa"/>
            <w:vAlign w:val="bottom"/>
          </w:tcPr>
          <w:p>
            <w:pPr>
              <w:spacing w:after="0"/>
              <w:rPr>
                <w:sz w:val="19"/>
                <w:szCs w:val="19"/>
                <w:color w:val="auto"/>
              </w:rPr>
            </w:pPr>
          </w:p>
        </w:tc>
      </w:tr>
    </w:tbl>
    <w:p>
      <w:pPr>
        <w:spacing w:after="0" w:line="18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14605</wp:posOffset>
            </wp:positionV>
            <wp:extent cx="3511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 w:lineRule="exact"/>
        <w:rPr>
          <w:sz w:val="20"/>
          <w:szCs w:val="20"/>
          <w:color w:val="auto"/>
        </w:rPr>
      </w:pPr>
    </w:p>
    <w:p>
      <w:pPr>
        <w:ind w:left="2280" w:right="6900" w:hanging="1512"/>
        <w:spacing w:after="0" w:line="527" w:lineRule="auto"/>
        <w:tabs>
          <w:tab w:leader="none" w:pos="1839" w:val="left"/>
        </w:tabs>
        <w:numPr>
          <w:ilvl w:val="1"/>
          <w:numId w:val="7"/>
        </w:numPr>
        <w:rPr>
          <w:rFonts w:ascii="Arial" w:cs="Arial" w:eastAsia="Arial" w:hAnsi="Arial"/>
          <w:sz w:val="18"/>
          <w:szCs w:val="18"/>
          <w:color w:val="auto"/>
        </w:rPr>
      </w:pPr>
      <w:r>
        <w:rPr>
          <w:rFonts w:ascii="Arial" w:cs="Arial" w:eastAsia="Arial" w:hAnsi="Arial"/>
          <w:sz w:val="18"/>
          <w:szCs w:val="18"/>
          <w:color w:val="auto"/>
        </w:rPr>
        <w:t>TYPE OF REPORTING PERSON IA</w:t>
      </w:r>
    </w:p>
    <w:p>
      <w:pPr>
        <w:spacing w:after="0" w:line="21"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Includes (i) 214,095 Shares underlying certain Warrants beneficially owned by Legion Partners, L.P. I and (ii) 10,905 Shares underlying certain Warrants beneficially owned by Legion Partners, L.P.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-610870</wp:posOffset>
            </wp:positionV>
            <wp:extent cx="8890"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-610870</wp:posOffset>
            </wp:positionV>
            <wp:extent cx="889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-610870</wp:posOffset>
            </wp:positionV>
            <wp:extent cx="889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-610870</wp:posOffset>
            </wp:positionV>
            <wp:extent cx="351155"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1155" cy="163195"/>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CUSIP No. 629337106</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18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Legion Partners Holdings, LLC</w:t>
            </w:r>
          </w:p>
        </w:tc>
        <w:tc>
          <w:tcPr>
            <w:tcW w:w="118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4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1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58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w w:val="93"/>
              </w:rPr>
              <w:t>SOURCE OF FUNDS</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AF</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4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5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4,299,151</w:t>
            </w:r>
          </w:p>
        </w:tc>
        <w:tc>
          <w:tcPr>
            <w:tcW w:w="118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4,299,151</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4,299,151*</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9.94%</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firstLine="8"/>
        <w:spacing w:after="0" w:line="277" w:lineRule="auto"/>
        <w:tabs>
          <w:tab w:leader="none" w:pos="139"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(i) 214,095 Shares underlying certain Warrants beneficially owned by Legion Partners, L.P. I and (ii) 10,905 Shares underlying certain Warrants beneficially owned by Legion Partners, L.P. II.</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CUSIP No. 629337106</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18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Christopher S. Kiper</w:t>
            </w:r>
          </w:p>
        </w:tc>
        <w:tc>
          <w:tcPr>
            <w:tcW w:w="118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4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1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58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w w:val="93"/>
              </w:rPr>
              <w:t>SOURCE OF FUNDS</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AF</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4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5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USA</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4,299,151</w:t>
            </w:r>
          </w:p>
        </w:tc>
        <w:tc>
          <w:tcPr>
            <w:tcW w:w="118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4,299,151</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4,299,151*</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9.94%</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IN</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firstLine="8"/>
        <w:spacing w:after="0" w:line="277" w:lineRule="auto"/>
        <w:tabs>
          <w:tab w:leader="none" w:pos="139"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(i) 214,095 Shares underlying certain Warrants beneficially owned by Legion Partners, L.P. I and (ii) 10,905 Shares underlying certain Warrants beneficially owned by Legion Partners, L.P. II.</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CUSIP No. 629337106</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18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92"/>
              </w:rPr>
              <w:t>Raymond White</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4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1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58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w w:val="93"/>
              </w:rPr>
              <w:t>SOURCE OF FUNDS</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AF</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4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5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USA</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4,299,151</w:t>
            </w:r>
          </w:p>
        </w:tc>
        <w:tc>
          <w:tcPr>
            <w:tcW w:w="118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4,299,151</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4,299,151*</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9.94%</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IN</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firstLine="8"/>
        <w:spacing w:after="0" w:line="277" w:lineRule="auto"/>
        <w:tabs>
          <w:tab w:leader="none" w:pos="139"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(i) 214,095 Shares underlying certain Warrants beneficially owned by Legion Partners, L.P. I and (ii) 10,905 Shares underlying certain Warrants beneficially owned by Legion Partners, L.P. II.</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CUSIP No. 629337106</w:t>
      </w:r>
    </w:p>
    <w:p>
      <w:pPr>
        <w:spacing w:after="0" w:line="1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constitutes Amendment No. 9 to the Schedule 13D filed by the undersigned (the “Amendment No. 9”). This Amendment No. 9 amends and restates the Schedule 13D as specifically set forth herein.</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u w:val="single" w:color="auto"/>
          <w:color w:val="auto"/>
        </w:rPr>
        <w:t>Contracts, Arrangements, Understandings or Relationships with Respect to Securities of the Issuer</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6 is hereby amended to add the following:</w:t>
      </w:r>
    </w:p>
    <w:p>
      <w:pPr>
        <w:spacing w:after="0" w:line="22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Legion Partners I has entered into certain cash-settled total return swap agreements with Normura Global Financial Products Inc. (“Nomura”) as the counterparty (the “Swap Agreements”). The swaps with Nomura constitute economic exposure to an aggregate of 1,607,376 notional Shares, representing approximately 3.72% of the outstanding Shares, which swaps have a maturity date of January 30, 2025 and a weighted average</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reference price of $3.6761</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per Share. The Swap Agreements provide Legion Partners I with economic results that are comparable to the economic results of ownership but do not provide them with the power to vote or direct the voting or dispose of or direct the disposition of the Shares that are the subject of the Swap Agreements. The Reporting Persons disclaim beneficial ownership of the Shares that are the subject of the Swap Agreements.</w:t>
      </w:r>
    </w:p>
    <w:p>
      <w:pPr>
        <w:spacing w:after="0" w:line="19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Legion Partners II has entered into certain Swap Agreements with Nomura. The swaps with Nomura constitute economic exposure to an aggregate of 129,923 notional Shares, representing less than 1% of the outstanding Shares, which swaps have a maturity date of January 30, 2025 and a</w:t>
      </w:r>
    </w:p>
    <w:p>
      <w:pPr>
        <w:jc w:val="both"/>
        <w:spacing w:after="0" w:line="250" w:lineRule="auto"/>
        <w:rPr>
          <w:sz w:val="20"/>
          <w:szCs w:val="20"/>
          <w:color w:val="auto"/>
        </w:rPr>
      </w:pPr>
      <w:r>
        <w:rPr>
          <w:rFonts w:ascii="Arial" w:cs="Arial" w:eastAsia="Arial" w:hAnsi="Arial"/>
          <w:sz w:val="16"/>
          <w:szCs w:val="16"/>
          <w:color w:val="auto"/>
        </w:rPr>
        <w:t>weighted average reference price of $3.6558</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per Share. The Swap Agreements provide Legion Partners II with economic results that are comparable to the economic results of ownership but do not provide them with the power to vote or direct the voting or dispose of or direct the disposition of the Shares that are the subject of the Swap Agreements. The Reporting Persons disclaim beneficial ownership of the Shares that are the subject of the Swap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5645" cy="336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645" cy="33655"/>
                    </a:xfrm>
                    <a:prstGeom prst="rect">
                      <a:avLst/>
                    </a:prstGeom>
                    <a:noFill/>
                  </pic:spPr>
                </pic:pic>
              </a:graphicData>
            </a:graphic>
          </wp:anchor>
        </w:drawing>
      </w:r>
    </w:p>
    <w:p>
      <w:pPr>
        <w:spacing w:after="0" w:line="337" w:lineRule="exact"/>
        <w:rPr>
          <w:sz w:val="20"/>
          <w:szCs w:val="20"/>
          <w:color w:val="auto"/>
        </w:rPr>
      </w:pPr>
    </w:p>
    <w:p>
      <w:pPr>
        <w:jc w:val="both"/>
        <w:ind w:firstLine="8"/>
        <w:spacing w:after="0" w:line="218" w:lineRule="auto"/>
        <w:tabs>
          <w:tab w:leader="none" w:pos="126"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The reference price reported for these swaps is a weighted average price. These swaps were entered into at reference prices ranging from $2.5699 to $4.2624 per Share. The Reporting Persons undertake to provide to the Issuer, any security holder of the Issuer or the Staff of the Securities and Exchange Commission, upon request, full information regarding the number of notional shares at each separate reference price for each swap within the range set forth in this footnote 1.</w:t>
      </w:r>
    </w:p>
    <w:p>
      <w:pPr>
        <w:spacing w:after="0" w:line="243" w:lineRule="exact"/>
        <w:rPr>
          <w:sz w:val="20"/>
          <w:szCs w:val="20"/>
          <w:color w:val="auto"/>
        </w:rPr>
      </w:pPr>
    </w:p>
    <w:p>
      <w:pPr>
        <w:jc w:val="both"/>
        <w:ind w:firstLine="8"/>
        <w:spacing w:after="0" w:line="218" w:lineRule="auto"/>
        <w:tabs>
          <w:tab w:leader="none" w:pos="138"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The reference price reported for these swaps is a weighted average price. These swaps were entered into at reference prices ranging from $2.5699 to $4.2624 per Share. The Reporting Persons undertake to provide to the Issuer, any security holder of the Issuer or the Staff of the Securities and Exchange Commission, upon request, full information regarding the number of notional shares at each separate reference price for each swap within the range set forth in this footnote 2.</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CUSIP No. 629337106</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After reasonable inquiry and to the best of his knowledge and belief, each of the undersigned certifies that the information set forth in this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statement is true, complete and correct.</w:t>
            </w:r>
          </w:p>
        </w:tc>
        <w:tc>
          <w:tcPr>
            <w:tcW w:w="10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6520" w:type="dxa"/>
            <w:vAlign w:val="bottom"/>
          </w:tcPr>
          <w:p>
            <w:pPr>
              <w:spacing w:after="0"/>
              <w:rPr>
                <w:sz w:val="20"/>
                <w:szCs w:val="20"/>
                <w:color w:val="auto"/>
              </w:rPr>
            </w:pPr>
            <w:r>
              <w:rPr>
                <w:rFonts w:ascii="Arial" w:cs="Arial" w:eastAsia="Arial" w:hAnsi="Arial"/>
                <w:sz w:val="18"/>
                <w:szCs w:val="18"/>
                <w:color w:val="auto"/>
              </w:rPr>
              <w:t>Dated: February 24, 2022</w:t>
            </w:r>
          </w:p>
        </w:tc>
        <w:tc>
          <w:tcPr>
            <w:tcW w:w="10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540" w:type="dxa"/>
            <w:vAlign w:val="bottom"/>
            <w:gridSpan w:val="2"/>
          </w:tcPr>
          <w:p>
            <w:pPr>
              <w:ind w:left="5840"/>
              <w:spacing w:after="0"/>
              <w:rPr>
                <w:sz w:val="20"/>
                <w:szCs w:val="20"/>
                <w:color w:val="auto"/>
              </w:rPr>
            </w:pPr>
            <w:r>
              <w:rPr>
                <w:rFonts w:ascii="Arial" w:cs="Arial" w:eastAsia="Arial" w:hAnsi="Arial"/>
                <w:sz w:val="18"/>
                <w:szCs w:val="18"/>
                <w:color w:val="auto"/>
                <w:w w:val="93"/>
              </w:rPr>
              <w:t>Legion Partners, L.P. I</w:t>
            </w: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6520" w:type="dxa"/>
            <w:vAlign w:val="bottom"/>
          </w:tcPr>
          <w:p>
            <w:pPr>
              <w:ind w:left="5840"/>
              <w:spacing w:after="0"/>
              <w:rPr>
                <w:sz w:val="20"/>
                <w:szCs w:val="20"/>
                <w:color w:val="auto"/>
              </w:rPr>
            </w:pPr>
            <w:r>
              <w:rPr>
                <w:rFonts w:ascii="Arial" w:cs="Arial" w:eastAsia="Arial" w:hAnsi="Arial"/>
                <w:sz w:val="18"/>
                <w:szCs w:val="18"/>
                <w:color w:val="auto"/>
              </w:rPr>
              <w:t>By:</w:t>
            </w:r>
          </w:p>
        </w:tc>
        <w:tc>
          <w:tcPr>
            <w:tcW w:w="4620" w:type="dxa"/>
            <w:vAlign w:val="bottom"/>
            <w:gridSpan w:val="2"/>
          </w:tcPr>
          <w:p>
            <w:pPr>
              <w:spacing w:after="0"/>
              <w:rPr>
                <w:sz w:val="20"/>
                <w:szCs w:val="20"/>
                <w:color w:val="auto"/>
              </w:rPr>
            </w:pPr>
            <w:r>
              <w:rPr>
                <w:rFonts w:ascii="Arial" w:cs="Arial" w:eastAsia="Arial" w:hAnsi="Arial"/>
                <w:sz w:val="18"/>
                <w:szCs w:val="18"/>
                <w:color w:val="auto"/>
              </w:rPr>
              <w:t>Legion Partners Asset Management, LLC</w:t>
            </w:r>
          </w:p>
        </w:tc>
        <w:tc>
          <w:tcPr>
            <w:tcW w:w="100" w:type="dxa"/>
            <w:vAlign w:val="bottom"/>
          </w:tcPr>
          <w:p>
            <w:pPr>
              <w:spacing w:after="0"/>
              <w:rPr>
                <w:sz w:val="24"/>
                <w:szCs w:val="24"/>
                <w:color w:val="auto"/>
              </w:rPr>
            </w:pPr>
          </w:p>
        </w:tc>
      </w:tr>
      <w:tr>
        <w:trPr>
          <w:trHeight w:val="230"/>
        </w:trPr>
        <w:tc>
          <w:tcPr>
            <w:tcW w:w="652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Investment Advisor</w:t>
            </w:r>
          </w:p>
        </w:tc>
        <w:tc>
          <w:tcPr>
            <w:tcW w:w="100" w:type="dxa"/>
            <w:vAlign w:val="bottom"/>
          </w:tcPr>
          <w:p>
            <w:pPr>
              <w:spacing w:after="0"/>
              <w:rPr>
                <w:sz w:val="20"/>
                <w:szCs w:val="20"/>
                <w:color w:val="auto"/>
              </w:rPr>
            </w:pPr>
          </w:p>
        </w:tc>
      </w:tr>
      <w:tr>
        <w:trPr>
          <w:trHeight w:val="432"/>
        </w:trPr>
        <w:tc>
          <w:tcPr>
            <w:tcW w:w="6520" w:type="dxa"/>
            <w:vAlign w:val="bottom"/>
          </w:tcPr>
          <w:p>
            <w:pPr>
              <w:ind w:left="584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S. Kiper</w:t>
            </w:r>
          </w:p>
        </w:tc>
        <w:tc>
          <w:tcPr>
            <w:tcW w:w="100" w:type="dxa"/>
            <w:vAlign w:val="bottom"/>
          </w:tcPr>
          <w:p>
            <w:pPr>
              <w:spacing w:after="0"/>
              <w:rPr>
                <w:sz w:val="24"/>
                <w:szCs w:val="24"/>
                <w:color w:val="auto"/>
              </w:rPr>
            </w:pPr>
          </w:p>
        </w:tc>
      </w:tr>
      <w:tr>
        <w:trPr>
          <w:trHeight w:val="195"/>
        </w:trPr>
        <w:tc>
          <w:tcPr>
            <w:tcW w:w="6520" w:type="dxa"/>
            <w:vAlign w:val="bottom"/>
          </w:tcPr>
          <w:p>
            <w:pPr>
              <w:spacing w:after="0"/>
              <w:rPr>
                <w:sz w:val="16"/>
                <w:szCs w:val="16"/>
                <w:color w:val="auto"/>
              </w:rPr>
            </w:pPr>
          </w:p>
        </w:tc>
        <w:tc>
          <w:tcPr>
            <w:tcW w:w="10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600" w:type="dxa"/>
            <w:vAlign w:val="bottom"/>
          </w:tcPr>
          <w:p>
            <w:pPr>
              <w:spacing w:after="0" w:line="195" w:lineRule="exact"/>
              <w:rPr>
                <w:sz w:val="20"/>
                <w:szCs w:val="20"/>
                <w:color w:val="auto"/>
              </w:rPr>
            </w:pPr>
            <w:r>
              <w:rPr>
                <w:rFonts w:ascii="Arial" w:cs="Arial" w:eastAsia="Arial" w:hAnsi="Arial"/>
                <w:sz w:val="18"/>
                <w:szCs w:val="18"/>
                <w:color w:val="auto"/>
              </w:rPr>
              <w:t>Christopher S. Kiper</w:t>
            </w:r>
          </w:p>
        </w:tc>
        <w:tc>
          <w:tcPr>
            <w:tcW w:w="100" w:type="dxa"/>
            <w:vAlign w:val="bottom"/>
          </w:tcPr>
          <w:p>
            <w:pPr>
              <w:spacing w:after="0"/>
              <w:rPr>
                <w:sz w:val="16"/>
                <w:szCs w:val="16"/>
                <w:color w:val="auto"/>
              </w:rPr>
            </w:pPr>
          </w:p>
        </w:tc>
      </w:tr>
      <w:tr>
        <w:trPr>
          <w:trHeight w:val="230"/>
        </w:trPr>
        <w:tc>
          <w:tcPr>
            <w:tcW w:w="652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Title:</w:t>
            </w:r>
          </w:p>
        </w:tc>
        <w:tc>
          <w:tcPr>
            <w:tcW w:w="3600" w:type="dxa"/>
            <w:vAlign w:val="bottom"/>
          </w:tcPr>
          <w:p>
            <w:pPr>
              <w:spacing w:after="0"/>
              <w:rPr>
                <w:sz w:val="20"/>
                <w:szCs w:val="20"/>
                <w:color w:val="auto"/>
              </w:rPr>
            </w:pPr>
            <w:r>
              <w:rPr>
                <w:rFonts w:ascii="Arial" w:cs="Arial" w:eastAsia="Arial" w:hAnsi="Arial"/>
                <w:sz w:val="18"/>
                <w:szCs w:val="18"/>
                <w:color w:val="auto"/>
              </w:rPr>
              <w:t>Managing Director</w:t>
            </w:r>
          </w:p>
        </w:tc>
        <w:tc>
          <w:tcPr>
            <w:tcW w:w="100" w:type="dxa"/>
            <w:vAlign w:val="bottom"/>
          </w:tcPr>
          <w:p>
            <w:pPr>
              <w:spacing w:after="0"/>
              <w:rPr>
                <w:sz w:val="20"/>
                <w:szCs w:val="20"/>
                <w:color w:val="auto"/>
              </w:rPr>
            </w:pPr>
          </w:p>
        </w:tc>
      </w:tr>
      <w:tr>
        <w:trPr>
          <w:trHeight w:val="432"/>
        </w:trPr>
        <w:tc>
          <w:tcPr>
            <w:tcW w:w="7540" w:type="dxa"/>
            <w:vAlign w:val="bottom"/>
            <w:gridSpan w:val="2"/>
          </w:tcPr>
          <w:p>
            <w:pPr>
              <w:ind w:left="5840"/>
              <w:spacing w:after="0"/>
              <w:rPr>
                <w:sz w:val="20"/>
                <w:szCs w:val="20"/>
                <w:color w:val="auto"/>
              </w:rPr>
            </w:pPr>
            <w:r>
              <w:rPr>
                <w:rFonts w:ascii="Arial" w:cs="Arial" w:eastAsia="Arial" w:hAnsi="Arial"/>
                <w:sz w:val="18"/>
                <w:szCs w:val="18"/>
                <w:color w:val="auto"/>
                <w:w w:val="91"/>
              </w:rPr>
              <w:t>Legion Partners, L.P. II</w:t>
            </w: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6520" w:type="dxa"/>
            <w:vAlign w:val="bottom"/>
          </w:tcPr>
          <w:p>
            <w:pPr>
              <w:ind w:left="5840"/>
              <w:spacing w:after="0"/>
              <w:rPr>
                <w:sz w:val="20"/>
                <w:szCs w:val="20"/>
                <w:color w:val="auto"/>
              </w:rPr>
            </w:pPr>
            <w:r>
              <w:rPr>
                <w:rFonts w:ascii="Arial" w:cs="Arial" w:eastAsia="Arial" w:hAnsi="Arial"/>
                <w:sz w:val="18"/>
                <w:szCs w:val="18"/>
                <w:color w:val="auto"/>
              </w:rPr>
              <w:t>By:</w:t>
            </w:r>
          </w:p>
        </w:tc>
        <w:tc>
          <w:tcPr>
            <w:tcW w:w="4620" w:type="dxa"/>
            <w:vAlign w:val="bottom"/>
            <w:gridSpan w:val="2"/>
          </w:tcPr>
          <w:p>
            <w:pPr>
              <w:spacing w:after="0"/>
              <w:rPr>
                <w:sz w:val="20"/>
                <w:szCs w:val="20"/>
                <w:color w:val="auto"/>
              </w:rPr>
            </w:pPr>
            <w:r>
              <w:rPr>
                <w:rFonts w:ascii="Arial" w:cs="Arial" w:eastAsia="Arial" w:hAnsi="Arial"/>
                <w:sz w:val="18"/>
                <w:szCs w:val="18"/>
                <w:color w:val="auto"/>
              </w:rPr>
              <w:t>Legion Partners Asset Management, LLC</w:t>
            </w:r>
          </w:p>
        </w:tc>
        <w:tc>
          <w:tcPr>
            <w:tcW w:w="100" w:type="dxa"/>
            <w:vAlign w:val="bottom"/>
          </w:tcPr>
          <w:p>
            <w:pPr>
              <w:spacing w:after="0"/>
              <w:rPr>
                <w:sz w:val="24"/>
                <w:szCs w:val="24"/>
                <w:color w:val="auto"/>
              </w:rPr>
            </w:pPr>
          </w:p>
        </w:tc>
      </w:tr>
      <w:tr>
        <w:trPr>
          <w:trHeight w:val="230"/>
        </w:trPr>
        <w:tc>
          <w:tcPr>
            <w:tcW w:w="652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Investment Advisor</w:t>
            </w:r>
          </w:p>
        </w:tc>
        <w:tc>
          <w:tcPr>
            <w:tcW w:w="100" w:type="dxa"/>
            <w:vAlign w:val="bottom"/>
          </w:tcPr>
          <w:p>
            <w:pPr>
              <w:spacing w:after="0"/>
              <w:rPr>
                <w:sz w:val="20"/>
                <w:szCs w:val="20"/>
                <w:color w:val="auto"/>
              </w:rPr>
            </w:pPr>
          </w:p>
        </w:tc>
      </w:tr>
      <w:tr>
        <w:trPr>
          <w:trHeight w:val="432"/>
        </w:trPr>
        <w:tc>
          <w:tcPr>
            <w:tcW w:w="6520" w:type="dxa"/>
            <w:vAlign w:val="bottom"/>
          </w:tcPr>
          <w:p>
            <w:pPr>
              <w:ind w:left="584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S. Kiper</w:t>
            </w:r>
          </w:p>
        </w:tc>
        <w:tc>
          <w:tcPr>
            <w:tcW w:w="100" w:type="dxa"/>
            <w:vAlign w:val="bottom"/>
          </w:tcPr>
          <w:p>
            <w:pPr>
              <w:spacing w:after="0"/>
              <w:rPr>
                <w:sz w:val="24"/>
                <w:szCs w:val="24"/>
                <w:color w:val="auto"/>
              </w:rPr>
            </w:pPr>
          </w:p>
        </w:tc>
      </w:tr>
      <w:tr>
        <w:trPr>
          <w:trHeight w:val="195"/>
        </w:trPr>
        <w:tc>
          <w:tcPr>
            <w:tcW w:w="6520" w:type="dxa"/>
            <w:vAlign w:val="bottom"/>
          </w:tcPr>
          <w:p>
            <w:pPr>
              <w:spacing w:after="0"/>
              <w:rPr>
                <w:sz w:val="16"/>
                <w:szCs w:val="16"/>
                <w:color w:val="auto"/>
              </w:rPr>
            </w:pPr>
          </w:p>
        </w:tc>
        <w:tc>
          <w:tcPr>
            <w:tcW w:w="10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600" w:type="dxa"/>
            <w:vAlign w:val="bottom"/>
          </w:tcPr>
          <w:p>
            <w:pPr>
              <w:spacing w:after="0" w:line="195" w:lineRule="exact"/>
              <w:rPr>
                <w:sz w:val="20"/>
                <w:szCs w:val="20"/>
                <w:color w:val="auto"/>
              </w:rPr>
            </w:pPr>
            <w:r>
              <w:rPr>
                <w:rFonts w:ascii="Arial" w:cs="Arial" w:eastAsia="Arial" w:hAnsi="Arial"/>
                <w:sz w:val="18"/>
                <w:szCs w:val="18"/>
                <w:color w:val="auto"/>
              </w:rPr>
              <w:t>Christopher S. Kiper</w:t>
            </w:r>
          </w:p>
        </w:tc>
        <w:tc>
          <w:tcPr>
            <w:tcW w:w="100" w:type="dxa"/>
            <w:vAlign w:val="bottom"/>
          </w:tcPr>
          <w:p>
            <w:pPr>
              <w:spacing w:after="0"/>
              <w:rPr>
                <w:sz w:val="16"/>
                <w:szCs w:val="16"/>
                <w:color w:val="auto"/>
              </w:rPr>
            </w:pPr>
          </w:p>
        </w:tc>
      </w:tr>
      <w:tr>
        <w:trPr>
          <w:trHeight w:val="230"/>
        </w:trPr>
        <w:tc>
          <w:tcPr>
            <w:tcW w:w="652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Title:</w:t>
            </w:r>
          </w:p>
        </w:tc>
        <w:tc>
          <w:tcPr>
            <w:tcW w:w="3600" w:type="dxa"/>
            <w:vAlign w:val="bottom"/>
          </w:tcPr>
          <w:p>
            <w:pPr>
              <w:spacing w:after="0"/>
              <w:rPr>
                <w:sz w:val="20"/>
                <w:szCs w:val="20"/>
                <w:color w:val="auto"/>
              </w:rPr>
            </w:pPr>
            <w:r>
              <w:rPr>
                <w:rFonts w:ascii="Arial" w:cs="Arial" w:eastAsia="Arial" w:hAnsi="Arial"/>
                <w:sz w:val="18"/>
                <w:szCs w:val="18"/>
                <w:color w:val="auto"/>
              </w:rPr>
              <w:t>Managing Director</w:t>
            </w:r>
          </w:p>
        </w:tc>
        <w:tc>
          <w:tcPr>
            <w:tcW w:w="100" w:type="dxa"/>
            <w:vAlign w:val="bottom"/>
          </w:tcPr>
          <w:p>
            <w:pPr>
              <w:spacing w:after="0"/>
              <w:rPr>
                <w:sz w:val="20"/>
                <w:szCs w:val="20"/>
                <w:color w:val="auto"/>
              </w:rPr>
            </w:pPr>
          </w:p>
        </w:tc>
      </w:tr>
      <w:tr>
        <w:trPr>
          <w:trHeight w:val="432"/>
        </w:trPr>
        <w:tc>
          <w:tcPr>
            <w:tcW w:w="11140" w:type="dxa"/>
            <w:vAlign w:val="bottom"/>
            <w:gridSpan w:val="3"/>
          </w:tcPr>
          <w:p>
            <w:pPr>
              <w:ind w:left="5840"/>
              <w:spacing w:after="0"/>
              <w:rPr>
                <w:sz w:val="20"/>
                <w:szCs w:val="20"/>
                <w:color w:val="auto"/>
              </w:rPr>
            </w:pPr>
            <w:r>
              <w:rPr>
                <w:rFonts w:ascii="Arial" w:cs="Arial" w:eastAsia="Arial" w:hAnsi="Arial"/>
                <w:sz w:val="18"/>
                <w:szCs w:val="18"/>
                <w:color w:val="auto"/>
              </w:rPr>
              <w:t>Legion Partners Special Opportunities, L.P. XI</w:t>
            </w:r>
          </w:p>
        </w:tc>
        <w:tc>
          <w:tcPr>
            <w:tcW w:w="100" w:type="dxa"/>
            <w:vAlign w:val="bottom"/>
          </w:tcPr>
          <w:p>
            <w:pPr>
              <w:spacing w:after="0"/>
              <w:rPr>
                <w:sz w:val="24"/>
                <w:szCs w:val="24"/>
                <w:color w:val="auto"/>
              </w:rPr>
            </w:pPr>
          </w:p>
        </w:tc>
      </w:tr>
      <w:tr>
        <w:trPr>
          <w:trHeight w:val="418"/>
        </w:trPr>
        <w:tc>
          <w:tcPr>
            <w:tcW w:w="6520" w:type="dxa"/>
            <w:vAlign w:val="bottom"/>
          </w:tcPr>
          <w:p>
            <w:pPr>
              <w:ind w:left="5840"/>
              <w:spacing w:after="0"/>
              <w:rPr>
                <w:sz w:val="20"/>
                <w:szCs w:val="20"/>
                <w:color w:val="auto"/>
              </w:rPr>
            </w:pPr>
            <w:r>
              <w:rPr>
                <w:rFonts w:ascii="Arial" w:cs="Arial" w:eastAsia="Arial" w:hAnsi="Arial"/>
                <w:sz w:val="18"/>
                <w:szCs w:val="18"/>
                <w:color w:val="auto"/>
              </w:rPr>
              <w:t>By:</w:t>
            </w:r>
          </w:p>
        </w:tc>
        <w:tc>
          <w:tcPr>
            <w:tcW w:w="4620" w:type="dxa"/>
            <w:vAlign w:val="bottom"/>
            <w:gridSpan w:val="2"/>
          </w:tcPr>
          <w:p>
            <w:pPr>
              <w:spacing w:after="0"/>
              <w:rPr>
                <w:sz w:val="20"/>
                <w:szCs w:val="20"/>
                <w:color w:val="auto"/>
              </w:rPr>
            </w:pPr>
            <w:r>
              <w:rPr>
                <w:rFonts w:ascii="Arial" w:cs="Arial" w:eastAsia="Arial" w:hAnsi="Arial"/>
                <w:sz w:val="18"/>
                <w:szCs w:val="18"/>
                <w:color w:val="auto"/>
              </w:rPr>
              <w:t>Legion Partners Asset Management, LLC</w:t>
            </w:r>
          </w:p>
        </w:tc>
        <w:tc>
          <w:tcPr>
            <w:tcW w:w="100" w:type="dxa"/>
            <w:vAlign w:val="bottom"/>
          </w:tcPr>
          <w:p>
            <w:pPr>
              <w:spacing w:after="0"/>
              <w:rPr>
                <w:sz w:val="24"/>
                <w:szCs w:val="24"/>
                <w:color w:val="auto"/>
              </w:rPr>
            </w:pPr>
          </w:p>
        </w:tc>
      </w:tr>
      <w:tr>
        <w:trPr>
          <w:trHeight w:val="230"/>
        </w:trPr>
        <w:tc>
          <w:tcPr>
            <w:tcW w:w="652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Investment Advisor</w:t>
            </w:r>
          </w:p>
        </w:tc>
        <w:tc>
          <w:tcPr>
            <w:tcW w:w="100" w:type="dxa"/>
            <w:vAlign w:val="bottom"/>
          </w:tcPr>
          <w:p>
            <w:pPr>
              <w:spacing w:after="0"/>
              <w:rPr>
                <w:sz w:val="20"/>
                <w:szCs w:val="20"/>
                <w:color w:val="auto"/>
              </w:rPr>
            </w:pPr>
          </w:p>
        </w:tc>
      </w:tr>
      <w:tr>
        <w:trPr>
          <w:trHeight w:val="432"/>
        </w:trPr>
        <w:tc>
          <w:tcPr>
            <w:tcW w:w="6520" w:type="dxa"/>
            <w:vAlign w:val="bottom"/>
          </w:tcPr>
          <w:p>
            <w:pPr>
              <w:ind w:left="584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S. Kiper</w:t>
            </w:r>
          </w:p>
        </w:tc>
        <w:tc>
          <w:tcPr>
            <w:tcW w:w="100" w:type="dxa"/>
            <w:vAlign w:val="bottom"/>
          </w:tcPr>
          <w:p>
            <w:pPr>
              <w:spacing w:after="0"/>
              <w:rPr>
                <w:sz w:val="24"/>
                <w:szCs w:val="24"/>
                <w:color w:val="auto"/>
              </w:rPr>
            </w:pPr>
          </w:p>
        </w:tc>
      </w:tr>
      <w:tr>
        <w:trPr>
          <w:trHeight w:val="195"/>
        </w:trPr>
        <w:tc>
          <w:tcPr>
            <w:tcW w:w="6520" w:type="dxa"/>
            <w:vAlign w:val="bottom"/>
          </w:tcPr>
          <w:p>
            <w:pPr>
              <w:spacing w:after="0"/>
              <w:rPr>
                <w:sz w:val="16"/>
                <w:szCs w:val="16"/>
                <w:color w:val="auto"/>
              </w:rPr>
            </w:pPr>
          </w:p>
        </w:tc>
        <w:tc>
          <w:tcPr>
            <w:tcW w:w="10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600" w:type="dxa"/>
            <w:vAlign w:val="bottom"/>
          </w:tcPr>
          <w:p>
            <w:pPr>
              <w:spacing w:after="0" w:line="195" w:lineRule="exact"/>
              <w:rPr>
                <w:sz w:val="20"/>
                <w:szCs w:val="20"/>
                <w:color w:val="auto"/>
              </w:rPr>
            </w:pPr>
            <w:r>
              <w:rPr>
                <w:rFonts w:ascii="Arial" w:cs="Arial" w:eastAsia="Arial" w:hAnsi="Arial"/>
                <w:sz w:val="18"/>
                <w:szCs w:val="18"/>
                <w:color w:val="auto"/>
              </w:rPr>
              <w:t>Christopher S. Kiper</w:t>
            </w:r>
          </w:p>
        </w:tc>
        <w:tc>
          <w:tcPr>
            <w:tcW w:w="100" w:type="dxa"/>
            <w:vAlign w:val="bottom"/>
          </w:tcPr>
          <w:p>
            <w:pPr>
              <w:spacing w:after="0"/>
              <w:rPr>
                <w:sz w:val="16"/>
                <w:szCs w:val="16"/>
                <w:color w:val="auto"/>
              </w:rPr>
            </w:pPr>
          </w:p>
        </w:tc>
      </w:tr>
      <w:tr>
        <w:trPr>
          <w:trHeight w:val="230"/>
        </w:trPr>
        <w:tc>
          <w:tcPr>
            <w:tcW w:w="652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Title:</w:t>
            </w:r>
          </w:p>
        </w:tc>
        <w:tc>
          <w:tcPr>
            <w:tcW w:w="3600" w:type="dxa"/>
            <w:vAlign w:val="bottom"/>
          </w:tcPr>
          <w:p>
            <w:pPr>
              <w:spacing w:after="0"/>
              <w:rPr>
                <w:sz w:val="20"/>
                <w:szCs w:val="20"/>
                <w:color w:val="auto"/>
              </w:rPr>
            </w:pPr>
            <w:r>
              <w:rPr>
                <w:rFonts w:ascii="Arial" w:cs="Arial" w:eastAsia="Arial" w:hAnsi="Arial"/>
                <w:sz w:val="18"/>
                <w:szCs w:val="18"/>
                <w:color w:val="auto"/>
              </w:rPr>
              <w:t>Managing Director</w:t>
            </w:r>
          </w:p>
        </w:tc>
        <w:tc>
          <w:tcPr>
            <w:tcW w:w="100" w:type="dxa"/>
            <w:vAlign w:val="bottom"/>
          </w:tcPr>
          <w:p>
            <w:pPr>
              <w:spacing w:after="0"/>
              <w:rPr>
                <w:sz w:val="20"/>
                <w:szCs w:val="20"/>
                <w:color w:val="auto"/>
              </w:rPr>
            </w:pPr>
          </w:p>
        </w:tc>
      </w:tr>
      <w:tr>
        <w:trPr>
          <w:trHeight w:val="432"/>
        </w:trPr>
        <w:tc>
          <w:tcPr>
            <w:tcW w:w="7540" w:type="dxa"/>
            <w:vAlign w:val="bottom"/>
            <w:gridSpan w:val="2"/>
          </w:tcPr>
          <w:p>
            <w:pPr>
              <w:ind w:left="5840"/>
              <w:spacing w:after="0"/>
              <w:rPr>
                <w:sz w:val="20"/>
                <w:szCs w:val="20"/>
                <w:color w:val="auto"/>
              </w:rPr>
            </w:pPr>
            <w:r>
              <w:rPr>
                <w:rFonts w:ascii="Arial" w:cs="Arial" w:eastAsia="Arial" w:hAnsi="Arial"/>
                <w:sz w:val="18"/>
                <w:szCs w:val="18"/>
                <w:color w:val="auto"/>
                <w:w w:val="98"/>
              </w:rPr>
              <w:t>Legion Partners, LLC</w:t>
            </w: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6520" w:type="dxa"/>
            <w:vAlign w:val="bottom"/>
          </w:tcPr>
          <w:p>
            <w:pPr>
              <w:ind w:left="5840"/>
              <w:spacing w:after="0"/>
              <w:rPr>
                <w:sz w:val="20"/>
                <w:szCs w:val="20"/>
                <w:color w:val="auto"/>
              </w:rPr>
            </w:pPr>
            <w:r>
              <w:rPr>
                <w:rFonts w:ascii="Arial" w:cs="Arial" w:eastAsia="Arial" w:hAnsi="Arial"/>
                <w:sz w:val="18"/>
                <w:szCs w:val="18"/>
                <w:color w:val="auto"/>
              </w:rPr>
              <w:t>By:</w:t>
            </w:r>
          </w:p>
        </w:tc>
        <w:tc>
          <w:tcPr>
            <w:tcW w:w="4620" w:type="dxa"/>
            <w:vAlign w:val="bottom"/>
            <w:gridSpan w:val="2"/>
          </w:tcPr>
          <w:p>
            <w:pPr>
              <w:spacing w:after="0"/>
              <w:rPr>
                <w:sz w:val="20"/>
                <w:szCs w:val="20"/>
                <w:color w:val="auto"/>
              </w:rPr>
            </w:pPr>
            <w:r>
              <w:rPr>
                <w:rFonts w:ascii="Arial" w:cs="Arial" w:eastAsia="Arial" w:hAnsi="Arial"/>
                <w:sz w:val="18"/>
                <w:szCs w:val="18"/>
                <w:color w:val="auto"/>
              </w:rPr>
              <w:t>Legion Partners Holdings, LLC</w:t>
            </w:r>
          </w:p>
        </w:tc>
        <w:tc>
          <w:tcPr>
            <w:tcW w:w="100" w:type="dxa"/>
            <w:vAlign w:val="bottom"/>
          </w:tcPr>
          <w:p>
            <w:pPr>
              <w:spacing w:after="0"/>
              <w:rPr>
                <w:sz w:val="24"/>
                <w:szCs w:val="24"/>
                <w:color w:val="auto"/>
              </w:rPr>
            </w:pPr>
          </w:p>
        </w:tc>
      </w:tr>
      <w:tr>
        <w:trPr>
          <w:trHeight w:val="230"/>
        </w:trPr>
        <w:tc>
          <w:tcPr>
            <w:tcW w:w="652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Managing Member</w:t>
            </w:r>
          </w:p>
        </w:tc>
        <w:tc>
          <w:tcPr>
            <w:tcW w:w="100" w:type="dxa"/>
            <w:vAlign w:val="bottom"/>
          </w:tcPr>
          <w:p>
            <w:pPr>
              <w:spacing w:after="0"/>
              <w:rPr>
                <w:sz w:val="20"/>
                <w:szCs w:val="20"/>
                <w:color w:val="auto"/>
              </w:rPr>
            </w:pPr>
          </w:p>
        </w:tc>
      </w:tr>
      <w:tr>
        <w:trPr>
          <w:trHeight w:val="432"/>
        </w:trPr>
        <w:tc>
          <w:tcPr>
            <w:tcW w:w="6520" w:type="dxa"/>
            <w:vAlign w:val="bottom"/>
          </w:tcPr>
          <w:p>
            <w:pPr>
              <w:ind w:left="584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S. Kiper</w:t>
            </w:r>
          </w:p>
        </w:tc>
        <w:tc>
          <w:tcPr>
            <w:tcW w:w="100" w:type="dxa"/>
            <w:vAlign w:val="bottom"/>
          </w:tcPr>
          <w:p>
            <w:pPr>
              <w:spacing w:after="0"/>
              <w:rPr>
                <w:sz w:val="24"/>
                <w:szCs w:val="24"/>
                <w:color w:val="auto"/>
              </w:rPr>
            </w:pPr>
          </w:p>
        </w:tc>
      </w:tr>
      <w:tr>
        <w:trPr>
          <w:trHeight w:val="195"/>
        </w:trPr>
        <w:tc>
          <w:tcPr>
            <w:tcW w:w="6520" w:type="dxa"/>
            <w:vAlign w:val="bottom"/>
          </w:tcPr>
          <w:p>
            <w:pPr>
              <w:spacing w:after="0"/>
              <w:rPr>
                <w:sz w:val="16"/>
                <w:szCs w:val="16"/>
                <w:color w:val="auto"/>
              </w:rPr>
            </w:pPr>
          </w:p>
        </w:tc>
        <w:tc>
          <w:tcPr>
            <w:tcW w:w="10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600" w:type="dxa"/>
            <w:vAlign w:val="bottom"/>
          </w:tcPr>
          <w:p>
            <w:pPr>
              <w:spacing w:after="0" w:line="195" w:lineRule="exact"/>
              <w:rPr>
                <w:sz w:val="20"/>
                <w:szCs w:val="20"/>
                <w:color w:val="auto"/>
              </w:rPr>
            </w:pPr>
            <w:r>
              <w:rPr>
                <w:rFonts w:ascii="Arial" w:cs="Arial" w:eastAsia="Arial" w:hAnsi="Arial"/>
                <w:sz w:val="18"/>
                <w:szCs w:val="18"/>
                <w:color w:val="auto"/>
              </w:rPr>
              <w:t>Christopher S. Kiper</w:t>
            </w:r>
          </w:p>
        </w:tc>
        <w:tc>
          <w:tcPr>
            <w:tcW w:w="100" w:type="dxa"/>
            <w:vAlign w:val="bottom"/>
          </w:tcPr>
          <w:p>
            <w:pPr>
              <w:spacing w:after="0"/>
              <w:rPr>
                <w:sz w:val="16"/>
                <w:szCs w:val="16"/>
                <w:color w:val="auto"/>
              </w:rPr>
            </w:pPr>
          </w:p>
        </w:tc>
      </w:tr>
      <w:tr>
        <w:trPr>
          <w:trHeight w:val="230"/>
        </w:trPr>
        <w:tc>
          <w:tcPr>
            <w:tcW w:w="652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Title:</w:t>
            </w:r>
          </w:p>
        </w:tc>
        <w:tc>
          <w:tcPr>
            <w:tcW w:w="3600" w:type="dxa"/>
            <w:vAlign w:val="bottom"/>
          </w:tcPr>
          <w:p>
            <w:pPr>
              <w:spacing w:after="0"/>
              <w:rPr>
                <w:sz w:val="20"/>
                <w:szCs w:val="20"/>
                <w:color w:val="auto"/>
              </w:rPr>
            </w:pPr>
            <w:r>
              <w:rPr>
                <w:rFonts w:ascii="Arial" w:cs="Arial" w:eastAsia="Arial" w:hAnsi="Arial"/>
                <w:sz w:val="18"/>
                <w:szCs w:val="18"/>
                <w:color w:val="auto"/>
              </w:rPr>
              <w:t>Managing Member</w:t>
            </w:r>
          </w:p>
        </w:tc>
        <w:tc>
          <w:tcPr>
            <w:tcW w:w="100" w:type="dxa"/>
            <w:vAlign w:val="bottom"/>
          </w:tcPr>
          <w:p>
            <w:pPr>
              <w:spacing w:after="0"/>
              <w:rPr>
                <w:sz w:val="20"/>
                <w:szCs w:val="20"/>
                <w:color w:val="auto"/>
              </w:rPr>
            </w:pPr>
          </w:p>
        </w:tc>
      </w:tr>
      <w:tr>
        <w:trPr>
          <w:trHeight w:val="432"/>
        </w:trPr>
        <w:tc>
          <w:tcPr>
            <w:tcW w:w="11140" w:type="dxa"/>
            <w:vAlign w:val="bottom"/>
            <w:gridSpan w:val="3"/>
          </w:tcPr>
          <w:p>
            <w:pPr>
              <w:ind w:left="5840"/>
              <w:spacing w:after="0"/>
              <w:rPr>
                <w:sz w:val="20"/>
                <w:szCs w:val="20"/>
                <w:color w:val="auto"/>
              </w:rPr>
            </w:pPr>
            <w:r>
              <w:rPr>
                <w:rFonts w:ascii="Arial" w:cs="Arial" w:eastAsia="Arial" w:hAnsi="Arial"/>
                <w:sz w:val="18"/>
                <w:szCs w:val="18"/>
                <w:color w:val="auto"/>
              </w:rPr>
              <w:t>Legion Partners Asset Management, LLC</w:t>
            </w:r>
          </w:p>
        </w:tc>
        <w:tc>
          <w:tcPr>
            <w:tcW w:w="100" w:type="dxa"/>
            <w:vAlign w:val="bottom"/>
          </w:tcPr>
          <w:p>
            <w:pPr>
              <w:spacing w:after="0"/>
              <w:rPr>
                <w:sz w:val="24"/>
                <w:szCs w:val="24"/>
                <w:color w:val="auto"/>
              </w:rPr>
            </w:pPr>
          </w:p>
        </w:tc>
      </w:tr>
      <w:tr>
        <w:trPr>
          <w:trHeight w:val="432"/>
        </w:trPr>
        <w:tc>
          <w:tcPr>
            <w:tcW w:w="6520" w:type="dxa"/>
            <w:vAlign w:val="bottom"/>
          </w:tcPr>
          <w:p>
            <w:pPr>
              <w:ind w:left="584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S. Kiper</w:t>
            </w:r>
          </w:p>
        </w:tc>
        <w:tc>
          <w:tcPr>
            <w:tcW w:w="100" w:type="dxa"/>
            <w:vAlign w:val="bottom"/>
          </w:tcPr>
          <w:p>
            <w:pPr>
              <w:spacing w:after="0"/>
              <w:rPr>
                <w:sz w:val="24"/>
                <w:szCs w:val="24"/>
                <w:color w:val="auto"/>
              </w:rPr>
            </w:pPr>
          </w:p>
        </w:tc>
      </w:tr>
      <w:tr>
        <w:trPr>
          <w:trHeight w:val="195"/>
        </w:trPr>
        <w:tc>
          <w:tcPr>
            <w:tcW w:w="6520" w:type="dxa"/>
            <w:vAlign w:val="bottom"/>
          </w:tcPr>
          <w:p>
            <w:pPr>
              <w:spacing w:after="0"/>
              <w:rPr>
                <w:sz w:val="16"/>
                <w:szCs w:val="16"/>
                <w:color w:val="auto"/>
              </w:rPr>
            </w:pPr>
          </w:p>
        </w:tc>
        <w:tc>
          <w:tcPr>
            <w:tcW w:w="10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600" w:type="dxa"/>
            <w:vAlign w:val="bottom"/>
          </w:tcPr>
          <w:p>
            <w:pPr>
              <w:spacing w:after="0" w:line="195" w:lineRule="exact"/>
              <w:rPr>
                <w:sz w:val="20"/>
                <w:szCs w:val="20"/>
                <w:color w:val="auto"/>
              </w:rPr>
            </w:pPr>
            <w:r>
              <w:rPr>
                <w:rFonts w:ascii="Arial" w:cs="Arial" w:eastAsia="Arial" w:hAnsi="Arial"/>
                <w:sz w:val="18"/>
                <w:szCs w:val="18"/>
                <w:color w:val="auto"/>
              </w:rPr>
              <w:t>Christopher S. Kiper</w:t>
            </w:r>
          </w:p>
        </w:tc>
        <w:tc>
          <w:tcPr>
            <w:tcW w:w="100" w:type="dxa"/>
            <w:vAlign w:val="bottom"/>
          </w:tcPr>
          <w:p>
            <w:pPr>
              <w:spacing w:after="0"/>
              <w:rPr>
                <w:sz w:val="16"/>
                <w:szCs w:val="16"/>
                <w:color w:val="auto"/>
              </w:rPr>
            </w:pPr>
          </w:p>
        </w:tc>
      </w:tr>
      <w:tr>
        <w:trPr>
          <w:trHeight w:val="230"/>
        </w:trPr>
        <w:tc>
          <w:tcPr>
            <w:tcW w:w="652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Title:</w:t>
            </w:r>
          </w:p>
        </w:tc>
        <w:tc>
          <w:tcPr>
            <w:tcW w:w="3600" w:type="dxa"/>
            <w:vAlign w:val="bottom"/>
          </w:tcPr>
          <w:p>
            <w:pPr>
              <w:spacing w:after="0"/>
              <w:rPr>
                <w:sz w:val="20"/>
                <w:szCs w:val="20"/>
                <w:color w:val="auto"/>
              </w:rPr>
            </w:pPr>
            <w:r>
              <w:rPr>
                <w:rFonts w:ascii="Arial" w:cs="Arial" w:eastAsia="Arial" w:hAnsi="Arial"/>
                <w:sz w:val="18"/>
                <w:szCs w:val="18"/>
                <w:color w:val="auto"/>
              </w:rPr>
              <w:t>Managing Director</w:t>
            </w:r>
          </w:p>
        </w:tc>
        <w:tc>
          <w:tcPr>
            <w:tcW w:w="100" w:type="dxa"/>
            <w:vAlign w:val="bottom"/>
          </w:tcPr>
          <w:p>
            <w:pPr>
              <w:spacing w:after="0"/>
              <w:rPr>
                <w:sz w:val="20"/>
                <w:szCs w:val="20"/>
                <w:color w:val="auto"/>
              </w:rPr>
            </w:pPr>
          </w:p>
        </w:tc>
      </w:tr>
      <w:tr>
        <w:trPr>
          <w:trHeight w:val="540"/>
        </w:trPr>
        <w:tc>
          <w:tcPr>
            <w:tcW w:w="6520" w:type="dxa"/>
            <w:vAlign w:val="bottom"/>
            <w:tcBorders>
              <w:bottom w:val="single" w:sz="8" w:color="auto"/>
            </w:tcBorders>
          </w:tcPr>
          <w:p>
            <w:pPr>
              <w:ind w:left="5540"/>
              <w:spacing w:after="0"/>
              <w:rPr>
                <w:sz w:val="20"/>
                <w:szCs w:val="20"/>
                <w:color w:val="auto"/>
              </w:rPr>
            </w:pPr>
            <w:r>
              <w:rPr>
                <w:rFonts w:ascii="Arial" w:cs="Arial" w:eastAsia="Arial" w:hAnsi="Arial"/>
                <w:sz w:val="18"/>
                <w:szCs w:val="18"/>
                <w:color w:val="auto"/>
              </w:rPr>
              <w:t>11</w:t>
            </w:r>
          </w:p>
        </w:tc>
        <w:tc>
          <w:tcPr>
            <w:tcW w:w="10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auto"/>
        </w:rPr>
        <w:t>CUSIP No. 629337106</w:t>
      </w:r>
    </w:p>
    <w:p>
      <w:pPr>
        <w:spacing w:after="0" w:line="105" w:lineRule="exact"/>
        <w:rPr>
          <w:sz w:val="20"/>
          <w:szCs w:val="20"/>
          <w:color w:val="auto"/>
        </w:rPr>
      </w:pPr>
    </w:p>
    <w:p>
      <w:pPr>
        <w:jc w:val="right"/>
        <w:ind w:right="3020"/>
        <w:spacing w:after="0"/>
        <w:rPr>
          <w:sz w:val="20"/>
          <w:szCs w:val="20"/>
          <w:color w:val="auto"/>
        </w:rPr>
      </w:pPr>
      <w:r>
        <w:rPr>
          <w:rFonts w:ascii="Arial" w:cs="Arial" w:eastAsia="Arial" w:hAnsi="Arial"/>
          <w:sz w:val="18"/>
          <w:szCs w:val="18"/>
          <w:color w:val="auto"/>
        </w:rPr>
        <w:t>Legion Partners Holdings, LLC</w:t>
      </w:r>
    </w:p>
    <w:p>
      <w:pPr>
        <w:spacing w:after="0" w:line="225" w:lineRule="exact"/>
        <w:rPr>
          <w:sz w:val="20"/>
          <w:szCs w:val="20"/>
          <w:color w:val="auto"/>
        </w:rPr>
      </w:pPr>
    </w:p>
    <w:tbl>
      <w:tblPr>
        <w:tblLayout w:type="fixed"/>
        <w:tblInd w:w="584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S. Kiper</w:t>
            </w:r>
          </w:p>
        </w:tc>
      </w:tr>
      <w:tr>
        <w:trPr>
          <w:trHeight w:val="195"/>
        </w:trPr>
        <w:tc>
          <w:tcPr>
            <w:tcW w:w="680" w:type="dxa"/>
            <w:vAlign w:val="bottom"/>
          </w:tcPr>
          <w:p>
            <w:pPr>
              <w:spacing w:after="0"/>
              <w:rPr>
                <w:sz w:val="16"/>
                <w:szCs w:val="16"/>
                <w:color w:val="auto"/>
              </w:rPr>
            </w:pPr>
          </w:p>
        </w:tc>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60" w:type="dxa"/>
            <w:vAlign w:val="bottom"/>
          </w:tcPr>
          <w:p>
            <w:pPr>
              <w:ind w:left="260"/>
              <w:spacing w:after="0" w:line="195" w:lineRule="exact"/>
              <w:rPr>
                <w:sz w:val="20"/>
                <w:szCs w:val="20"/>
                <w:color w:val="auto"/>
              </w:rPr>
            </w:pPr>
            <w:r>
              <w:rPr>
                <w:rFonts w:ascii="Arial" w:cs="Arial" w:eastAsia="Arial" w:hAnsi="Arial"/>
                <w:sz w:val="18"/>
                <w:szCs w:val="18"/>
                <w:color w:val="auto"/>
              </w:rPr>
              <w:t>Christopher S. Kiper</w:t>
            </w:r>
          </w:p>
        </w:tc>
      </w:tr>
      <w:tr>
        <w:trPr>
          <w:trHeight w:val="230"/>
        </w:trPr>
        <w:tc>
          <w:tcPr>
            <w:tcW w:w="68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3860" w:type="dxa"/>
            <w:vAlign w:val="bottom"/>
          </w:tcPr>
          <w:p>
            <w:pPr>
              <w:ind w:left="260"/>
              <w:spacing w:after="0"/>
              <w:rPr>
                <w:sz w:val="20"/>
                <w:szCs w:val="20"/>
                <w:color w:val="auto"/>
              </w:rPr>
            </w:pPr>
            <w:r>
              <w:rPr>
                <w:rFonts w:ascii="Arial" w:cs="Arial" w:eastAsia="Arial" w:hAnsi="Arial"/>
                <w:sz w:val="18"/>
                <w:szCs w:val="18"/>
                <w:color w:val="auto"/>
              </w:rPr>
              <w:t>Managing Member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Christopher S. Kiper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33515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Christopher S. Kiper</w:t>
      </w:r>
    </w:p>
    <w:p>
      <w:pPr>
        <w:spacing w:after="0" w:line="200" w:lineRule="exact"/>
        <w:rPr>
          <w:sz w:val="20"/>
          <w:szCs w:val="20"/>
          <w:color w:val="auto"/>
        </w:rPr>
      </w:pPr>
    </w:p>
    <w:p>
      <w:pPr>
        <w:spacing w:after="0" w:line="24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Raymond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33515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Raymond White</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40"/>
      </w:cols>
      <w:pgMar w:left="320" w:top="22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6"/>
      <w:numFmt w:val="bullet"/>
      <w:start w:val="1"/>
    </w:lvl>
  </w:abstractNum>
  <w:abstractNum w:abstractNumId="6">
    <w:nsid w:val="12200854"/>
    <w:multiLevelType w:val="hybridMultilevel"/>
    <w:lvl w:ilvl="0">
      <w:lvlJc w:val="left"/>
      <w:lvlText w:val="*"/>
      <w:numFmt w:val="bullet"/>
      <w:start w:val="1"/>
    </w:lvl>
    <w:lvl w:ilvl="1">
      <w:lvlJc w:val="left"/>
      <w:lvlText w:val="%2"/>
      <w:numFmt w:val="decimal"/>
      <w:start w:val="14"/>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bullet"/>
      <w:start w:val="1"/>
    </w:lvl>
  </w:abstractNum>
  <w:abstractNum w:abstractNumId="11">
    <w:nsid w:val="66EF438D"/>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2022-02-24T16:13:27Z</dcterms:created>
  <dcterms:modified xsi:type="dcterms:W3CDTF">2022-02-24T16:13:27Z</dcterms:modified>
</cp:coreProperties>
</file>