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72"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FORM SD</w:t>
      </w:r>
    </w:p>
    <w:p>
      <w:pPr>
        <w:spacing w:after="0" w:line="112"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6"/>
          <w:szCs w:val="16"/>
          <w:i w:val="1"/>
          <w:iCs w:val="1"/>
          <w:color w:val="auto"/>
        </w:rPr>
        <w:t>(I.R.S. Employer</w:t>
      </w:r>
    </w:p>
    <w:p>
      <w:pPr>
        <w:jc w:val="center"/>
        <w:ind w:right="11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2580"/>
          </w:cols>
          <w:pgMar w:left="320" w:top="1295" w:right="839" w:bottom="1440" w:gutter="0" w:footer="0" w:header="0"/>
          <w:type w:val="continuous"/>
        </w:sectPr>
      </w:pPr>
    </w:p>
    <w:p>
      <w:pPr>
        <w:spacing w:after="0" w:line="177" w:lineRule="exact"/>
        <w:rPr>
          <w:sz w:val="24"/>
          <w:szCs w:val="24"/>
          <w:color w:val="auto"/>
        </w:rPr>
      </w:pPr>
    </w:p>
    <w:p>
      <w:pPr>
        <w:jc w:val="center"/>
        <w:ind w:left="1940"/>
        <w:spacing w:after="0"/>
        <w:rPr>
          <w:sz w:val="20"/>
          <w:szCs w:val="20"/>
          <w:color w:val="auto"/>
        </w:rPr>
      </w:pPr>
      <w:r>
        <w:rPr>
          <w:rFonts w:ascii="Arial" w:cs="Arial" w:eastAsia="Arial" w:hAnsi="Arial"/>
          <w:sz w:val="16"/>
          <w:szCs w:val="16"/>
          <w:b w:val="1"/>
          <w:bCs w:val="1"/>
          <w:color w:val="auto"/>
        </w:rPr>
        <w:t>6210 Ardrey Kell Road, Suite 600</w:t>
      </w:r>
    </w:p>
    <w:p>
      <w:pPr>
        <w:spacing w:after="0" w:line="32" w:lineRule="exact"/>
        <w:rPr>
          <w:sz w:val="24"/>
          <w:szCs w:val="24"/>
          <w:color w:val="auto"/>
        </w:rPr>
      </w:pPr>
    </w:p>
    <w:p>
      <w:pPr>
        <w:jc w:val="center"/>
        <w:ind w:left="1940"/>
        <w:spacing w:after="0"/>
        <w:rPr>
          <w:sz w:val="20"/>
          <w:szCs w:val="20"/>
          <w:color w:val="auto"/>
        </w:rPr>
      </w:pPr>
      <w:r>
        <w:rPr>
          <w:rFonts w:ascii="Arial" w:cs="Arial" w:eastAsia="Arial" w:hAnsi="Arial"/>
          <w:sz w:val="16"/>
          <w:szCs w:val="16"/>
          <w:b w:val="1"/>
          <w:bCs w:val="1"/>
          <w:color w:val="auto"/>
        </w:rPr>
        <w:t>Charlotte, North Carolina</w:t>
      </w:r>
    </w:p>
    <w:p>
      <w:pPr>
        <w:spacing w:after="0" w:line="36" w:lineRule="exact"/>
        <w:rPr>
          <w:sz w:val="24"/>
          <w:szCs w:val="24"/>
          <w:color w:val="auto"/>
        </w:rPr>
      </w:pPr>
    </w:p>
    <w:p>
      <w:pPr>
        <w:jc w:val="center"/>
        <w:ind w:left="19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760"/>
        <w:spacing w:after="0"/>
        <w:rPr>
          <w:sz w:val="20"/>
          <w:szCs w:val="20"/>
          <w:color w:val="auto"/>
        </w:rPr>
      </w:pPr>
      <w:r>
        <w:rPr>
          <w:rFonts w:ascii="Arial" w:cs="Arial" w:eastAsia="Arial" w:hAnsi="Arial"/>
          <w:sz w:val="16"/>
          <w:szCs w:val="16"/>
          <w:b w:val="1"/>
          <w:bCs w:val="1"/>
          <w:color w:val="auto"/>
        </w:rPr>
        <w:t>28277</w:t>
      </w:r>
    </w:p>
    <w:p>
      <w:pPr>
        <w:spacing w:after="0" w:line="36" w:lineRule="exact"/>
        <w:rPr>
          <w:sz w:val="24"/>
          <w:szCs w:val="24"/>
          <w:color w:val="auto"/>
        </w:rPr>
      </w:pPr>
    </w:p>
    <w:p>
      <w:pPr>
        <w:jc w:val="center"/>
        <w:ind w:right="276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6560" w:space="720"/>
            <w:col w:w="3460"/>
          </w:cols>
          <w:pgMar w:left="320" w:top="1295" w:right="839" w:bottom="1440" w:gutter="0" w:footer="0" w:header="0"/>
          <w:type w:val="continuous"/>
        </w:sectPr>
      </w:pPr>
    </w:p>
    <w:p>
      <w:pPr>
        <w:spacing w:after="0" w:line="229"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289560</wp:posOffset>
            </wp:positionV>
            <wp:extent cx="212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1.01</w:t>
        <w:tab/>
        <w:t>CONFLICT MINERALS DISCLOSURE AND REPORT</w:t>
      </w:r>
    </w:p>
    <w:p>
      <w:pPr>
        <w:spacing w:after="0" w:line="2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period of January 1, 2021 through December 31, 2021,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20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this Form SD is publicly available at the Investor Relations section of the Company’s website at www.nninc.com.</w:t>
      </w:r>
    </w:p>
    <w:p>
      <w:pPr>
        <w:sectPr>
          <w:pgSz w:w="11900" w:h="16838" w:orient="portrait"/>
          <w:cols w:equalWidth="0" w:num="1">
            <w:col w:w="11240"/>
          </w:cols>
          <w:pgMar w:left="320" w:top="891"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2022</w:t>
      </w:r>
    </w:p>
    <w:p>
      <w:pPr>
        <w:spacing w:after="0" w:line="39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NN, INC.</w:t>
      </w:r>
    </w:p>
    <w:p>
      <w:pPr>
        <w:spacing w:after="0" w:line="297"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68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68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General</w:t>
            </w:r>
          </w:p>
        </w:tc>
      </w:tr>
      <w:tr>
        <w:trPr>
          <w:trHeight w:val="230"/>
        </w:trPr>
        <w:tc>
          <w:tcPr>
            <w:tcW w:w="68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Counsel</w:t>
            </w:r>
          </w:p>
        </w:tc>
      </w:tr>
    </w:tbl>
    <w:p>
      <w:pPr>
        <w:spacing w:after="0" w:line="1" w:lineRule="exact"/>
        <w:rPr>
          <w:sz w:val="20"/>
          <w:szCs w:val="20"/>
          <w:color w:val="auto"/>
        </w:rPr>
      </w:pP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2022-05-26T16:09:34Z</dcterms:created>
  <dcterms:modified xsi:type="dcterms:W3CDTF">2022-05-26T16:09:34Z</dcterms:modified>
</cp:coreProperties>
</file>