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December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388620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40" w:type="dxa"/>
            <w:vAlign w:val="bottom"/>
          </w:tcPr>
          <w:p>
            <w:pPr>
              <w:jc w:val="center"/>
              <w:ind w:right="2239"/>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000-23486</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3"/>
              </w:rPr>
              <w:t>6210 Ardrey Kell Road</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40" w:type="dxa"/>
            <w:vAlign w:val="bottom"/>
          </w:tcPr>
          <w:p>
            <w:pPr>
              <w:jc w:val="center"/>
              <w:ind w:left="1239"/>
              <w:spacing w:after="0"/>
              <w:rPr>
                <w:sz w:val="20"/>
                <w:szCs w:val="20"/>
                <w:color w:val="auto"/>
              </w:rPr>
            </w:pPr>
            <w:r>
              <w:rPr>
                <w:rFonts w:ascii="Arial" w:cs="Arial" w:eastAsia="Arial" w:hAnsi="Arial"/>
                <w:sz w:val="18"/>
                <w:szCs w:val="18"/>
                <w:b w:val="1"/>
                <w:bCs w:val="1"/>
                <w:color w:val="auto"/>
                <w:w w:val="93"/>
              </w:rPr>
              <w:t>Charlotte, North Carolina</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28277</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212090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gridSpan w:val="3"/>
            <w:vMerge w:val="restart"/>
          </w:tcPr>
          <w:p>
            <w:pPr>
              <w:jc w:val="center"/>
              <w:ind w:right="880"/>
              <w:spacing w:after="0"/>
              <w:rPr>
                <w:sz w:val="20"/>
                <w:szCs w:val="20"/>
                <w:color w:val="auto"/>
              </w:rPr>
            </w:pPr>
            <w:r>
              <w:rPr>
                <w:rFonts w:ascii="Arial" w:cs="Arial" w:eastAsia="Arial" w:hAnsi="Arial"/>
                <w:sz w:val="14"/>
                <w:szCs w:val="14"/>
                <w:b w:val="1"/>
                <w:bCs w:val="1"/>
                <w:color w:val="auto"/>
                <w:w w:val="89"/>
              </w:rPr>
              <w:t>Title of each class</w:t>
            </w:r>
          </w:p>
        </w:tc>
        <w:tc>
          <w:tcPr>
            <w:tcW w:w="28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600" w:type="dxa"/>
            <w:vAlign w:val="bottom"/>
            <w:gridSpan w:val="3"/>
            <w:vMerge w:val="continue"/>
          </w:tcPr>
          <w:p>
            <w:pPr>
              <w:spacing w:after="0"/>
              <w:rPr>
                <w:sz w:val="16"/>
                <w:szCs w:val="16"/>
                <w:color w:val="auto"/>
              </w:rPr>
            </w:pPr>
          </w:p>
        </w:tc>
        <w:tc>
          <w:tcPr>
            <w:tcW w:w="288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9"/>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w:t>
            </w: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780" w:type="dxa"/>
            <w:vAlign w:val="bottom"/>
            <w:tcBorders>
              <w:top w:val="single" w:sz="8" w:color="auto"/>
            </w:tcBorders>
          </w:tcPr>
          <w:p>
            <w:pPr>
              <w:jc w:val="center"/>
              <w:ind w:right="681"/>
              <w:spacing w:after="0"/>
              <w:rPr>
                <w:sz w:val="20"/>
                <w:szCs w:val="20"/>
                <w:color w:val="auto"/>
              </w:rPr>
            </w:pPr>
            <w:r>
              <w:rPr>
                <w:rFonts w:ascii="Arial" w:cs="Arial" w:eastAsia="Arial" w:hAnsi="Arial"/>
                <w:sz w:val="18"/>
                <w:szCs w:val="18"/>
                <w:b w:val="1"/>
                <w:bCs w:val="1"/>
                <w:color w:val="auto"/>
                <w:w w:val="96"/>
              </w:rPr>
              <w:t>NNBR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387"/>
        </w:trPr>
        <w:tc>
          <w:tcPr>
            <w:tcW w:w="462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12(g) of the Act:</w:t>
            </w: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8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8"/>
              </w:rPr>
              <w:t>None</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8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1"/>
              </w:rPr>
              <w:t>(Title of class)</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196215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117"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665"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140" w:firstLine="441"/>
        <w:spacing w:after="0" w:line="276" w:lineRule="auto"/>
        <w:rPr>
          <w:sz w:val="20"/>
          <w:szCs w:val="20"/>
          <w:color w:val="auto"/>
        </w:rPr>
      </w:pPr>
      <w:r>
        <w:rPr>
          <w:rFonts w:ascii="Arial" w:cs="Arial" w:eastAsia="Arial" w:hAnsi="Arial"/>
          <w:sz w:val="17"/>
          <w:szCs w:val="17"/>
          <w:color w:val="auto"/>
        </w:rPr>
        <w:t>December 19, 2019, NN, Inc., a Delaware corporation (the “Company”), certain Company subsidiaries named therein, Truist Bank, as successor by merger to SunTrust Bank (“Truist”), JPMorgan Chase Bank, N.A., KeyBank National Association (“KeyBank”) and HomeTrust Bank entered into that certain Amendment No. 8 to the Amended and Restated Credit Agreement (the “Amendment”), which amended the Company’s existing amended and restated credit agreement, dated as of September 30, 2016, by and among the Company, KeyBank, and Truist and the lenders from time to time party thereto (as amended, the “Amended and Restated Credit Agreement”).</w:t>
      </w:r>
    </w:p>
    <w:p>
      <w:pPr>
        <w:spacing w:after="0" w:line="173"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The Amendment (i) extended the maturity date of the revolving credit facility and the term facility to July 20, 2022 and October 19, 2022, respectively, except with respect to $10,000,000 of incremental term loans, which shall continue to mature on April 3, 2021 (the “Non-Extended Debt”),</w:t>
      </w:r>
    </w:p>
    <w:p>
      <w:pPr>
        <w:ind w:right="140" w:firstLine="4"/>
        <w:spacing w:after="0" w:line="302" w:lineRule="auto"/>
        <w:tabs>
          <w:tab w:leader="none" w:pos="265" w:val="left"/>
        </w:tabs>
        <w:numPr>
          <w:ilvl w:val="0"/>
          <w:numId w:val="2"/>
        </w:numPr>
        <w:rPr>
          <w:rFonts w:ascii="Arial" w:cs="Arial" w:eastAsia="Arial" w:hAnsi="Arial"/>
          <w:sz w:val="16"/>
          <w:szCs w:val="16"/>
          <w:color w:val="auto"/>
        </w:rPr>
      </w:pPr>
      <w:r>
        <w:rPr>
          <w:rFonts w:ascii="Arial" w:cs="Arial" w:eastAsia="Arial" w:hAnsi="Arial"/>
          <w:sz w:val="16"/>
          <w:szCs w:val="16"/>
          <w:color w:val="auto"/>
        </w:rPr>
        <w:t>reduced availability under the Company’s revolving credit facility to $75 million, (iii) increased the applicable borrowing rate by fifty basis points, except with respect to the Non-Extended Debt, (iv) extended and reduced the consolidated net leverage ratio, (v) reduced certain baskets contained within the negative covenants, and (vi) restated the Amended and Restated Credit Agreement, as amended previously, in its entirety.</w:t>
      </w:r>
    </w:p>
    <w:p>
      <w:pPr>
        <w:spacing w:after="0" w:line="15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The foregoing summary is qualified in its entirety by reference to the full text of the Amendment, which is included as Exhibit 10.1 hereto and incorporated herein by reference.</w:t>
      </w:r>
    </w:p>
    <w:p>
      <w:pPr>
        <w:spacing w:after="0" w:line="275"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 1.01 of this Current Report on Form 8-K above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On December 19, 2019, the Company issued a press release, a copy of the press release is attached hereto as Exhibit 99.1 and is incorporated herein by reference.</w:t>
      </w:r>
    </w:p>
    <w:p>
      <w:pPr>
        <w:spacing w:after="0" w:line="170"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160" w:type="dxa"/>
            <w:vAlign w:val="bottom"/>
            <w:gridSpan w:val="2"/>
          </w:tcPr>
          <w:p>
            <w:pPr>
              <w:spacing w:after="0"/>
              <w:rPr>
                <w:sz w:val="14"/>
                <w:szCs w:val="14"/>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930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Amendment No. 8 to Amended and Restated Credit Agreement, dated as of December 19, 2019, by and among NN, Inc., certain</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NN, Inc. subsidiaries named therein, Truist Bank, JPMorgan Chase Bank, N.A., KeyBank National Association and HomeTrust</w:t>
              </w:r>
            </w:hyperlink>
          </w:p>
        </w:tc>
        <w:tc>
          <w:tcPr>
            <w:tcW w:w="10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gridSpan w:val="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Bank</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42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45">
              <w:r>
                <w:rPr>
                  <w:rFonts w:ascii="Arial" w:cs="Arial" w:eastAsia="Arial" w:hAnsi="Arial"/>
                  <w:sz w:val="18"/>
                  <w:szCs w:val="18"/>
                  <w:color w:val="0000EE"/>
                  <w:w w:val="88"/>
                </w:rPr>
                <w:t>Press Release issued by NN, Inc. dated December 19, 2019</w:t>
              </w:r>
            </w:hyperlink>
          </w:p>
        </w:tc>
        <w:tc>
          <w:tcPr>
            <w:tcW w:w="5020" w:type="dxa"/>
            <w:vAlign w:val="bottom"/>
            <w:gridSpan w:val="4"/>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19,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8 TO AMENDED AND RESTATED CREDIT AGREEMENT</w:t>
      </w:r>
    </w:p>
    <w:p>
      <w:pPr>
        <w:spacing w:after="0" w:line="22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This AMENDMENT NO. 8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December 19, 2019 among NN,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the Lenders signatory hereto that are party to the Credit Agreement referred to below, Truist Bank, as successor by merger to SunTrust Bank, as the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Truist Bank, as the New Extended 2017 Incremental Term Lender (as defined below).</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WHEREAS, reference is hereby made to the Amended and Restated Credit Agreement, dated as of September 30, 2016 (as amended by the Incremental Amendment to Amended and Restated Credit Agreement, dated as of October 31, 2016, Amendment No. 1 to Amended and Restated Credit Agreement, dated as of April 3, 2017, Amendment No. 2 to Amended and Restated Credit Agreement, dated as of August 15, 2017, Amendment No. 3 to Amended and Restated Credit Agreement, dated as of November 24, 2017 and Amendment No. 4 to Amended and Restated Credit Agreement, dated as of May 7, 2018, Amendment No. 5 to Amended and Restated Credit Agreement, dated as of December 26, 2018, Amendment No. 6 to Amended and Restated Credit Agreement, dated as of March 15, 2019 and Amendment No. 7 to Amended and Restated Credit Agreement, dated as of June 11, 2019, as the same may be further amended, restated, amended and restated, supplemented, extended, refinanced or otherwise modified prior to the date hereof,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the Borrower, the Lenders party thereto, the Administrative Agent and the other parties from time to time party thereto;</w:t>
      </w:r>
    </w:p>
    <w:p>
      <w:pPr>
        <w:spacing w:after="0" w:line="182"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WHEREAS, the Borrower desires to (i) repay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of the Credit Agreement all Revolving Credit Loans outstanding under the Credit Agreement immediately prior to the Second Restatement Effective Date (the “</w:t>
      </w:r>
      <w:r>
        <w:rPr>
          <w:rFonts w:ascii="Arial" w:cs="Arial" w:eastAsia="Arial" w:hAnsi="Arial"/>
          <w:sz w:val="18"/>
          <w:szCs w:val="18"/>
          <w:u w:val="single" w:color="auto"/>
          <w:color w:val="auto"/>
        </w:rPr>
        <w:t>Existing Revolving Credit Loans</w:t>
      </w:r>
      <w:r>
        <w:rPr>
          <w:rFonts w:ascii="Arial" w:cs="Arial" w:eastAsia="Arial" w:hAnsi="Arial"/>
          <w:sz w:val="18"/>
          <w:szCs w:val="18"/>
          <w:color w:val="auto"/>
        </w:rPr>
        <w:t xml:space="preserve">”) and (ii) permanently reduce the Revolving Credit Commitments under the Revolving Credit Facility to $75,000,000 in accordance with </w:t>
      </w:r>
      <w:r>
        <w:rPr>
          <w:rFonts w:ascii="Arial" w:cs="Arial" w:eastAsia="Arial" w:hAnsi="Arial"/>
          <w:sz w:val="18"/>
          <w:szCs w:val="18"/>
          <w:u w:val="single" w:color="auto"/>
          <w:color w:val="auto"/>
        </w:rPr>
        <w:t>Sections 2.06(a)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2.06(c)</w:t>
      </w:r>
      <w:r>
        <w:rPr>
          <w:rFonts w:ascii="Arial" w:cs="Arial" w:eastAsia="Arial" w:hAnsi="Arial"/>
          <w:sz w:val="18"/>
          <w:szCs w:val="18"/>
          <w:color w:val="auto"/>
        </w:rPr>
        <w:t xml:space="preserve"> of the Credit Agreement;</w:t>
      </w:r>
    </w:p>
    <w:p>
      <w:pPr>
        <w:spacing w:after="0" w:line="187" w:lineRule="exact"/>
        <w:rPr>
          <w:sz w:val="20"/>
          <w:szCs w:val="20"/>
          <w:color w:val="auto"/>
        </w:rPr>
      </w:pPr>
    </w:p>
    <w:p>
      <w:pPr>
        <w:ind w:right="780" w:firstLine="441"/>
        <w:spacing w:after="0" w:line="277" w:lineRule="auto"/>
        <w:rPr>
          <w:sz w:val="20"/>
          <w:szCs w:val="20"/>
          <w:color w:val="auto"/>
        </w:rPr>
      </w:pPr>
      <w:r>
        <w:rPr>
          <w:rFonts w:ascii="Arial" w:cs="Arial" w:eastAsia="Arial" w:hAnsi="Arial"/>
          <w:sz w:val="18"/>
          <w:szCs w:val="18"/>
          <w:color w:val="auto"/>
        </w:rPr>
        <w:t xml:space="preserve">WHEREAS, after giving effect to the permanent reduction of the Revolving Credit Facility, the Revolving Credit Commitments of each Revolving Credit Lender shall be as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70"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 xml:space="preserve">WHEREAS, the Borrower has requested that the Credit Agreement be amended to, among other things (i) extend the Maturity Date of the Revolving Credit Facility, (ii) increase the Applicable Rate with respect to the Revolving Credit Facility and the Tranche B Term Facility, (iii) reclassify the 2017 Incremental Term Loans of each 2017 Incremental Term Lender who returns a consent in the form of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 “</w:t>
      </w:r>
      <w:r>
        <w:rPr>
          <w:rFonts w:ascii="Arial" w:cs="Arial" w:eastAsia="Arial" w:hAnsi="Arial"/>
          <w:sz w:val="18"/>
          <w:szCs w:val="18"/>
          <w:u w:val="single" w:color="auto"/>
          <w:color w:val="auto"/>
        </w:rPr>
        <w:t>Consent</w:t>
      </w:r>
      <w:r>
        <w:rPr>
          <w:rFonts w:ascii="Arial" w:cs="Arial" w:eastAsia="Arial" w:hAnsi="Arial"/>
          <w:sz w:val="18"/>
          <w:szCs w:val="18"/>
          <w:color w:val="auto"/>
        </w:rPr>
        <w:t>”) to this Amendment to the Administrative Agent prior to 5:00 p.m., New York City time, on December 19, 2019 (each, an “</w:t>
      </w:r>
      <w:r>
        <w:rPr>
          <w:rFonts w:ascii="Arial" w:cs="Arial" w:eastAsia="Arial" w:hAnsi="Arial"/>
          <w:sz w:val="18"/>
          <w:szCs w:val="18"/>
          <w:u w:val="single" w:color="auto"/>
          <w:color w:val="auto"/>
        </w:rPr>
        <w:t>Extended 2017 Incremental 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as “Extended 2017 Incremental Term Loans”, which Extended 2017 Incremental Term Loans shall have the Maturity Date, Applicable Rate and other terms applicable thereto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(iv) make other amendments to the terms, provisions and covenants set forth therein;</w:t>
      </w:r>
    </w:p>
    <w:p>
      <w:pPr>
        <w:sectPr>
          <w:pgSz w:w="11900" w:h="16838" w:orient="portrait"/>
          <w:cols w:equalWidth="0" w:num="1">
            <w:col w:w="11020"/>
          </w:cols>
          <w:pgMar w:left="440" w:top="121" w:right="439" w:bottom="1440" w:gutter="0" w:footer="0" w:header="0"/>
        </w:sectPr>
      </w:pPr>
    </w:p>
    <w:bookmarkStart w:id="4" w:name="page5"/>
    <w:bookmarkEnd w:id="4"/>
    <w:p>
      <w:pPr>
        <w:jc w:val="both"/>
        <w:ind w:right="54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WHEREAS, pursuant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of the Credit Agreement, the consent of each Revolving Credit Lender and the Required Lenders is required for the effectiveness of the amendments (other than with respect to the extension of the Maturity Date applicable to the Extended 2017 Incremental Term Loans) to the Credit Agreement set forth in Section 3 herein;</w:t>
      </w:r>
    </w:p>
    <w:p>
      <w:pPr>
        <w:spacing w:after="0" w:line="18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 xml:space="preserve">WHEREAS, pursuant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of the Credit Agreement, the Credit Agreement may be amended to extend the Maturity Date of the 2017 Incremental Term Loans of any 2017 Incremental Term Lender who consents to such extension of the Maturity Date;</w:t>
      </w:r>
    </w:p>
    <w:p>
      <w:pPr>
        <w:spacing w:after="0" w:line="170"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WHEREAS, each Lender party hereto, constituting all of the Revolving Credit Lenders and the Required Lenders under the Credit Agreement on the date hereof, and the New Extended 2017 Incremental Term Lender has agreed to the amendments to the Credit Agreement set forth in Section 3 herein as evidenced by its signature to this Amendment; and</w:t>
      </w:r>
    </w:p>
    <w:p>
      <w:pPr>
        <w:spacing w:after="0" w:line="181"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WHEREAS, each Extended 2017 Incremental Term Lender party hereto has agreed to extend the Maturity Date of its 2017 Incremental Term Loans as set forth herein.</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In consideration of the premises and mutual covenants herein and for other valuable consideration, the Borrower, the Administrative Agent and the Revolving Credit Lenders party hereto agree as follows:</w:t>
      </w:r>
    </w:p>
    <w:p>
      <w:pPr>
        <w:spacing w:after="0" w:line="170"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Unless otherwise defined herein, each capitalized term used in this Amendment and not defined herein shall be defined in accordance with the Credit Agreement, as amended and restated by this Amendment (as so amended and restated, the “</w:t>
      </w:r>
      <w:r>
        <w:rPr>
          <w:rFonts w:ascii="Arial" w:cs="Arial" w:eastAsia="Arial" w:hAnsi="Arial"/>
          <w:sz w:val="18"/>
          <w:szCs w:val="18"/>
          <w:u w:val="single" w:color="auto"/>
          <w:color w:val="auto"/>
        </w:rPr>
        <w:t>Second Amended and Restated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Extension of 2017 Incremental Term Loans</w:t>
      </w:r>
      <w:r>
        <w:rPr>
          <w:rFonts w:ascii="Arial" w:cs="Arial" w:eastAsia="Arial" w:hAnsi="Arial"/>
          <w:sz w:val="18"/>
          <w:szCs w:val="18"/>
          <w:color w:val="auto"/>
        </w:rPr>
        <w:t>.</w:t>
      </w:r>
    </w:p>
    <w:p>
      <w:pPr>
        <w:spacing w:after="0" w:line="117" w:lineRule="exact"/>
        <w:rPr>
          <w:sz w:val="20"/>
          <w:szCs w:val="20"/>
          <w:color w:val="auto"/>
        </w:rPr>
      </w:pPr>
    </w:p>
    <w:p>
      <w:pPr>
        <w:ind w:right="60" w:firstLine="996"/>
        <w:spacing w:after="0" w:line="279" w:lineRule="auto"/>
        <w:tabs>
          <w:tab w:leader="none" w:pos="1237" w:val="left"/>
        </w:tabs>
        <w:numPr>
          <w:ilvl w:val="0"/>
          <w:numId w:val="3"/>
        </w:numPr>
        <w:rPr>
          <w:rFonts w:ascii="Arial" w:cs="Arial" w:eastAsia="Arial" w:hAnsi="Arial"/>
          <w:sz w:val="17"/>
          <w:szCs w:val="17"/>
          <w:color w:val="auto"/>
        </w:rPr>
      </w:pPr>
      <w:r>
        <w:rPr>
          <w:rFonts w:ascii="Arial" w:cs="Arial" w:eastAsia="Arial" w:hAnsi="Arial"/>
          <w:sz w:val="17"/>
          <w:szCs w:val="17"/>
          <w:color w:val="auto"/>
        </w:rPr>
        <w:t>Each Term Lender that is a 2017 Incremental Term Lender under the Credit Agreement on the date hereof (each, an “</w:t>
      </w:r>
      <w:r>
        <w:rPr>
          <w:rFonts w:ascii="Arial" w:cs="Arial" w:eastAsia="Arial" w:hAnsi="Arial"/>
          <w:sz w:val="17"/>
          <w:szCs w:val="17"/>
          <w:u w:val="single" w:color="auto"/>
          <w:color w:val="auto"/>
        </w:rPr>
        <w:t>Existing 2017</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Incremental Term Lender</w:t>
      </w:r>
      <w:r>
        <w:rPr>
          <w:rFonts w:ascii="Arial" w:cs="Arial" w:eastAsia="Arial" w:hAnsi="Arial"/>
          <w:sz w:val="17"/>
          <w:szCs w:val="17"/>
          <w:color w:val="auto"/>
        </w:rPr>
        <w:t>”), by executing a Consent to this Amendment and delivering such Consent to the Administrative Agent, agrees to extend and reclassify all of its 2017 Incremental Term Loans outstanding immediately prior to the Second Restatement Effective Date (“</w:t>
      </w:r>
      <w:r>
        <w:rPr>
          <w:rFonts w:ascii="Arial" w:cs="Arial" w:eastAsia="Arial" w:hAnsi="Arial"/>
          <w:sz w:val="17"/>
          <w:szCs w:val="17"/>
          <w:u w:val="single" w:color="auto"/>
          <w:color w:val="auto"/>
        </w:rPr>
        <w:t>Existing 2017 Incremental</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 Loans</w:t>
      </w:r>
      <w:r>
        <w:rPr>
          <w:rFonts w:ascii="Arial" w:cs="Arial" w:eastAsia="Arial" w:hAnsi="Arial"/>
          <w:sz w:val="17"/>
          <w:szCs w:val="17"/>
          <w:color w:val="auto"/>
        </w:rPr>
        <w:t>”) to Extended 2017 Incremental Term Loans, in each case, upon the Second Restatement Effective Date.</w:t>
      </w:r>
    </w:p>
    <w:p>
      <w:pPr>
        <w:spacing w:after="0" w:line="63" w:lineRule="exact"/>
        <w:rPr>
          <w:rFonts w:ascii="Arial" w:cs="Arial" w:eastAsia="Arial" w:hAnsi="Arial"/>
          <w:sz w:val="17"/>
          <w:szCs w:val="17"/>
          <w:color w:val="auto"/>
        </w:rPr>
      </w:pPr>
    </w:p>
    <w:p>
      <w:pPr>
        <w:ind w:right="120" w:firstLine="996"/>
        <w:spacing w:after="0" w:line="286" w:lineRule="auto"/>
        <w:tabs>
          <w:tab w:leader="none" w:pos="1247"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of the Second Restatement Effective Date, each Extended 2017 Incremental Term Lender shall have all of its Existing 2017 Incremental Term Loans reclassified as Extended 2017 Incremental Term Loans for all purposes under the Credit Agreement, and such Extended 2017 Incremental Term Loans shall be outstanding under the Credit Agreement on the terms and conditions set forth herein.</w:t>
      </w:r>
    </w:p>
    <w:p>
      <w:pPr>
        <w:spacing w:after="0" w:line="57" w:lineRule="exact"/>
        <w:rPr>
          <w:rFonts w:ascii="Arial" w:cs="Arial" w:eastAsia="Arial" w:hAnsi="Arial"/>
          <w:sz w:val="17"/>
          <w:szCs w:val="17"/>
          <w:color w:val="auto"/>
        </w:rPr>
      </w:pPr>
    </w:p>
    <w:p>
      <w:pPr>
        <w:jc w:val="both"/>
        <w:ind w:firstLine="996"/>
        <w:spacing w:after="0" w:line="259" w:lineRule="auto"/>
        <w:tabs>
          <w:tab w:leader="none" w:pos="1237"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the Second Restatement Effective Date, all of the Existing 2017 Incremental Term Loans of any Existing 2017 Incremental Term Lender that is not an Extended 2017 Incremental Term Lender (each, a “</w:t>
      </w:r>
      <w:r>
        <w:rPr>
          <w:rFonts w:ascii="Arial" w:cs="Arial" w:eastAsia="Arial" w:hAnsi="Arial"/>
          <w:sz w:val="18"/>
          <w:szCs w:val="18"/>
          <w:u w:val="single" w:color="auto"/>
          <w:color w:val="auto"/>
        </w:rPr>
        <w:t>Non-Extending 2017 Incremental Term Lender</w:t>
      </w:r>
      <w:r>
        <w:rPr>
          <w:rFonts w:ascii="Arial" w:cs="Arial" w:eastAsia="Arial" w:hAnsi="Arial"/>
          <w:sz w:val="18"/>
          <w:szCs w:val="18"/>
          <w:color w:val="auto"/>
        </w:rPr>
        <w:t>”) shall be reclassified as “2017 Incremental Term Loans” under the Credit Agreement and shall continue to be in effect and outstanding under the Credit Agreement on the terms and conditions set forth therein.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5" w:name="page6"/>
    <w:bookmarkEnd w:id="5"/>
    <w:p>
      <w:pPr>
        <w:ind w:right="20" w:firstLine="996"/>
        <w:spacing w:after="0" w:line="277" w:lineRule="auto"/>
        <w:tabs>
          <w:tab w:leader="none" w:pos="1247"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the Second Restatement Effective Date, the Extended 2017 Incremental Term Loans and the 2017 Incremental Term Loans will constitute separate tranches of Term Loans under the Second Amended and Restated Credit Agreement.</w:t>
      </w:r>
    </w:p>
    <w:p>
      <w:pPr>
        <w:spacing w:after="0" w:line="170" w:lineRule="exact"/>
        <w:rPr>
          <w:sz w:val="20"/>
          <w:szCs w:val="20"/>
          <w:color w:val="auto"/>
        </w:rPr>
      </w:pPr>
    </w:p>
    <w:p>
      <w:pPr>
        <w:jc w:val="both"/>
        <w:ind w:right="200" w:firstLine="441"/>
        <w:spacing w:after="0" w:line="31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Amendment and Restatement</w:t>
      </w:r>
      <w:r>
        <w:rPr>
          <w:rFonts w:ascii="Arial" w:cs="Arial" w:eastAsia="Arial" w:hAnsi="Arial"/>
          <w:sz w:val="16"/>
          <w:szCs w:val="16"/>
          <w:color w:val="auto"/>
        </w:rPr>
        <w:t xml:space="preserve">. Effective as of the Second Restatement Effective Date, the Credit Agreement is hereby amended and restated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Schedules and Exhibits to the Credit Agreement, in the forms thereof immediately prior to the Second Restatement Effective Date, will continue to be the Schedules and Exhibits to the Second Amended and Restated Credit Agreement.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4.1 This Amendment shall become effective on the date (such date, the “</w:t>
      </w:r>
      <w:r>
        <w:rPr>
          <w:rFonts w:ascii="Arial" w:cs="Arial" w:eastAsia="Arial" w:hAnsi="Arial"/>
          <w:sz w:val="18"/>
          <w:szCs w:val="18"/>
          <w:u w:val="single" w:color="auto"/>
          <w:color w:val="auto"/>
        </w:rPr>
        <w:t>Second Restatement Effective Date</w:t>
      </w:r>
      <w:r>
        <w:rPr>
          <w:rFonts w:ascii="Arial" w:cs="Arial" w:eastAsia="Arial" w:hAnsi="Arial"/>
          <w:sz w:val="18"/>
          <w:szCs w:val="18"/>
          <w:color w:val="auto"/>
        </w:rPr>
        <w:t>”) that the following conditions shall have been satisfied:</w:t>
      </w:r>
    </w:p>
    <w:p>
      <w:pPr>
        <w:spacing w:after="0" w:line="62" w:lineRule="exact"/>
        <w:rPr>
          <w:sz w:val="20"/>
          <w:szCs w:val="20"/>
          <w:color w:val="auto"/>
        </w:rPr>
      </w:pPr>
    </w:p>
    <w:p>
      <w:pPr>
        <w:ind w:right="340" w:firstLine="996"/>
        <w:spacing w:after="0" w:line="312" w:lineRule="auto"/>
        <w:tabs>
          <w:tab w:leader="none" w:pos="123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Administrative Agent (or its counsel) shall have received counterparts of this Amendment that, when taken together, bear the signatures of (A) each Revolving Credit Lender and L/C Issuer, (B) each Extended 2017 Incremental Term Lender, (C) Lenders constituting the Required Lenders, (D) the Administrative Agent, (E) the New Extended 2017 Incremental Term Lender, (F) the Borrower and (G) the Guarantors;</w:t>
      </w:r>
    </w:p>
    <w:p>
      <w:pPr>
        <w:spacing w:after="0" w:line="38" w:lineRule="exact"/>
        <w:rPr>
          <w:rFonts w:ascii="Arial" w:cs="Arial" w:eastAsia="Arial" w:hAnsi="Arial"/>
          <w:sz w:val="16"/>
          <w:szCs w:val="16"/>
          <w:color w:val="auto"/>
        </w:rPr>
      </w:pPr>
    </w:p>
    <w:p>
      <w:pPr>
        <w:ind w:right="220" w:firstLine="996"/>
        <w:spacing w:after="0" w:line="257" w:lineRule="auto"/>
        <w:tabs>
          <w:tab w:leader="none" w:pos="124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and the Eighth Amendment Arrangers all reasonable and documented out-of-pocket expenses (including the reasonable fees and expenses of counsel for the Administrative Agent and the Eighth Amendment Arrangers) incurred in connection with this Amendment and all other fees and expenses then due and payable to the Administrative Agent and the Eighth Amendment Arrangers in connection with this Amendment, in each case to the extent invoiced one business day prior to the Second Restatement Effective Date;</w:t>
      </w:r>
    </w:p>
    <w:p>
      <w:pPr>
        <w:spacing w:after="0" w:line="80" w:lineRule="exact"/>
        <w:rPr>
          <w:rFonts w:ascii="Arial" w:cs="Arial" w:eastAsia="Arial" w:hAnsi="Arial"/>
          <w:sz w:val="18"/>
          <w:szCs w:val="18"/>
          <w:color w:val="auto"/>
        </w:rPr>
      </w:pPr>
    </w:p>
    <w:p>
      <w:pPr>
        <w:ind w:right="60" w:firstLine="996"/>
        <w:spacing w:after="0" w:line="291" w:lineRule="auto"/>
        <w:tabs>
          <w:tab w:leader="none" w:pos="123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Administrative Agent shall have received: (A) a certified copy of the Certificate or Articles of Incorporation or equivalent formation document of each Loan Party and any and all material amendments and restatements thereof, certified as of a recent date, in the case of the Certificate or Articles of Incorporation or equivalent formation document of the Borrower and each other Loan Party requested by the Administrative Agent, by the relevant Secretary of State of organization or formation (and to the extent such certified copies are not requested by the Administrative Agent, certified by the secretary of the relevant Loan Party); and (B) a copy of a good standing certificate, certificate of existence or other evidence of existence or formation in the jurisdiction of organization from the Secretary of State of the state of organization, dated as of a recent date, from each Loan Party listing all charter documents affecting such Loan Party and certifying as to the good standing of such Loan Party;</w:t>
      </w:r>
    </w:p>
    <w:p>
      <w:pPr>
        <w:spacing w:after="0" w:line="59" w:lineRule="exact"/>
        <w:rPr>
          <w:rFonts w:ascii="Arial" w:cs="Arial" w:eastAsia="Arial" w:hAnsi="Arial"/>
          <w:sz w:val="16"/>
          <w:szCs w:val="16"/>
          <w:color w:val="auto"/>
        </w:rPr>
      </w:pPr>
    </w:p>
    <w:p>
      <w:pPr>
        <w:ind w:right="320" w:firstLine="996"/>
        <w:spacing w:after="0" w:line="277" w:lineRule="auto"/>
        <w:tabs>
          <w:tab w:leader="none" w:pos="124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from the Borrower, dated as of the Second Restatement Effective Date, certifying that the conditions set forth in clauses (f) and (g) of this Section 4.1 have been satisfied;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440" w:top="274" w:right="579" w:bottom="1440" w:gutter="0" w:footer="0" w:header="0"/>
        </w:sectPr>
      </w:pPr>
    </w:p>
    <w:bookmarkStart w:id="6" w:name="page7"/>
    <w:bookmarkEnd w:id="6"/>
    <w:p>
      <w:pPr>
        <w:ind w:left="-4" w:right="20" w:firstLine="996"/>
        <w:spacing w:after="0" w:line="264" w:lineRule="auto"/>
        <w:tabs>
          <w:tab w:leader="none" w:pos="1233" w:val="left"/>
        </w:tabs>
        <w:numPr>
          <w:ilvl w:val="1"/>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shall have received such opinions of counsel from counsel to the Loan Parties, each of which shall be addressed to the Administrative Agent and the Lenders (including the New Extended 2017 Incremental Term Lender) and dated the Second Restatement Effective Date and in form and substance reasonably satisfactory to the Administrative Agent; and</w:t>
      </w:r>
    </w:p>
    <w:p>
      <w:pPr>
        <w:spacing w:after="0" w:line="73" w:lineRule="exact"/>
        <w:rPr>
          <w:rFonts w:ascii="Arial" w:cs="Arial" w:eastAsia="Arial" w:hAnsi="Arial"/>
          <w:sz w:val="18"/>
          <w:szCs w:val="18"/>
          <w:color w:val="auto"/>
        </w:rPr>
      </w:pPr>
    </w:p>
    <w:p>
      <w:pPr>
        <w:ind w:left="-4" w:firstLine="996"/>
        <w:spacing w:after="0" w:line="273" w:lineRule="auto"/>
        <w:tabs>
          <w:tab w:leader="none" w:pos="1213" w:val="left"/>
        </w:tabs>
        <w:numPr>
          <w:ilvl w:val="1"/>
          <w:numId w:val="6"/>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Borrower and each other Loan Party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 Credit Agreement or any other Loan Document, or which are contained in any document furnished at any time under or in connection herewith or therewith, shall be true and correct in all material respects (or, with respect to representations and warranties modified by a materiality or Material Adverse Effect standard, in all respects) on and as of the Second Restatement Effective Date, except to the extent that such representations and warranties specifically refer to an earlier date, in which case they shall be true and correct in all material respects (or, with respect to representations and warranties modified by a materiality or Material Adverse Effect standard, in all respects) as of such earlier date;</w:t>
      </w:r>
    </w:p>
    <w:p>
      <w:pPr>
        <w:spacing w:after="0" w:line="70" w:lineRule="exact"/>
        <w:rPr>
          <w:rFonts w:ascii="Arial" w:cs="Arial" w:eastAsia="Arial" w:hAnsi="Arial"/>
          <w:sz w:val="17"/>
          <w:szCs w:val="17"/>
          <w:color w:val="auto"/>
        </w:rPr>
      </w:pPr>
    </w:p>
    <w:p>
      <w:pPr>
        <w:ind w:left="1256" w:hanging="264"/>
        <w:spacing w:after="0"/>
        <w:tabs>
          <w:tab w:leader="none" w:pos="1256" w:val="left"/>
        </w:tabs>
        <w:numPr>
          <w:ilvl w:val="1"/>
          <w:numId w:val="6"/>
        </w:numPr>
        <w:rPr>
          <w:rFonts w:ascii="Arial" w:cs="Arial" w:eastAsia="Arial" w:hAnsi="Arial"/>
          <w:sz w:val="18"/>
          <w:szCs w:val="18"/>
          <w:color w:val="auto"/>
        </w:rPr>
      </w:pPr>
      <w:r>
        <w:rPr>
          <w:rFonts w:ascii="Arial" w:cs="Arial" w:eastAsia="Arial" w:hAnsi="Arial"/>
          <w:sz w:val="18"/>
          <w:szCs w:val="18"/>
          <w:color w:val="auto"/>
        </w:rPr>
        <w:t>both before and immediately after giving effect to this Amendment, there shall exist no Default or Event of Default;</w:t>
      </w:r>
    </w:p>
    <w:p>
      <w:pPr>
        <w:spacing w:after="0" w:line="117" w:lineRule="exact"/>
        <w:rPr>
          <w:rFonts w:ascii="Arial" w:cs="Arial" w:eastAsia="Arial" w:hAnsi="Arial"/>
          <w:sz w:val="18"/>
          <w:szCs w:val="18"/>
          <w:color w:val="auto"/>
        </w:rPr>
      </w:pPr>
    </w:p>
    <w:p>
      <w:pPr>
        <w:ind w:left="1256" w:hanging="264"/>
        <w:spacing w:after="0"/>
        <w:tabs>
          <w:tab w:leader="none" w:pos="1256"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Borrower shall have paid to the Administrative Agent, (i) for the account of (1) each Extended 2017 Incremental Term Lender and</w:t>
      </w:r>
    </w:p>
    <w:p>
      <w:pPr>
        <w:spacing w:after="0" w:line="46" w:lineRule="exact"/>
        <w:rPr>
          <w:rFonts w:ascii="Arial" w:cs="Arial" w:eastAsia="Arial" w:hAnsi="Arial"/>
          <w:sz w:val="16"/>
          <w:szCs w:val="16"/>
          <w:color w:val="auto"/>
        </w:rPr>
      </w:pPr>
    </w:p>
    <w:p>
      <w:pPr>
        <w:jc w:val="both"/>
        <w:ind w:left="-4" w:right="140" w:firstLine="4"/>
        <w:spacing w:after="0" w:line="292" w:lineRule="auto"/>
        <w:tabs>
          <w:tab w:leader="none" w:pos="251"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 New Extended 2017 Incremental Term Lender, a fee in an amount equal to 2.00% of the aggregate principal amount of (x) such Extended 2017 Incremental Term Lender’s Existing 2017 Incremental Term Loans and (y) in the case of the New Extended 2017 Incremental Term Lender, such 2017 Incremental Term Loans purchased and assumed by the New Extended 2017 Incremental Term Lender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and (ii) for the account of each Revolving Credit Lender, a fee in an amount equal to 0.50% of the aggregate principal amount of such Revolving Credit Lender’s Revolving Credit Commitments under the Credit Agreement immediately after the Second Restatement Effective Date;</w:t>
      </w:r>
    </w:p>
    <w:p>
      <w:pPr>
        <w:spacing w:after="0" w:line="54" w:lineRule="exact"/>
        <w:rPr>
          <w:rFonts w:ascii="Arial" w:cs="Arial" w:eastAsia="Arial" w:hAnsi="Arial"/>
          <w:sz w:val="16"/>
          <w:szCs w:val="16"/>
          <w:color w:val="auto"/>
        </w:rPr>
      </w:pPr>
    </w:p>
    <w:p>
      <w:pPr>
        <w:ind w:left="-4" w:right="100" w:firstLine="996"/>
        <w:spacing w:after="0" w:line="257" w:lineRule="auto"/>
        <w:tabs>
          <w:tab w:leader="none" w:pos="1203"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the Borrower shall have paid (i) to the Administrative Agent for the account of each Revolving Credit Lender (A) the aggregate principal amount of all Existing Revolving Credit Loans, together with all accrued and unpaid interest thereon to, but not including, the Second Restatement Effective Date, (B) all accrued and unpaid Commitment Fees and (C) all accrued and unpaid Letter of Credit Fees, in each case to, but not including, the Second Restatement Effective Date and (ii) to each L/C Issuer accrued and unpaid fronting fees in accordance with </w:t>
      </w:r>
      <w:r>
        <w:rPr>
          <w:rFonts w:ascii="Arial" w:cs="Arial" w:eastAsia="Arial" w:hAnsi="Arial"/>
          <w:sz w:val="18"/>
          <w:szCs w:val="18"/>
          <w:u w:val="single" w:color="auto"/>
          <w:color w:val="auto"/>
        </w:rPr>
        <w:t>Section 2.03(i)</w:t>
      </w:r>
      <w:r>
        <w:rPr>
          <w:rFonts w:ascii="Arial" w:cs="Arial" w:eastAsia="Arial" w:hAnsi="Arial"/>
          <w:sz w:val="18"/>
          <w:szCs w:val="18"/>
          <w:color w:val="auto"/>
        </w:rPr>
        <w:t xml:space="preserve"> of the Credit Agreement to but not including the Second Restatement Effective Date; and</w:t>
      </w:r>
    </w:p>
    <w:p>
      <w:pPr>
        <w:spacing w:after="0" w:line="80" w:lineRule="exact"/>
        <w:rPr>
          <w:rFonts w:ascii="Arial" w:cs="Arial" w:eastAsia="Arial" w:hAnsi="Arial"/>
          <w:sz w:val="18"/>
          <w:szCs w:val="18"/>
          <w:color w:val="auto"/>
        </w:rPr>
      </w:pPr>
    </w:p>
    <w:p>
      <w:pPr>
        <w:ind w:left="-4" w:firstLine="996"/>
        <w:spacing w:after="0" w:line="255" w:lineRule="auto"/>
        <w:tabs>
          <w:tab w:leader="none" w:pos="1203"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With respect to each Mortgaged Property, the Administrative Agent shall have received a completed “Life-of-Loan” Federal Emergency Management Agency standard flood hazard determination, and if an improvement is located on any portion of any Mortgaged Property in an area identified by the Federal Emergency Management Agency (or any successor agent) as a Special Flood Hazard Area with respect to which flood insurance has been made available under the National Flood Insurance Act of 1994 (as now or hereafter in effect or successor act thereto), a notice about special flood hazard area status duly executed by the Borrower and evidence of flood insurance as required by </w:t>
      </w:r>
      <w:r>
        <w:rPr>
          <w:rFonts w:ascii="Arial" w:cs="Arial" w:eastAsia="Arial" w:hAnsi="Arial"/>
          <w:sz w:val="18"/>
          <w:szCs w:val="18"/>
          <w:u w:val="single" w:color="auto"/>
          <w:color w:val="auto"/>
        </w:rPr>
        <w:t>Section 6.07</w:t>
      </w:r>
      <w:r>
        <w:rPr>
          <w:rFonts w:ascii="Arial" w:cs="Arial" w:eastAsia="Arial" w:hAnsi="Arial"/>
          <w:sz w:val="18"/>
          <w:szCs w:val="18"/>
          <w:color w:val="auto"/>
        </w:rPr>
        <w:t xml:space="preserve"> of the Second Amended and Restated Credit Agreement.</w:t>
      </w:r>
    </w:p>
    <w:p>
      <w:pPr>
        <w:spacing w:after="0" w:line="126"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96"/>
          </w:cols>
          <w:pgMar w:left="444" w:top="274" w:right="459" w:bottom="1440" w:gutter="0" w:footer="0" w:header="0"/>
        </w:sectPr>
      </w:pPr>
    </w:p>
    <w:bookmarkStart w:id="7" w:name="page8"/>
    <w:bookmarkEnd w:id="7"/>
    <w:p>
      <w:pPr>
        <w:ind w:firstLine="44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 </w:t>
      </w:r>
      <w:r>
        <w:rPr>
          <w:rFonts w:ascii="Arial" w:cs="Arial" w:eastAsia="Arial" w:hAnsi="Arial"/>
          <w:sz w:val="17"/>
          <w:szCs w:val="17"/>
          <w:u w:val="single" w:color="auto"/>
          <w:color w:val="auto"/>
        </w:rPr>
        <w:t>Post-Closing Matters</w:t>
      </w:r>
      <w:r>
        <w:rPr>
          <w:rFonts w:ascii="Arial" w:cs="Arial" w:eastAsia="Arial" w:hAnsi="Arial"/>
          <w:sz w:val="17"/>
          <w:szCs w:val="17"/>
          <w:color w:val="auto"/>
        </w:rPr>
        <w:t>. On or prior to the date that is 120 days after the Second Restatement Effective Date (as such date may be extended by the Administrative Agent in its sole discretion), the Borrower shall deliver or cause to be delivered to the Administrative Agent with respect to each Mortgaged Property, each in form and substance reasonably satisfactory to the Administrative Agent:</w:t>
      </w:r>
    </w:p>
    <w:p>
      <w:pPr>
        <w:spacing w:after="0" w:line="57" w:lineRule="exact"/>
        <w:rPr>
          <w:sz w:val="20"/>
          <w:szCs w:val="20"/>
          <w:color w:val="auto"/>
        </w:rPr>
      </w:pPr>
    </w:p>
    <w:p>
      <w:pPr>
        <w:ind w:left="440" w:firstLine="428"/>
        <w:spacing w:after="0" w:line="264" w:lineRule="auto"/>
        <w:tabs>
          <w:tab w:leader="none" w:pos="1078"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amendment to each Mortgage (each, a “Mortgage Amendment”) duly executed and acknowledged by the applicable Loan Party, and in form for recording in the recording office where the respective Mortgage was recorded, together with such certificates, affidavits, questionnaires or returns as shall be required in connection with the recording or filing thereof under applicable law;</w:t>
      </w:r>
    </w:p>
    <w:p>
      <w:pPr>
        <w:spacing w:after="0" w:line="73" w:lineRule="exact"/>
        <w:rPr>
          <w:rFonts w:ascii="Arial" w:cs="Arial" w:eastAsia="Arial" w:hAnsi="Arial"/>
          <w:sz w:val="18"/>
          <w:szCs w:val="18"/>
          <w:color w:val="auto"/>
        </w:rPr>
      </w:pPr>
    </w:p>
    <w:p>
      <w:pPr>
        <w:ind w:left="440" w:right="220" w:firstLine="428"/>
        <w:spacing w:after="0" w:line="277" w:lineRule="auto"/>
        <w:tabs>
          <w:tab w:leader="none" w:pos="1128"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executed legal opinions regarding the enforceability of the Mortgages, as amended by the applicable Mortgage Amendment, and other customary opinions as reasonably requested by the Administrative Agent;</w:t>
      </w:r>
    </w:p>
    <w:p>
      <w:pPr>
        <w:spacing w:after="0" w:line="62" w:lineRule="exact"/>
        <w:rPr>
          <w:rFonts w:ascii="Arial" w:cs="Arial" w:eastAsia="Arial" w:hAnsi="Arial"/>
          <w:sz w:val="18"/>
          <w:szCs w:val="18"/>
          <w:color w:val="auto"/>
        </w:rPr>
      </w:pPr>
    </w:p>
    <w:p>
      <w:pPr>
        <w:ind w:left="440" w:right="60" w:firstLine="428"/>
        <w:spacing w:after="0" w:line="276" w:lineRule="auto"/>
        <w:tabs>
          <w:tab w:leader="none" w:pos="1178"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a proforma datedown endorsement (or such other title product where a datedown endorsement is not available in the applicable jurisdiction) to the existing Mortgage Policies relating to the Mortgage encumbering the Mortgaged Property subject to such Mortgage, committing to insure the Administrative Agent that, upon recording of such Mortgage Amendment, such Mortgage, as amended thereby, will be a valid and enforceable first priority lien on such Mortgaged Property in favor of the Administrative Agent, free and clear of all defects, encumbrances and liens except for Liens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of the Second Amended and Restated Credit Agreement; and</w:t>
      </w:r>
    </w:p>
    <w:p>
      <w:pPr>
        <w:spacing w:after="0" w:line="64" w:lineRule="exact"/>
        <w:rPr>
          <w:rFonts w:ascii="Arial" w:cs="Arial" w:eastAsia="Arial" w:hAnsi="Arial"/>
          <w:sz w:val="17"/>
          <w:szCs w:val="17"/>
          <w:color w:val="auto"/>
        </w:rPr>
      </w:pPr>
    </w:p>
    <w:p>
      <w:pPr>
        <w:ind w:left="440" w:right="20" w:firstLine="428"/>
        <w:spacing w:after="0" w:line="264" w:lineRule="auto"/>
        <w:tabs>
          <w:tab w:leader="none" w:pos="1168" w:val="left"/>
        </w:tabs>
        <w:numPr>
          <w:ilvl w:val="0"/>
          <w:numId w:val="8"/>
        </w:numPr>
        <w:rPr>
          <w:rFonts w:ascii="Arial" w:cs="Arial" w:eastAsia="Arial" w:hAnsi="Arial"/>
          <w:sz w:val="18"/>
          <w:szCs w:val="18"/>
          <w:color w:val="auto"/>
        </w:rPr>
      </w:pPr>
      <w:r>
        <w:rPr>
          <w:rFonts w:ascii="Arial" w:cs="Arial" w:eastAsia="Arial" w:hAnsi="Arial"/>
          <w:sz w:val="18"/>
          <w:szCs w:val="18"/>
          <w:color w:val="auto"/>
        </w:rPr>
        <w:t>evidence acceptable to the Administrative Agent of payment of all applicable title insurance premiums, search and examination charges, and related charges, mortgage recording taxes, fees, charges, costs and expenses required for the recording of the Mortgage Amendments and issuance of the title products.</w:t>
      </w:r>
    </w:p>
    <w:p>
      <w:pPr>
        <w:spacing w:after="0" w:line="181"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New Extended 2017 Incremental Term Lender and Non-Consenting Lenders</w:t>
      </w:r>
      <w:r>
        <w:rPr>
          <w:rFonts w:ascii="Arial" w:cs="Arial" w:eastAsia="Arial" w:hAnsi="Arial"/>
          <w:sz w:val="17"/>
          <w:szCs w:val="17"/>
          <w:color w:val="auto"/>
        </w:rPr>
        <w:t>. If any 2017 Incremental Term Lender declines or fails to consent to this Amendment by failing to return a Consent hereto to the Administrative Agent prior to the Consent Deadline (each a “</w:t>
      </w:r>
      <w:r>
        <w:rPr>
          <w:rFonts w:ascii="Arial" w:cs="Arial" w:eastAsia="Arial" w:hAnsi="Arial"/>
          <w:sz w:val="17"/>
          <w:szCs w:val="17"/>
          <w:u w:val="single" w:color="auto"/>
          <w:color w:val="auto"/>
        </w:rPr>
        <w:t>Non-Consenting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Lender</w:t>
      </w:r>
      <w:r>
        <w:rPr>
          <w:rFonts w:ascii="Arial" w:cs="Arial" w:eastAsia="Arial" w:hAnsi="Arial"/>
          <w:sz w:val="17"/>
          <w:szCs w:val="17"/>
          <w:color w:val="auto"/>
        </w:rPr>
        <w:t xml:space="preserve">”), then pursuant to and in compliance with the terms of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of the Credit Agreement, the Borrower shall have the option exercise its rights under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of the Credit Agreement to replace any such Non-Consenting Lender, and require that its Commitments and obligations be purchased and assumed by Truist Bank (in such capacity, the “</w:t>
      </w:r>
      <w:r>
        <w:rPr>
          <w:rFonts w:ascii="Arial" w:cs="Arial" w:eastAsia="Arial" w:hAnsi="Arial"/>
          <w:sz w:val="17"/>
          <w:szCs w:val="17"/>
          <w:u w:val="single" w:color="auto"/>
          <w:color w:val="auto"/>
        </w:rPr>
        <w:t>New Extended 2017 Incremental Term Lender</w:t>
      </w:r>
      <w:r>
        <w:rPr>
          <w:rFonts w:ascii="Arial" w:cs="Arial" w:eastAsia="Arial" w:hAnsi="Arial"/>
          <w:sz w:val="17"/>
          <w:szCs w:val="17"/>
          <w:color w:val="auto"/>
        </w:rPr>
        <w:t>”). For the avoidance of doubt, any such Non-Consenting Lender that the Borrower replaces pursuant to the foregoing will be deemed to have executed an Assignment and Assumption for all of its then-outstanding 2017 Incremental Term Loans.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8" w:name="page9"/>
    <w:bookmarkEnd w:id="8"/>
    <w:p>
      <w:pPr>
        <w:ind w:right="20" w:firstLine="44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Arial" w:cs="Arial" w:eastAsia="Arial" w:hAnsi="Arial"/>
          <w:sz w:val="17"/>
          <w:szCs w:val="17"/>
          <w:u w:val="single" w:color="auto"/>
          <w:color w:val="auto"/>
        </w:rPr>
        <w:t>Acknowledgments and Affirmations of the Loan Parties</w:t>
      </w:r>
      <w:r>
        <w:rPr>
          <w:rFonts w:ascii="Arial" w:cs="Arial" w:eastAsia="Arial" w:hAnsi="Arial"/>
          <w:sz w:val="17"/>
          <w:szCs w:val="17"/>
          <w:color w:val="auto"/>
        </w:rPr>
        <w:t xml:space="preserve">. Each Loan Party hereby expressly acknowledges the terms of this Amendment and confirms and reaffirms, as of the date hereof, (i) the covenants and agreements contained in each Loan Document to which it is a party, including, in each case, such covenants and agreements as in effect immediately after giving effect to this Amendment and the transactions contemplated hereby and thereby, (ii) its guarantee of the Obligations under the Guaranty and (iii) its grant of Liens on the Collateral to secure the Obligations pursuant to the Collateral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on and after the effectiveness of this Amendment, each reference in the Guaranty and in each of the other Loan Documents to “the Credit Agreement,” “thereunder”, “thereof” or words of like import shall mean and be a reference to the Second Amended and Restated Credit Agreement. Without limiting the generality of the foregoing, the Collateral Documents to which such Loan Party is a party and all of the Collateral described therein do, and shall continue to secure, payment of all of the Obligations.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 and each Guarantor, by signing below, hereby represents and warrants to the Administrative Agent and the Lenders that:</w:t>
      </w:r>
    </w:p>
    <w:p>
      <w:pPr>
        <w:spacing w:after="0" w:line="62" w:lineRule="exact"/>
        <w:rPr>
          <w:sz w:val="20"/>
          <w:szCs w:val="20"/>
          <w:color w:val="auto"/>
        </w:rPr>
      </w:pPr>
    </w:p>
    <w:p>
      <w:pPr>
        <w:ind w:left="1080" w:hanging="212"/>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it has the legal power and authority to execute and deliver this Amendment;</w:t>
      </w:r>
    </w:p>
    <w:p>
      <w:pPr>
        <w:spacing w:after="0" w:line="117" w:lineRule="exact"/>
        <w:rPr>
          <w:rFonts w:ascii="Arial" w:cs="Arial" w:eastAsia="Arial" w:hAnsi="Arial"/>
          <w:sz w:val="18"/>
          <w:szCs w:val="18"/>
          <w:color w:val="auto"/>
        </w:rPr>
      </w:pPr>
    </w:p>
    <w:p>
      <w:pPr>
        <w:ind w:left="440" w:right="180" w:firstLine="428"/>
        <w:spacing w:after="0" w:line="277" w:lineRule="auto"/>
        <w:tabs>
          <w:tab w:leader="none" w:pos="1128"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officers executing this Amendment on its behalf have been duly authorized to execute and deliver the same and bind it with respect to the provisions hereof;</w:t>
      </w:r>
    </w:p>
    <w:p>
      <w:pPr>
        <w:spacing w:after="0" w:line="62" w:lineRule="exact"/>
        <w:rPr>
          <w:rFonts w:ascii="Arial" w:cs="Arial" w:eastAsia="Arial" w:hAnsi="Arial"/>
          <w:sz w:val="18"/>
          <w:szCs w:val="18"/>
          <w:color w:val="auto"/>
        </w:rPr>
      </w:pPr>
    </w:p>
    <w:p>
      <w:pPr>
        <w:jc w:val="both"/>
        <w:ind w:left="440" w:right="60" w:firstLine="428"/>
        <w:spacing w:after="0" w:line="288" w:lineRule="auto"/>
        <w:tabs>
          <w:tab w:leader="none" w:pos="1178"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the execution and delivery hereof by it and the performance and observance by it of the provisions hereof do not conflict with, result in a breach in any of the provisions of, constitute a default under, or result in the creation of a Lien (other than Liens permitted under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of the Credit Agreement) upon any assets or property of any Loan Party under the provisions of (a) such Loan Party’s Organization Documents,</w:t>
      </w:r>
    </w:p>
    <w:p>
      <w:pPr>
        <w:ind w:left="440" w:right="120" w:firstLine="4"/>
        <w:spacing w:after="0" w:line="254"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material agreement to which any Loan Party is a party, (c) any order, injunction, writ or decree of any Governmental Authority or (d) any Law, except with respect to any conflict, breach, default or violation referred to in clauses (c) and (d) above, solely to the extent that such conflicts, breaches, defaults or violations, either individually or in the aggregate, would not reasonably be expected to have a Material Adverse Effect;</w:t>
      </w:r>
    </w:p>
    <w:p>
      <w:pPr>
        <w:spacing w:after="0" w:line="81" w:lineRule="exact"/>
        <w:rPr>
          <w:rFonts w:ascii="Arial" w:cs="Arial" w:eastAsia="Arial" w:hAnsi="Arial"/>
          <w:sz w:val="18"/>
          <w:szCs w:val="18"/>
          <w:color w:val="auto"/>
        </w:rPr>
      </w:pPr>
    </w:p>
    <w:p>
      <w:pPr>
        <w:ind w:left="440" w:right="340" w:firstLine="428"/>
        <w:spacing w:after="0" w:line="264" w:lineRule="auto"/>
        <w:tabs>
          <w:tab w:leader="none" w:pos="11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this Amendment constitutes its valid and binding obligation in every respect, enforceable in accordance with its terms, except as the enforceability thereof may be limited by bankruptcy, insolvency or other similar laws of general application affecting the enforcement of creditors’ rights or by general principles of equity limiting the availability of equitable remedies;</w:t>
      </w:r>
    </w:p>
    <w:p>
      <w:pPr>
        <w:spacing w:after="0" w:line="73" w:lineRule="exact"/>
        <w:rPr>
          <w:rFonts w:ascii="Arial" w:cs="Arial" w:eastAsia="Arial" w:hAnsi="Arial"/>
          <w:sz w:val="18"/>
          <w:szCs w:val="18"/>
          <w:color w:val="auto"/>
        </w:rPr>
      </w:pPr>
    </w:p>
    <w:p>
      <w:pPr>
        <w:ind w:left="440" w:firstLine="428"/>
        <w:spacing w:after="0" w:line="277" w:lineRule="auto"/>
        <w:tabs>
          <w:tab w:leader="none" w:pos="1118"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 Default or Event of Default exists under the Credit Agreement, nor will any occur immediately after the execution and delivery of this Amendment or by the performance or observance of any provision hereof; and</w:t>
      </w:r>
    </w:p>
    <w:p>
      <w:pPr>
        <w:spacing w:after="0" w:line="62" w:lineRule="exact"/>
        <w:rPr>
          <w:rFonts w:ascii="Arial" w:cs="Arial" w:eastAsia="Arial" w:hAnsi="Arial"/>
          <w:sz w:val="18"/>
          <w:szCs w:val="18"/>
          <w:color w:val="auto"/>
        </w:rPr>
      </w:pPr>
    </w:p>
    <w:p>
      <w:pPr>
        <w:ind w:left="440" w:right="40" w:firstLine="428"/>
        <w:spacing w:after="0" w:line="257" w:lineRule="auto"/>
        <w:tabs>
          <w:tab w:leader="none" w:pos="11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the Credit Agreement is true and correct in all material respects (or, with respect to representations and warranties modified by a materiality or Material Adverse Effect standard, in all respects) as of the date hereof, except to the extent that any thereof expressly relate to an earlier date, in which case such representations and warranties shall have been true and correct in all material respects (or, with respect to representations and warranties modified by a materiality or Material Adverse Effect standard, in all respects) as of the date when made.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9" w:name="page10"/>
    <w:bookmarkEnd w:id="9"/>
    <w:p>
      <w:pPr>
        <w:ind w:right="560" w:firstLine="44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8.2 </w:t>
      </w:r>
      <w:r>
        <w:rPr>
          <w:rFonts w:ascii="Arial" w:cs="Arial" w:eastAsia="Arial" w:hAnsi="Arial"/>
          <w:sz w:val="17"/>
          <w:szCs w:val="17"/>
          <w:u w:val="single" w:color="auto"/>
          <w:color w:val="auto"/>
        </w:rPr>
        <w:t>Credit Agreement Unaffected</w:t>
      </w:r>
      <w:r>
        <w:rPr>
          <w:rFonts w:ascii="Arial" w:cs="Arial" w:eastAsia="Arial" w:hAnsi="Arial"/>
          <w:sz w:val="17"/>
          <w:szCs w:val="17"/>
          <w:color w:val="auto"/>
        </w:rPr>
        <w:t>. Each reference to the Credit Agreement or in any other Loan Document shall hereafter be construed as a reference to the Second Amended and Restated Credit Agreement. Except as herein otherwise specifically provided, all provisions of the Credit Agreement shall remain in full force and effect and be unaffected hereby. This Amendment is a Loan Document.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Guarantor Acknowledgment</w:t>
      </w:r>
      <w:r>
        <w:rPr>
          <w:rFonts w:ascii="Arial" w:cs="Arial" w:eastAsia="Arial" w:hAnsi="Arial"/>
          <w:sz w:val="18"/>
          <w:szCs w:val="18"/>
          <w:color w:val="auto"/>
        </w:rPr>
        <w:t>. Each Guarantor, by signing this Amendment:</w:t>
      </w:r>
    </w:p>
    <w:p>
      <w:pPr>
        <w:spacing w:after="0" w:line="117" w:lineRule="exact"/>
        <w:rPr>
          <w:sz w:val="20"/>
          <w:szCs w:val="20"/>
          <w:color w:val="auto"/>
        </w:rPr>
      </w:pPr>
    </w:p>
    <w:p>
      <w:pPr>
        <w:ind w:left="1080" w:hanging="21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consents and agrees to and acknowledges the terms of this Amendment;</w:t>
      </w:r>
    </w:p>
    <w:p>
      <w:pPr>
        <w:spacing w:after="0" w:line="117" w:lineRule="exact"/>
        <w:rPr>
          <w:rFonts w:ascii="Arial" w:cs="Arial" w:eastAsia="Arial" w:hAnsi="Arial"/>
          <w:sz w:val="18"/>
          <w:szCs w:val="18"/>
          <w:color w:val="auto"/>
        </w:rPr>
      </w:pPr>
    </w:p>
    <w:p>
      <w:pPr>
        <w:ind w:left="440" w:right="180" w:firstLine="428"/>
        <w:spacing w:after="0" w:line="264" w:lineRule="auto"/>
        <w:tabs>
          <w:tab w:leader="none" w:pos="11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acknowledges and agrees that all of the Loan Documents to which such Guarantor is a party or otherwise bound shall continue in full force and effect and that all of such Guarantor’s obligations thereunder shall be valid and enforceable and shall not be impaired or limited by the execution or effectiveness of this Amendment;</w:t>
      </w:r>
    </w:p>
    <w:p>
      <w:pPr>
        <w:spacing w:after="0" w:line="73" w:lineRule="exact"/>
        <w:rPr>
          <w:rFonts w:ascii="Arial" w:cs="Arial" w:eastAsia="Arial" w:hAnsi="Arial"/>
          <w:sz w:val="18"/>
          <w:szCs w:val="18"/>
          <w:color w:val="auto"/>
        </w:rPr>
      </w:pPr>
    </w:p>
    <w:p>
      <w:pPr>
        <w:ind w:left="440" w:firstLine="428"/>
        <w:spacing w:after="0" w:line="312" w:lineRule="auto"/>
        <w:tabs>
          <w:tab w:leader="none" w:pos="1178"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and warrants to the Administrative Agent and the Lenders that all representations and warranties made by such Guarantor and contained in this Amendment or any other Loan Document to which it is a party are true and correct in all material respects on and as of the date hereof to the same extent as though made on and as of the date hereof, except to the extent that any thereof expressly relate to an earlier date; and</w:t>
      </w:r>
    </w:p>
    <w:p>
      <w:pPr>
        <w:spacing w:after="0" w:line="38" w:lineRule="exact"/>
        <w:rPr>
          <w:rFonts w:ascii="Arial" w:cs="Arial" w:eastAsia="Arial" w:hAnsi="Arial"/>
          <w:sz w:val="16"/>
          <w:szCs w:val="16"/>
          <w:color w:val="auto"/>
        </w:rPr>
      </w:pPr>
    </w:p>
    <w:p>
      <w:pPr>
        <w:jc w:val="both"/>
        <w:ind w:left="440" w:right="220" w:firstLine="428"/>
        <w:spacing w:after="0" w:line="302" w:lineRule="auto"/>
        <w:tabs>
          <w:tab w:leader="none" w:pos="116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acknowledges and agrees that (A) notwithstanding the conditions to effectiveness set forth in this Amendment, such Guarantor is not required by the terms of the Credit Agreement or any other Loan Document to which such Guarantor is a party to consent to the amendments to the Credit Agreement effected pursuant to this Amendment and (B) nothing in the Credit Agreement, this Amendment or any other Loan Document shall be deemed to require the consent of such Guarantor to any future amendments or modifications to the Credit Agreement.</w:t>
      </w:r>
    </w:p>
    <w:p>
      <w:pPr>
        <w:spacing w:after="0" w:line="154"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Waiver</w:t>
      </w:r>
      <w:r>
        <w:rPr>
          <w:rFonts w:ascii="Arial" w:cs="Arial" w:eastAsia="Arial" w:hAnsi="Arial"/>
          <w:sz w:val="18"/>
          <w:szCs w:val="18"/>
          <w:color w:val="auto"/>
        </w:rPr>
        <w:t>. The Borrower and each Guarantor, by signing below, hereby waives and releases the Administrative Agent and each of the Lenders and their respective Related Parties from any and all claims, offsets, defenses and counterclaims of which the Borrower and any Guarantor is aware, such waiver and release being with full knowledge and understanding of the circumstances and effect thereof and after having consulted legal counsel with respect thereto.</w:t>
      </w:r>
    </w:p>
    <w:p>
      <w:pPr>
        <w:spacing w:after="0" w:line="187" w:lineRule="exact"/>
        <w:rPr>
          <w:sz w:val="20"/>
          <w:szCs w:val="20"/>
          <w:color w:val="auto"/>
        </w:rPr>
      </w:pPr>
    </w:p>
    <w:p>
      <w:pPr>
        <w:jc w:val="both"/>
        <w:ind w:right="20" w:firstLine="441"/>
        <w:spacing w:after="0" w:line="342"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Amendment, together with the Credit Agreement and the other Loan Documents integrate all the terms and conditions mentioned herein or incidental hereto and supersede all oral representations and negotiations and prior writings with respect to the subject matter hereof.</w:t>
      </w:r>
    </w:p>
    <w:p>
      <w:pPr>
        <w:spacing w:after="0" w:line="124"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e-mail (including in a “.pdf” format) shall be effective as delivery of a manually executed counterpart of this Amendment.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0" w:name="page11"/>
    <w:bookmarkEnd w:id="10"/>
    <w:p>
      <w:pPr>
        <w:ind w:right="22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8.7 </w:t>
      </w:r>
      <w:r>
        <w:rPr>
          <w:rFonts w:ascii="Arial" w:cs="Arial" w:eastAsia="Arial" w:hAnsi="Arial"/>
          <w:sz w:val="18"/>
          <w:szCs w:val="18"/>
          <w:u w:val="single" w:color="auto"/>
          <w:color w:val="auto"/>
        </w:rPr>
        <w:t>Governing Law; Submission to Jurisdiction; Venue; Waiver of Jury Trial</w:t>
      </w:r>
      <w:r>
        <w:rPr>
          <w:rFonts w:ascii="Arial" w:cs="Arial" w:eastAsia="Arial" w:hAnsi="Arial"/>
          <w:sz w:val="18"/>
          <w:szCs w:val="18"/>
          <w:color w:val="auto"/>
        </w:rPr>
        <w:t xml:space="preserve">.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 SECTIONS 10.14 AND 10.15 OF THE CREDIT AGREEMENT ARE HEREBY INCORPORATED BY REFERENCE INTO THIS AMENDMENT AND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HERETO.</w:t>
      </w:r>
    </w:p>
    <w:p>
      <w:pPr>
        <w:spacing w:after="0" w:line="193"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Lead Arrangers</w:t>
      </w:r>
      <w:r>
        <w:rPr>
          <w:rFonts w:ascii="Arial" w:cs="Arial" w:eastAsia="Arial" w:hAnsi="Arial"/>
          <w:sz w:val="18"/>
          <w:szCs w:val="18"/>
          <w:color w:val="auto"/>
        </w:rPr>
        <w:t>. Each party hereto agrees that no Arranger (including the Eighth Amendment Arranger) shall have any duties or obligations under any Loan Documents to any Lender or any Loan Party arising from such designation as an Arranger or Eighth Amendment Arranger, as applicable.</w:t>
      </w:r>
    </w:p>
    <w:p>
      <w:pPr>
        <w:spacing w:after="0" w:line="18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Amendment which is invalid or 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171"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No Novation</w:t>
      </w:r>
      <w:r>
        <w:rPr>
          <w:rFonts w:ascii="Arial" w:cs="Arial" w:eastAsia="Arial" w:hAnsi="Arial"/>
          <w:sz w:val="18"/>
          <w:szCs w:val="18"/>
          <w:color w:val="auto"/>
        </w:rPr>
        <w:t>. The parties hereto acknowledge and agree that the amendment of the Credit Agreement pursuant to this Amendment and all other Loan Documents amended and/or executed and delivered in connection herewith shall not constitute a novation of the Credit Agreement and the other Loan Documents as in effect prior to the Second Restatement Effective Date.</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40" w:top="274" w:right="5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Amendment has been duly executed and delivered as of the date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NN, INC.</w:t>
      </w:r>
      <w:r>
        <w:rPr>
          <w:rFonts w:ascii="Arial" w:cs="Arial" w:eastAsia="Arial" w:hAnsi="Arial"/>
          <w:sz w:val="18"/>
          <w:szCs w:val="18"/>
          <w:color w:val="auto"/>
        </w:rPr>
        <w:t>, as the Borrower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Mark F. Schuermann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Mark F. Schuermann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Vice President, Treasurer and Investor Relations</w:t>
      </w:r>
    </w:p>
    <w:p>
      <w:pPr>
        <w:spacing w:after="0" w:line="143" w:lineRule="exact"/>
        <w:rPr>
          <w:sz w:val="20"/>
          <w:szCs w:val="20"/>
          <w:color w:val="auto"/>
        </w:rPr>
      </w:pPr>
    </w:p>
    <w:p>
      <w:pPr>
        <w:jc w:val="center"/>
        <w:ind w:right="32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8"/>
          <w:szCs w:val="18"/>
          <w:i w:val="1"/>
          <w:iCs w:val="1"/>
          <w:color w:val="auto"/>
        </w:rPr>
        <w:t>Amendment No. 8 to Amended and Restated Credit Agreement</w:t>
      </w:r>
    </w:p>
    <w:p>
      <w:pPr>
        <w:sectPr>
          <w:pgSz w:w="11900" w:h="16838" w:orient="portrait"/>
          <w:cols w:equalWidth="0" w:num="1">
            <w:col w:w="10460"/>
          </w:cols>
          <w:pgMar w:left="880" w:top="274" w:right="559" w:bottom="1440" w:gutter="0" w:footer="0" w:header="0"/>
        </w:sectPr>
      </w:pPr>
    </w:p>
    <w:bookmarkStart w:id="12" w:name="page13"/>
    <w:bookmarkEnd w:id="1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Acknowledged and agreed to by each of the undersigned</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Guarantors:</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INDUSTRIAL MOLDING CORPORATION</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WHIRLAWAY CORPORATION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PNC ACQUISITION COMPANY,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PMC USA ACQUISITION COMPANY,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PMC ACQUISITION COMPANY, INC.</w:t>
      </w:r>
    </w:p>
    <w:p>
      <w:pPr>
        <w:spacing w:after="0" w:line="9" w:lineRule="exact"/>
        <w:rPr>
          <w:sz w:val="20"/>
          <w:szCs w:val="20"/>
          <w:color w:val="auto"/>
        </w:rPr>
      </w:pPr>
    </w:p>
    <w:p>
      <w:pPr>
        <w:ind w:left="5620" w:right="640" w:firstLine="1"/>
        <w:spacing w:after="0" w:line="250" w:lineRule="auto"/>
        <w:tabs>
          <w:tab w:leader="none" w:pos="592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PRECISION PLASTICS, INC. CAPROCK MANUFACTURING, INC. CAPROCK ENCLOSURES, LLC BRAININ-ADVANCE INDUSTRIES LLC WAUCONDA TOOL &amp; ENGINEERING LLC LACEY MANUFACTURING COMPANY, LLC GENERAL METAL FINISHING LLC MATRIX I LLC</w:t>
      </w:r>
    </w:p>
    <w:p>
      <w:pPr>
        <w:spacing w:after="0" w:line="3" w:lineRule="exact"/>
        <w:rPr>
          <w:rFonts w:ascii="Arial" w:cs="Arial" w:eastAsia="Arial" w:hAnsi="Arial"/>
          <w:sz w:val="18"/>
          <w:szCs w:val="18"/>
          <w:b w:val="1"/>
          <w:bCs w:val="1"/>
          <w:color w:val="auto"/>
        </w:rPr>
      </w:pPr>
    </w:p>
    <w:p>
      <w:pPr>
        <w:ind w:left="5620" w:right="10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BOSTON ENDO-SURGICAL TECHNOLOGIES LLC CONNECTICUT PLASTICS LLC</w:t>
      </w:r>
    </w:p>
    <w:p>
      <w:pPr>
        <w:ind w:left="5620" w:right="80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ADVANCED PRECISION PRODUCTS, INC. HOWESTEMCO, LLC</w:t>
      </w: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PREMCO, INC.</w:t>
      </w:r>
    </w:p>
    <w:p>
      <w:pPr>
        <w:spacing w:after="0" w:line="9" w:lineRule="exact"/>
        <w:rPr>
          <w:rFonts w:ascii="Arial" w:cs="Arial" w:eastAsia="Arial" w:hAnsi="Arial"/>
          <w:sz w:val="18"/>
          <w:szCs w:val="18"/>
          <w:b w:val="1"/>
          <w:bCs w:val="1"/>
          <w:color w:val="auto"/>
        </w:rPr>
      </w:pPr>
    </w:p>
    <w:p>
      <w:pPr>
        <w:ind w:left="5620" w:right="194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PROFILES INCORPORATED HOLMED, LLC</w:t>
      </w: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TRIGON INTERNATIONAL LLC</w:t>
      </w:r>
    </w:p>
    <w:p>
      <w:pPr>
        <w:spacing w:after="0" w:line="9" w:lineRule="exact"/>
        <w:rPr>
          <w:rFonts w:ascii="Arial" w:cs="Arial" w:eastAsia="Arial" w:hAnsi="Arial"/>
          <w:sz w:val="18"/>
          <w:szCs w:val="18"/>
          <w:b w:val="1"/>
          <w:bCs w:val="1"/>
          <w:color w:val="auto"/>
        </w:rPr>
      </w:pPr>
    </w:p>
    <w:p>
      <w:pPr>
        <w:ind w:left="5620" w:right="28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NN LIFE SCIENCES DESIGN &amp; DEVELOPMENT, LLC</w:t>
      </w: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NN LIFE SCIENCES – VANDALIA, LLC</w:t>
      </w:r>
    </w:p>
    <w:p>
      <w:pPr>
        <w:spacing w:after="0" w:line="9" w:lineRule="exact"/>
        <w:rPr>
          <w:rFonts w:ascii="Arial" w:cs="Arial" w:eastAsia="Arial" w:hAnsi="Arial"/>
          <w:sz w:val="18"/>
          <w:szCs w:val="18"/>
          <w:b w:val="1"/>
          <w:bCs w:val="1"/>
          <w:color w:val="auto"/>
        </w:rPr>
      </w:pPr>
    </w:p>
    <w:p>
      <w:pPr>
        <w:ind w:left="5620" w:right="16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PMG INTERMEDIATE HOLDING CORPORATION PMG ACQUISITION CORPORATION PARAGON MEDICAL, INC.</w:t>
      </w:r>
    </w:p>
    <w:p>
      <w:pPr>
        <w:spacing w:after="0" w:line="1" w:lineRule="exact"/>
        <w:rPr>
          <w:rFonts w:ascii="Arial" w:cs="Arial" w:eastAsia="Arial" w:hAnsi="Arial"/>
          <w:sz w:val="18"/>
          <w:szCs w:val="18"/>
          <w:b w:val="1"/>
          <w:bCs w:val="1"/>
          <w:color w:val="auto"/>
        </w:rPr>
      </w:pP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PARAGON ACQUISITION CORP.</w:t>
      </w:r>
    </w:p>
    <w:p>
      <w:pPr>
        <w:spacing w:after="0" w:line="9" w:lineRule="exact"/>
        <w:rPr>
          <w:rFonts w:ascii="Arial" w:cs="Arial" w:eastAsia="Arial" w:hAnsi="Arial"/>
          <w:sz w:val="18"/>
          <w:szCs w:val="18"/>
          <w:b w:val="1"/>
          <w:bCs w:val="1"/>
          <w:color w:val="auto"/>
        </w:rPr>
      </w:pPr>
    </w:p>
    <w:p>
      <w:pPr>
        <w:ind w:left="5620" w:right="2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PARAGON MEDICAL INTERNATIONAL, INC. PLATINUM SURGICAL INSTRUMENTS, INC. SOUTHERN CALIFORNIA TECHNICAL ARTS, INC. AUTOCAM CORPORATION</w:t>
      </w:r>
    </w:p>
    <w:p>
      <w:pPr>
        <w:spacing w:after="0" w:line="1" w:lineRule="exact"/>
        <w:rPr>
          <w:rFonts w:ascii="Arial" w:cs="Arial" w:eastAsia="Arial" w:hAnsi="Arial"/>
          <w:sz w:val="18"/>
          <w:szCs w:val="18"/>
          <w:b w:val="1"/>
          <w:bCs w:val="1"/>
          <w:color w:val="auto"/>
        </w:rPr>
      </w:pPr>
    </w:p>
    <w:p>
      <w:pPr>
        <w:ind w:left="5620" w:right="184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AUTOCAM-PAX, INC. POLYMETALLURGICAL LLC</w:t>
      </w:r>
    </w:p>
    <w:p>
      <w:pPr>
        <w:ind w:left="562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PRECISION ENGINEERED PRODUCTS HOLDINGS, INC.</w:t>
      </w:r>
    </w:p>
    <w:p>
      <w:pPr>
        <w:ind w:left="56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PRECISION ENGINEERED PRODUCTS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and Secretary</w:t>
      </w:r>
    </w:p>
    <w:p>
      <w:pPr>
        <w:spacing w:after="0" w:line="143" w:lineRule="exact"/>
        <w:rPr>
          <w:sz w:val="20"/>
          <w:szCs w:val="20"/>
          <w:color w:val="auto"/>
        </w:rPr>
      </w:pPr>
    </w:p>
    <w:p>
      <w:pPr>
        <w:jc w:val="center"/>
        <w:ind w:right="94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940"/>
        <w:spacing w:after="0"/>
        <w:rPr>
          <w:sz w:val="20"/>
          <w:szCs w:val="20"/>
          <w:color w:val="auto"/>
        </w:rPr>
      </w:pPr>
      <w:r>
        <w:rPr>
          <w:rFonts w:ascii="Arial" w:cs="Arial" w:eastAsia="Arial" w:hAnsi="Arial"/>
          <w:sz w:val="15"/>
          <w:szCs w:val="15"/>
          <w:i w:val="1"/>
          <w:iCs w:val="1"/>
          <w:color w:val="auto"/>
        </w:rPr>
        <w:t>Amendment No. 8 to Amended and Restated Credit Agreement</w:t>
      </w:r>
    </w:p>
    <w:p>
      <w:pPr>
        <w:sectPr>
          <w:pgSz w:w="11900" w:h="16838" w:orient="portrait"/>
          <w:cols w:equalWidth="0" w:num="1">
            <w:col w:w="9980"/>
          </w:cols>
          <w:pgMar w:left="1440" w:top="274" w:right="479" w:bottom="1440" w:gutter="0" w:footer="0" w:header="0"/>
        </w:sectPr>
      </w:pPr>
    </w:p>
    <w:bookmarkStart w:id="13" w:name="page14"/>
    <w:bookmarkEnd w:id="13"/>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TRUIST BANK, as successor by merger to SUNTRUST</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BANK</w:t>
      </w:r>
      <w:r>
        <w:rPr>
          <w:rFonts w:ascii="Arial" w:cs="Arial" w:eastAsia="Arial" w:hAnsi="Arial"/>
          <w:sz w:val="18"/>
          <w:szCs w:val="18"/>
          <w:color w:val="auto"/>
        </w:rPr>
        <w:t>, as Administrative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Thomas Parrot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Parrot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center"/>
        <w:ind w:right="88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880"/>
        <w:spacing w:after="0"/>
        <w:rPr>
          <w:sz w:val="20"/>
          <w:szCs w:val="20"/>
          <w:color w:val="auto"/>
        </w:rPr>
      </w:pPr>
      <w:r>
        <w:rPr>
          <w:rFonts w:ascii="Arial" w:cs="Arial" w:eastAsia="Arial" w:hAnsi="Arial"/>
          <w:sz w:val="15"/>
          <w:szCs w:val="15"/>
          <w:i w:val="1"/>
          <w:iCs w:val="1"/>
          <w:color w:val="auto"/>
        </w:rPr>
        <w:t>Amendment No. 8 to Amended and Restated Credit Agreement</w:t>
      </w:r>
    </w:p>
    <w:p>
      <w:pPr>
        <w:sectPr>
          <w:pgSz w:w="11900" w:h="16838" w:orient="portrait"/>
          <w:cols w:equalWidth="0" w:num="1">
            <w:col w:w="9920"/>
          </w:cols>
          <w:pgMar w:left="1440" w:top="270" w:right="539" w:bottom="1440" w:gutter="0" w:footer="0" w:header="0"/>
        </w:sectPr>
      </w:pPr>
    </w:p>
    <w:bookmarkStart w:id="14" w:name="page15"/>
    <w:bookmarkEnd w:id="14"/>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foregoing amendment: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TRUIST BANK</w:t>
      </w:r>
      <w:r>
        <w:rPr>
          <w:rFonts w:ascii="Arial" w:cs="Arial" w:eastAsia="Arial" w:hAnsi="Arial"/>
          <w:sz w:val="16"/>
          <w:szCs w:val="16"/>
          <w:color w:val="auto"/>
        </w:rPr>
        <w:t>, as Revolving Credit Lender, L/C Issuer</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New Extended 2017 Incremental Term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Thomas Parrot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Thomas Parrot</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center"/>
        <w:ind w:right="74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5"/>
          <w:szCs w:val="15"/>
          <w:i w:val="1"/>
          <w:iCs w:val="1"/>
          <w:color w:val="auto"/>
        </w:rPr>
        <w:t>Amendment No. 8 to Amended and Restated Credit Agreement</w:t>
      </w:r>
    </w:p>
    <w:p>
      <w:pPr>
        <w:sectPr>
          <w:pgSz w:w="11900" w:h="16838" w:orient="portrait"/>
          <w:cols w:equalWidth="0" w:num="1">
            <w:col w:w="9780"/>
          </w:cols>
          <w:pgMar w:left="1440" w:top="274" w:right="679" w:bottom="1440" w:gutter="0" w:footer="0" w:header="0"/>
        </w:sectPr>
      </w:pPr>
    </w:p>
    <w:bookmarkStart w:id="15" w:name="page16"/>
    <w:bookmarkEnd w:id="15"/>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foregoing amendment: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KEYBANK NATIONAL ASSOCIATION</w:t>
      </w:r>
      <w:r>
        <w:rPr>
          <w:rFonts w:ascii="Arial" w:cs="Arial" w:eastAsia="Arial" w:hAnsi="Arial"/>
          <w:sz w:val="17"/>
          <w:szCs w:val="17"/>
          <w:color w:val="auto"/>
        </w:rPr>
        <w:t>, as Revolving</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Credit Lender and L/C Issuer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Ari Deutchman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Ari Deutchman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ind w:right="82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820"/>
        <w:spacing w:after="0"/>
        <w:rPr>
          <w:sz w:val="20"/>
          <w:szCs w:val="20"/>
          <w:color w:val="auto"/>
        </w:rPr>
      </w:pPr>
      <w:r>
        <w:rPr>
          <w:rFonts w:ascii="Arial" w:cs="Arial" w:eastAsia="Arial" w:hAnsi="Arial"/>
          <w:sz w:val="15"/>
          <w:szCs w:val="15"/>
          <w:i w:val="1"/>
          <w:iCs w:val="1"/>
          <w:color w:val="auto"/>
        </w:rPr>
        <w:t>Amendment No. 8 to Amended and Restated Credit Agreement</w:t>
      </w:r>
    </w:p>
    <w:p>
      <w:pPr>
        <w:sectPr>
          <w:pgSz w:w="11900" w:h="16838" w:orient="portrait"/>
          <w:cols w:equalWidth="0" w:num="1">
            <w:col w:w="9860"/>
          </w:cols>
          <w:pgMar w:left="1440" w:top="274" w:right="599" w:bottom="1440" w:gutter="0" w:footer="0" w:header="0"/>
        </w:sectPr>
      </w:pPr>
    </w:p>
    <w:bookmarkStart w:id="16" w:name="page17"/>
    <w:bookmarkEnd w:id="16"/>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foregoing amendment: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Revolving Credit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Philip VanFossan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Philip VanFossan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5"/>
          <w:szCs w:val="15"/>
          <w:i w:val="1"/>
          <w:iCs w:val="1"/>
          <w:color w:val="auto"/>
        </w:rPr>
        <w:t>Amendment No. 8 to Amended and Restated Credit Agreement</w:t>
      </w:r>
    </w:p>
    <w:p>
      <w:pPr>
        <w:sectPr>
          <w:pgSz w:w="11900" w:h="16838" w:orient="portrait"/>
          <w:cols w:equalWidth="0" w:num="1">
            <w:col w:w="9680"/>
          </w:cols>
          <w:pgMar w:left="1440" w:top="274" w:right="779" w:bottom="1440" w:gutter="0" w:footer="0" w:header="0"/>
        </w:sectPr>
      </w:pPr>
    </w:p>
    <w:bookmarkStart w:id="17" w:name="page18"/>
    <w:bookmarkEnd w:id="17"/>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foregoing amendment: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HOMETRUST BANK</w:t>
      </w:r>
      <w:r>
        <w:rPr>
          <w:rFonts w:ascii="Arial" w:cs="Arial" w:eastAsia="Arial" w:hAnsi="Arial"/>
          <w:sz w:val="18"/>
          <w:szCs w:val="18"/>
          <w:color w:val="auto"/>
        </w:rPr>
        <w: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Revolving Credit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Corey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Corey Webb</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ind w:right="64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40"/>
        <w:spacing w:after="0"/>
        <w:rPr>
          <w:sz w:val="20"/>
          <w:szCs w:val="20"/>
          <w:color w:val="auto"/>
        </w:rPr>
      </w:pPr>
      <w:r>
        <w:rPr>
          <w:rFonts w:ascii="Arial" w:cs="Arial" w:eastAsia="Arial" w:hAnsi="Arial"/>
          <w:sz w:val="15"/>
          <w:szCs w:val="15"/>
          <w:i w:val="1"/>
          <w:iCs w:val="1"/>
          <w:color w:val="auto"/>
        </w:rPr>
        <w:t>Amendment No. 8 to Amended and Restated Credit Agreement</w:t>
      </w:r>
    </w:p>
    <w:p>
      <w:pPr>
        <w:sectPr>
          <w:pgSz w:w="11900" w:h="16838" w:orient="portrait"/>
          <w:cols w:equalWidth="0" w:num="1">
            <w:col w:w="9680"/>
          </w:cols>
          <w:pgMar w:left="1440" w:top="274" w:right="77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TO AMENDMENT NO. 8 TO THE AMENDED AND RESTATED CREDIT AGREEMENT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the undersigned has caused this Consent to be executed and delivered by a duly authorized officer as of the date first written above.</w:t>
      </w:r>
    </w:p>
    <w:p>
      <w:pPr>
        <w:spacing w:after="0" w:line="197" w:lineRule="exact"/>
        <w:rPr>
          <w:sz w:val="20"/>
          <w:szCs w:val="20"/>
          <w:color w:val="auto"/>
        </w:rPr>
      </w:pPr>
    </w:p>
    <w:p>
      <w:pPr>
        <w:ind w:left="10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-10160</wp:posOffset>
            </wp:positionV>
            <wp:extent cx="22288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a Term Lender (type name of the legal entity)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If a second signature is necessary: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Fund Manager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1525905</wp:posOffset>
            </wp:positionH>
            <wp:positionV relativeFrom="paragraph">
              <wp:posOffset>-10160</wp:posOffset>
            </wp:positionV>
            <wp:extent cx="1143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ectPr>
          <w:pgSz w:w="11900" w:h="16838" w:orient="portrait"/>
          <w:cols w:equalWidth="0" w:num="1">
            <w:col w:w="10940"/>
          </w:cols>
          <w:pgMar w:left="440" w:top="274" w:right="5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180" w:type="dxa"/>
            <w:vAlign w:val="bottom"/>
            <w:gridSpan w:val="5"/>
          </w:tcPr>
          <w:p>
            <w:pPr>
              <w:jc w:val="right"/>
              <w:ind w:right="3565"/>
              <w:spacing w:after="0"/>
              <w:rPr>
                <w:sz w:val="20"/>
                <w:szCs w:val="20"/>
                <w:color w:val="auto"/>
              </w:rPr>
            </w:pPr>
            <w:r>
              <w:rPr>
                <w:rFonts w:ascii="Arial" w:cs="Arial" w:eastAsia="Arial" w:hAnsi="Arial"/>
                <w:sz w:val="18"/>
                <w:szCs w:val="18"/>
                <w:color w:val="auto"/>
              </w:rPr>
              <w:t>Schedule I</w:t>
            </w: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260" w:type="dxa"/>
            <w:vAlign w:val="bottom"/>
            <w:gridSpan w:val="6"/>
          </w:tcPr>
          <w:p>
            <w:pPr>
              <w:jc w:val="right"/>
              <w:ind w:right="2805"/>
              <w:spacing w:after="0" w:line="196" w:lineRule="exact"/>
              <w:rPr>
                <w:sz w:val="20"/>
                <w:szCs w:val="20"/>
                <w:color w:val="auto"/>
              </w:rPr>
            </w:pPr>
            <w:r>
              <w:rPr>
                <w:rFonts w:ascii="Arial" w:cs="Arial" w:eastAsia="Arial" w:hAnsi="Arial"/>
                <w:sz w:val="18"/>
                <w:szCs w:val="18"/>
                <w:color w:val="auto"/>
              </w:rPr>
              <w:t>Revolving Credit Commitments</w:t>
            </w: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280" w:type="dxa"/>
            <w:vAlign w:val="bottom"/>
            <w:gridSpan w:val="3"/>
          </w:tcPr>
          <w:p>
            <w:pPr>
              <w:spacing w:after="0"/>
              <w:rPr>
                <w:sz w:val="20"/>
                <w:szCs w:val="20"/>
                <w:color w:val="auto"/>
              </w:rPr>
            </w:pPr>
            <w:r>
              <w:rPr>
                <w:rFonts w:ascii="Arial" w:cs="Arial" w:eastAsia="Arial" w:hAnsi="Arial"/>
                <w:sz w:val="14"/>
                <w:szCs w:val="14"/>
                <w:b w:val="1"/>
                <w:bCs w:val="1"/>
                <w:color w:val="auto"/>
              </w:rPr>
              <w:t>Revolving Credit Lender</w:t>
            </w:r>
          </w:p>
        </w:tc>
        <w:tc>
          <w:tcPr>
            <w:tcW w:w="10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380" w:type="dxa"/>
            <w:vAlign w:val="bottom"/>
            <w:gridSpan w:val="4"/>
          </w:tcPr>
          <w:p>
            <w:pPr>
              <w:ind w:left="2400"/>
              <w:spacing w:after="0"/>
              <w:rPr>
                <w:sz w:val="20"/>
                <w:szCs w:val="20"/>
                <w:color w:val="auto"/>
              </w:rPr>
            </w:pPr>
            <w:r>
              <w:rPr>
                <w:rFonts w:ascii="Arial" w:cs="Arial" w:eastAsia="Arial" w:hAnsi="Arial"/>
                <w:sz w:val="14"/>
                <w:szCs w:val="14"/>
                <w:b w:val="1"/>
                <w:bCs w:val="1"/>
                <w:color w:val="auto"/>
                <w:w w:val="97"/>
              </w:rPr>
              <w:t>Revolving Credit Commitment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Truist Bank</w:t>
            </w:r>
          </w:p>
        </w:tc>
        <w:tc>
          <w:tcPr>
            <w:tcW w:w="17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25,673,076.92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Keybank National Association</w:t>
            </w:r>
          </w:p>
        </w:tc>
        <w:tc>
          <w:tcPr>
            <w:tcW w:w="6260" w:type="dxa"/>
            <w:vAlign w:val="bottom"/>
            <w:gridSpan w:val="6"/>
          </w:tcPr>
          <w:p>
            <w:pPr>
              <w:jc w:val="right"/>
              <w:ind w:right="30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22,709,790.21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6260" w:type="dxa"/>
            <w:vAlign w:val="bottom"/>
            <w:gridSpan w:val="6"/>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21,372,377.62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Hometrust Bank</w:t>
            </w:r>
          </w:p>
        </w:tc>
        <w:tc>
          <w:tcPr>
            <w:tcW w:w="6260" w:type="dxa"/>
            <w:vAlign w:val="bottom"/>
            <w:gridSpan w:val="6"/>
          </w:tcPr>
          <w:p>
            <w:pPr>
              <w:jc w:val="right"/>
              <w:ind w:right="305"/>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5,244,755.25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60" w:type="dxa"/>
            <w:vAlign w:val="bottom"/>
            <w:gridSpan w:val="6"/>
            <w:shd w:val="clear" w:color="auto" w:fill="CCEEFF"/>
          </w:tcPr>
          <w:p>
            <w:pPr>
              <w:jc w:val="right"/>
              <w:ind w:right="305"/>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40"/>
          </w:cols>
          <w:pgMar w:left="440" w:top="257"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0" w:name="page21"/>
    <w:bookmarkEnd w:id="20"/>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attached)</w:t>
      </w:r>
    </w:p>
    <w:p>
      <w:pPr>
        <w:sectPr>
          <w:pgSz w:w="11900" w:h="16838" w:orient="portrait"/>
          <w:cols w:equalWidth="0" w:num="1">
            <w:col w:w="9019"/>
          </w:cols>
          <w:pgMar w:left="1440" w:top="274"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203835</wp:posOffset>
            </wp:positionV>
            <wp:extent cx="699770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7700" cy="342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272415</wp:posOffset>
            </wp:positionV>
            <wp:extent cx="6997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62933RAE2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Revolving Loan Facility CUSIP Number: 62933RAF9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2017 Incremental Term Facility CUSIP Number: 62933RAM4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Extended 2017 Incremental Term Facility CUSIP Number: 62933RAR3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Tranche B Term Loan CUSIP Number: 62933RAL6</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SECOND AMENDED AND RESTATED CREDIT AGREEMENT</w:t>
      </w:r>
    </w:p>
    <w:p>
      <w:pPr>
        <w:spacing w:after="0" w:line="23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Dated as of December 19, 2019</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TRUIST BANK, successor by merger to SUNTRUST BANK,</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KEYBANK NATIONAL ASSOCIATION,</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177165</wp:posOffset>
            </wp:positionV>
            <wp:extent cx="699770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SUNTRUST ROBINSON HUMPHREY, INC.,</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KEYBANC CAPITAL MARKETS INC.,</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as Joint Lead Arrangers and Joint Bookrunners</w:t>
      </w:r>
    </w:p>
    <w:p>
      <w:pPr>
        <w:sectPr>
          <w:pgSz w:w="11900" w:h="16838" w:orient="portrait"/>
          <w:cols w:equalWidth="0" w:num="1">
            <w:col w:w="10020"/>
          </w:cols>
          <w:pgMar w:left="1440" w:top="274" w:right="4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8860" w:type="dxa"/>
            <w:vAlign w:val="bottom"/>
          </w:tcPr>
          <w:p>
            <w:pPr>
              <w:ind w:left="4120"/>
              <w:spacing w:after="0"/>
              <w:rPr>
                <w:sz w:val="20"/>
                <w:szCs w:val="20"/>
                <w:color w:val="auto"/>
              </w:rPr>
            </w:pPr>
            <w:r>
              <w:rPr>
                <w:rFonts w:ascii="Arial" w:cs="Arial" w:eastAsia="Arial" w:hAnsi="Arial"/>
                <w:sz w:val="18"/>
                <w:szCs w:val="18"/>
                <w:b w:val="1"/>
                <w:bCs w:val="1"/>
                <w:color w:val="auto"/>
              </w:rPr>
              <w:t>TABLE OF CONTENTS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440" w:type="dxa"/>
            <w:vAlign w:val="bottom"/>
          </w:tcPr>
          <w:p>
            <w:pPr>
              <w:spacing w:after="0"/>
              <w:rPr>
                <w:sz w:val="24"/>
                <w:szCs w:val="24"/>
                <w:color w:val="auto"/>
              </w:rPr>
            </w:pPr>
          </w:p>
        </w:tc>
        <w:tc>
          <w:tcPr>
            <w:tcW w:w="8860" w:type="dxa"/>
            <w:vAlign w:val="bottom"/>
            <w:vMerge w:val="restart"/>
          </w:tcPr>
          <w:p>
            <w:pPr>
              <w:jc w:val="center"/>
              <w:ind w:left="1150"/>
              <w:spacing w:after="0"/>
              <w:rPr>
                <w:sz w:val="20"/>
                <w:szCs w:val="20"/>
                <w:color w:val="auto"/>
              </w:rPr>
            </w:pPr>
            <w:r>
              <w:rPr>
                <w:rFonts w:ascii="Arial" w:cs="Arial" w:eastAsia="Arial" w:hAnsi="Arial"/>
                <w:sz w:val="18"/>
                <w:szCs w:val="18"/>
                <w:color w:val="auto"/>
                <w:w w:val="99"/>
              </w:rPr>
              <w:t>ARTICLE I</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8860" w:type="dxa"/>
            <w:vAlign w:val="bottom"/>
            <w:vMerge w:val="continue"/>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860" w:type="dxa"/>
            <w:vAlign w:val="bottom"/>
          </w:tcPr>
          <w:p>
            <w:pPr>
              <w:jc w:val="center"/>
              <w:ind w:left="1130"/>
              <w:spacing w:after="0"/>
              <w:rPr>
                <w:sz w:val="20"/>
                <w:szCs w:val="20"/>
                <w:color w:val="auto"/>
              </w:rPr>
            </w:pPr>
            <w:r>
              <w:rPr>
                <w:rFonts w:ascii="Arial" w:cs="Arial" w:eastAsia="Arial" w:hAnsi="Arial"/>
                <w:sz w:val="18"/>
                <w:szCs w:val="18"/>
                <w:color w:val="auto"/>
                <w:w w:val="97"/>
              </w:rPr>
              <w:t>DEFINITIONS AND ACCOUNTING TERMS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w w:val="84"/>
              </w:rPr>
              <w:t>1.01.</w:t>
            </w:r>
          </w:p>
        </w:tc>
        <w:tc>
          <w:tcPr>
            <w:tcW w:w="8860" w:type="dxa"/>
            <w:vAlign w:val="bottom"/>
          </w:tcPr>
          <w:p>
            <w:pPr>
              <w:ind w:left="100"/>
              <w:spacing w:after="0"/>
              <w:rPr>
                <w:sz w:val="20"/>
                <w:szCs w:val="20"/>
                <w:color w:val="auto"/>
              </w:rPr>
            </w:pPr>
            <w:r>
              <w:rPr>
                <w:rFonts w:ascii="Arial" w:cs="Arial" w:eastAsia="Arial" w:hAnsi="Arial"/>
                <w:sz w:val="18"/>
                <w:szCs w:val="18"/>
                <w:color w:val="auto"/>
              </w:rPr>
              <w:t>Defined Terms</w:t>
            </w:r>
          </w:p>
        </w:tc>
        <w:tc>
          <w:tcPr>
            <w:tcW w:w="1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1.02.</w:t>
            </w:r>
          </w:p>
        </w:tc>
        <w:tc>
          <w:tcPr>
            <w:tcW w:w="8860" w:type="dxa"/>
            <w:vAlign w:val="bottom"/>
          </w:tcPr>
          <w:p>
            <w:pPr>
              <w:ind w:left="100"/>
              <w:spacing w:after="0"/>
              <w:rPr>
                <w:sz w:val="20"/>
                <w:szCs w:val="20"/>
                <w:color w:val="auto"/>
              </w:rPr>
            </w:pPr>
            <w:r>
              <w:rPr>
                <w:rFonts w:ascii="Arial" w:cs="Arial" w:eastAsia="Arial" w:hAnsi="Arial"/>
                <w:sz w:val="18"/>
                <w:szCs w:val="18"/>
                <w:color w:val="auto"/>
              </w:rPr>
              <w:t>Other Interpretive Provisions</w:t>
            </w:r>
          </w:p>
        </w:tc>
        <w:tc>
          <w:tcPr>
            <w:tcW w:w="16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1.03.</w:t>
            </w:r>
          </w:p>
        </w:tc>
        <w:tc>
          <w:tcPr>
            <w:tcW w:w="8860" w:type="dxa"/>
            <w:vAlign w:val="bottom"/>
          </w:tcPr>
          <w:p>
            <w:pPr>
              <w:ind w:left="100"/>
              <w:spacing w:after="0"/>
              <w:rPr>
                <w:sz w:val="20"/>
                <w:szCs w:val="20"/>
                <w:color w:val="auto"/>
              </w:rPr>
            </w:pPr>
            <w:r>
              <w:rPr>
                <w:rFonts w:ascii="Arial" w:cs="Arial" w:eastAsia="Arial" w:hAnsi="Arial"/>
                <w:sz w:val="18"/>
                <w:szCs w:val="18"/>
                <w:color w:val="auto"/>
              </w:rPr>
              <w:t>Accounting Terms</w:t>
            </w:r>
          </w:p>
        </w:tc>
        <w:tc>
          <w:tcPr>
            <w:tcW w:w="16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1.04.</w:t>
            </w:r>
          </w:p>
        </w:tc>
        <w:tc>
          <w:tcPr>
            <w:tcW w:w="8860" w:type="dxa"/>
            <w:vAlign w:val="bottom"/>
          </w:tcPr>
          <w:p>
            <w:pPr>
              <w:ind w:left="100"/>
              <w:spacing w:after="0"/>
              <w:rPr>
                <w:sz w:val="20"/>
                <w:szCs w:val="20"/>
                <w:color w:val="auto"/>
              </w:rPr>
            </w:pPr>
            <w:r>
              <w:rPr>
                <w:rFonts w:ascii="Arial" w:cs="Arial" w:eastAsia="Arial" w:hAnsi="Arial"/>
                <w:sz w:val="18"/>
                <w:szCs w:val="18"/>
                <w:color w:val="auto"/>
              </w:rPr>
              <w:t>Rounding</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1.05.</w:t>
            </w:r>
          </w:p>
        </w:tc>
        <w:tc>
          <w:tcPr>
            <w:tcW w:w="8860" w:type="dxa"/>
            <w:vAlign w:val="bottom"/>
          </w:tcPr>
          <w:p>
            <w:pPr>
              <w:ind w:left="100"/>
              <w:spacing w:after="0"/>
              <w:rPr>
                <w:sz w:val="20"/>
                <w:szCs w:val="20"/>
                <w:color w:val="auto"/>
              </w:rPr>
            </w:pPr>
            <w:r>
              <w:rPr>
                <w:rFonts w:ascii="Arial" w:cs="Arial" w:eastAsia="Arial" w:hAnsi="Arial"/>
                <w:sz w:val="18"/>
                <w:szCs w:val="18"/>
                <w:color w:val="auto"/>
              </w:rPr>
              <w:t>Times of Day; Rates</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1.06.</w:t>
            </w:r>
          </w:p>
        </w:tc>
        <w:tc>
          <w:tcPr>
            <w:tcW w:w="8860" w:type="dxa"/>
            <w:vAlign w:val="bottom"/>
          </w:tcPr>
          <w:p>
            <w:pPr>
              <w:ind w:left="100"/>
              <w:spacing w:after="0"/>
              <w:rPr>
                <w:sz w:val="20"/>
                <w:szCs w:val="20"/>
                <w:color w:val="auto"/>
              </w:rPr>
            </w:pPr>
            <w:r>
              <w:rPr>
                <w:rFonts w:ascii="Arial" w:cs="Arial" w:eastAsia="Arial" w:hAnsi="Arial"/>
                <w:sz w:val="18"/>
                <w:szCs w:val="18"/>
                <w:color w:val="auto"/>
              </w:rPr>
              <w:t>Currency Equivalents Generally</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1.07.</w:t>
            </w:r>
          </w:p>
        </w:tc>
        <w:tc>
          <w:tcPr>
            <w:tcW w:w="8860" w:type="dxa"/>
            <w:vAlign w:val="bottom"/>
          </w:tcPr>
          <w:p>
            <w:pPr>
              <w:ind w:left="100"/>
              <w:spacing w:after="0"/>
              <w:rPr>
                <w:sz w:val="20"/>
                <w:szCs w:val="20"/>
                <w:color w:val="auto"/>
              </w:rPr>
            </w:pPr>
            <w:r>
              <w:rPr>
                <w:rFonts w:ascii="Arial" w:cs="Arial" w:eastAsia="Arial" w:hAnsi="Arial"/>
                <w:sz w:val="18"/>
                <w:szCs w:val="18"/>
                <w:color w:val="auto"/>
              </w:rPr>
              <w:t>Letter of Credit Amounts</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1.08.</w:t>
            </w:r>
          </w:p>
        </w:tc>
        <w:tc>
          <w:tcPr>
            <w:tcW w:w="8860" w:type="dxa"/>
            <w:vAlign w:val="bottom"/>
          </w:tcPr>
          <w:p>
            <w:pPr>
              <w:ind w:left="100"/>
              <w:spacing w:after="0"/>
              <w:rPr>
                <w:sz w:val="20"/>
                <w:szCs w:val="20"/>
                <w:color w:val="auto"/>
              </w:rPr>
            </w:pPr>
            <w:r>
              <w:rPr>
                <w:rFonts w:ascii="Arial" w:cs="Arial" w:eastAsia="Arial" w:hAnsi="Arial"/>
                <w:sz w:val="18"/>
                <w:szCs w:val="18"/>
                <w:color w:val="auto"/>
              </w:rPr>
              <w:t>Divisions</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40" w:type="dxa"/>
            <w:vAlign w:val="bottom"/>
          </w:tcPr>
          <w:p>
            <w:pPr>
              <w:jc w:val="right"/>
              <w:spacing w:after="0"/>
              <w:rPr>
                <w:sz w:val="20"/>
                <w:szCs w:val="20"/>
                <w:color w:val="auto"/>
              </w:rPr>
            </w:pPr>
            <w:r>
              <w:rPr>
                <w:rFonts w:ascii="Arial" w:cs="Arial" w:eastAsia="Arial" w:hAnsi="Arial"/>
                <w:sz w:val="18"/>
                <w:szCs w:val="18"/>
                <w:color w:val="auto"/>
                <w:w w:val="84"/>
              </w:rPr>
              <w:t>1.09.</w:t>
            </w:r>
          </w:p>
        </w:tc>
        <w:tc>
          <w:tcPr>
            <w:tcW w:w="8860" w:type="dxa"/>
            <w:vAlign w:val="bottom"/>
          </w:tcPr>
          <w:p>
            <w:pPr>
              <w:ind w:left="100"/>
              <w:spacing w:after="0"/>
              <w:rPr>
                <w:sz w:val="20"/>
                <w:szCs w:val="20"/>
                <w:color w:val="auto"/>
              </w:rPr>
            </w:pPr>
            <w:r>
              <w:rPr>
                <w:rFonts w:ascii="Arial" w:cs="Arial" w:eastAsia="Arial" w:hAnsi="Arial"/>
                <w:sz w:val="18"/>
                <w:szCs w:val="18"/>
                <w:color w:val="auto"/>
              </w:rPr>
              <w:t>Effect of Restatement</w:t>
            </w:r>
          </w:p>
        </w:tc>
        <w:tc>
          <w:tcPr>
            <w:tcW w:w="1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10"/>
        </w:trPr>
        <w:tc>
          <w:tcPr>
            <w:tcW w:w="440" w:type="dxa"/>
            <w:vAlign w:val="bottom"/>
          </w:tcPr>
          <w:p>
            <w:pPr>
              <w:spacing w:after="0"/>
              <w:rPr>
                <w:sz w:val="24"/>
                <w:szCs w:val="24"/>
                <w:color w:val="auto"/>
              </w:rPr>
            </w:pPr>
          </w:p>
        </w:tc>
        <w:tc>
          <w:tcPr>
            <w:tcW w:w="8860" w:type="dxa"/>
            <w:vAlign w:val="bottom"/>
          </w:tcPr>
          <w:p>
            <w:pPr>
              <w:jc w:val="center"/>
              <w:ind w:left="1150"/>
              <w:spacing w:after="0"/>
              <w:rPr>
                <w:sz w:val="20"/>
                <w:szCs w:val="20"/>
                <w:color w:val="auto"/>
              </w:rPr>
            </w:pPr>
            <w:r>
              <w:rPr>
                <w:rFonts w:ascii="Arial" w:cs="Arial" w:eastAsia="Arial" w:hAnsi="Arial"/>
                <w:sz w:val="18"/>
                <w:szCs w:val="18"/>
                <w:color w:val="auto"/>
                <w:w w:val="98"/>
              </w:rPr>
              <w:t>ARTICLE II</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860" w:type="dxa"/>
            <w:vAlign w:val="bottom"/>
          </w:tcPr>
          <w:p>
            <w:pPr>
              <w:jc w:val="center"/>
              <w:ind w:left="1130"/>
              <w:spacing w:after="0"/>
              <w:rPr>
                <w:sz w:val="20"/>
                <w:szCs w:val="20"/>
                <w:color w:val="auto"/>
              </w:rPr>
            </w:pPr>
            <w:r>
              <w:rPr>
                <w:rFonts w:ascii="Arial" w:cs="Arial" w:eastAsia="Arial" w:hAnsi="Arial"/>
                <w:sz w:val="18"/>
                <w:szCs w:val="18"/>
                <w:color w:val="auto"/>
                <w:w w:val="97"/>
              </w:rPr>
              <w:t>THE COMMITMENTS AND BORROWINGS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w w:val="84"/>
              </w:rPr>
              <w:t>2.01.</w:t>
            </w:r>
          </w:p>
        </w:tc>
        <w:tc>
          <w:tcPr>
            <w:tcW w:w="8860" w:type="dxa"/>
            <w:vAlign w:val="bottom"/>
          </w:tcPr>
          <w:p>
            <w:pPr>
              <w:ind w:left="100"/>
              <w:spacing w:after="0"/>
              <w:rPr>
                <w:sz w:val="20"/>
                <w:szCs w:val="20"/>
                <w:color w:val="auto"/>
              </w:rPr>
            </w:pPr>
            <w:r>
              <w:rPr>
                <w:rFonts w:ascii="Arial" w:cs="Arial" w:eastAsia="Arial" w:hAnsi="Arial"/>
                <w:sz w:val="18"/>
                <w:szCs w:val="18"/>
                <w:color w:val="auto"/>
              </w:rPr>
              <w:t>The Loans</w:t>
            </w:r>
          </w:p>
        </w:tc>
        <w:tc>
          <w:tcPr>
            <w:tcW w:w="1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2.02.</w:t>
            </w:r>
          </w:p>
        </w:tc>
        <w:tc>
          <w:tcPr>
            <w:tcW w:w="8860" w:type="dxa"/>
            <w:vAlign w:val="bottom"/>
          </w:tcPr>
          <w:p>
            <w:pPr>
              <w:ind w:left="100"/>
              <w:spacing w:after="0"/>
              <w:rPr>
                <w:sz w:val="20"/>
                <w:szCs w:val="20"/>
                <w:color w:val="auto"/>
              </w:rPr>
            </w:pPr>
            <w:r>
              <w:rPr>
                <w:rFonts w:ascii="Arial" w:cs="Arial" w:eastAsia="Arial" w:hAnsi="Arial"/>
                <w:sz w:val="18"/>
                <w:szCs w:val="18"/>
                <w:color w:val="auto"/>
              </w:rPr>
              <w:t>Borrowings, Conversions and Continuations of Loans</w:t>
            </w:r>
          </w:p>
        </w:tc>
        <w:tc>
          <w:tcPr>
            <w:tcW w:w="1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2.03.</w:t>
            </w:r>
          </w:p>
        </w:tc>
        <w:tc>
          <w:tcPr>
            <w:tcW w:w="8860" w:type="dxa"/>
            <w:vAlign w:val="bottom"/>
          </w:tcPr>
          <w:p>
            <w:pPr>
              <w:ind w:left="100"/>
              <w:spacing w:after="0"/>
              <w:rPr>
                <w:sz w:val="20"/>
                <w:szCs w:val="20"/>
                <w:color w:val="auto"/>
              </w:rPr>
            </w:pPr>
            <w:r>
              <w:rPr>
                <w:rFonts w:ascii="Arial" w:cs="Arial" w:eastAsia="Arial" w:hAnsi="Arial"/>
                <w:sz w:val="18"/>
                <w:szCs w:val="18"/>
                <w:color w:val="auto"/>
              </w:rPr>
              <w:t>Letters of Credit</w:t>
            </w:r>
          </w:p>
        </w:tc>
        <w:tc>
          <w:tcPr>
            <w:tcW w:w="16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2.04.</w:t>
            </w:r>
          </w:p>
        </w:tc>
        <w:tc>
          <w:tcPr>
            <w:tcW w:w="8860" w:type="dxa"/>
            <w:vAlign w:val="bottom"/>
          </w:tcPr>
          <w:p>
            <w:pPr>
              <w:ind w:left="100"/>
              <w:spacing w:after="0"/>
              <w:rPr>
                <w:sz w:val="20"/>
                <w:szCs w:val="20"/>
                <w:color w:val="auto"/>
              </w:rPr>
            </w:pPr>
            <w:r>
              <w:rPr>
                <w:rFonts w:ascii="Arial" w:cs="Arial" w:eastAsia="Arial" w:hAnsi="Arial"/>
                <w:sz w:val="18"/>
                <w:szCs w:val="18"/>
                <w:color w:val="auto"/>
              </w:rPr>
              <w:t>Swing Line Loans</w:t>
            </w:r>
          </w:p>
        </w:tc>
        <w:tc>
          <w:tcPr>
            <w:tcW w:w="16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2.05.</w:t>
            </w:r>
          </w:p>
        </w:tc>
        <w:tc>
          <w:tcPr>
            <w:tcW w:w="8860" w:type="dxa"/>
            <w:vAlign w:val="bottom"/>
          </w:tcPr>
          <w:p>
            <w:pPr>
              <w:ind w:left="100"/>
              <w:spacing w:after="0"/>
              <w:rPr>
                <w:sz w:val="20"/>
                <w:szCs w:val="20"/>
                <w:color w:val="auto"/>
              </w:rPr>
            </w:pPr>
            <w:r>
              <w:rPr>
                <w:rFonts w:ascii="Arial" w:cs="Arial" w:eastAsia="Arial" w:hAnsi="Arial"/>
                <w:sz w:val="18"/>
                <w:szCs w:val="18"/>
                <w:color w:val="auto"/>
              </w:rPr>
              <w:t>Prepayments</w:t>
            </w:r>
          </w:p>
        </w:tc>
        <w:tc>
          <w:tcPr>
            <w:tcW w:w="16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2.06.</w:t>
            </w:r>
          </w:p>
        </w:tc>
        <w:tc>
          <w:tcPr>
            <w:tcW w:w="8860" w:type="dxa"/>
            <w:vAlign w:val="bottom"/>
          </w:tcPr>
          <w:p>
            <w:pPr>
              <w:ind w:left="100"/>
              <w:spacing w:after="0"/>
              <w:rPr>
                <w:sz w:val="20"/>
                <w:szCs w:val="20"/>
                <w:color w:val="auto"/>
              </w:rPr>
            </w:pPr>
            <w:r>
              <w:rPr>
                <w:rFonts w:ascii="Arial" w:cs="Arial" w:eastAsia="Arial" w:hAnsi="Arial"/>
                <w:sz w:val="18"/>
                <w:szCs w:val="18"/>
                <w:color w:val="auto"/>
              </w:rPr>
              <w:t>Termination or Reduction of Commitments</w:t>
            </w:r>
          </w:p>
        </w:tc>
        <w:tc>
          <w:tcPr>
            <w:tcW w:w="16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2.07.</w:t>
            </w:r>
          </w:p>
        </w:tc>
        <w:tc>
          <w:tcPr>
            <w:tcW w:w="8860" w:type="dxa"/>
            <w:vAlign w:val="bottom"/>
          </w:tcPr>
          <w:p>
            <w:pPr>
              <w:ind w:left="100"/>
              <w:spacing w:after="0"/>
              <w:rPr>
                <w:sz w:val="20"/>
                <w:szCs w:val="20"/>
                <w:color w:val="auto"/>
              </w:rPr>
            </w:pPr>
            <w:r>
              <w:rPr>
                <w:rFonts w:ascii="Arial" w:cs="Arial" w:eastAsia="Arial" w:hAnsi="Arial"/>
                <w:sz w:val="18"/>
                <w:szCs w:val="18"/>
                <w:color w:val="auto"/>
              </w:rPr>
              <w:t>Repayment of Loans</w:t>
            </w:r>
          </w:p>
        </w:tc>
        <w:tc>
          <w:tcPr>
            <w:tcW w:w="16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2.08.</w:t>
            </w:r>
          </w:p>
        </w:tc>
        <w:tc>
          <w:tcPr>
            <w:tcW w:w="8860" w:type="dxa"/>
            <w:vAlign w:val="bottom"/>
          </w:tcPr>
          <w:p>
            <w:pPr>
              <w:ind w:left="100"/>
              <w:spacing w:after="0"/>
              <w:rPr>
                <w:sz w:val="20"/>
                <w:szCs w:val="20"/>
                <w:color w:val="auto"/>
              </w:rPr>
            </w:pPr>
            <w:r>
              <w:rPr>
                <w:rFonts w:ascii="Arial" w:cs="Arial" w:eastAsia="Arial" w:hAnsi="Arial"/>
                <w:sz w:val="18"/>
                <w:szCs w:val="18"/>
                <w:color w:val="auto"/>
              </w:rPr>
              <w:t>Interest</w:t>
            </w:r>
          </w:p>
        </w:tc>
        <w:tc>
          <w:tcPr>
            <w:tcW w:w="16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2.09.</w:t>
            </w:r>
          </w:p>
        </w:tc>
        <w:tc>
          <w:tcPr>
            <w:tcW w:w="8860" w:type="dxa"/>
            <w:vAlign w:val="bottom"/>
          </w:tcPr>
          <w:p>
            <w:pPr>
              <w:ind w:left="100"/>
              <w:spacing w:after="0"/>
              <w:rPr>
                <w:sz w:val="20"/>
                <w:szCs w:val="20"/>
                <w:color w:val="auto"/>
              </w:rPr>
            </w:pPr>
            <w:r>
              <w:rPr>
                <w:rFonts w:ascii="Arial" w:cs="Arial" w:eastAsia="Arial" w:hAnsi="Arial"/>
                <w:sz w:val="18"/>
                <w:szCs w:val="18"/>
                <w:color w:val="auto"/>
              </w:rPr>
              <w:t>Fees</w:t>
            </w:r>
          </w:p>
        </w:tc>
        <w:tc>
          <w:tcPr>
            <w:tcW w:w="16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2.10.</w:t>
            </w:r>
          </w:p>
        </w:tc>
        <w:tc>
          <w:tcPr>
            <w:tcW w:w="8860" w:type="dxa"/>
            <w:vAlign w:val="bottom"/>
          </w:tcPr>
          <w:p>
            <w:pPr>
              <w:ind w:left="100"/>
              <w:spacing w:after="0"/>
              <w:rPr>
                <w:sz w:val="20"/>
                <w:szCs w:val="20"/>
                <w:color w:val="auto"/>
              </w:rPr>
            </w:pPr>
            <w:r>
              <w:rPr>
                <w:rFonts w:ascii="Arial" w:cs="Arial" w:eastAsia="Arial" w:hAnsi="Arial"/>
                <w:sz w:val="18"/>
                <w:szCs w:val="18"/>
                <w:color w:val="auto"/>
              </w:rPr>
              <w:t>Computation of Interest and Fees; Retroactive Adjustments of Applicable Rate</w:t>
            </w:r>
          </w:p>
        </w:tc>
        <w:tc>
          <w:tcPr>
            <w:tcW w:w="16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2.11.</w:t>
            </w:r>
          </w:p>
        </w:tc>
        <w:tc>
          <w:tcPr>
            <w:tcW w:w="8860" w:type="dxa"/>
            <w:vAlign w:val="bottom"/>
          </w:tcPr>
          <w:p>
            <w:pPr>
              <w:ind w:left="100"/>
              <w:spacing w:after="0"/>
              <w:rPr>
                <w:sz w:val="20"/>
                <w:szCs w:val="20"/>
                <w:color w:val="auto"/>
              </w:rPr>
            </w:pPr>
            <w:r>
              <w:rPr>
                <w:rFonts w:ascii="Arial" w:cs="Arial" w:eastAsia="Arial" w:hAnsi="Arial"/>
                <w:sz w:val="18"/>
                <w:szCs w:val="18"/>
                <w:color w:val="auto"/>
              </w:rPr>
              <w:t>Evidence of Debt</w:t>
            </w: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2.12.</w:t>
            </w:r>
          </w:p>
        </w:tc>
        <w:tc>
          <w:tcPr>
            <w:tcW w:w="8860" w:type="dxa"/>
            <w:vAlign w:val="bottom"/>
          </w:tcPr>
          <w:p>
            <w:pPr>
              <w:ind w:left="100"/>
              <w:spacing w:after="0"/>
              <w:rPr>
                <w:sz w:val="20"/>
                <w:szCs w:val="20"/>
                <w:color w:val="auto"/>
              </w:rPr>
            </w:pPr>
            <w:r>
              <w:rPr>
                <w:rFonts w:ascii="Arial" w:cs="Arial" w:eastAsia="Arial" w:hAnsi="Arial"/>
                <w:sz w:val="18"/>
                <w:szCs w:val="18"/>
                <w:color w:val="auto"/>
              </w:rPr>
              <w:t>Payments Generally; Administrative Agent’s Clawback</w:t>
            </w:r>
          </w:p>
        </w:tc>
        <w:tc>
          <w:tcPr>
            <w:tcW w:w="16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2.13.</w:t>
            </w:r>
          </w:p>
        </w:tc>
        <w:tc>
          <w:tcPr>
            <w:tcW w:w="8860" w:type="dxa"/>
            <w:vAlign w:val="bottom"/>
          </w:tcPr>
          <w:p>
            <w:pPr>
              <w:ind w:left="100"/>
              <w:spacing w:after="0"/>
              <w:rPr>
                <w:sz w:val="20"/>
                <w:szCs w:val="20"/>
                <w:color w:val="auto"/>
              </w:rPr>
            </w:pPr>
            <w:r>
              <w:rPr>
                <w:rFonts w:ascii="Arial" w:cs="Arial" w:eastAsia="Arial" w:hAnsi="Arial"/>
                <w:sz w:val="18"/>
                <w:szCs w:val="18"/>
                <w:color w:val="auto"/>
              </w:rPr>
              <w:t>Sharing of Payments by Lenders</w:t>
            </w:r>
          </w:p>
        </w:tc>
        <w:tc>
          <w:tcPr>
            <w:tcW w:w="16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2.14.</w:t>
            </w:r>
          </w:p>
        </w:tc>
        <w:tc>
          <w:tcPr>
            <w:tcW w:w="8860" w:type="dxa"/>
            <w:vAlign w:val="bottom"/>
          </w:tcPr>
          <w:p>
            <w:pPr>
              <w:ind w:left="100"/>
              <w:spacing w:after="0"/>
              <w:rPr>
                <w:sz w:val="20"/>
                <w:szCs w:val="20"/>
                <w:color w:val="auto"/>
              </w:rPr>
            </w:pPr>
            <w:r>
              <w:rPr>
                <w:rFonts w:ascii="Arial" w:cs="Arial" w:eastAsia="Arial" w:hAnsi="Arial"/>
                <w:sz w:val="18"/>
                <w:szCs w:val="18"/>
                <w:color w:val="auto"/>
              </w:rPr>
              <w:t>[Reserved]</w:t>
            </w:r>
          </w:p>
        </w:tc>
        <w:tc>
          <w:tcPr>
            <w:tcW w:w="16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2.15.</w:t>
            </w:r>
          </w:p>
        </w:tc>
        <w:tc>
          <w:tcPr>
            <w:tcW w:w="8860" w:type="dxa"/>
            <w:vAlign w:val="bottom"/>
          </w:tcPr>
          <w:p>
            <w:pPr>
              <w:ind w:left="100"/>
              <w:spacing w:after="0"/>
              <w:rPr>
                <w:sz w:val="20"/>
                <w:szCs w:val="20"/>
                <w:color w:val="auto"/>
              </w:rPr>
            </w:pPr>
            <w:r>
              <w:rPr>
                <w:rFonts w:ascii="Arial" w:cs="Arial" w:eastAsia="Arial" w:hAnsi="Arial"/>
                <w:sz w:val="18"/>
                <w:szCs w:val="18"/>
                <w:color w:val="auto"/>
              </w:rPr>
              <w:t>Defaulting Lenders</w:t>
            </w:r>
          </w:p>
        </w:tc>
        <w:tc>
          <w:tcPr>
            <w:tcW w:w="16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440" w:type="dxa"/>
            <w:vAlign w:val="bottom"/>
          </w:tcPr>
          <w:p>
            <w:pPr>
              <w:jc w:val="right"/>
              <w:spacing w:after="0"/>
              <w:rPr>
                <w:sz w:val="20"/>
                <w:szCs w:val="20"/>
                <w:color w:val="auto"/>
              </w:rPr>
            </w:pPr>
            <w:r>
              <w:rPr>
                <w:rFonts w:ascii="Arial" w:cs="Arial" w:eastAsia="Arial" w:hAnsi="Arial"/>
                <w:sz w:val="18"/>
                <w:szCs w:val="18"/>
                <w:color w:val="auto"/>
                <w:w w:val="84"/>
              </w:rPr>
              <w:t>2.16.</w:t>
            </w:r>
          </w:p>
        </w:tc>
        <w:tc>
          <w:tcPr>
            <w:tcW w:w="8860" w:type="dxa"/>
            <w:vAlign w:val="bottom"/>
          </w:tcPr>
          <w:p>
            <w:pPr>
              <w:ind w:left="100"/>
              <w:spacing w:after="0"/>
              <w:rPr>
                <w:sz w:val="20"/>
                <w:szCs w:val="20"/>
                <w:color w:val="auto"/>
              </w:rPr>
            </w:pPr>
            <w:r>
              <w:rPr>
                <w:rFonts w:ascii="Arial" w:cs="Arial" w:eastAsia="Arial" w:hAnsi="Arial"/>
                <w:sz w:val="18"/>
                <w:szCs w:val="18"/>
                <w:color w:val="auto"/>
              </w:rPr>
              <w:t>Cash Collateral</w:t>
            </w:r>
          </w:p>
        </w:tc>
        <w:tc>
          <w:tcPr>
            <w:tcW w:w="16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10"/>
        </w:trPr>
        <w:tc>
          <w:tcPr>
            <w:tcW w:w="440" w:type="dxa"/>
            <w:vAlign w:val="bottom"/>
          </w:tcPr>
          <w:p>
            <w:pPr>
              <w:spacing w:after="0"/>
              <w:rPr>
                <w:sz w:val="24"/>
                <w:szCs w:val="24"/>
                <w:color w:val="auto"/>
              </w:rPr>
            </w:pPr>
          </w:p>
        </w:tc>
        <w:tc>
          <w:tcPr>
            <w:tcW w:w="8860" w:type="dxa"/>
            <w:vAlign w:val="bottom"/>
          </w:tcPr>
          <w:p>
            <w:pPr>
              <w:jc w:val="center"/>
              <w:ind w:left="1150"/>
              <w:spacing w:after="0"/>
              <w:rPr>
                <w:sz w:val="20"/>
                <w:szCs w:val="20"/>
                <w:color w:val="auto"/>
              </w:rPr>
            </w:pPr>
            <w:r>
              <w:rPr>
                <w:rFonts w:ascii="Arial" w:cs="Arial" w:eastAsia="Arial" w:hAnsi="Arial"/>
                <w:sz w:val="18"/>
                <w:szCs w:val="18"/>
                <w:color w:val="auto"/>
              </w:rPr>
              <w:t>ARTICLE III</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860" w:type="dxa"/>
            <w:vAlign w:val="bottom"/>
          </w:tcPr>
          <w:p>
            <w:pPr>
              <w:jc w:val="center"/>
              <w:ind w:left="1150"/>
              <w:spacing w:after="0"/>
              <w:rPr>
                <w:sz w:val="20"/>
                <w:szCs w:val="20"/>
                <w:color w:val="auto"/>
              </w:rPr>
            </w:pPr>
            <w:r>
              <w:rPr>
                <w:rFonts w:ascii="Arial" w:cs="Arial" w:eastAsia="Arial" w:hAnsi="Arial"/>
                <w:sz w:val="18"/>
                <w:szCs w:val="18"/>
                <w:color w:val="auto"/>
                <w:w w:val="99"/>
              </w:rPr>
              <w:t>TAXES, YIELD PROTECTION AND ILLEGALITY</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w w:val="84"/>
              </w:rPr>
              <w:t>3.01.</w:t>
            </w:r>
          </w:p>
        </w:tc>
        <w:tc>
          <w:tcPr>
            <w:tcW w:w="8860" w:type="dxa"/>
            <w:vAlign w:val="bottom"/>
          </w:tcPr>
          <w:p>
            <w:pPr>
              <w:ind w:left="100"/>
              <w:spacing w:after="0"/>
              <w:rPr>
                <w:sz w:val="20"/>
                <w:szCs w:val="20"/>
                <w:color w:val="auto"/>
              </w:rPr>
            </w:pPr>
            <w:r>
              <w:rPr>
                <w:rFonts w:ascii="Arial" w:cs="Arial" w:eastAsia="Arial" w:hAnsi="Arial"/>
                <w:sz w:val="18"/>
                <w:szCs w:val="18"/>
                <w:color w:val="auto"/>
              </w:rPr>
              <w:t>Taxes</w:t>
            </w:r>
          </w:p>
        </w:tc>
        <w:tc>
          <w:tcPr>
            <w:tcW w:w="16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3.02.</w:t>
            </w:r>
          </w:p>
        </w:tc>
        <w:tc>
          <w:tcPr>
            <w:tcW w:w="8860" w:type="dxa"/>
            <w:vAlign w:val="bottom"/>
          </w:tcPr>
          <w:p>
            <w:pPr>
              <w:ind w:left="100"/>
              <w:spacing w:after="0"/>
              <w:rPr>
                <w:sz w:val="20"/>
                <w:szCs w:val="20"/>
                <w:color w:val="auto"/>
              </w:rPr>
            </w:pPr>
            <w:r>
              <w:rPr>
                <w:rFonts w:ascii="Arial" w:cs="Arial" w:eastAsia="Arial" w:hAnsi="Arial"/>
                <w:sz w:val="18"/>
                <w:szCs w:val="18"/>
                <w:color w:val="auto"/>
              </w:rPr>
              <w:t>Illegality</w:t>
            </w:r>
          </w:p>
        </w:tc>
        <w:tc>
          <w:tcPr>
            <w:tcW w:w="16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3.03.</w:t>
            </w:r>
          </w:p>
        </w:tc>
        <w:tc>
          <w:tcPr>
            <w:tcW w:w="8860" w:type="dxa"/>
            <w:vAlign w:val="bottom"/>
          </w:tcPr>
          <w:p>
            <w:pPr>
              <w:ind w:left="100"/>
              <w:spacing w:after="0"/>
              <w:rPr>
                <w:sz w:val="20"/>
                <w:szCs w:val="20"/>
                <w:color w:val="auto"/>
              </w:rPr>
            </w:pPr>
            <w:r>
              <w:rPr>
                <w:rFonts w:ascii="Arial" w:cs="Arial" w:eastAsia="Arial" w:hAnsi="Arial"/>
                <w:sz w:val="18"/>
                <w:szCs w:val="18"/>
                <w:color w:val="auto"/>
              </w:rPr>
              <w:t>Inability to Determine Rates</w:t>
            </w:r>
          </w:p>
        </w:tc>
        <w:tc>
          <w:tcPr>
            <w:tcW w:w="16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3.04.</w:t>
            </w:r>
          </w:p>
        </w:tc>
        <w:tc>
          <w:tcPr>
            <w:tcW w:w="8860" w:type="dxa"/>
            <w:vAlign w:val="bottom"/>
          </w:tcPr>
          <w:p>
            <w:pPr>
              <w:ind w:left="100"/>
              <w:spacing w:after="0"/>
              <w:rPr>
                <w:sz w:val="20"/>
                <w:szCs w:val="20"/>
                <w:color w:val="auto"/>
              </w:rPr>
            </w:pPr>
            <w:r>
              <w:rPr>
                <w:rFonts w:ascii="Arial" w:cs="Arial" w:eastAsia="Arial" w:hAnsi="Arial"/>
                <w:sz w:val="18"/>
                <w:szCs w:val="18"/>
                <w:color w:val="auto"/>
              </w:rPr>
              <w:t>Increased Costs; Reserves on Eurodollar Rate Loans</w:t>
            </w:r>
          </w:p>
        </w:tc>
        <w:tc>
          <w:tcPr>
            <w:tcW w:w="16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3.05.</w:t>
            </w:r>
          </w:p>
        </w:tc>
        <w:tc>
          <w:tcPr>
            <w:tcW w:w="8860" w:type="dxa"/>
            <w:vAlign w:val="bottom"/>
          </w:tcPr>
          <w:p>
            <w:pPr>
              <w:ind w:left="100"/>
              <w:spacing w:after="0"/>
              <w:rPr>
                <w:sz w:val="20"/>
                <w:szCs w:val="20"/>
                <w:color w:val="auto"/>
              </w:rPr>
            </w:pPr>
            <w:r>
              <w:rPr>
                <w:rFonts w:ascii="Arial" w:cs="Arial" w:eastAsia="Arial" w:hAnsi="Arial"/>
                <w:sz w:val="18"/>
                <w:szCs w:val="18"/>
                <w:color w:val="auto"/>
              </w:rPr>
              <w:t>Compensation for Losses</w:t>
            </w:r>
          </w:p>
        </w:tc>
        <w:tc>
          <w:tcPr>
            <w:tcW w:w="16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3.06.</w:t>
            </w:r>
          </w:p>
        </w:tc>
        <w:tc>
          <w:tcPr>
            <w:tcW w:w="8860" w:type="dxa"/>
            <w:vAlign w:val="bottom"/>
          </w:tcPr>
          <w:p>
            <w:pPr>
              <w:ind w:left="100"/>
              <w:spacing w:after="0"/>
              <w:rPr>
                <w:sz w:val="20"/>
                <w:szCs w:val="20"/>
                <w:color w:val="auto"/>
              </w:rPr>
            </w:pPr>
            <w:r>
              <w:rPr>
                <w:rFonts w:ascii="Arial" w:cs="Arial" w:eastAsia="Arial" w:hAnsi="Arial"/>
                <w:sz w:val="18"/>
                <w:szCs w:val="18"/>
                <w:color w:val="auto"/>
              </w:rPr>
              <w:t>Mitigation Obligations; Replacement of Lenders</w:t>
            </w:r>
          </w:p>
        </w:tc>
        <w:tc>
          <w:tcPr>
            <w:tcW w:w="16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40" w:type="dxa"/>
            <w:vAlign w:val="bottom"/>
          </w:tcPr>
          <w:p>
            <w:pPr>
              <w:jc w:val="right"/>
              <w:spacing w:after="0"/>
              <w:rPr>
                <w:sz w:val="20"/>
                <w:szCs w:val="20"/>
                <w:color w:val="auto"/>
              </w:rPr>
            </w:pPr>
            <w:r>
              <w:rPr>
                <w:rFonts w:ascii="Arial" w:cs="Arial" w:eastAsia="Arial" w:hAnsi="Arial"/>
                <w:sz w:val="18"/>
                <w:szCs w:val="18"/>
                <w:color w:val="auto"/>
                <w:w w:val="84"/>
              </w:rPr>
              <w:t>3.07.</w:t>
            </w:r>
          </w:p>
        </w:tc>
        <w:tc>
          <w:tcPr>
            <w:tcW w:w="8860" w:type="dxa"/>
            <w:vAlign w:val="bottom"/>
          </w:tcPr>
          <w:p>
            <w:pPr>
              <w:ind w:left="100"/>
              <w:spacing w:after="0"/>
              <w:rPr>
                <w:sz w:val="20"/>
                <w:szCs w:val="20"/>
                <w:color w:val="auto"/>
              </w:rPr>
            </w:pPr>
            <w:r>
              <w:rPr>
                <w:rFonts w:ascii="Arial" w:cs="Arial" w:eastAsia="Arial" w:hAnsi="Arial"/>
                <w:sz w:val="18"/>
                <w:szCs w:val="18"/>
                <w:color w:val="auto"/>
              </w:rPr>
              <w:t>Survival</w:t>
            </w:r>
          </w:p>
        </w:tc>
        <w:tc>
          <w:tcPr>
            <w:tcW w:w="16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10"/>
        </w:trPr>
        <w:tc>
          <w:tcPr>
            <w:tcW w:w="440" w:type="dxa"/>
            <w:vAlign w:val="bottom"/>
          </w:tcPr>
          <w:p>
            <w:pPr>
              <w:spacing w:after="0"/>
              <w:rPr>
                <w:sz w:val="24"/>
                <w:szCs w:val="24"/>
                <w:color w:val="auto"/>
              </w:rPr>
            </w:pPr>
          </w:p>
        </w:tc>
        <w:tc>
          <w:tcPr>
            <w:tcW w:w="8860" w:type="dxa"/>
            <w:vAlign w:val="bottom"/>
          </w:tcPr>
          <w:p>
            <w:pPr>
              <w:jc w:val="center"/>
              <w:ind w:left="1150"/>
              <w:spacing w:after="0"/>
              <w:rPr>
                <w:sz w:val="20"/>
                <w:szCs w:val="20"/>
                <w:color w:val="auto"/>
              </w:rPr>
            </w:pPr>
            <w:r>
              <w:rPr>
                <w:rFonts w:ascii="Arial" w:cs="Arial" w:eastAsia="Arial" w:hAnsi="Arial"/>
                <w:sz w:val="18"/>
                <w:szCs w:val="18"/>
                <w:color w:val="auto"/>
                <w:w w:val="99"/>
              </w:rPr>
              <w:t>ARTICLE IV</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860" w:type="dxa"/>
            <w:vAlign w:val="bottom"/>
          </w:tcPr>
          <w:p>
            <w:pPr>
              <w:jc w:val="center"/>
              <w:ind w:left="1130"/>
              <w:spacing w:after="0"/>
              <w:rPr>
                <w:sz w:val="20"/>
                <w:szCs w:val="20"/>
                <w:color w:val="auto"/>
              </w:rPr>
            </w:pPr>
            <w:r>
              <w:rPr>
                <w:rFonts w:ascii="Arial" w:cs="Arial" w:eastAsia="Arial" w:hAnsi="Arial"/>
                <w:sz w:val="18"/>
                <w:szCs w:val="18"/>
                <w:color w:val="auto"/>
                <w:w w:val="96"/>
              </w:rPr>
              <w:t>CONDITIONS PRECEDENT TO CLOSING AND BORROWING</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w w:val="84"/>
              </w:rPr>
              <w:t>4.01.</w:t>
            </w:r>
          </w:p>
        </w:tc>
        <w:tc>
          <w:tcPr>
            <w:tcW w:w="8860" w:type="dxa"/>
            <w:vAlign w:val="bottom"/>
          </w:tcPr>
          <w:p>
            <w:pPr>
              <w:ind w:left="100"/>
              <w:spacing w:after="0"/>
              <w:rPr>
                <w:sz w:val="20"/>
                <w:szCs w:val="20"/>
                <w:color w:val="auto"/>
              </w:rPr>
            </w:pPr>
            <w:r>
              <w:rPr>
                <w:rFonts w:ascii="Arial" w:cs="Arial" w:eastAsia="Arial" w:hAnsi="Arial"/>
                <w:sz w:val="18"/>
                <w:szCs w:val="18"/>
                <w:color w:val="auto"/>
              </w:rPr>
              <w:t>Conditions of Closing and Initial Borrowing</w:t>
            </w:r>
          </w:p>
        </w:tc>
        <w:tc>
          <w:tcPr>
            <w:tcW w:w="16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40" w:type="dxa"/>
            <w:vAlign w:val="bottom"/>
          </w:tcPr>
          <w:p>
            <w:pPr>
              <w:jc w:val="right"/>
              <w:spacing w:after="0"/>
              <w:rPr>
                <w:sz w:val="20"/>
                <w:szCs w:val="20"/>
                <w:color w:val="auto"/>
              </w:rPr>
            </w:pPr>
            <w:r>
              <w:rPr>
                <w:rFonts w:ascii="Arial" w:cs="Arial" w:eastAsia="Arial" w:hAnsi="Arial"/>
                <w:sz w:val="18"/>
                <w:szCs w:val="18"/>
                <w:color w:val="auto"/>
                <w:w w:val="84"/>
              </w:rPr>
              <w:t>4.02.</w:t>
            </w:r>
          </w:p>
        </w:tc>
        <w:tc>
          <w:tcPr>
            <w:tcW w:w="8860" w:type="dxa"/>
            <w:vAlign w:val="bottom"/>
          </w:tcPr>
          <w:p>
            <w:pPr>
              <w:ind w:left="100"/>
              <w:spacing w:after="0"/>
              <w:rPr>
                <w:sz w:val="20"/>
                <w:szCs w:val="20"/>
                <w:color w:val="auto"/>
              </w:rPr>
            </w:pPr>
            <w:r>
              <w:rPr>
                <w:rFonts w:ascii="Arial" w:cs="Arial" w:eastAsia="Arial" w:hAnsi="Arial"/>
                <w:sz w:val="18"/>
                <w:szCs w:val="18"/>
                <w:color w:val="auto"/>
              </w:rPr>
              <w:t>Conditions to All Credit Extensions</w:t>
            </w:r>
          </w:p>
        </w:tc>
        <w:tc>
          <w:tcPr>
            <w:tcW w:w="16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8460" w:type="dxa"/>
            <w:vAlign w:val="bottom"/>
            <w:vMerge w:val="restart"/>
          </w:tcPr>
          <w:p>
            <w:pPr>
              <w:jc w:val="center"/>
              <w:ind w:left="1530"/>
              <w:spacing w:after="0"/>
              <w:rPr>
                <w:sz w:val="20"/>
                <w:szCs w:val="20"/>
                <w:color w:val="auto"/>
              </w:rPr>
            </w:pPr>
            <w:r>
              <w:rPr>
                <w:rFonts w:ascii="Arial" w:cs="Arial" w:eastAsia="Arial" w:hAnsi="Arial"/>
                <w:sz w:val="18"/>
                <w:szCs w:val="18"/>
                <w:color w:val="auto"/>
                <w:w w:val="98"/>
              </w:rPr>
              <w:t>ARTICLE V</w:t>
            </w: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8460" w:type="dxa"/>
            <w:vAlign w:val="bottom"/>
            <w:vMerge w:val="continue"/>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460" w:type="dxa"/>
            <w:vAlign w:val="bottom"/>
          </w:tcPr>
          <w:p>
            <w:pPr>
              <w:jc w:val="center"/>
              <w:ind w:left="1530"/>
              <w:spacing w:after="0"/>
              <w:rPr>
                <w:sz w:val="20"/>
                <w:szCs w:val="20"/>
                <w:color w:val="auto"/>
              </w:rPr>
            </w:pPr>
            <w:r>
              <w:rPr>
                <w:rFonts w:ascii="Arial" w:cs="Arial" w:eastAsia="Arial" w:hAnsi="Arial"/>
                <w:sz w:val="18"/>
                <w:szCs w:val="18"/>
                <w:color w:val="auto"/>
                <w:w w:val="95"/>
              </w:rPr>
              <w:t>REPRESENTATIONS AND WARRANTIES</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w w:val="84"/>
              </w:rPr>
              <w:t>5.01.</w:t>
            </w:r>
          </w:p>
        </w:tc>
        <w:tc>
          <w:tcPr>
            <w:tcW w:w="8460" w:type="dxa"/>
            <w:vAlign w:val="bottom"/>
          </w:tcPr>
          <w:p>
            <w:pPr>
              <w:ind w:left="100"/>
              <w:spacing w:after="0"/>
              <w:rPr>
                <w:sz w:val="20"/>
                <w:szCs w:val="20"/>
                <w:color w:val="auto"/>
              </w:rPr>
            </w:pPr>
            <w:r>
              <w:rPr>
                <w:rFonts w:ascii="Arial" w:cs="Arial" w:eastAsia="Arial" w:hAnsi="Arial"/>
                <w:sz w:val="18"/>
                <w:szCs w:val="18"/>
                <w:color w:val="auto"/>
              </w:rPr>
              <w:t>Corporate Existence; Subsidiaries; Foreign Qualification</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5.02.</w:t>
            </w:r>
          </w:p>
        </w:tc>
        <w:tc>
          <w:tcPr>
            <w:tcW w:w="8460" w:type="dxa"/>
            <w:vAlign w:val="bottom"/>
          </w:tcPr>
          <w:p>
            <w:pPr>
              <w:ind w:left="100"/>
              <w:spacing w:after="0"/>
              <w:rPr>
                <w:sz w:val="20"/>
                <w:szCs w:val="20"/>
                <w:color w:val="auto"/>
              </w:rPr>
            </w:pPr>
            <w:r>
              <w:rPr>
                <w:rFonts w:ascii="Arial" w:cs="Arial" w:eastAsia="Arial" w:hAnsi="Arial"/>
                <w:sz w:val="18"/>
                <w:szCs w:val="18"/>
                <w:color w:val="auto"/>
              </w:rPr>
              <w:t>Corporate Authority</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5.03.</w:t>
            </w:r>
          </w:p>
        </w:tc>
        <w:tc>
          <w:tcPr>
            <w:tcW w:w="8460" w:type="dxa"/>
            <w:vAlign w:val="bottom"/>
          </w:tcPr>
          <w:p>
            <w:pPr>
              <w:ind w:left="100"/>
              <w:spacing w:after="0"/>
              <w:rPr>
                <w:sz w:val="20"/>
                <w:szCs w:val="20"/>
                <w:color w:val="auto"/>
              </w:rPr>
            </w:pPr>
            <w:r>
              <w:rPr>
                <w:rFonts w:ascii="Arial" w:cs="Arial" w:eastAsia="Arial" w:hAnsi="Arial"/>
                <w:sz w:val="18"/>
                <w:szCs w:val="18"/>
                <w:color w:val="auto"/>
              </w:rPr>
              <w:t>Governmental Authorization; Other Consents</w:t>
            </w:r>
          </w:p>
        </w:tc>
        <w:tc>
          <w:tcPr>
            <w:tcW w:w="20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5.04.</w:t>
            </w:r>
          </w:p>
        </w:tc>
        <w:tc>
          <w:tcPr>
            <w:tcW w:w="8460" w:type="dxa"/>
            <w:vAlign w:val="bottom"/>
          </w:tcPr>
          <w:p>
            <w:pPr>
              <w:ind w:left="100"/>
              <w:spacing w:after="0"/>
              <w:rPr>
                <w:sz w:val="20"/>
                <w:szCs w:val="20"/>
                <w:color w:val="auto"/>
              </w:rPr>
            </w:pPr>
            <w:r>
              <w:rPr>
                <w:rFonts w:ascii="Arial" w:cs="Arial" w:eastAsia="Arial" w:hAnsi="Arial"/>
                <w:sz w:val="18"/>
                <w:szCs w:val="18"/>
                <w:color w:val="auto"/>
              </w:rPr>
              <w:t>Litigation and Administrative Proceedings</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5.05.</w:t>
            </w:r>
          </w:p>
        </w:tc>
        <w:tc>
          <w:tcPr>
            <w:tcW w:w="8460" w:type="dxa"/>
            <w:vAlign w:val="bottom"/>
          </w:tcPr>
          <w:p>
            <w:pPr>
              <w:ind w:left="100"/>
              <w:spacing w:after="0"/>
              <w:rPr>
                <w:sz w:val="20"/>
                <w:szCs w:val="20"/>
                <w:color w:val="auto"/>
              </w:rPr>
            </w:pPr>
            <w:r>
              <w:rPr>
                <w:rFonts w:ascii="Arial" w:cs="Arial" w:eastAsia="Arial" w:hAnsi="Arial"/>
                <w:sz w:val="18"/>
                <w:szCs w:val="18"/>
                <w:color w:val="auto"/>
              </w:rPr>
              <w:t>Title to Assets</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5.06.</w:t>
            </w:r>
          </w:p>
        </w:tc>
        <w:tc>
          <w:tcPr>
            <w:tcW w:w="8460" w:type="dxa"/>
            <w:vAlign w:val="bottom"/>
          </w:tcPr>
          <w:p>
            <w:pPr>
              <w:ind w:left="100"/>
              <w:spacing w:after="0"/>
              <w:rPr>
                <w:sz w:val="20"/>
                <w:szCs w:val="20"/>
                <w:color w:val="auto"/>
              </w:rPr>
            </w:pPr>
            <w:r>
              <w:rPr>
                <w:rFonts w:ascii="Arial" w:cs="Arial" w:eastAsia="Arial" w:hAnsi="Arial"/>
                <w:sz w:val="18"/>
                <w:szCs w:val="18"/>
                <w:color w:val="auto"/>
              </w:rPr>
              <w:t>Liens and Security Interests</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5.07.</w:t>
            </w:r>
          </w:p>
        </w:tc>
        <w:tc>
          <w:tcPr>
            <w:tcW w:w="8460" w:type="dxa"/>
            <w:vAlign w:val="bottom"/>
          </w:tcPr>
          <w:p>
            <w:pPr>
              <w:ind w:left="100"/>
              <w:spacing w:after="0"/>
              <w:rPr>
                <w:sz w:val="20"/>
                <w:szCs w:val="20"/>
                <w:color w:val="auto"/>
              </w:rPr>
            </w:pPr>
            <w:r>
              <w:rPr>
                <w:rFonts w:ascii="Arial" w:cs="Arial" w:eastAsia="Arial" w:hAnsi="Arial"/>
                <w:sz w:val="18"/>
                <w:szCs w:val="18"/>
                <w:color w:val="auto"/>
              </w:rPr>
              <w:t>Tax Returns</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5.08.</w:t>
            </w:r>
          </w:p>
        </w:tc>
        <w:tc>
          <w:tcPr>
            <w:tcW w:w="8460" w:type="dxa"/>
            <w:vAlign w:val="bottom"/>
          </w:tcPr>
          <w:p>
            <w:pPr>
              <w:ind w:left="100"/>
              <w:spacing w:after="0"/>
              <w:rPr>
                <w:sz w:val="20"/>
                <w:szCs w:val="20"/>
                <w:color w:val="auto"/>
              </w:rPr>
            </w:pPr>
            <w:r>
              <w:rPr>
                <w:rFonts w:ascii="Arial" w:cs="Arial" w:eastAsia="Arial" w:hAnsi="Arial"/>
                <w:sz w:val="18"/>
                <w:szCs w:val="18"/>
                <w:color w:val="auto"/>
              </w:rPr>
              <w:t>Environmental Laws</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5.09.</w:t>
            </w:r>
          </w:p>
        </w:tc>
        <w:tc>
          <w:tcPr>
            <w:tcW w:w="8460" w:type="dxa"/>
            <w:vAlign w:val="bottom"/>
          </w:tcPr>
          <w:p>
            <w:pPr>
              <w:ind w:left="100"/>
              <w:spacing w:after="0"/>
              <w:rPr>
                <w:sz w:val="20"/>
                <w:szCs w:val="20"/>
                <w:color w:val="auto"/>
              </w:rPr>
            </w:pPr>
            <w:r>
              <w:rPr>
                <w:rFonts w:ascii="Arial" w:cs="Arial" w:eastAsia="Arial" w:hAnsi="Arial"/>
                <w:sz w:val="18"/>
                <w:szCs w:val="18"/>
                <w:color w:val="auto"/>
              </w:rPr>
              <w:t>Locations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5.10.</w:t>
            </w:r>
          </w:p>
        </w:tc>
        <w:tc>
          <w:tcPr>
            <w:tcW w:w="8460" w:type="dxa"/>
            <w:vAlign w:val="bottom"/>
          </w:tcPr>
          <w:p>
            <w:pPr>
              <w:ind w:left="100"/>
              <w:spacing w:after="0"/>
              <w:rPr>
                <w:sz w:val="20"/>
                <w:szCs w:val="20"/>
                <w:color w:val="auto"/>
              </w:rPr>
            </w:pPr>
            <w:r>
              <w:rPr>
                <w:rFonts w:ascii="Arial" w:cs="Arial" w:eastAsia="Arial" w:hAnsi="Arial"/>
                <w:sz w:val="18"/>
                <w:szCs w:val="18"/>
                <w:color w:val="auto"/>
              </w:rPr>
              <w:t>Continued Business</w:t>
            </w:r>
          </w:p>
        </w:tc>
        <w:tc>
          <w:tcPr>
            <w:tcW w:w="20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5.11.</w:t>
            </w:r>
          </w:p>
        </w:tc>
        <w:tc>
          <w:tcPr>
            <w:tcW w:w="8460" w:type="dxa"/>
            <w:vAlign w:val="bottom"/>
          </w:tcPr>
          <w:p>
            <w:pPr>
              <w:ind w:left="100"/>
              <w:spacing w:after="0"/>
              <w:rPr>
                <w:sz w:val="20"/>
                <w:szCs w:val="20"/>
                <w:color w:val="auto"/>
              </w:rPr>
            </w:pPr>
            <w:r>
              <w:rPr>
                <w:rFonts w:ascii="Arial" w:cs="Arial" w:eastAsia="Arial" w:hAnsi="Arial"/>
                <w:sz w:val="18"/>
                <w:szCs w:val="18"/>
                <w:color w:val="auto"/>
              </w:rPr>
              <w:t>Employee Benefits Plans</w:t>
            </w:r>
          </w:p>
        </w:tc>
        <w:tc>
          <w:tcPr>
            <w:tcW w:w="20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5.12.</w:t>
            </w:r>
          </w:p>
        </w:tc>
        <w:tc>
          <w:tcPr>
            <w:tcW w:w="8460" w:type="dxa"/>
            <w:vAlign w:val="bottom"/>
          </w:tcPr>
          <w:p>
            <w:pPr>
              <w:ind w:left="100"/>
              <w:spacing w:after="0"/>
              <w:rPr>
                <w:sz w:val="20"/>
                <w:szCs w:val="20"/>
                <w:color w:val="auto"/>
              </w:rPr>
            </w:pPr>
            <w:r>
              <w:rPr>
                <w:rFonts w:ascii="Arial" w:cs="Arial" w:eastAsia="Arial" w:hAnsi="Arial"/>
                <w:sz w:val="18"/>
                <w:szCs w:val="18"/>
                <w:color w:val="auto"/>
              </w:rPr>
              <w:t>Consents or Approvals</w:t>
            </w:r>
          </w:p>
        </w:tc>
        <w:tc>
          <w:tcPr>
            <w:tcW w:w="20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5.13.</w:t>
            </w:r>
          </w:p>
        </w:tc>
        <w:tc>
          <w:tcPr>
            <w:tcW w:w="8460" w:type="dxa"/>
            <w:vAlign w:val="bottom"/>
          </w:tcPr>
          <w:p>
            <w:pPr>
              <w:ind w:left="100"/>
              <w:spacing w:after="0"/>
              <w:rPr>
                <w:sz w:val="20"/>
                <w:szCs w:val="20"/>
                <w:color w:val="auto"/>
              </w:rPr>
            </w:pPr>
            <w:r>
              <w:rPr>
                <w:rFonts w:ascii="Arial" w:cs="Arial" w:eastAsia="Arial" w:hAnsi="Arial"/>
                <w:sz w:val="18"/>
                <w:szCs w:val="18"/>
                <w:color w:val="auto"/>
              </w:rPr>
              <w:t>Solvency</w:t>
            </w:r>
          </w:p>
        </w:tc>
        <w:tc>
          <w:tcPr>
            <w:tcW w:w="20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5.14.</w:t>
            </w:r>
          </w:p>
        </w:tc>
        <w:tc>
          <w:tcPr>
            <w:tcW w:w="8460" w:type="dxa"/>
            <w:vAlign w:val="bottom"/>
          </w:tcPr>
          <w:p>
            <w:pPr>
              <w:ind w:left="100"/>
              <w:spacing w:after="0"/>
              <w:rPr>
                <w:sz w:val="20"/>
                <w:szCs w:val="20"/>
                <w:color w:val="auto"/>
              </w:rPr>
            </w:pPr>
            <w:r>
              <w:rPr>
                <w:rFonts w:ascii="Arial" w:cs="Arial" w:eastAsia="Arial" w:hAnsi="Arial"/>
                <w:sz w:val="18"/>
                <w:szCs w:val="18"/>
                <w:color w:val="auto"/>
              </w:rPr>
              <w:t>Financial Statements; No Material Adverse Effect</w:t>
            </w:r>
          </w:p>
        </w:tc>
        <w:tc>
          <w:tcPr>
            <w:tcW w:w="20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5.15.</w:t>
            </w:r>
          </w:p>
        </w:tc>
        <w:tc>
          <w:tcPr>
            <w:tcW w:w="8460" w:type="dxa"/>
            <w:vAlign w:val="bottom"/>
          </w:tcPr>
          <w:p>
            <w:pPr>
              <w:ind w:left="100"/>
              <w:spacing w:after="0"/>
              <w:rPr>
                <w:sz w:val="20"/>
                <w:szCs w:val="20"/>
                <w:color w:val="auto"/>
              </w:rPr>
            </w:pPr>
            <w:r>
              <w:rPr>
                <w:rFonts w:ascii="Arial" w:cs="Arial" w:eastAsia="Arial" w:hAnsi="Arial"/>
                <w:sz w:val="18"/>
                <w:szCs w:val="18"/>
                <w:color w:val="auto"/>
              </w:rPr>
              <w:t>Regulations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5.16.</w:t>
            </w:r>
          </w:p>
        </w:tc>
        <w:tc>
          <w:tcPr>
            <w:tcW w:w="8460" w:type="dxa"/>
            <w:vAlign w:val="bottom"/>
          </w:tcPr>
          <w:p>
            <w:pPr>
              <w:ind w:left="100"/>
              <w:spacing w:after="0"/>
              <w:rPr>
                <w:sz w:val="20"/>
                <w:szCs w:val="20"/>
                <w:color w:val="auto"/>
              </w:rPr>
            </w:pPr>
            <w:r>
              <w:rPr>
                <w:rFonts w:ascii="Arial" w:cs="Arial" w:eastAsia="Arial" w:hAnsi="Arial"/>
                <w:sz w:val="18"/>
                <w:szCs w:val="18"/>
                <w:color w:val="auto"/>
              </w:rPr>
              <w:t>Material Agreements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5.17.</w:t>
            </w:r>
          </w:p>
        </w:tc>
        <w:tc>
          <w:tcPr>
            <w:tcW w:w="8460" w:type="dxa"/>
            <w:vAlign w:val="bottom"/>
          </w:tcPr>
          <w:p>
            <w:pPr>
              <w:ind w:left="100"/>
              <w:spacing w:after="0"/>
              <w:rPr>
                <w:sz w:val="20"/>
                <w:szCs w:val="20"/>
                <w:color w:val="auto"/>
              </w:rPr>
            </w:pPr>
            <w:r>
              <w:rPr>
                <w:rFonts w:ascii="Arial" w:cs="Arial" w:eastAsia="Arial" w:hAnsi="Arial"/>
                <w:sz w:val="18"/>
                <w:szCs w:val="18"/>
                <w:color w:val="auto"/>
              </w:rPr>
              <w:t>Intellectual Property</w:t>
            </w:r>
          </w:p>
        </w:tc>
        <w:tc>
          <w:tcPr>
            <w:tcW w:w="20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5.18.</w:t>
            </w:r>
          </w:p>
        </w:tc>
        <w:tc>
          <w:tcPr>
            <w:tcW w:w="846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20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5.19.</w:t>
            </w:r>
          </w:p>
        </w:tc>
        <w:tc>
          <w:tcPr>
            <w:tcW w:w="8460" w:type="dxa"/>
            <w:vAlign w:val="bottom"/>
          </w:tcPr>
          <w:p>
            <w:pPr>
              <w:ind w:left="100"/>
              <w:spacing w:after="0"/>
              <w:rPr>
                <w:sz w:val="20"/>
                <w:szCs w:val="20"/>
                <w:color w:val="auto"/>
              </w:rPr>
            </w:pPr>
            <w:r>
              <w:rPr>
                <w:rFonts w:ascii="Arial" w:cs="Arial" w:eastAsia="Arial" w:hAnsi="Arial"/>
                <w:sz w:val="18"/>
                <w:szCs w:val="18"/>
                <w:color w:val="auto"/>
              </w:rPr>
              <w:t>Casualty, Etc.</w:t>
            </w:r>
          </w:p>
        </w:tc>
        <w:tc>
          <w:tcPr>
            <w:tcW w:w="20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5.20.</w:t>
            </w:r>
          </w:p>
        </w:tc>
        <w:tc>
          <w:tcPr>
            <w:tcW w:w="8460" w:type="dxa"/>
            <w:vAlign w:val="bottom"/>
          </w:tcPr>
          <w:p>
            <w:pPr>
              <w:ind w:left="100"/>
              <w:spacing w:after="0"/>
              <w:rPr>
                <w:sz w:val="20"/>
                <w:szCs w:val="20"/>
                <w:color w:val="auto"/>
              </w:rPr>
            </w:pPr>
            <w:r>
              <w:rPr>
                <w:rFonts w:ascii="Arial" w:cs="Arial" w:eastAsia="Arial" w:hAnsi="Arial"/>
                <w:sz w:val="18"/>
                <w:szCs w:val="18"/>
                <w:color w:val="auto"/>
              </w:rPr>
              <w:t>Labor Matters</w:t>
            </w:r>
          </w:p>
        </w:tc>
        <w:tc>
          <w:tcPr>
            <w:tcW w:w="20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5.21.</w:t>
            </w:r>
          </w:p>
        </w:tc>
        <w:tc>
          <w:tcPr>
            <w:tcW w:w="8460" w:type="dxa"/>
            <w:vAlign w:val="bottom"/>
          </w:tcPr>
          <w:p>
            <w:pPr>
              <w:ind w:left="100"/>
              <w:spacing w:after="0"/>
              <w:rPr>
                <w:sz w:val="20"/>
                <w:szCs w:val="20"/>
                <w:color w:val="auto"/>
              </w:rPr>
            </w:pPr>
            <w:r>
              <w:rPr>
                <w:rFonts w:ascii="Arial" w:cs="Arial" w:eastAsia="Arial" w:hAnsi="Arial"/>
                <w:sz w:val="18"/>
                <w:szCs w:val="18"/>
                <w:color w:val="auto"/>
              </w:rPr>
              <w:t>OFAC; Anti-Money Laundering; FCPA</w:t>
            </w:r>
          </w:p>
        </w:tc>
        <w:tc>
          <w:tcPr>
            <w:tcW w:w="20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5.22.</w:t>
            </w:r>
          </w:p>
        </w:tc>
        <w:tc>
          <w:tcPr>
            <w:tcW w:w="8460" w:type="dxa"/>
            <w:vAlign w:val="bottom"/>
          </w:tcPr>
          <w:p>
            <w:pPr>
              <w:ind w:left="100"/>
              <w:spacing w:after="0"/>
              <w:rPr>
                <w:sz w:val="20"/>
                <w:szCs w:val="20"/>
                <w:color w:val="auto"/>
              </w:rPr>
            </w:pPr>
            <w:r>
              <w:rPr>
                <w:rFonts w:ascii="Arial" w:cs="Arial" w:eastAsia="Arial" w:hAnsi="Arial"/>
                <w:sz w:val="18"/>
                <w:szCs w:val="18"/>
                <w:color w:val="auto"/>
              </w:rPr>
              <w:t>Certain Treasury Regulation Matters</w:t>
            </w:r>
          </w:p>
        </w:tc>
        <w:tc>
          <w:tcPr>
            <w:tcW w:w="20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5.23.</w:t>
            </w:r>
          </w:p>
        </w:tc>
        <w:tc>
          <w:tcPr>
            <w:tcW w:w="8460" w:type="dxa"/>
            <w:vAlign w:val="bottom"/>
          </w:tcPr>
          <w:p>
            <w:pPr>
              <w:ind w:left="100"/>
              <w:spacing w:after="0"/>
              <w:rPr>
                <w:sz w:val="20"/>
                <w:szCs w:val="20"/>
                <w:color w:val="auto"/>
              </w:rPr>
            </w:pPr>
            <w:r>
              <w:rPr>
                <w:rFonts w:ascii="Arial" w:cs="Arial" w:eastAsia="Arial" w:hAnsi="Arial"/>
                <w:sz w:val="18"/>
                <w:szCs w:val="18"/>
                <w:color w:val="auto"/>
              </w:rPr>
              <w:t>Deposit Accounts; Securities Accounts</w:t>
            </w:r>
          </w:p>
        </w:tc>
        <w:tc>
          <w:tcPr>
            <w:tcW w:w="20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5.24.</w:t>
            </w:r>
          </w:p>
        </w:tc>
        <w:tc>
          <w:tcPr>
            <w:tcW w:w="8460" w:type="dxa"/>
            <w:vAlign w:val="bottom"/>
          </w:tcPr>
          <w:p>
            <w:pPr>
              <w:ind w:left="100"/>
              <w:spacing w:after="0"/>
              <w:rPr>
                <w:sz w:val="20"/>
                <w:szCs w:val="20"/>
                <w:color w:val="auto"/>
              </w:rPr>
            </w:pPr>
            <w:r>
              <w:rPr>
                <w:rFonts w:ascii="Arial" w:cs="Arial" w:eastAsia="Arial" w:hAnsi="Arial"/>
                <w:sz w:val="18"/>
                <w:szCs w:val="18"/>
                <w:color w:val="auto"/>
              </w:rPr>
              <w:t>Accurate and Complete Statements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5.25.</w:t>
            </w:r>
          </w:p>
        </w:tc>
        <w:tc>
          <w:tcPr>
            <w:tcW w:w="846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0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5.26.</w:t>
            </w:r>
          </w:p>
        </w:tc>
        <w:tc>
          <w:tcPr>
            <w:tcW w:w="8460" w:type="dxa"/>
            <w:vAlign w:val="bottom"/>
          </w:tcPr>
          <w:p>
            <w:pPr>
              <w:ind w:left="100"/>
              <w:spacing w:after="0"/>
              <w:rPr>
                <w:sz w:val="20"/>
                <w:szCs w:val="20"/>
                <w:color w:val="auto"/>
              </w:rPr>
            </w:pPr>
            <w:r>
              <w:rPr>
                <w:rFonts w:ascii="Arial" w:cs="Arial" w:eastAsia="Arial" w:hAnsi="Arial"/>
                <w:sz w:val="18"/>
                <w:szCs w:val="18"/>
                <w:color w:val="auto"/>
              </w:rPr>
              <w:t>Investment Company</w:t>
            </w:r>
          </w:p>
        </w:tc>
        <w:tc>
          <w:tcPr>
            <w:tcW w:w="20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5.27.</w:t>
            </w:r>
          </w:p>
        </w:tc>
        <w:tc>
          <w:tcPr>
            <w:tcW w:w="8460" w:type="dxa"/>
            <w:vAlign w:val="bottom"/>
          </w:tcPr>
          <w:p>
            <w:pPr>
              <w:ind w:left="100"/>
              <w:spacing w:after="0"/>
              <w:rPr>
                <w:sz w:val="20"/>
                <w:szCs w:val="20"/>
                <w:color w:val="auto"/>
              </w:rPr>
            </w:pPr>
            <w:r>
              <w:rPr>
                <w:rFonts w:ascii="Arial" w:cs="Arial" w:eastAsia="Arial" w:hAnsi="Arial"/>
                <w:sz w:val="18"/>
                <w:szCs w:val="18"/>
                <w:color w:val="auto"/>
              </w:rPr>
              <w:t>Defaults</w:t>
            </w:r>
          </w:p>
        </w:tc>
        <w:tc>
          <w:tcPr>
            <w:tcW w:w="20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440" w:type="dxa"/>
            <w:vAlign w:val="bottom"/>
          </w:tcPr>
          <w:p>
            <w:pPr>
              <w:jc w:val="right"/>
              <w:spacing w:after="0"/>
              <w:rPr>
                <w:sz w:val="20"/>
                <w:szCs w:val="20"/>
                <w:color w:val="auto"/>
              </w:rPr>
            </w:pPr>
            <w:r>
              <w:rPr>
                <w:rFonts w:ascii="Arial" w:cs="Arial" w:eastAsia="Arial" w:hAnsi="Arial"/>
                <w:sz w:val="18"/>
                <w:szCs w:val="18"/>
                <w:color w:val="auto"/>
                <w:w w:val="84"/>
              </w:rPr>
              <w:t>5.28.</w:t>
            </w:r>
          </w:p>
        </w:tc>
        <w:tc>
          <w:tcPr>
            <w:tcW w:w="8460" w:type="dxa"/>
            <w:vAlign w:val="bottom"/>
          </w:tcPr>
          <w:p>
            <w:pPr>
              <w:ind w:left="100"/>
              <w:spacing w:after="0"/>
              <w:rPr>
                <w:sz w:val="20"/>
                <w:szCs w:val="20"/>
                <w:color w:val="auto"/>
              </w:rPr>
            </w:pPr>
            <w:r>
              <w:rPr>
                <w:rFonts w:ascii="Arial" w:cs="Arial" w:eastAsia="Arial" w:hAnsi="Arial"/>
                <w:sz w:val="18"/>
                <w:szCs w:val="18"/>
                <w:color w:val="auto"/>
              </w:rPr>
              <w:t>Senior Debt Status</w:t>
            </w:r>
          </w:p>
        </w:tc>
        <w:tc>
          <w:tcPr>
            <w:tcW w:w="20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10"/>
        </w:trPr>
        <w:tc>
          <w:tcPr>
            <w:tcW w:w="440" w:type="dxa"/>
            <w:vAlign w:val="bottom"/>
          </w:tcPr>
          <w:p>
            <w:pPr>
              <w:spacing w:after="0"/>
              <w:rPr>
                <w:sz w:val="24"/>
                <w:szCs w:val="24"/>
                <w:color w:val="auto"/>
              </w:rPr>
            </w:pPr>
          </w:p>
        </w:tc>
        <w:tc>
          <w:tcPr>
            <w:tcW w:w="8460" w:type="dxa"/>
            <w:vAlign w:val="bottom"/>
          </w:tcPr>
          <w:p>
            <w:pPr>
              <w:jc w:val="center"/>
              <w:ind w:left="1550"/>
              <w:spacing w:after="0"/>
              <w:rPr>
                <w:sz w:val="20"/>
                <w:szCs w:val="20"/>
                <w:color w:val="auto"/>
              </w:rPr>
            </w:pPr>
            <w:r>
              <w:rPr>
                <w:rFonts w:ascii="Arial" w:cs="Arial" w:eastAsia="Arial" w:hAnsi="Arial"/>
                <w:sz w:val="18"/>
                <w:szCs w:val="18"/>
                <w:color w:val="auto"/>
                <w:w w:val="99"/>
              </w:rPr>
              <w:t>ARTICLE VI</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460" w:type="dxa"/>
            <w:vAlign w:val="bottom"/>
          </w:tcPr>
          <w:p>
            <w:pPr>
              <w:jc w:val="center"/>
              <w:ind w:left="1530"/>
              <w:spacing w:after="0"/>
              <w:rPr>
                <w:sz w:val="20"/>
                <w:szCs w:val="20"/>
                <w:color w:val="auto"/>
              </w:rPr>
            </w:pPr>
            <w:r>
              <w:rPr>
                <w:rFonts w:ascii="Arial" w:cs="Arial" w:eastAsia="Arial" w:hAnsi="Arial"/>
                <w:sz w:val="18"/>
                <w:szCs w:val="18"/>
                <w:color w:val="auto"/>
                <w:w w:val="98"/>
              </w:rPr>
              <w:t>AFFIRMATIVE COVENANTS</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w w:val="84"/>
              </w:rPr>
              <w:t>6.01.</w:t>
            </w:r>
          </w:p>
        </w:tc>
        <w:tc>
          <w:tcPr>
            <w:tcW w:w="846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6.02.</w:t>
            </w:r>
          </w:p>
        </w:tc>
        <w:tc>
          <w:tcPr>
            <w:tcW w:w="8460" w:type="dxa"/>
            <w:vAlign w:val="bottom"/>
          </w:tcPr>
          <w:p>
            <w:pPr>
              <w:ind w:left="100"/>
              <w:spacing w:after="0"/>
              <w:rPr>
                <w:sz w:val="20"/>
                <w:szCs w:val="20"/>
                <w:color w:val="auto"/>
              </w:rPr>
            </w:pPr>
            <w:r>
              <w:rPr>
                <w:rFonts w:ascii="Arial" w:cs="Arial" w:eastAsia="Arial" w:hAnsi="Arial"/>
                <w:sz w:val="18"/>
                <w:szCs w:val="18"/>
                <w:color w:val="auto"/>
              </w:rPr>
              <w:t>Certificates; Other Information</w:t>
            </w:r>
          </w:p>
        </w:tc>
        <w:tc>
          <w:tcPr>
            <w:tcW w:w="20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6.03.</w:t>
            </w:r>
          </w:p>
        </w:tc>
        <w:tc>
          <w:tcPr>
            <w:tcW w:w="8460" w:type="dxa"/>
            <w:vAlign w:val="bottom"/>
          </w:tcPr>
          <w:p>
            <w:pPr>
              <w:ind w:left="100"/>
              <w:spacing w:after="0"/>
              <w:rPr>
                <w:sz w:val="20"/>
                <w:szCs w:val="20"/>
                <w:color w:val="auto"/>
              </w:rPr>
            </w:pPr>
            <w:r>
              <w:rPr>
                <w:rFonts w:ascii="Arial" w:cs="Arial" w:eastAsia="Arial" w:hAnsi="Arial"/>
                <w:sz w:val="18"/>
                <w:szCs w:val="18"/>
                <w:color w:val="auto"/>
              </w:rPr>
              <w:t>Notices</w:t>
            </w:r>
          </w:p>
        </w:tc>
        <w:tc>
          <w:tcPr>
            <w:tcW w:w="20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6.04.</w:t>
            </w:r>
          </w:p>
        </w:tc>
        <w:tc>
          <w:tcPr>
            <w:tcW w:w="8460" w:type="dxa"/>
            <w:vAlign w:val="bottom"/>
          </w:tcPr>
          <w:p>
            <w:pPr>
              <w:ind w:left="100"/>
              <w:spacing w:after="0"/>
              <w:rPr>
                <w:sz w:val="20"/>
                <w:szCs w:val="20"/>
                <w:color w:val="auto"/>
              </w:rPr>
            </w:pPr>
            <w:r>
              <w:rPr>
                <w:rFonts w:ascii="Arial" w:cs="Arial" w:eastAsia="Arial" w:hAnsi="Arial"/>
                <w:sz w:val="18"/>
                <w:szCs w:val="18"/>
                <w:color w:val="auto"/>
              </w:rPr>
              <w:t>Payment of Taxes and Other Obligations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6.05.</w:t>
            </w:r>
          </w:p>
        </w:tc>
        <w:tc>
          <w:tcPr>
            <w:tcW w:w="8460" w:type="dxa"/>
            <w:vAlign w:val="bottom"/>
          </w:tcPr>
          <w:p>
            <w:pPr>
              <w:ind w:left="100"/>
              <w:spacing w:after="0"/>
              <w:rPr>
                <w:sz w:val="20"/>
                <w:szCs w:val="20"/>
                <w:color w:val="auto"/>
              </w:rPr>
            </w:pPr>
            <w:r>
              <w:rPr>
                <w:rFonts w:ascii="Arial" w:cs="Arial" w:eastAsia="Arial" w:hAnsi="Arial"/>
                <w:sz w:val="18"/>
                <w:szCs w:val="18"/>
                <w:color w:val="auto"/>
              </w:rPr>
              <w:t>Preservation of Existence, Etc</w:t>
            </w:r>
          </w:p>
        </w:tc>
        <w:tc>
          <w:tcPr>
            <w:tcW w:w="20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6.06.</w:t>
            </w:r>
          </w:p>
        </w:tc>
        <w:tc>
          <w:tcPr>
            <w:tcW w:w="8460" w:type="dxa"/>
            <w:vAlign w:val="bottom"/>
          </w:tcPr>
          <w:p>
            <w:pPr>
              <w:ind w:left="100"/>
              <w:spacing w:after="0"/>
              <w:rPr>
                <w:sz w:val="20"/>
                <w:szCs w:val="20"/>
                <w:color w:val="auto"/>
              </w:rPr>
            </w:pPr>
            <w:r>
              <w:rPr>
                <w:rFonts w:ascii="Arial" w:cs="Arial" w:eastAsia="Arial" w:hAnsi="Arial"/>
                <w:sz w:val="18"/>
                <w:szCs w:val="18"/>
                <w:color w:val="auto"/>
              </w:rPr>
              <w:t>Maintenance of Properties</w:t>
            </w:r>
          </w:p>
        </w:tc>
        <w:tc>
          <w:tcPr>
            <w:tcW w:w="20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6.07.</w:t>
            </w:r>
          </w:p>
        </w:tc>
        <w:tc>
          <w:tcPr>
            <w:tcW w:w="8460" w:type="dxa"/>
            <w:vAlign w:val="bottom"/>
          </w:tcPr>
          <w:p>
            <w:pPr>
              <w:ind w:left="100"/>
              <w:spacing w:after="0"/>
              <w:rPr>
                <w:sz w:val="20"/>
                <w:szCs w:val="20"/>
                <w:color w:val="auto"/>
              </w:rPr>
            </w:pPr>
            <w:r>
              <w:rPr>
                <w:rFonts w:ascii="Arial" w:cs="Arial" w:eastAsia="Arial" w:hAnsi="Arial"/>
                <w:sz w:val="18"/>
                <w:szCs w:val="18"/>
                <w:color w:val="auto"/>
              </w:rPr>
              <w:t>Maintenance of Insurance</w:t>
            </w:r>
          </w:p>
        </w:tc>
        <w:tc>
          <w:tcPr>
            <w:tcW w:w="20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6.08.</w:t>
            </w:r>
          </w:p>
        </w:tc>
        <w:tc>
          <w:tcPr>
            <w:tcW w:w="8460" w:type="dxa"/>
            <w:vAlign w:val="bottom"/>
          </w:tcPr>
          <w:p>
            <w:pPr>
              <w:ind w:left="100"/>
              <w:spacing w:after="0"/>
              <w:rPr>
                <w:sz w:val="20"/>
                <w:szCs w:val="20"/>
                <w:color w:val="auto"/>
              </w:rPr>
            </w:pPr>
            <w:r>
              <w:rPr>
                <w:rFonts w:ascii="Arial" w:cs="Arial" w:eastAsia="Arial" w:hAnsi="Arial"/>
                <w:sz w:val="18"/>
                <w:szCs w:val="18"/>
                <w:color w:val="auto"/>
              </w:rPr>
              <w:t>Compliance with Laws</w:t>
            </w:r>
          </w:p>
        </w:tc>
        <w:tc>
          <w:tcPr>
            <w:tcW w:w="20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6.09.</w:t>
            </w:r>
          </w:p>
        </w:tc>
        <w:tc>
          <w:tcPr>
            <w:tcW w:w="8460" w:type="dxa"/>
            <w:vAlign w:val="bottom"/>
          </w:tcPr>
          <w:p>
            <w:pPr>
              <w:ind w:left="100"/>
              <w:spacing w:after="0"/>
              <w:rPr>
                <w:sz w:val="20"/>
                <w:szCs w:val="20"/>
                <w:color w:val="auto"/>
              </w:rPr>
            </w:pPr>
            <w:r>
              <w:rPr>
                <w:rFonts w:ascii="Arial" w:cs="Arial" w:eastAsia="Arial" w:hAnsi="Arial"/>
                <w:sz w:val="18"/>
                <w:szCs w:val="18"/>
                <w:color w:val="auto"/>
              </w:rPr>
              <w:t>Books and Records</w:t>
            </w:r>
          </w:p>
        </w:tc>
        <w:tc>
          <w:tcPr>
            <w:tcW w:w="20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6.10.</w:t>
            </w:r>
          </w:p>
        </w:tc>
        <w:tc>
          <w:tcPr>
            <w:tcW w:w="8460" w:type="dxa"/>
            <w:vAlign w:val="bottom"/>
          </w:tcPr>
          <w:p>
            <w:pPr>
              <w:ind w:left="100"/>
              <w:spacing w:after="0"/>
              <w:rPr>
                <w:sz w:val="20"/>
                <w:szCs w:val="20"/>
                <w:color w:val="auto"/>
              </w:rPr>
            </w:pPr>
            <w:r>
              <w:rPr>
                <w:rFonts w:ascii="Arial" w:cs="Arial" w:eastAsia="Arial" w:hAnsi="Arial"/>
                <w:sz w:val="18"/>
                <w:szCs w:val="18"/>
                <w:color w:val="auto"/>
              </w:rPr>
              <w:t>Inspection Rights</w:t>
            </w:r>
          </w:p>
        </w:tc>
        <w:tc>
          <w:tcPr>
            <w:tcW w:w="20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6.11.</w:t>
            </w:r>
          </w:p>
        </w:tc>
        <w:tc>
          <w:tcPr>
            <w:tcW w:w="846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20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6.12.</w:t>
            </w:r>
          </w:p>
        </w:tc>
        <w:tc>
          <w:tcPr>
            <w:tcW w:w="8460" w:type="dxa"/>
            <w:vAlign w:val="bottom"/>
          </w:tcPr>
          <w:p>
            <w:pPr>
              <w:ind w:left="100"/>
              <w:spacing w:after="0"/>
              <w:rPr>
                <w:sz w:val="20"/>
                <w:szCs w:val="20"/>
                <w:color w:val="auto"/>
              </w:rPr>
            </w:pPr>
            <w:r>
              <w:rPr>
                <w:rFonts w:ascii="Arial" w:cs="Arial" w:eastAsia="Arial" w:hAnsi="Arial"/>
                <w:sz w:val="18"/>
                <w:szCs w:val="18"/>
                <w:color w:val="auto"/>
              </w:rPr>
              <w:t>Covenant to Guarantee Obligations and Give Security</w:t>
            </w:r>
          </w:p>
        </w:tc>
        <w:tc>
          <w:tcPr>
            <w:tcW w:w="20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6.13.</w:t>
            </w:r>
          </w:p>
        </w:tc>
        <w:tc>
          <w:tcPr>
            <w:tcW w:w="8460" w:type="dxa"/>
            <w:vAlign w:val="bottom"/>
          </w:tcPr>
          <w:p>
            <w:pPr>
              <w:ind w:left="100"/>
              <w:spacing w:after="0"/>
              <w:rPr>
                <w:sz w:val="20"/>
                <w:szCs w:val="20"/>
                <w:color w:val="auto"/>
              </w:rPr>
            </w:pPr>
            <w:r>
              <w:rPr>
                <w:rFonts w:ascii="Arial" w:cs="Arial" w:eastAsia="Arial" w:hAnsi="Arial"/>
                <w:sz w:val="18"/>
                <w:szCs w:val="18"/>
                <w:color w:val="auto"/>
              </w:rPr>
              <w:t>Compliance with Environmental Laws</w:t>
            </w:r>
          </w:p>
        </w:tc>
        <w:tc>
          <w:tcPr>
            <w:tcW w:w="20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6.14.</w:t>
            </w:r>
          </w:p>
        </w:tc>
        <w:tc>
          <w:tcPr>
            <w:tcW w:w="8460" w:type="dxa"/>
            <w:vAlign w:val="bottom"/>
          </w:tcPr>
          <w:p>
            <w:pPr>
              <w:ind w:left="100"/>
              <w:spacing w:after="0"/>
              <w:rPr>
                <w:sz w:val="20"/>
                <w:szCs w:val="20"/>
                <w:color w:val="auto"/>
              </w:rPr>
            </w:pPr>
            <w:r>
              <w:rPr>
                <w:rFonts w:ascii="Arial" w:cs="Arial" w:eastAsia="Arial" w:hAnsi="Arial"/>
                <w:sz w:val="18"/>
                <w:szCs w:val="18"/>
                <w:color w:val="auto"/>
              </w:rPr>
              <w:t>Regarding Collateral</w:t>
            </w:r>
          </w:p>
        </w:tc>
        <w:tc>
          <w:tcPr>
            <w:tcW w:w="20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6.15.</w:t>
            </w:r>
          </w:p>
        </w:tc>
        <w:tc>
          <w:tcPr>
            <w:tcW w:w="8460" w:type="dxa"/>
            <w:vAlign w:val="bottom"/>
          </w:tcPr>
          <w:p>
            <w:pPr>
              <w:ind w:left="100"/>
              <w:spacing w:after="0"/>
              <w:rPr>
                <w:sz w:val="20"/>
                <w:szCs w:val="20"/>
                <w:color w:val="auto"/>
              </w:rPr>
            </w:pPr>
            <w:r>
              <w:rPr>
                <w:rFonts w:ascii="Arial" w:cs="Arial" w:eastAsia="Arial" w:hAnsi="Arial"/>
                <w:sz w:val="18"/>
                <w:szCs w:val="18"/>
                <w:color w:val="auto"/>
              </w:rPr>
              <w:t>Maintenance of Debt Ratings</w:t>
            </w:r>
          </w:p>
        </w:tc>
        <w:tc>
          <w:tcPr>
            <w:tcW w:w="20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6.16.</w:t>
            </w:r>
          </w:p>
        </w:tc>
        <w:tc>
          <w:tcPr>
            <w:tcW w:w="846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20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4"/>
              </w:rPr>
              <w:t>6.17.</w:t>
            </w:r>
          </w:p>
        </w:tc>
        <w:tc>
          <w:tcPr>
            <w:tcW w:w="8460" w:type="dxa"/>
            <w:vAlign w:val="bottom"/>
          </w:tcPr>
          <w:p>
            <w:pPr>
              <w:ind w:left="100"/>
              <w:spacing w:after="0"/>
              <w:rPr>
                <w:sz w:val="20"/>
                <w:szCs w:val="20"/>
                <w:color w:val="auto"/>
              </w:rPr>
            </w:pPr>
            <w:r>
              <w:rPr>
                <w:rFonts w:ascii="Arial" w:cs="Arial" w:eastAsia="Arial" w:hAnsi="Arial"/>
                <w:sz w:val="18"/>
                <w:szCs w:val="18"/>
                <w:color w:val="auto"/>
              </w:rPr>
              <w:t>Post-Closing Matters</w:t>
            </w:r>
          </w:p>
        </w:tc>
        <w:tc>
          <w:tcPr>
            <w:tcW w:w="20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440" w:type="dxa"/>
            <w:vAlign w:val="bottom"/>
          </w:tcPr>
          <w:p>
            <w:pPr>
              <w:jc w:val="right"/>
              <w:spacing w:after="0"/>
              <w:rPr>
                <w:sz w:val="20"/>
                <w:szCs w:val="20"/>
                <w:color w:val="auto"/>
              </w:rPr>
            </w:pPr>
            <w:r>
              <w:rPr>
                <w:rFonts w:ascii="Arial" w:cs="Arial" w:eastAsia="Arial" w:hAnsi="Arial"/>
                <w:sz w:val="18"/>
                <w:szCs w:val="18"/>
                <w:color w:val="auto"/>
                <w:w w:val="84"/>
              </w:rPr>
              <w:t>6.18.</w:t>
            </w:r>
          </w:p>
        </w:tc>
        <w:tc>
          <w:tcPr>
            <w:tcW w:w="8460" w:type="dxa"/>
            <w:vAlign w:val="bottom"/>
          </w:tcPr>
          <w:p>
            <w:pPr>
              <w:ind w:left="100"/>
              <w:spacing w:after="0"/>
              <w:rPr>
                <w:sz w:val="20"/>
                <w:szCs w:val="20"/>
                <w:color w:val="auto"/>
              </w:rPr>
            </w:pPr>
            <w:r>
              <w:rPr>
                <w:rFonts w:ascii="Arial" w:cs="Arial" w:eastAsia="Arial" w:hAnsi="Arial"/>
                <w:sz w:val="18"/>
                <w:szCs w:val="18"/>
                <w:color w:val="auto"/>
              </w:rPr>
              <w:t>Lender Meeting</w:t>
            </w:r>
          </w:p>
        </w:tc>
        <w:tc>
          <w:tcPr>
            <w:tcW w:w="20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65" w:right="47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8320" w:type="dxa"/>
            <w:vAlign w:val="bottom"/>
            <w:vMerge w:val="restart"/>
          </w:tcPr>
          <w:p>
            <w:pPr>
              <w:jc w:val="center"/>
              <w:ind w:left="1470"/>
              <w:spacing w:after="0"/>
              <w:rPr>
                <w:sz w:val="20"/>
                <w:szCs w:val="20"/>
                <w:color w:val="auto"/>
              </w:rPr>
            </w:pPr>
            <w:r>
              <w:rPr>
                <w:rFonts w:ascii="Arial" w:cs="Arial" w:eastAsia="Arial" w:hAnsi="Arial"/>
                <w:sz w:val="18"/>
                <w:szCs w:val="18"/>
                <w:color w:val="auto"/>
              </w:rPr>
              <w:t>ARTICLE VII</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540" w:type="dxa"/>
            <w:vAlign w:val="bottom"/>
          </w:tcPr>
          <w:p>
            <w:pPr>
              <w:spacing w:after="0"/>
              <w:rPr>
                <w:sz w:val="16"/>
                <w:szCs w:val="16"/>
                <w:color w:val="auto"/>
              </w:rPr>
            </w:pPr>
          </w:p>
        </w:tc>
        <w:tc>
          <w:tcPr>
            <w:tcW w:w="8320" w:type="dxa"/>
            <w:vAlign w:val="bottom"/>
            <w:vMerge w:val="continue"/>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8320" w:type="dxa"/>
            <w:vAlign w:val="bottom"/>
          </w:tcPr>
          <w:p>
            <w:pPr>
              <w:jc w:val="center"/>
              <w:ind w:left="1490"/>
              <w:spacing w:after="0"/>
              <w:rPr>
                <w:sz w:val="20"/>
                <w:szCs w:val="20"/>
                <w:color w:val="auto"/>
              </w:rPr>
            </w:pPr>
            <w:r>
              <w:rPr>
                <w:rFonts w:ascii="Arial" w:cs="Arial" w:eastAsia="Arial" w:hAnsi="Arial"/>
                <w:sz w:val="18"/>
                <w:szCs w:val="18"/>
                <w:color w:val="auto"/>
                <w:w w:val="97"/>
              </w:rPr>
              <w:t>NEGATIVE COVENANTS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7.01.</w:t>
            </w:r>
          </w:p>
        </w:tc>
        <w:tc>
          <w:tcPr>
            <w:tcW w:w="8320" w:type="dxa"/>
            <w:vAlign w:val="bottom"/>
          </w:tcPr>
          <w:p>
            <w:pPr>
              <w:ind w:left="100"/>
              <w:spacing w:after="0"/>
              <w:rPr>
                <w:sz w:val="20"/>
                <w:szCs w:val="20"/>
                <w:color w:val="auto"/>
              </w:rPr>
            </w:pPr>
            <w:r>
              <w:rPr>
                <w:rFonts w:ascii="Arial" w:cs="Arial" w:eastAsia="Arial" w:hAnsi="Arial"/>
                <w:sz w:val="18"/>
                <w:szCs w:val="18"/>
                <w:color w:val="auto"/>
              </w:rPr>
              <w:t>Liens</w:t>
            </w:r>
          </w:p>
        </w:tc>
        <w:tc>
          <w:tcPr>
            <w:tcW w:w="21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7.02.</w:t>
            </w:r>
          </w:p>
        </w:tc>
        <w:tc>
          <w:tcPr>
            <w:tcW w:w="8320" w:type="dxa"/>
            <w:vAlign w:val="bottom"/>
          </w:tcPr>
          <w:p>
            <w:pPr>
              <w:ind w:left="100"/>
              <w:spacing w:after="0"/>
              <w:rPr>
                <w:sz w:val="20"/>
                <w:szCs w:val="20"/>
                <w:color w:val="auto"/>
              </w:rPr>
            </w:pPr>
            <w:r>
              <w:rPr>
                <w:rFonts w:ascii="Arial" w:cs="Arial" w:eastAsia="Arial" w:hAnsi="Arial"/>
                <w:sz w:val="18"/>
                <w:szCs w:val="18"/>
                <w:color w:val="auto"/>
              </w:rPr>
              <w:t>Indebtedness</w:t>
            </w:r>
          </w:p>
        </w:tc>
        <w:tc>
          <w:tcPr>
            <w:tcW w:w="21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7.03.</w:t>
            </w:r>
          </w:p>
        </w:tc>
        <w:tc>
          <w:tcPr>
            <w:tcW w:w="8320" w:type="dxa"/>
            <w:vAlign w:val="bottom"/>
          </w:tcPr>
          <w:p>
            <w:pPr>
              <w:ind w:left="100"/>
              <w:spacing w:after="0"/>
              <w:rPr>
                <w:sz w:val="20"/>
                <w:szCs w:val="20"/>
                <w:color w:val="auto"/>
              </w:rPr>
            </w:pPr>
            <w:r>
              <w:rPr>
                <w:rFonts w:ascii="Arial" w:cs="Arial" w:eastAsia="Arial" w:hAnsi="Arial"/>
                <w:sz w:val="18"/>
                <w:szCs w:val="18"/>
                <w:color w:val="auto"/>
              </w:rPr>
              <w:t>Investments and Acquisitions</w:t>
            </w:r>
          </w:p>
        </w:tc>
        <w:tc>
          <w:tcPr>
            <w:tcW w:w="21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7.04.</w:t>
            </w:r>
          </w:p>
        </w:tc>
        <w:tc>
          <w:tcPr>
            <w:tcW w:w="8320" w:type="dxa"/>
            <w:vAlign w:val="bottom"/>
          </w:tcPr>
          <w:p>
            <w:pPr>
              <w:ind w:left="100"/>
              <w:spacing w:after="0"/>
              <w:rPr>
                <w:sz w:val="20"/>
                <w:szCs w:val="20"/>
                <w:color w:val="auto"/>
              </w:rPr>
            </w:pPr>
            <w:r>
              <w:rPr>
                <w:rFonts w:ascii="Arial" w:cs="Arial" w:eastAsia="Arial" w:hAnsi="Arial"/>
                <w:sz w:val="18"/>
                <w:szCs w:val="18"/>
                <w:color w:val="auto"/>
              </w:rPr>
              <w:t>Fundamental Changes</w:t>
            </w:r>
          </w:p>
        </w:tc>
        <w:tc>
          <w:tcPr>
            <w:tcW w:w="21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7.05.</w:t>
            </w:r>
          </w:p>
        </w:tc>
        <w:tc>
          <w:tcPr>
            <w:tcW w:w="8320" w:type="dxa"/>
            <w:vAlign w:val="bottom"/>
          </w:tcPr>
          <w:p>
            <w:pPr>
              <w:ind w:left="100"/>
              <w:spacing w:after="0"/>
              <w:rPr>
                <w:sz w:val="20"/>
                <w:szCs w:val="20"/>
                <w:color w:val="auto"/>
              </w:rPr>
            </w:pPr>
            <w:r>
              <w:rPr>
                <w:rFonts w:ascii="Arial" w:cs="Arial" w:eastAsia="Arial" w:hAnsi="Arial"/>
                <w:sz w:val="18"/>
                <w:szCs w:val="18"/>
                <w:color w:val="auto"/>
              </w:rPr>
              <w:t>Dispositions</w:t>
            </w:r>
          </w:p>
        </w:tc>
        <w:tc>
          <w:tcPr>
            <w:tcW w:w="212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7.06.</w:t>
            </w:r>
          </w:p>
        </w:tc>
        <w:tc>
          <w:tcPr>
            <w:tcW w:w="8320" w:type="dxa"/>
            <w:vAlign w:val="bottom"/>
          </w:tcPr>
          <w:p>
            <w:pPr>
              <w:ind w:left="100"/>
              <w:spacing w:after="0"/>
              <w:rPr>
                <w:sz w:val="20"/>
                <w:szCs w:val="20"/>
                <w:color w:val="auto"/>
              </w:rPr>
            </w:pPr>
            <w:r>
              <w:rPr>
                <w:rFonts w:ascii="Arial" w:cs="Arial" w:eastAsia="Arial" w:hAnsi="Arial"/>
                <w:sz w:val="18"/>
                <w:szCs w:val="18"/>
                <w:color w:val="auto"/>
              </w:rPr>
              <w:t>Restricted Payments</w:t>
            </w:r>
          </w:p>
        </w:tc>
        <w:tc>
          <w:tcPr>
            <w:tcW w:w="212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7.07.</w:t>
            </w:r>
          </w:p>
        </w:tc>
        <w:tc>
          <w:tcPr>
            <w:tcW w:w="8320" w:type="dxa"/>
            <w:vAlign w:val="bottom"/>
          </w:tcPr>
          <w:p>
            <w:pPr>
              <w:ind w:left="100"/>
              <w:spacing w:after="0"/>
              <w:rPr>
                <w:sz w:val="20"/>
                <w:szCs w:val="20"/>
                <w:color w:val="auto"/>
              </w:rPr>
            </w:pPr>
            <w:r>
              <w:rPr>
                <w:rFonts w:ascii="Arial" w:cs="Arial" w:eastAsia="Arial" w:hAnsi="Arial"/>
                <w:sz w:val="18"/>
                <w:szCs w:val="18"/>
                <w:color w:val="auto"/>
              </w:rPr>
              <w:t>Change in Nature of Business</w:t>
            </w:r>
          </w:p>
        </w:tc>
        <w:tc>
          <w:tcPr>
            <w:tcW w:w="21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7.08.</w:t>
            </w:r>
          </w:p>
        </w:tc>
        <w:tc>
          <w:tcPr>
            <w:tcW w:w="8320" w:type="dxa"/>
            <w:vAlign w:val="bottom"/>
          </w:tcPr>
          <w:p>
            <w:pPr>
              <w:ind w:left="100"/>
              <w:spacing w:after="0"/>
              <w:rPr>
                <w:sz w:val="20"/>
                <w:szCs w:val="20"/>
                <w:color w:val="auto"/>
              </w:rPr>
            </w:pPr>
            <w:r>
              <w:rPr>
                <w:rFonts w:ascii="Arial" w:cs="Arial" w:eastAsia="Arial" w:hAnsi="Arial"/>
                <w:sz w:val="18"/>
                <w:szCs w:val="18"/>
                <w:color w:val="auto"/>
              </w:rPr>
              <w:t>Transactions with Affiliates</w:t>
            </w:r>
          </w:p>
        </w:tc>
        <w:tc>
          <w:tcPr>
            <w:tcW w:w="21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7.09.</w:t>
            </w:r>
          </w:p>
        </w:tc>
        <w:tc>
          <w:tcPr>
            <w:tcW w:w="8320" w:type="dxa"/>
            <w:vAlign w:val="bottom"/>
          </w:tcPr>
          <w:p>
            <w:pPr>
              <w:ind w:left="100"/>
              <w:spacing w:after="0"/>
              <w:rPr>
                <w:sz w:val="20"/>
                <w:szCs w:val="20"/>
                <w:color w:val="auto"/>
              </w:rPr>
            </w:pPr>
            <w:r>
              <w:rPr>
                <w:rFonts w:ascii="Arial" w:cs="Arial" w:eastAsia="Arial" w:hAnsi="Arial"/>
                <w:sz w:val="18"/>
                <w:szCs w:val="18"/>
                <w:color w:val="auto"/>
              </w:rPr>
              <w:t>Burdensome Agreements</w:t>
            </w:r>
          </w:p>
        </w:tc>
        <w:tc>
          <w:tcPr>
            <w:tcW w:w="21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7.10.</w:t>
            </w:r>
          </w:p>
        </w:tc>
        <w:tc>
          <w:tcPr>
            <w:tcW w:w="8320" w:type="dxa"/>
            <w:vAlign w:val="bottom"/>
          </w:tcPr>
          <w:p>
            <w:pPr>
              <w:ind w:left="100"/>
              <w:spacing w:after="0"/>
              <w:rPr>
                <w:sz w:val="20"/>
                <w:szCs w:val="20"/>
                <w:color w:val="auto"/>
              </w:rPr>
            </w:pPr>
            <w:r>
              <w:rPr>
                <w:rFonts w:ascii="Arial" w:cs="Arial" w:eastAsia="Arial" w:hAnsi="Arial"/>
                <w:sz w:val="18"/>
                <w:szCs w:val="18"/>
                <w:color w:val="auto"/>
              </w:rPr>
              <w:t>Use of Proceeds</w:t>
            </w:r>
          </w:p>
        </w:tc>
        <w:tc>
          <w:tcPr>
            <w:tcW w:w="21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7.11.</w:t>
            </w:r>
          </w:p>
        </w:tc>
        <w:tc>
          <w:tcPr>
            <w:tcW w:w="8320" w:type="dxa"/>
            <w:vAlign w:val="bottom"/>
          </w:tcPr>
          <w:p>
            <w:pPr>
              <w:ind w:left="100"/>
              <w:spacing w:after="0"/>
              <w:rPr>
                <w:sz w:val="20"/>
                <w:szCs w:val="20"/>
                <w:color w:val="auto"/>
              </w:rPr>
            </w:pPr>
            <w:r>
              <w:rPr>
                <w:rFonts w:ascii="Arial" w:cs="Arial" w:eastAsia="Arial" w:hAnsi="Arial"/>
                <w:sz w:val="18"/>
                <w:szCs w:val="18"/>
                <w:color w:val="auto"/>
              </w:rPr>
              <w:t>Amendments of Organization Documents</w:t>
            </w:r>
          </w:p>
        </w:tc>
        <w:tc>
          <w:tcPr>
            <w:tcW w:w="21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7.12.</w:t>
            </w:r>
          </w:p>
        </w:tc>
        <w:tc>
          <w:tcPr>
            <w:tcW w:w="8320" w:type="dxa"/>
            <w:vAlign w:val="bottom"/>
          </w:tcPr>
          <w:p>
            <w:pPr>
              <w:ind w:left="100"/>
              <w:spacing w:after="0"/>
              <w:rPr>
                <w:sz w:val="20"/>
                <w:szCs w:val="20"/>
                <w:color w:val="auto"/>
              </w:rPr>
            </w:pPr>
            <w:r>
              <w:rPr>
                <w:rFonts w:ascii="Arial" w:cs="Arial" w:eastAsia="Arial" w:hAnsi="Arial"/>
                <w:sz w:val="18"/>
                <w:szCs w:val="18"/>
                <w:color w:val="auto"/>
              </w:rPr>
              <w:t>Accounting Changes</w:t>
            </w:r>
          </w:p>
        </w:tc>
        <w:tc>
          <w:tcPr>
            <w:tcW w:w="21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7.13.</w:t>
            </w:r>
          </w:p>
        </w:tc>
        <w:tc>
          <w:tcPr>
            <w:tcW w:w="8320" w:type="dxa"/>
            <w:vAlign w:val="bottom"/>
          </w:tcPr>
          <w:p>
            <w:pPr>
              <w:ind w:left="100"/>
              <w:spacing w:after="0"/>
              <w:rPr>
                <w:sz w:val="20"/>
                <w:szCs w:val="20"/>
                <w:color w:val="auto"/>
              </w:rPr>
            </w:pPr>
            <w:r>
              <w:rPr>
                <w:rFonts w:ascii="Arial" w:cs="Arial" w:eastAsia="Arial" w:hAnsi="Arial"/>
                <w:sz w:val="18"/>
                <w:szCs w:val="18"/>
                <w:color w:val="auto"/>
              </w:rPr>
              <w:t>Sanctions; FCPA</w:t>
            </w:r>
          </w:p>
        </w:tc>
        <w:tc>
          <w:tcPr>
            <w:tcW w:w="21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7.14.</w:t>
            </w:r>
          </w:p>
        </w:tc>
        <w:tc>
          <w:tcPr>
            <w:tcW w:w="8320" w:type="dxa"/>
            <w:vAlign w:val="bottom"/>
          </w:tcPr>
          <w:p>
            <w:pPr>
              <w:ind w:left="100"/>
              <w:spacing w:after="0"/>
              <w:rPr>
                <w:sz w:val="20"/>
                <w:szCs w:val="20"/>
                <w:color w:val="auto"/>
              </w:rPr>
            </w:pPr>
            <w:r>
              <w:rPr>
                <w:rFonts w:ascii="Arial" w:cs="Arial" w:eastAsia="Arial" w:hAnsi="Arial"/>
                <w:sz w:val="18"/>
                <w:szCs w:val="18"/>
                <w:color w:val="auto"/>
              </w:rPr>
              <w:t>Financial Covenant</w:t>
            </w:r>
          </w:p>
        </w:tc>
        <w:tc>
          <w:tcPr>
            <w:tcW w:w="21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7.15.</w:t>
            </w:r>
          </w:p>
        </w:tc>
        <w:tc>
          <w:tcPr>
            <w:tcW w:w="8320" w:type="dxa"/>
            <w:vAlign w:val="bottom"/>
          </w:tcPr>
          <w:p>
            <w:pPr>
              <w:ind w:left="100"/>
              <w:spacing w:after="0"/>
              <w:rPr>
                <w:sz w:val="20"/>
                <w:szCs w:val="20"/>
                <w:color w:val="auto"/>
              </w:rPr>
            </w:pPr>
            <w:r>
              <w:rPr>
                <w:rFonts w:ascii="Arial" w:cs="Arial" w:eastAsia="Arial" w:hAnsi="Arial"/>
                <w:sz w:val="18"/>
                <w:szCs w:val="18"/>
                <w:color w:val="auto"/>
              </w:rPr>
              <w:t>Restrictions Pertaining to Certain Indebtedness</w:t>
            </w:r>
          </w:p>
        </w:tc>
        <w:tc>
          <w:tcPr>
            <w:tcW w:w="21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310"/>
        </w:trPr>
        <w:tc>
          <w:tcPr>
            <w:tcW w:w="540" w:type="dxa"/>
            <w:vAlign w:val="bottom"/>
          </w:tcPr>
          <w:p>
            <w:pPr>
              <w:spacing w:after="0"/>
              <w:rPr>
                <w:sz w:val="24"/>
                <w:szCs w:val="24"/>
                <w:color w:val="auto"/>
              </w:rPr>
            </w:pPr>
          </w:p>
        </w:tc>
        <w:tc>
          <w:tcPr>
            <w:tcW w:w="8320" w:type="dxa"/>
            <w:vAlign w:val="bottom"/>
          </w:tcPr>
          <w:p>
            <w:pPr>
              <w:jc w:val="center"/>
              <w:ind w:left="1490"/>
              <w:spacing w:after="0"/>
              <w:rPr>
                <w:sz w:val="20"/>
                <w:szCs w:val="20"/>
                <w:color w:val="auto"/>
              </w:rPr>
            </w:pPr>
            <w:r>
              <w:rPr>
                <w:rFonts w:ascii="Arial" w:cs="Arial" w:eastAsia="Arial" w:hAnsi="Arial"/>
                <w:sz w:val="18"/>
                <w:szCs w:val="18"/>
                <w:color w:val="auto"/>
              </w:rPr>
              <w:t>ARTICLE VIII</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8320" w:type="dxa"/>
            <w:vAlign w:val="bottom"/>
          </w:tcPr>
          <w:p>
            <w:pPr>
              <w:jc w:val="center"/>
              <w:ind w:left="1490"/>
              <w:spacing w:after="0"/>
              <w:rPr>
                <w:sz w:val="20"/>
                <w:szCs w:val="20"/>
                <w:color w:val="auto"/>
              </w:rPr>
            </w:pPr>
            <w:r>
              <w:rPr>
                <w:rFonts w:ascii="Arial" w:cs="Arial" w:eastAsia="Arial" w:hAnsi="Arial"/>
                <w:sz w:val="18"/>
                <w:szCs w:val="18"/>
                <w:color w:val="auto"/>
                <w:w w:val="96"/>
              </w:rPr>
              <w:t>EVENTS OF DEFAULT AND REMEDIES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8.01.</w:t>
            </w:r>
          </w:p>
        </w:tc>
        <w:tc>
          <w:tcPr>
            <w:tcW w:w="832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21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8.02.</w:t>
            </w:r>
          </w:p>
        </w:tc>
        <w:tc>
          <w:tcPr>
            <w:tcW w:w="8320" w:type="dxa"/>
            <w:vAlign w:val="bottom"/>
          </w:tcPr>
          <w:p>
            <w:pPr>
              <w:ind w:left="100"/>
              <w:spacing w:after="0"/>
              <w:rPr>
                <w:sz w:val="20"/>
                <w:szCs w:val="20"/>
                <w:color w:val="auto"/>
              </w:rPr>
            </w:pPr>
            <w:r>
              <w:rPr>
                <w:rFonts w:ascii="Arial" w:cs="Arial" w:eastAsia="Arial" w:hAnsi="Arial"/>
                <w:sz w:val="18"/>
                <w:szCs w:val="18"/>
                <w:color w:val="auto"/>
              </w:rPr>
              <w:t>Remedies upon Event of Default</w:t>
            </w:r>
          </w:p>
        </w:tc>
        <w:tc>
          <w:tcPr>
            <w:tcW w:w="21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8.03.</w:t>
            </w:r>
          </w:p>
        </w:tc>
        <w:tc>
          <w:tcPr>
            <w:tcW w:w="8320" w:type="dxa"/>
            <w:vAlign w:val="bottom"/>
          </w:tcPr>
          <w:p>
            <w:pPr>
              <w:ind w:left="100"/>
              <w:spacing w:after="0"/>
              <w:rPr>
                <w:sz w:val="20"/>
                <w:szCs w:val="20"/>
                <w:color w:val="auto"/>
              </w:rPr>
            </w:pPr>
            <w:r>
              <w:rPr>
                <w:rFonts w:ascii="Arial" w:cs="Arial" w:eastAsia="Arial" w:hAnsi="Arial"/>
                <w:sz w:val="18"/>
                <w:szCs w:val="18"/>
                <w:color w:val="auto"/>
              </w:rPr>
              <w:t>Application of Funds</w:t>
            </w:r>
          </w:p>
        </w:tc>
        <w:tc>
          <w:tcPr>
            <w:tcW w:w="21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10"/>
        </w:trPr>
        <w:tc>
          <w:tcPr>
            <w:tcW w:w="540" w:type="dxa"/>
            <w:vAlign w:val="bottom"/>
          </w:tcPr>
          <w:p>
            <w:pPr>
              <w:spacing w:after="0"/>
              <w:rPr>
                <w:sz w:val="24"/>
                <w:szCs w:val="24"/>
                <w:color w:val="auto"/>
              </w:rPr>
            </w:pPr>
          </w:p>
        </w:tc>
        <w:tc>
          <w:tcPr>
            <w:tcW w:w="8320" w:type="dxa"/>
            <w:vAlign w:val="bottom"/>
          </w:tcPr>
          <w:p>
            <w:pPr>
              <w:jc w:val="center"/>
              <w:ind w:left="1490"/>
              <w:spacing w:after="0"/>
              <w:rPr>
                <w:sz w:val="20"/>
                <w:szCs w:val="20"/>
                <w:color w:val="auto"/>
              </w:rPr>
            </w:pPr>
            <w:r>
              <w:rPr>
                <w:rFonts w:ascii="Arial" w:cs="Arial" w:eastAsia="Arial" w:hAnsi="Arial"/>
                <w:sz w:val="18"/>
                <w:szCs w:val="18"/>
                <w:color w:val="auto"/>
                <w:w w:val="99"/>
              </w:rPr>
              <w:t>ARTICLE IX</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8320" w:type="dxa"/>
            <w:vAlign w:val="bottom"/>
          </w:tcPr>
          <w:p>
            <w:pPr>
              <w:jc w:val="center"/>
              <w:ind w:left="1490"/>
              <w:spacing w:after="0"/>
              <w:rPr>
                <w:sz w:val="20"/>
                <w:szCs w:val="20"/>
                <w:color w:val="auto"/>
              </w:rPr>
            </w:pPr>
            <w:r>
              <w:rPr>
                <w:rFonts w:ascii="Arial" w:cs="Arial" w:eastAsia="Arial" w:hAnsi="Arial"/>
                <w:sz w:val="18"/>
                <w:szCs w:val="18"/>
                <w:color w:val="auto"/>
                <w:w w:val="99"/>
              </w:rPr>
              <w:t>ADMINISTRATIVE AGENT</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9.01.</w:t>
            </w:r>
          </w:p>
        </w:tc>
        <w:tc>
          <w:tcPr>
            <w:tcW w:w="8320" w:type="dxa"/>
            <w:vAlign w:val="bottom"/>
          </w:tcPr>
          <w:p>
            <w:pPr>
              <w:ind w:left="100"/>
              <w:spacing w:after="0"/>
              <w:rPr>
                <w:sz w:val="20"/>
                <w:szCs w:val="20"/>
                <w:color w:val="auto"/>
              </w:rPr>
            </w:pPr>
            <w:r>
              <w:rPr>
                <w:rFonts w:ascii="Arial" w:cs="Arial" w:eastAsia="Arial" w:hAnsi="Arial"/>
                <w:sz w:val="18"/>
                <w:szCs w:val="18"/>
                <w:color w:val="auto"/>
              </w:rPr>
              <w:t>Appointment of the Administrative Agent</w:t>
            </w:r>
          </w:p>
        </w:tc>
        <w:tc>
          <w:tcPr>
            <w:tcW w:w="21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9.02.</w:t>
            </w:r>
          </w:p>
        </w:tc>
        <w:tc>
          <w:tcPr>
            <w:tcW w:w="8320" w:type="dxa"/>
            <w:vAlign w:val="bottom"/>
          </w:tcPr>
          <w:p>
            <w:pPr>
              <w:ind w:left="100"/>
              <w:spacing w:after="0"/>
              <w:rPr>
                <w:sz w:val="20"/>
                <w:szCs w:val="20"/>
                <w:color w:val="auto"/>
              </w:rPr>
            </w:pPr>
            <w:r>
              <w:rPr>
                <w:rFonts w:ascii="Arial" w:cs="Arial" w:eastAsia="Arial" w:hAnsi="Arial"/>
                <w:sz w:val="18"/>
                <w:szCs w:val="18"/>
                <w:color w:val="auto"/>
              </w:rPr>
              <w:t>Nature of Duties of the Administrative Agent</w:t>
            </w:r>
          </w:p>
        </w:tc>
        <w:tc>
          <w:tcPr>
            <w:tcW w:w="21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9.03.</w:t>
            </w:r>
          </w:p>
        </w:tc>
        <w:tc>
          <w:tcPr>
            <w:tcW w:w="8320" w:type="dxa"/>
            <w:vAlign w:val="bottom"/>
          </w:tcPr>
          <w:p>
            <w:pPr>
              <w:ind w:left="100"/>
              <w:spacing w:after="0"/>
              <w:rPr>
                <w:sz w:val="20"/>
                <w:szCs w:val="20"/>
                <w:color w:val="auto"/>
              </w:rPr>
            </w:pPr>
            <w:r>
              <w:rPr>
                <w:rFonts w:ascii="Arial" w:cs="Arial" w:eastAsia="Arial" w:hAnsi="Arial"/>
                <w:sz w:val="18"/>
                <w:szCs w:val="18"/>
                <w:color w:val="auto"/>
              </w:rPr>
              <w:t>Lack of Reliance on the Administrative Agent</w:t>
            </w:r>
          </w:p>
        </w:tc>
        <w:tc>
          <w:tcPr>
            <w:tcW w:w="21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9.04.</w:t>
            </w:r>
          </w:p>
        </w:tc>
        <w:tc>
          <w:tcPr>
            <w:tcW w:w="8320" w:type="dxa"/>
            <w:vAlign w:val="bottom"/>
          </w:tcPr>
          <w:p>
            <w:pPr>
              <w:ind w:left="100"/>
              <w:spacing w:after="0"/>
              <w:rPr>
                <w:sz w:val="20"/>
                <w:szCs w:val="20"/>
                <w:color w:val="auto"/>
              </w:rPr>
            </w:pPr>
            <w:r>
              <w:rPr>
                <w:rFonts w:ascii="Arial" w:cs="Arial" w:eastAsia="Arial" w:hAnsi="Arial"/>
                <w:sz w:val="18"/>
                <w:szCs w:val="18"/>
                <w:color w:val="auto"/>
              </w:rPr>
              <w:t>Certain Rights of the Administrative Agent</w:t>
            </w:r>
          </w:p>
        </w:tc>
        <w:tc>
          <w:tcPr>
            <w:tcW w:w="21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9.05.</w:t>
            </w:r>
          </w:p>
        </w:tc>
        <w:tc>
          <w:tcPr>
            <w:tcW w:w="8320" w:type="dxa"/>
            <w:vAlign w:val="bottom"/>
          </w:tcPr>
          <w:p>
            <w:pPr>
              <w:ind w:left="100"/>
              <w:spacing w:after="0"/>
              <w:rPr>
                <w:sz w:val="20"/>
                <w:szCs w:val="20"/>
                <w:color w:val="auto"/>
              </w:rPr>
            </w:pPr>
            <w:r>
              <w:rPr>
                <w:rFonts w:ascii="Arial" w:cs="Arial" w:eastAsia="Arial" w:hAnsi="Arial"/>
                <w:sz w:val="18"/>
                <w:szCs w:val="18"/>
                <w:color w:val="auto"/>
              </w:rPr>
              <w:t>Reliance by the Administrative Agent</w:t>
            </w:r>
          </w:p>
        </w:tc>
        <w:tc>
          <w:tcPr>
            <w:tcW w:w="21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9.06.</w:t>
            </w:r>
          </w:p>
        </w:tc>
        <w:tc>
          <w:tcPr>
            <w:tcW w:w="8320" w:type="dxa"/>
            <w:vAlign w:val="bottom"/>
          </w:tcPr>
          <w:p>
            <w:pPr>
              <w:ind w:left="100"/>
              <w:spacing w:after="0"/>
              <w:rPr>
                <w:sz w:val="20"/>
                <w:szCs w:val="20"/>
                <w:color w:val="auto"/>
              </w:rPr>
            </w:pPr>
            <w:r>
              <w:rPr>
                <w:rFonts w:ascii="Arial" w:cs="Arial" w:eastAsia="Arial" w:hAnsi="Arial"/>
                <w:sz w:val="18"/>
                <w:szCs w:val="18"/>
                <w:color w:val="auto"/>
              </w:rPr>
              <w:t>The Administrative Agent in its Individual Capacity</w:t>
            </w:r>
          </w:p>
        </w:tc>
        <w:tc>
          <w:tcPr>
            <w:tcW w:w="21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9.07.</w:t>
            </w:r>
          </w:p>
        </w:tc>
        <w:tc>
          <w:tcPr>
            <w:tcW w:w="8320" w:type="dxa"/>
            <w:vAlign w:val="bottom"/>
          </w:tcPr>
          <w:p>
            <w:pPr>
              <w:ind w:left="100"/>
              <w:spacing w:after="0"/>
              <w:rPr>
                <w:sz w:val="20"/>
                <w:szCs w:val="20"/>
                <w:color w:val="auto"/>
              </w:rPr>
            </w:pPr>
            <w:r>
              <w:rPr>
                <w:rFonts w:ascii="Arial" w:cs="Arial" w:eastAsia="Arial" w:hAnsi="Arial"/>
                <w:sz w:val="18"/>
                <w:szCs w:val="18"/>
                <w:color w:val="auto"/>
              </w:rPr>
              <w:t>Successor Administrative Agent</w:t>
            </w:r>
          </w:p>
        </w:tc>
        <w:tc>
          <w:tcPr>
            <w:tcW w:w="21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9.08.</w:t>
            </w:r>
          </w:p>
        </w:tc>
        <w:tc>
          <w:tcPr>
            <w:tcW w:w="8320" w:type="dxa"/>
            <w:vAlign w:val="bottom"/>
          </w:tcPr>
          <w:p>
            <w:pPr>
              <w:ind w:left="100"/>
              <w:spacing w:after="0"/>
              <w:rPr>
                <w:sz w:val="20"/>
                <w:szCs w:val="20"/>
                <w:color w:val="auto"/>
              </w:rPr>
            </w:pPr>
            <w:r>
              <w:rPr>
                <w:rFonts w:ascii="Arial" w:cs="Arial" w:eastAsia="Arial" w:hAnsi="Arial"/>
                <w:sz w:val="18"/>
                <w:szCs w:val="18"/>
                <w:color w:val="auto"/>
              </w:rPr>
              <w:t>Withholding Tax</w:t>
            </w:r>
          </w:p>
        </w:tc>
        <w:tc>
          <w:tcPr>
            <w:tcW w:w="21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9.09.</w:t>
            </w:r>
          </w:p>
        </w:tc>
        <w:tc>
          <w:tcPr>
            <w:tcW w:w="8320" w:type="dxa"/>
            <w:vAlign w:val="bottom"/>
          </w:tcPr>
          <w:p>
            <w:pPr>
              <w:ind w:left="100"/>
              <w:spacing w:after="0"/>
              <w:rPr>
                <w:sz w:val="20"/>
                <w:szCs w:val="20"/>
                <w:color w:val="auto"/>
              </w:rPr>
            </w:pPr>
            <w:r>
              <w:rPr>
                <w:rFonts w:ascii="Arial" w:cs="Arial" w:eastAsia="Arial" w:hAnsi="Arial"/>
                <w:sz w:val="18"/>
                <w:szCs w:val="18"/>
                <w:color w:val="auto"/>
              </w:rPr>
              <w:t>The Administrative Agent May File Proofs of Claim; Credit Bidding</w:t>
            </w:r>
          </w:p>
        </w:tc>
        <w:tc>
          <w:tcPr>
            <w:tcW w:w="21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9.10.</w:t>
            </w:r>
          </w:p>
        </w:tc>
        <w:tc>
          <w:tcPr>
            <w:tcW w:w="8320" w:type="dxa"/>
            <w:vAlign w:val="bottom"/>
          </w:tcPr>
          <w:p>
            <w:pPr>
              <w:ind w:left="100"/>
              <w:spacing w:after="0"/>
              <w:rPr>
                <w:sz w:val="20"/>
                <w:szCs w:val="20"/>
                <w:color w:val="auto"/>
              </w:rPr>
            </w:pPr>
            <w:r>
              <w:rPr>
                <w:rFonts w:ascii="Arial" w:cs="Arial" w:eastAsia="Arial" w:hAnsi="Arial"/>
                <w:sz w:val="18"/>
                <w:szCs w:val="18"/>
                <w:color w:val="auto"/>
              </w:rPr>
              <w:t>Authorization to Execute Other Loan Documents</w:t>
            </w:r>
          </w:p>
        </w:tc>
        <w:tc>
          <w:tcPr>
            <w:tcW w:w="21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9.11.</w:t>
            </w:r>
          </w:p>
        </w:tc>
        <w:tc>
          <w:tcPr>
            <w:tcW w:w="8320" w:type="dxa"/>
            <w:vAlign w:val="bottom"/>
          </w:tcPr>
          <w:p>
            <w:pPr>
              <w:ind w:left="100"/>
              <w:spacing w:after="0"/>
              <w:rPr>
                <w:sz w:val="20"/>
                <w:szCs w:val="20"/>
                <w:color w:val="auto"/>
              </w:rPr>
            </w:pPr>
            <w:r>
              <w:rPr>
                <w:rFonts w:ascii="Arial" w:cs="Arial" w:eastAsia="Arial" w:hAnsi="Arial"/>
                <w:sz w:val="18"/>
                <w:szCs w:val="18"/>
                <w:color w:val="auto"/>
              </w:rPr>
              <w:t>Collateral and Guaranty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9.12.</w:t>
            </w:r>
          </w:p>
        </w:tc>
        <w:tc>
          <w:tcPr>
            <w:tcW w:w="8320" w:type="dxa"/>
            <w:vAlign w:val="bottom"/>
          </w:tcPr>
          <w:p>
            <w:pPr>
              <w:ind w:left="100"/>
              <w:spacing w:after="0"/>
              <w:rPr>
                <w:sz w:val="20"/>
                <w:szCs w:val="20"/>
                <w:color w:val="auto"/>
              </w:rPr>
            </w:pPr>
            <w:r>
              <w:rPr>
                <w:rFonts w:ascii="Arial" w:cs="Arial" w:eastAsia="Arial" w:hAnsi="Arial"/>
                <w:sz w:val="18"/>
                <w:szCs w:val="18"/>
                <w:color w:val="auto"/>
              </w:rPr>
              <w:t>Documentation Agents</w:t>
            </w:r>
          </w:p>
        </w:tc>
        <w:tc>
          <w:tcPr>
            <w:tcW w:w="21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9.13.</w:t>
            </w:r>
          </w:p>
        </w:tc>
        <w:tc>
          <w:tcPr>
            <w:tcW w:w="8320" w:type="dxa"/>
            <w:vAlign w:val="bottom"/>
          </w:tcPr>
          <w:p>
            <w:pPr>
              <w:ind w:left="100"/>
              <w:spacing w:after="0"/>
              <w:rPr>
                <w:sz w:val="20"/>
                <w:szCs w:val="20"/>
                <w:color w:val="auto"/>
              </w:rPr>
            </w:pPr>
            <w:r>
              <w:rPr>
                <w:rFonts w:ascii="Arial" w:cs="Arial" w:eastAsia="Arial" w:hAnsi="Arial"/>
                <w:sz w:val="18"/>
                <w:szCs w:val="18"/>
                <w:color w:val="auto"/>
              </w:rPr>
              <w:t>Right to Realize on Collateral and Enforce Guarantee</w:t>
            </w:r>
          </w:p>
        </w:tc>
        <w:tc>
          <w:tcPr>
            <w:tcW w:w="21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9.14.</w:t>
            </w:r>
          </w:p>
        </w:tc>
        <w:tc>
          <w:tcPr>
            <w:tcW w:w="8320" w:type="dxa"/>
            <w:vAlign w:val="bottom"/>
          </w:tcPr>
          <w:p>
            <w:pPr>
              <w:ind w:left="100"/>
              <w:spacing w:after="0"/>
              <w:rPr>
                <w:sz w:val="20"/>
                <w:szCs w:val="20"/>
                <w:color w:val="auto"/>
              </w:rPr>
            </w:pPr>
            <w:r>
              <w:rPr>
                <w:rFonts w:ascii="Arial" w:cs="Arial" w:eastAsia="Arial" w:hAnsi="Arial"/>
                <w:sz w:val="18"/>
                <w:szCs w:val="18"/>
                <w:color w:val="auto"/>
              </w:rPr>
              <w:t>Secured Cash Management Agreements and Secured Hedge Agreements</w:t>
            </w:r>
          </w:p>
        </w:tc>
        <w:tc>
          <w:tcPr>
            <w:tcW w:w="21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10"/>
        </w:trPr>
        <w:tc>
          <w:tcPr>
            <w:tcW w:w="540" w:type="dxa"/>
            <w:vAlign w:val="bottom"/>
          </w:tcPr>
          <w:p>
            <w:pPr>
              <w:spacing w:after="0"/>
              <w:rPr>
                <w:sz w:val="24"/>
                <w:szCs w:val="24"/>
                <w:color w:val="auto"/>
              </w:rPr>
            </w:pPr>
          </w:p>
        </w:tc>
        <w:tc>
          <w:tcPr>
            <w:tcW w:w="8320" w:type="dxa"/>
            <w:vAlign w:val="bottom"/>
          </w:tcPr>
          <w:p>
            <w:pPr>
              <w:jc w:val="center"/>
              <w:ind w:left="1470"/>
              <w:spacing w:after="0"/>
              <w:rPr>
                <w:sz w:val="20"/>
                <w:szCs w:val="20"/>
                <w:color w:val="auto"/>
              </w:rPr>
            </w:pPr>
            <w:r>
              <w:rPr>
                <w:rFonts w:ascii="Arial" w:cs="Arial" w:eastAsia="Arial" w:hAnsi="Arial"/>
                <w:sz w:val="18"/>
                <w:szCs w:val="18"/>
                <w:color w:val="auto"/>
                <w:w w:val="98"/>
              </w:rPr>
              <w:t>ARTICLE X</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8320" w:type="dxa"/>
            <w:vAlign w:val="bottom"/>
          </w:tcPr>
          <w:p>
            <w:pPr>
              <w:jc w:val="center"/>
              <w:ind w:left="1490"/>
              <w:spacing w:after="0"/>
              <w:rPr>
                <w:sz w:val="20"/>
                <w:szCs w:val="20"/>
                <w:color w:val="auto"/>
              </w:rPr>
            </w:pPr>
            <w:r>
              <w:rPr>
                <w:rFonts w:ascii="Arial" w:cs="Arial" w:eastAsia="Arial" w:hAnsi="Arial"/>
                <w:sz w:val="18"/>
                <w:szCs w:val="18"/>
                <w:color w:val="auto"/>
                <w:w w:val="97"/>
              </w:rPr>
              <w:t>MISCELLANEOUS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10.01.</w:t>
            </w:r>
          </w:p>
        </w:tc>
        <w:tc>
          <w:tcPr>
            <w:tcW w:w="8320" w:type="dxa"/>
            <w:vAlign w:val="bottom"/>
          </w:tcPr>
          <w:p>
            <w:pPr>
              <w:ind w:left="100"/>
              <w:spacing w:after="0"/>
              <w:rPr>
                <w:sz w:val="20"/>
                <w:szCs w:val="20"/>
                <w:color w:val="auto"/>
              </w:rPr>
            </w:pPr>
            <w:r>
              <w:rPr>
                <w:rFonts w:ascii="Arial" w:cs="Arial" w:eastAsia="Arial" w:hAnsi="Arial"/>
                <w:sz w:val="18"/>
                <w:szCs w:val="18"/>
                <w:color w:val="auto"/>
              </w:rPr>
              <w:t>Amendments, Etc.</w:t>
            </w:r>
          </w:p>
        </w:tc>
        <w:tc>
          <w:tcPr>
            <w:tcW w:w="212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10.02.</w:t>
            </w:r>
          </w:p>
        </w:tc>
        <w:tc>
          <w:tcPr>
            <w:tcW w:w="8320" w:type="dxa"/>
            <w:vAlign w:val="bottom"/>
          </w:tcPr>
          <w:p>
            <w:pPr>
              <w:ind w:left="100"/>
              <w:spacing w:after="0"/>
              <w:rPr>
                <w:sz w:val="20"/>
                <w:szCs w:val="20"/>
                <w:color w:val="auto"/>
              </w:rPr>
            </w:pPr>
            <w:r>
              <w:rPr>
                <w:rFonts w:ascii="Arial" w:cs="Arial" w:eastAsia="Arial" w:hAnsi="Arial"/>
                <w:sz w:val="18"/>
                <w:szCs w:val="18"/>
                <w:color w:val="auto"/>
              </w:rPr>
              <w:t>Notices; Effectiveness; Electronic Communications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10.03.</w:t>
            </w:r>
          </w:p>
        </w:tc>
        <w:tc>
          <w:tcPr>
            <w:tcW w:w="8320" w:type="dxa"/>
            <w:vAlign w:val="bottom"/>
          </w:tcPr>
          <w:p>
            <w:pPr>
              <w:ind w:left="100"/>
              <w:spacing w:after="0"/>
              <w:rPr>
                <w:sz w:val="20"/>
                <w:szCs w:val="20"/>
                <w:color w:val="auto"/>
              </w:rPr>
            </w:pPr>
            <w:r>
              <w:rPr>
                <w:rFonts w:ascii="Arial" w:cs="Arial" w:eastAsia="Arial" w:hAnsi="Arial"/>
                <w:sz w:val="18"/>
                <w:szCs w:val="18"/>
                <w:color w:val="auto"/>
              </w:rPr>
              <w:t>No Waiver; Cumulative Remedies; Enforcement</w:t>
            </w:r>
          </w:p>
        </w:tc>
        <w:tc>
          <w:tcPr>
            <w:tcW w:w="212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10.04.</w:t>
            </w:r>
          </w:p>
        </w:tc>
        <w:tc>
          <w:tcPr>
            <w:tcW w:w="8320" w:type="dxa"/>
            <w:vAlign w:val="bottom"/>
          </w:tcPr>
          <w:p>
            <w:pPr>
              <w:ind w:left="100"/>
              <w:spacing w:after="0"/>
              <w:rPr>
                <w:sz w:val="20"/>
                <w:szCs w:val="20"/>
                <w:color w:val="auto"/>
              </w:rPr>
            </w:pPr>
            <w:r>
              <w:rPr>
                <w:rFonts w:ascii="Arial" w:cs="Arial" w:eastAsia="Arial" w:hAnsi="Arial"/>
                <w:sz w:val="18"/>
                <w:szCs w:val="18"/>
                <w:color w:val="auto"/>
              </w:rPr>
              <w:t>Expenses; Indemnity; Damage Waiver</w:t>
            </w:r>
          </w:p>
        </w:tc>
        <w:tc>
          <w:tcPr>
            <w:tcW w:w="21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10.05.</w:t>
            </w:r>
          </w:p>
        </w:tc>
        <w:tc>
          <w:tcPr>
            <w:tcW w:w="8320" w:type="dxa"/>
            <w:vAlign w:val="bottom"/>
          </w:tcPr>
          <w:p>
            <w:pPr>
              <w:ind w:left="100"/>
              <w:spacing w:after="0"/>
              <w:rPr>
                <w:sz w:val="20"/>
                <w:szCs w:val="20"/>
                <w:color w:val="auto"/>
              </w:rPr>
            </w:pPr>
            <w:r>
              <w:rPr>
                <w:rFonts w:ascii="Arial" w:cs="Arial" w:eastAsia="Arial" w:hAnsi="Arial"/>
                <w:sz w:val="18"/>
                <w:szCs w:val="18"/>
                <w:color w:val="auto"/>
              </w:rPr>
              <w:t>Payments Set Aside</w:t>
            </w:r>
          </w:p>
        </w:tc>
        <w:tc>
          <w:tcPr>
            <w:tcW w:w="21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10.06.</w:t>
            </w:r>
          </w:p>
        </w:tc>
        <w:tc>
          <w:tcPr>
            <w:tcW w:w="832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212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10.07.</w:t>
            </w:r>
          </w:p>
        </w:tc>
        <w:tc>
          <w:tcPr>
            <w:tcW w:w="8320" w:type="dxa"/>
            <w:vAlign w:val="bottom"/>
          </w:tcPr>
          <w:p>
            <w:pPr>
              <w:ind w:left="100"/>
              <w:spacing w:after="0"/>
              <w:rPr>
                <w:sz w:val="20"/>
                <w:szCs w:val="20"/>
                <w:color w:val="auto"/>
              </w:rPr>
            </w:pPr>
            <w:r>
              <w:rPr>
                <w:rFonts w:ascii="Arial" w:cs="Arial" w:eastAsia="Arial" w:hAnsi="Arial"/>
                <w:sz w:val="18"/>
                <w:szCs w:val="18"/>
                <w:color w:val="auto"/>
              </w:rPr>
              <w:t>Treatment of Certain Information; Confidentiality</w:t>
            </w:r>
          </w:p>
        </w:tc>
        <w:tc>
          <w:tcPr>
            <w:tcW w:w="21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10.08.</w:t>
            </w:r>
          </w:p>
        </w:tc>
        <w:tc>
          <w:tcPr>
            <w:tcW w:w="8320" w:type="dxa"/>
            <w:vAlign w:val="bottom"/>
          </w:tcPr>
          <w:p>
            <w:pPr>
              <w:ind w:left="100"/>
              <w:spacing w:after="0"/>
              <w:rPr>
                <w:sz w:val="20"/>
                <w:szCs w:val="20"/>
                <w:color w:val="auto"/>
              </w:rPr>
            </w:pPr>
            <w:r>
              <w:rPr>
                <w:rFonts w:ascii="Arial" w:cs="Arial" w:eastAsia="Arial" w:hAnsi="Arial"/>
                <w:sz w:val="18"/>
                <w:szCs w:val="18"/>
                <w:color w:val="auto"/>
              </w:rPr>
              <w:t>Right of Setoff</w:t>
            </w:r>
          </w:p>
        </w:tc>
        <w:tc>
          <w:tcPr>
            <w:tcW w:w="21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10.09.</w:t>
            </w:r>
          </w:p>
        </w:tc>
        <w:tc>
          <w:tcPr>
            <w:tcW w:w="8320" w:type="dxa"/>
            <w:vAlign w:val="bottom"/>
          </w:tcPr>
          <w:p>
            <w:pPr>
              <w:ind w:left="100"/>
              <w:spacing w:after="0"/>
              <w:rPr>
                <w:sz w:val="20"/>
                <w:szCs w:val="20"/>
                <w:color w:val="auto"/>
              </w:rPr>
            </w:pPr>
            <w:r>
              <w:rPr>
                <w:rFonts w:ascii="Arial" w:cs="Arial" w:eastAsia="Arial" w:hAnsi="Arial"/>
                <w:sz w:val="18"/>
                <w:szCs w:val="18"/>
                <w:color w:val="auto"/>
              </w:rPr>
              <w:t>Interest Rate Limitation</w:t>
            </w:r>
          </w:p>
        </w:tc>
        <w:tc>
          <w:tcPr>
            <w:tcW w:w="21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65" w:right="4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6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10.10.</w:t>
            </w: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rPr>
              <w:t>Counterparts; Integration; Effectiveness</w:t>
            </w:r>
          </w:p>
        </w:tc>
        <w:tc>
          <w:tcPr>
            <w:tcW w:w="26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300" w:type="dxa"/>
            <w:vAlign w:val="bottom"/>
            <w:gridSpan w:val="3"/>
          </w:tcPr>
          <w:p>
            <w:pPr>
              <w:spacing w:after="0"/>
              <w:rPr>
                <w:sz w:val="20"/>
                <w:szCs w:val="20"/>
                <w:color w:val="auto"/>
              </w:rPr>
            </w:pPr>
            <w:r>
              <w:rPr>
                <w:rFonts w:ascii="Arial" w:cs="Arial" w:eastAsia="Arial" w:hAnsi="Arial"/>
                <w:sz w:val="18"/>
                <w:szCs w:val="18"/>
                <w:color w:val="auto"/>
              </w:rPr>
              <w:t>10.11.  Survival of Representations and Warranties</w:t>
            </w:r>
          </w:p>
        </w:tc>
        <w:tc>
          <w:tcPr>
            <w:tcW w:w="26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10.12.</w:t>
            </w: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rPr>
              <w:t>Severability</w:t>
            </w:r>
          </w:p>
        </w:tc>
        <w:tc>
          <w:tcPr>
            <w:tcW w:w="26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10.13.</w:t>
            </w: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rPr>
              <w:t>Replacement of Lenders</w:t>
            </w:r>
          </w:p>
        </w:tc>
        <w:tc>
          <w:tcPr>
            <w:tcW w:w="26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10.14.</w:t>
            </w: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rPr>
              <w:t>Governing Law; Jurisdiction; Etc.</w:t>
            </w:r>
          </w:p>
        </w:tc>
        <w:tc>
          <w:tcPr>
            <w:tcW w:w="26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10.15.</w:t>
            </w: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rPr>
              <w:t>WAIVER OF JURY TRIAL</w:t>
            </w:r>
          </w:p>
        </w:tc>
        <w:tc>
          <w:tcPr>
            <w:tcW w:w="26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10.16.</w:t>
            </w: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rPr>
              <w:t>No Advisory or Fiduciary Responsibility</w:t>
            </w:r>
          </w:p>
        </w:tc>
        <w:tc>
          <w:tcPr>
            <w:tcW w:w="26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10.17.</w:t>
            </w: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rPr>
              <w:t>Electronic Execution of Assignments and Certain Other Documents</w:t>
            </w:r>
          </w:p>
        </w:tc>
        <w:tc>
          <w:tcPr>
            <w:tcW w:w="26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10.18.</w:t>
            </w: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rPr>
              <w:t>USA PATRIOT Act</w:t>
            </w:r>
          </w:p>
        </w:tc>
        <w:tc>
          <w:tcPr>
            <w:tcW w:w="26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10.19.</w:t>
            </w: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rPr>
              <w:t>Inconsistencies with Other Documents</w:t>
            </w:r>
          </w:p>
        </w:tc>
        <w:tc>
          <w:tcPr>
            <w:tcW w:w="26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10.20.</w:t>
            </w: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rPr>
              <w:t>Acknowledgment and Consent to Bail-In of EEA Financial Institutions</w:t>
            </w:r>
          </w:p>
        </w:tc>
        <w:tc>
          <w:tcPr>
            <w:tcW w:w="26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10.21.</w:t>
            </w:r>
          </w:p>
        </w:tc>
        <w:tc>
          <w:tcPr>
            <w:tcW w:w="7760" w:type="dxa"/>
            <w:vAlign w:val="bottom"/>
            <w:gridSpan w:val="2"/>
          </w:tcPr>
          <w:p>
            <w:pPr>
              <w:ind w:left="100"/>
              <w:spacing w:after="0"/>
              <w:rPr>
                <w:sz w:val="20"/>
                <w:szCs w:val="20"/>
                <w:color w:val="auto"/>
              </w:rPr>
            </w:pPr>
            <w:r>
              <w:rPr>
                <w:rFonts w:ascii="Arial" w:cs="Arial" w:eastAsia="Arial" w:hAnsi="Arial"/>
                <w:sz w:val="18"/>
                <w:szCs w:val="18"/>
                <w:color w:val="auto"/>
              </w:rPr>
              <w:t>Acknowledgement Regarding Any Supported QFCs</w:t>
            </w:r>
          </w:p>
        </w:tc>
        <w:tc>
          <w:tcPr>
            <w:tcW w:w="26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432"/>
        </w:trPr>
        <w:tc>
          <w:tcPr>
            <w:tcW w:w="1240" w:type="dxa"/>
            <w:vAlign w:val="bottom"/>
            <w:gridSpan w:val="2"/>
          </w:tcPr>
          <w:p>
            <w:pPr>
              <w:spacing w:after="0"/>
              <w:rPr>
                <w:sz w:val="20"/>
                <w:szCs w:val="20"/>
                <w:color w:val="auto"/>
              </w:rPr>
            </w:pPr>
            <w:r>
              <w:rPr>
                <w:rFonts w:ascii="Arial" w:cs="Arial" w:eastAsia="Arial" w:hAnsi="Arial"/>
                <w:sz w:val="18"/>
                <w:szCs w:val="18"/>
                <w:color w:val="auto"/>
              </w:rPr>
              <w:t>SCHEDULES</w:t>
            </w:r>
          </w:p>
        </w:tc>
        <w:tc>
          <w:tcPr>
            <w:tcW w:w="70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45"/>
        </w:trPr>
        <w:tc>
          <w:tcPr>
            <w:tcW w:w="54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2.01</w:t>
            </w:r>
          </w:p>
        </w:tc>
        <w:tc>
          <w:tcPr>
            <w:tcW w:w="7060" w:type="dxa"/>
            <w:vAlign w:val="bottom"/>
          </w:tcPr>
          <w:p>
            <w:pPr>
              <w:ind w:left="100"/>
              <w:spacing w:after="0"/>
              <w:rPr>
                <w:sz w:val="20"/>
                <w:szCs w:val="20"/>
                <w:color w:val="auto"/>
              </w:rPr>
            </w:pPr>
            <w:r>
              <w:rPr>
                <w:rFonts w:ascii="Arial" w:cs="Arial" w:eastAsia="Arial" w:hAnsi="Arial"/>
                <w:sz w:val="18"/>
                <w:szCs w:val="18"/>
                <w:color w:val="auto"/>
              </w:rPr>
              <w:t>Commitments and Applicable Percentages</w:t>
            </w:r>
          </w:p>
        </w:tc>
        <w:tc>
          <w:tcPr>
            <w:tcW w:w="268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5.01</w:t>
            </w:r>
          </w:p>
        </w:tc>
        <w:tc>
          <w:tcPr>
            <w:tcW w:w="7060" w:type="dxa"/>
            <w:vAlign w:val="bottom"/>
          </w:tcPr>
          <w:p>
            <w:pPr>
              <w:ind w:left="100"/>
              <w:spacing w:after="0"/>
              <w:rPr>
                <w:sz w:val="20"/>
                <w:szCs w:val="20"/>
                <w:color w:val="auto"/>
              </w:rPr>
            </w:pPr>
            <w:r>
              <w:rPr>
                <w:rFonts w:ascii="Arial" w:cs="Arial" w:eastAsia="Arial" w:hAnsi="Arial"/>
                <w:sz w:val="18"/>
                <w:szCs w:val="18"/>
                <w:color w:val="auto"/>
              </w:rPr>
              <w:t>Corporate Existence; Subsidiaries; Foreign Qualifications</w:t>
            </w:r>
          </w:p>
        </w:tc>
        <w:tc>
          <w:tcPr>
            <w:tcW w:w="26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5.04</w:t>
            </w:r>
          </w:p>
        </w:tc>
        <w:tc>
          <w:tcPr>
            <w:tcW w:w="7060" w:type="dxa"/>
            <w:vAlign w:val="bottom"/>
          </w:tcPr>
          <w:p>
            <w:pPr>
              <w:ind w:left="100"/>
              <w:spacing w:after="0"/>
              <w:rPr>
                <w:sz w:val="20"/>
                <w:szCs w:val="20"/>
                <w:color w:val="auto"/>
              </w:rPr>
            </w:pPr>
            <w:r>
              <w:rPr>
                <w:rFonts w:ascii="Arial" w:cs="Arial" w:eastAsia="Arial" w:hAnsi="Arial"/>
                <w:sz w:val="18"/>
                <w:szCs w:val="18"/>
                <w:color w:val="auto"/>
              </w:rPr>
              <w:t>Litigation and Administrative Procedures</w:t>
            </w:r>
          </w:p>
        </w:tc>
        <w:tc>
          <w:tcPr>
            <w:tcW w:w="26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5.05</w:t>
            </w:r>
          </w:p>
        </w:tc>
        <w:tc>
          <w:tcPr>
            <w:tcW w:w="7060" w:type="dxa"/>
            <w:vAlign w:val="bottom"/>
          </w:tcPr>
          <w:p>
            <w:pPr>
              <w:ind w:left="100"/>
              <w:spacing w:after="0"/>
              <w:rPr>
                <w:sz w:val="20"/>
                <w:szCs w:val="20"/>
                <w:color w:val="auto"/>
              </w:rPr>
            </w:pPr>
            <w:r>
              <w:rPr>
                <w:rFonts w:ascii="Arial" w:cs="Arial" w:eastAsia="Arial" w:hAnsi="Arial"/>
                <w:sz w:val="18"/>
                <w:szCs w:val="18"/>
                <w:color w:val="auto"/>
              </w:rPr>
              <w:t>Real Property</w:t>
            </w:r>
          </w:p>
        </w:tc>
        <w:tc>
          <w:tcPr>
            <w:tcW w:w="26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5.09</w:t>
            </w:r>
          </w:p>
        </w:tc>
        <w:tc>
          <w:tcPr>
            <w:tcW w:w="7060" w:type="dxa"/>
            <w:vAlign w:val="bottom"/>
          </w:tcPr>
          <w:p>
            <w:pPr>
              <w:ind w:left="100"/>
              <w:spacing w:after="0"/>
              <w:rPr>
                <w:sz w:val="20"/>
                <w:szCs w:val="20"/>
                <w:color w:val="auto"/>
              </w:rPr>
            </w:pPr>
            <w:r>
              <w:rPr>
                <w:rFonts w:ascii="Arial" w:cs="Arial" w:eastAsia="Arial" w:hAnsi="Arial"/>
                <w:sz w:val="18"/>
                <w:szCs w:val="18"/>
                <w:color w:val="auto"/>
              </w:rPr>
              <w:t>Locations</w:t>
            </w:r>
          </w:p>
        </w:tc>
        <w:tc>
          <w:tcPr>
            <w:tcW w:w="26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5.11</w:t>
            </w:r>
          </w:p>
        </w:tc>
        <w:tc>
          <w:tcPr>
            <w:tcW w:w="7060" w:type="dxa"/>
            <w:vAlign w:val="bottom"/>
          </w:tcPr>
          <w:p>
            <w:pPr>
              <w:ind w:left="100"/>
              <w:spacing w:after="0"/>
              <w:rPr>
                <w:sz w:val="20"/>
                <w:szCs w:val="20"/>
                <w:color w:val="auto"/>
              </w:rPr>
            </w:pPr>
            <w:r>
              <w:rPr>
                <w:rFonts w:ascii="Arial" w:cs="Arial" w:eastAsia="Arial" w:hAnsi="Arial"/>
                <w:sz w:val="18"/>
                <w:szCs w:val="18"/>
                <w:color w:val="auto"/>
              </w:rPr>
              <w:t>US Employee Benefit Plans; Foreign Pension and Benefit Plans</w:t>
            </w:r>
          </w:p>
        </w:tc>
        <w:tc>
          <w:tcPr>
            <w:tcW w:w="26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5.16</w:t>
            </w:r>
          </w:p>
        </w:tc>
        <w:tc>
          <w:tcPr>
            <w:tcW w:w="7060" w:type="dxa"/>
            <w:vAlign w:val="bottom"/>
          </w:tcPr>
          <w:p>
            <w:pPr>
              <w:ind w:left="100"/>
              <w:spacing w:after="0"/>
              <w:rPr>
                <w:sz w:val="20"/>
                <w:szCs w:val="20"/>
                <w:color w:val="auto"/>
              </w:rPr>
            </w:pPr>
            <w:r>
              <w:rPr>
                <w:rFonts w:ascii="Arial" w:cs="Arial" w:eastAsia="Arial" w:hAnsi="Arial"/>
                <w:sz w:val="18"/>
                <w:szCs w:val="18"/>
                <w:color w:val="auto"/>
              </w:rPr>
              <w:t>Material Agreements</w:t>
            </w:r>
          </w:p>
        </w:tc>
        <w:tc>
          <w:tcPr>
            <w:tcW w:w="26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5.17</w:t>
            </w:r>
          </w:p>
        </w:tc>
        <w:tc>
          <w:tcPr>
            <w:tcW w:w="7060" w:type="dxa"/>
            <w:vAlign w:val="bottom"/>
          </w:tcPr>
          <w:p>
            <w:pPr>
              <w:ind w:left="100"/>
              <w:spacing w:after="0"/>
              <w:rPr>
                <w:sz w:val="20"/>
                <w:szCs w:val="20"/>
                <w:color w:val="auto"/>
              </w:rPr>
            </w:pPr>
            <w:r>
              <w:rPr>
                <w:rFonts w:ascii="Arial" w:cs="Arial" w:eastAsia="Arial" w:hAnsi="Arial"/>
                <w:sz w:val="18"/>
                <w:szCs w:val="18"/>
                <w:color w:val="auto"/>
              </w:rPr>
              <w:t>Intellectual Property</w:t>
            </w:r>
          </w:p>
        </w:tc>
        <w:tc>
          <w:tcPr>
            <w:tcW w:w="26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5.18</w:t>
            </w:r>
          </w:p>
        </w:tc>
        <w:tc>
          <w:tcPr>
            <w:tcW w:w="706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26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5.23</w:t>
            </w:r>
          </w:p>
        </w:tc>
        <w:tc>
          <w:tcPr>
            <w:tcW w:w="7060" w:type="dxa"/>
            <w:vAlign w:val="bottom"/>
          </w:tcPr>
          <w:p>
            <w:pPr>
              <w:ind w:left="100"/>
              <w:spacing w:after="0"/>
              <w:rPr>
                <w:sz w:val="20"/>
                <w:szCs w:val="20"/>
                <w:color w:val="auto"/>
              </w:rPr>
            </w:pPr>
            <w:r>
              <w:rPr>
                <w:rFonts w:ascii="Arial" w:cs="Arial" w:eastAsia="Arial" w:hAnsi="Arial"/>
                <w:sz w:val="18"/>
                <w:szCs w:val="18"/>
                <w:color w:val="auto"/>
              </w:rPr>
              <w:t>Deposit Accounts</w:t>
            </w:r>
          </w:p>
        </w:tc>
        <w:tc>
          <w:tcPr>
            <w:tcW w:w="26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6.17</w:t>
            </w:r>
          </w:p>
        </w:tc>
        <w:tc>
          <w:tcPr>
            <w:tcW w:w="7060" w:type="dxa"/>
            <w:vAlign w:val="bottom"/>
          </w:tcPr>
          <w:p>
            <w:pPr>
              <w:ind w:left="100"/>
              <w:spacing w:after="0"/>
              <w:rPr>
                <w:sz w:val="20"/>
                <w:szCs w:val="20"/>
                <w:color w:val="auto"/>
              </w:rPr>
            </w:pPr>
            <w:r>
              <w:rPr>
                <w:rFonts w:ascii="Arial" w:cs="Arial" w:eastAsia="Arial" w:hAnsi="Arial"/>
                <w:sz w:val="18"/>
                <w:szCs w:val="18"/>
                <w:color w:val="auto"/>
              </w:rPr>
              <w:t>Post-Closing Matters</w:t>
            </w:r>
          </w:p>
        </w:tc>
        <w:tc>
          <w:tcPr>
            <w:tcW w:w="26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7.01</w:t>
            </w:r>
          </w:p>
        </w:tc>
        <w:tc>
          <w:tcPr>
            <w:tcW w:w="7060" w:type="dxa"/>
            <w:vAlign w:val="bottom"/>
          </w:tcPr>
          <w:p>
            <w:pPr>
              <w:ind w:left="100"/>
              <w:spacing w:after="0"/>
              <w:rPr>
                <w:sz w:val="20"/>
                <w:szCs w:val="20"/>
                <w:color w:val="auto"/>
              </w:rPr>
            </w:pPr>
            <w:r>
              <w:rPr>
                <w:rFonts w:ascii="Arial" w:cs="Arial" w:eastAsia="Arial" w:hAnsi="Arial"/>
                <w:sz w:val="18"/>
                <w:szCs w:val="18"/>
                <w:color w:val="auto"/>
              </w:rPr>
              <w:t>Existing Liens</w:t>
            </w:r>
          </w:p>
        </w:tc>
        <w:tc>
          <w:tcPr>
            <w:tcW w:w="26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7.02</w:t>
            </w:r>
          </w:p>
        </w:tc>
        <w:tc>
          <w:tcPr>
            <w:tcW w:w="7060" w:type="dxa"/>
            <w:vAlign w:val="bottom"/>
          </w:tcPr>
          <w:p>
            <w:pPr>
              <w:ind w:left="100"/>
              <w:spacing w:after="0"/>
              <w:rPr>
                <w:sz w:val="20"/>
                <w:szCs w:val="20"/>
                <w:color w:val="auto"/>
              </w:rPr>
            </w:pPr>
            <w:r>
              <w:rPr>
                <w:rFonts w:ascii="Arial" w:cs="Arial" w:eastAsia="Arial" w:hAnsi="Arial"/>
                <w:sz w:val="18"/>
                <w:szCs w:val="18"/>
                <w:color w:val="auto"/>
              </w:rPr>
              <w:t>Existing Indebtedness</w:t>
            </w:r>
          </w:p>
        </w:tc>
        <w:tc>
          <w:tcPr>
            <w:tcW w:w="26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7.03</w:t>
            </w:r>
          </w:p>
        </w:tc>
        <w:tc>
          <w:tcPr>
            <w:tcW w:w="7060" w:type="dxa"/>
            <w:vAlign w:val="bottom"/>
          </w:tcPr>
          <w:p>
            <w:pPr>
              <w:ind w:left="100"/>
              <w:spacing w:after="0"/>
              <w:rPr>
                <w:sz w:val="20"/>
                <w:szCs w:val="20"/>
                <w:color w:val="auto"/>
              </w:rPr>
            </w:pPr>
            <w:r>
              <w:rPr>
                <w:rFonts w:ascii="Arial" w:cs="Arial" w:eastAsia="Arial" w:hAnsi="Arial"/>
                <w:sz w:val="18"/>
                <w:szCs w:val="18"/>
                <w:color w:val="auto"/>
              </w:rPr>
              <w:t>Existing Investments</w:t>
            </w:r>
          </w:p>
        </w:tc>
        <w:tc>
          <w:tcPr>
            <w:tcW w:w="26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10.02</w:t>
            </w:r>
          </w:p>
        </w:tc>
        <w:tc>
          <w:tcPr>
            <w:tcW w:w="7060" w:type="dxa"/>
            <w:vAlign w:val="bottom"/>
          </w:tcPr>
          <w:p>
            <w:pPr>
              <w:ind w:left="100"/>
              <w:spacing w:after="0"/>
              <w:rPr>
                <w:sz w:val="20"/>
                <w:szCs w:val="20"/>
                <w:color w:val="auto"/>
              </w:rPr>
            </w:pPr>
            <w:r>
              <w:rPr>
                <w:rFonts w:ascii="Arial" w:cs="Arial" w:eastAsia="Arial" w:hAnsi="Arial"/>
                <w:sz w:val="18"/>
                <w:szCs w:val="18"/>
                <w:color w:val="auto"/>
              </w:rPr>
              <w:t>Administrative Agent’s Office, Certain Addresses for Notices</w:t>
            </w:r>
          </w:p>
        </w:tc>
        <w:tc>
          <w:tcPr>
            <w:tcW w:w="268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Form of</w:t>
      </w:r>
    </w:p>
    <w:p>
      <w:pPr>
        <w:spacing w:after="0" w:line="252" w:lineRule="exact"/>
        <w:rPr>
          <w:sz w:val="20"/>
          <w:szCs w:val="20"/>
          <w:color w:val="auto"/>
        </w:rPr>
      </w:pPr>
    </w:p>
    <w:p>
      <w:pPr>
        <w:ind w:left="1200" w:hanging="476"/>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Committed Loan Notice</w:t>
      </w:r>
    </w:p>
    <w:p>
      <w:pPr>
        <w:spacing w:after="0" w:line="23" w:lineRule="exact"/>
        <w:rPr>
          <w:rFonts w:ascii="Arial" w:cs="Arial" w:eastAsia="Arial" w:hAnsi="Arial"/>
          <w:sz w:val="18"/>
          <w:szCs w:val="18"/>
          <w:color w:val="auto"/>
        </w:rPr>
      </w:pPr>
    </w:p>
    <w:p>
      <w:pPr>
        <w:ind w:left="720" w:right="8000"/>
        <w:spacing w:after="0" w:line="250" w:lineRule="auto"/>
        <w:rPr>
          <w:rFonts w:ascii="Arial" w:cs="Arial" w:eastAsia="Arial" w:hAnsi="Arial"/>
          <w:sz w:val="18"/>
          <w:szCs w:val="18"/>
          <w:color w:val="auto"/>
        </w:rPr>
      </w:pPr>
      <w:r>
        <w:rPr>
          <w:rFonts w:ascii="Arial" w:cs="Arial" w:eastAsia="Arial" w:hAnsi="Arial"/>
          <w:sz w:val="18"/>
          <w:szCs w:val="18"/>
          <w:color w:val="auto"/>
        </w:rPr>
        <w:t>B Swing Line Loan Notice C-1 Term Note</w:t>
      </w:r>
    </w:p>
    <w:p>
      <w:pPr>
        <w:ind w:left="720"/>
        <w:spacing w:after="0"/>
        <w:rPr>
          <w:rFonts w:ascii="Arial" w:cs="Arial" w:eastAsia="Arial" w:hAnsi="Arial"/>
          <w:sz w:val="18"/>
          <w:szCs w:val="18"/>
          <w:color w:val="auto"/>
        </w:rPr>
      </w:pPr>
      <w:r>
        <w:rPr>
          <w:rFonts w:ascii="Arial" w:cs="Arial" w:eastAsia="Arial" w:hAnsi="Arial"/>
          <w:sz w:val="18"/>
          <w:szCs w:val="18"/>
          <w:color w:val="auto"/>
        </w:rPr>
        <w:t>C-2   Revolving Credit Note</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Compliance Certificate</w:t>
      </w:r>
    </w:p>
    <w:p>
      <w:pPr>
        <w:spacing w:after="0" w:line="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6"/>
          <w:szCs w:val="16"/>
          <w:color w:val="auto"/>
        </w:rPr>
        <w:t>Assignment and Assumption</w:t>
      </w:r>
    </w:p>
    <w:p>
      <w:pPr>
        <w:spacing w:after="0" w:line="9" w:lineRule="exact"/>
        <w:rPr>
          <w:rFonts w:ascii="Arial" w:cs="Arial" w:eastAsia="Arial" w:hAnsi="Arial"/>
          <w:sz w:val="18"/>
          <w:szCs w:val="18"/>
          <w:color w:val="auto"/>
        </w:rPr>
      </w:pPr>
    </w:p>
    <w:p>
      <w:pPr>
        <w:ind w:left="720" w:right="4560"/>
        <w:spacing w:after="0" w:line="265" w:lineRule="auto"/>
        <w:rPr>
          <w:rFonts w:ascii="Arial" w:cs="Arial" w:eastAsia="Arial" w:hAnsi="Arial"/>
          <w:sz w:val="18"/>
          <w:szCs w:val="18"/>
          <w:color w:val="auto"/>
        </w:rPr>
      </w:pPr>
      <w:r>
        <w:rPr>
          <w:rFonts w:ascii="Arial" w:cs="Arial" w:eastAsia="Arial" w:hAnsi="Arial"/>
          <w:sz w:val="17"/>
          <w:szCs w:val="17"/>
          <w:color w:val="auto"/>
        </w:rPr>
        <w:t>E-1 U.S. Tax Compliance Certificate (Non-Partnership Foreign Lenders) E-2 U.S. Tax Compliance Certificate (Non-Partnership Foreign Participants) E-3 U.S. Tax Compliance Certificate (Foreign Participant Partnerships)</w:t>
      </w:r>
    </w:p>
    <w:p>
      <w:pPr>
        <w:ind w:left="720"/>
        <w:spacing w:after="0"/>
        <w:rPr>
          <w:rFonts w:ascii="Arial" w:cs="Arial" w:eastAsia="Arial" w:hAnsi="Arial"/>
          <w:sz w:val="18"/>
          <w:szCs w:val="18"/>
          <w:color w:val="auto"/>
        </w:rPr>
      </w:pPr>
      <w:r>
        <w:rPr>
          <w:rFonts w:ascii="Arial" w:cs="Arial" w:eastAsia="Arial" w:hAnsi="Arial"/>
          <w:sz w:val="18"/>
          <w:szCs w:val="18"/>
          <w:color w:val="auto"/>
        </w:rPr>
        <w:t>E-4   U.S. Tax Compliance Certificate (Foreign Lender Partnerships)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80"/>
          </w:cols>
          <w:pgMar w:left="440" w:top="261" w:right="47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AMENDED AND RESTATED CREDIT AGREEMENT</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This SECOND AMENDED AND RESTATED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December 19, 2019, among NN,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and TRUIST BANK, successor by merger to SUNTRUST BANK, as Administrative Agent.</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PRELIMINARY STATEMENTS</w:t>
      </w:r>
      <w:r>
        <w:rPr>
          <w:rFonts w:ascii="Arial" w:cs="Arial" w:eastAsia="Arial" w:hAnsi="Arial"/>
          <w:sz w:val="18"/>
          <w:szCs w:val="18"/>
          <w:color w:val="auto"/>
        </w:rPr>
        <w:t>:</w:t>
      </w:r>
    </w:p>
    <w:p>
      <w:pPr>
        <w:spacing w:after="0" w:line="225"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WHEREAS, reference is hereby made to that certain Credit Agreement dated as of October 19, 2015 among the Borrower, KeyBank National Association, as administrative agent, Regions Bank, as syndication agent, and SunTrust Bank, as documentation agent, and the Lenders from time to time party thereto (as amended and restated by the Amended and Restated Credit Agreement, dated as of September 30, 2016, and as further amended, restated, supplemented or otherwise modified prior to the date hereof, the “</w:t>
      </w:r>
      <w:r>
        <w:rPr>
          <w:rFonts w:ascii="Arial" w:cs="Arial" w:eastAsia="Arial" w:hAnsi="Arial"/>
          <w:sz w:val="18"/>
          <w:szCs w:val="18"/>
          <w:u w:val="single" w:color="auto"/>
          <w:color w:val="auto"/>
        </w:rPr>
        <w:t>Original Credit Agreement</w:t>
      </w:r>
      <w:r>
        <w:rPr>
          <w:rFonts w:ascii="Arial" w:cs="Arial" w:eastAsia="Arial" w:hAnsi="Arial"/>
          <w:sz w:val="18"/>
          <w:szCs w:val="18"/>
          <w:color w:val="auto"/>
        </w:rPr>
        <w:t>”), pursuant to which the Lenders agreed to provide term loans and a revolving credit facility to the Borrower, and the L/C Issuers agreed to issue letters of credit, in each case, on the terms and subject to the conditions set forth therein;</w:t>
      </w:r>
    </w:p>
    <w:p>
      <w:pPr>
        <w:spacing w:after="0" w:line="193"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WHEREAS, pursuant to, and subject to the terms and conditions of, the Eighth Amendment, upon the occurrence of the Second Restatement Effective Date, the Original Credit Agreement will be amended and restated as set forth herein.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 AND ACCOUNTING TERMS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2016 Amendment Arranger</w:t>
      </w:r>
      <w:r>
        <w:rPr>
          <w:rFonts w:ascii="Arial" w:cs="Arial" w:eastAsia="Arial" w:hAnsi="Arial"/>
          <w:sz w:val="18"/>
          <w:szCs w:val="18"/>
          <w:color w:val="auto"/>
        </w:rPr>
        <w:t>” has the meaning specified in the Amendment and Restatement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2016 Incremental Amendment</w:t>
      </w:r>
      <w:r>
        <w:rPr>
          <w:rFonts w:ascii="Arial" w:cs="Arial" w:eastAsia="Arial" w:hAnsi="Arial"/>
          <w:sz w:val="16"/>
          <w:szCs w:val="16"/>
          <w:color w:val="auto"/>
        </w:rPr>
        <w:t>” means the Incremental Amendment to Amended and Restated Credit Agreement dated as of October 31, 2016.</w:t>
      </w:r>
    </w:p>
    <w:p>
      <w:pPr>
        <w:spacing w:after="0" w:line="248"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2016 Revolving Credit Increase</w:t>
      </w:r>
      <w:r>
        <w:rPr>
          <w:rFonts w:ascii="Arial" w:cs="Arial" w:eastAsia="Arial" w:hAnsi="Arial"/>
          <w:sz w:val="18"/>
          <w:szCs w:val="18"/>
          <w:color w:val="auto"/>
        </w:rPr>
        <w:t>” means the Revolving Credit Increase provided by the 2016 Revolving Credit Increase Lender pursuant to the 2016 Incremental Amendment in the principal amount of $10,000,000.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2016 Revolving Credit Increase Effective Date</w:t>
      </w:r>
      <w:r>
        <w:rPr>
          <w:rFonts w:ascii="Arial" w:cs="Arial" w:eastAsia="Arial" w:hAnsi="Arial"/>
          <w:sz w:val="18"/>
          <w:szCs w:val="18"/>
          <w:color w:val="auto"/>
        </w:rPr>
        <w:t>” means October 31, 2017.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2016 Revolving Credit Increase Lender</w:t>
      </w:r>
      <w:r>
        <w:rPr>
          <w:rFonts w:ascii="Arial" w:cs="Arial" w:eastAsia="Arial" w:hAnsi="Arial"/>
          <w:sz w:val="18"/>
          <w:szCs w:val="18"/>
          <w:color w:val="auto"/>
        </w:rPr>
        <w:t>” means HomeTrust Bank, in its capacity as the 2016 Revolving Credit Increase Lender.</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2017 Incremental Term Borrowings</w:t>
      </w:r>
      <w:r>
        <w:rPr>
          <w:rFonts w:ascii="Arial" w:cs="Arial" w:eastAsia="Arial" w:hAnsi="Arial"/>
          <w:sz w:val="18"/>
          <w:szCs w:val="18"/>
          <w:color w:val="auto"/>
        </w:rPr>
        <w:t xml:space="preserve">” means a borrowing made on the Second Restatement Effective Date with respect to 2017 Incremental Term Loans consisting of the same Type and, in the case of Eurodollar Rate Loans, having the same Interest Period, made by Non-Extending 2017 Incremental Term Lenders pursuant to </w:t>
      </w:r>
      <w:r>
        <w:rPr>
          <w:rFonts w:ascii="Arial" w:cs="Arial" w:eastAsia="Arial" w:hAnsi="Arial"/>
          <w:sz w:val="18"/>
          <w:szCs w:val="18"/>
          <w:u w:val="single" w:color="auto"/>
          <w:color w:val="auto"/>
        </w:rPr>
        <w:t>Section 2.01(e)</w:t>
      </w:r>
      <w:r>
        <w:rPr>
          <w:rFonts w:ascii="Arial" w:cs="Arial" w:eastAsia="Arial" w:hAnsi="Arial"/>
          <w:sz w:val="18"/>
          <w:szCs w:val="18"/>
          <w:color w:val="auto"/>
        </w:rPr>
        <w:t>.</w:t>
      </w:r>
    </w:p>
    <w:p>
      <w:pPr>
        <w:spacing w:after="0" w:line="18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2017 Incremental Term Facility</w:t>
      </w:r>
      <w:r>
        <w:rPr>
          <w:rFonts w:ascii="Arial" w:cs="Arial" w:eastAsia="Arial" w:hAnsi="Arial"/>
          <w:sz w:val="18"/>
          <w:szCs w:val="18"/>
          <w:color w:val="auto"/>
        </w:rPr>
        <w:t>” means, at any time, the aggregate amount of the 2017 Incremental Term Lenders’ 2017 Incremental Term Loan Commitments at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2017 Incremental Term Lender</w:t>
      </w:r>
      <w:r>
        <w:rPr>
          <w:rFonts w:ascii="Arial" w:cs="Arial" w:eastAsia="Arial" w:hAnsi="Arial"/>
          <w:sz w:val="18"/>
          <w:szCs w:val="18"/>
          <w:color w:val="auto"/>
        </w:rPr>
        <w:t>” means each Lender with an outstanding 2017 Incremental Term Loan.</w:t>
      </w:r>
    </w:p>
    <w:p>
      <w:pPr>
        <w:spacing w:after="0" w:line="225"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2017 Incremental Term Loan</w:t>
      </w:r>
      <w:r>
        <w:rPr>
          <w:rFonts w:ascii="Arial" w:cs="Arial" w:eastAsia="Arial" w:hAnsi="Arial"/>
          <w:sz w:val="17"/>
          <w:szCs w:val="17"/>
          <w:color w:val="auto"/>
        </w:rPr>
        <w:t xml:space="preserve">” means each Existing 2017 Incremental Term Loan that, on the Second Restatement Effective Date, an Existing 2017 Incremental Term Lender has not elected to extend the Maturity Date thereof and reclassify in accordance with </w:t>
      </w:r>
      <w:r>
        <w:rPr>
          <w:rFonts w:ascii="Arial" w:cs="Arial" w:eastAsia="Arial" w:hAnsi="Arial"/>
          <w:sz w:val="17"/>
          <w:szCs w:val="17"/>
          <w:u w:val="single" w:color="auto"/>
          <w:color w:val="auto"/>
        </w:rPr>
        <w:t>Section 2.01(e)</w:t>
      </w:r>
      <w:r>
        <w:rPr>
          <w:rFonts w:ascii="Arial" w:cs="Arial" w:eastAsia="Arial" w:hAnsi="Arial"/>
          <w:sz w:val="17"/>
          <w:szCs w:val="17"/>
          <w:color w:val="auto"/>
        </w:rPr>
        <w:t>. As of the Second Restatement Effective Date, the aggregate outstanding principal amount of 2017 Incremental Term Loans was $10,000,000.</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E-4-1</w:t>
      </w:r>
    </w:p>
    <w:p>
      <w:pPr>
        <w:sectPr>
          <w:pgSz w:w="11900" w:h="16838" w:orient="portrait"/>
          <w:cols w:equalWidth="0" w:num="1">
            <w:col w:w="10960"/>
          </w:cols>
          <w:pgMar w:left="440" w:top="274" w:right="49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2017 Incremental Term Loan Call Premium</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2.05(c)(i)</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2017 Incremental Term Loan Commitment</w:t>
      </w:r>
      <w:r>
        <w:rPr>
          <w:rFonts w:ascii="Arial" w:cs="Arial" w:eastAsia="Arial" w:hAnsi="Arial"/>
          <w:sz w:val="18"/>
          <w:szCs w:val="18"/>
          <w:color w:val="auto"/>
        </w:rPr>
        <w:t xml:space="preserve">” means, as to each Term Lender, its obligation to make 2017 Incremental Term Loans to the Borrower on the First Amendment Effective Date with respect to the 2017 Incremental Term Facility pursuant to </w:t>
      </w:r>
      <w:r>
        <w:rPr>
          <w:rFonts w:ascii="Arial" w:cs="Arial" w:eastAsia="Arial" w:hAnsi="Arial"/>
          <w:sz w:val="18"/>
          <w:szCs w:val="18"/>
          <w:u w:val="single" w:color="auto"/>
          <w:color w:val="auto"/>
        </w:rPr>
        <w:t>Section 2.01(d)</w:t>
      </w:r>
      <w:r>
        <w:rPr>
          <w:rFonts w:ascii="Arial" w:cs="Arial" w:eastAsia="Arial" w:hAnsi="Arial"/>
          <w:sz w:val="18"/>
          <w:szCs w:val="18"/>
          <w:color w:val="auto"/>
        </w:rPr>
        <w:t xml:space="preserve">, in an aggregate principal amount at any one time outstanding not to exceed the amount set forth opposite such Lender’s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the First Amendment or opposite such caption in the Assignment and Assumption pursuant to which such Lender becomes a party hereto, as applicable, as such amount may be adjusted from time to time in accordance with this Agreement.</w:t>
      </w:r>
    </w:p>
    <w:p>
      <w:pPr>
        <w:spacing w:after="0" w:line="188"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transaction or series of related transactions for the purpose of or resulting, directly or indirectly, in (a) the acquisition of all or substantially all of the assets of any Person, or any business or division of any Person, (b) the acquisition of in excess of 50% of the Equity Interests of any Person, or (c) the acquisition of another Person by a merger, consolidation, amalgamation or any other combination with such Person.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Tranche B Term Lender</w:t>
      </w:r>
      <w:r>
        <w:rPr>
          <w:rFonts w:ascii="Arial" w:cs="Arial" w:eastAsia="Arial" w:hAnsi="Arial"/>
          <w:sz w:val="18"/>
          <w:szCs w:val="18"/>
          <w:color w:val="auto"/>
        </w:rPr>
        <w:t>” means SunTrust Bank, in its capacity as a Lender of Additional Tranche B Term Loans.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Tranche B Term Loan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2.01(c)</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Tranche B Term Loan Commitment</w:t>
      </w:r>
      <w:r>
        <w:rPr>
          <w:rFonts w:ascii="Arial" w:cs="Arial" w:eastAsia="Arial" w:hAnsi="Arial"/>
          <w:sz w:val="18"/>
          <w:szCs w:val="18"/>
          <w:color w:val="auto"/>
        </w:rPr>
        <w:t>” means, with respect to the Additional Tranche B Term Lender, the commitment of such Additional Tranche B Term Lender to make Additional Tranche B Term Loans on the Amendment and Restatement Effective Date in an amount equal to $105,102,955.47.</w:t>
      </w:r>
    </w:p>
    <w:p>
      <w:pPr>
        <w:spacing w:after="0" w:line="181" w:lineRule="exact"/>
        <w:rPr>
          <w:sz w:val="20"/>
          <w:szCs w:val="20"/>
          <w:color w:val="auto"/>
        </w:rPr>
      </w:pPr>
    </w:p>
    <w:p>
      <w:pPr>
        <w:ind w:right="8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Truist Bank in its capacity as administrative agent under any of the Loan Documents, or any successor administrative agent.</w:t>
      </w:r>
    </w:p>
    <w:p>
      <w:pPr>
        <w:spacing w:after="0" w:line="170"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or such other address or account as the Administrative Agent may from time to time notify to the Borrower and the Lenders.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from time to time by the Administrative Agent.</w:t>
      </w:r>
    </w:p>
    <w:p>
      <w:pPr>
        <w:spacing w:after="0" w:line="225"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and Restatement Agreement</w:t>
      </w:r>
      <w:r>
        <w:rPr>
          <w:rFonts w:ascii="Arial" w:cs="Arial" w:eastAsia="Arial" w:hAnsi="Arial"/>
          <w:sz w:val="18"/>
          <w:szCs w:val="18"/>
          <w:color w:val="auto"/>
        </w:rPr>
        <w:t>” has the meaning specified in the Preliminary Statements.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and Restatement Effective Date</w:t>
      </w:r>
      <w:r>
        <w:rPr>
          <w:rFonts w:ascii="Arial" w:cs="Arial" w:eastAsia="Arial" w:hAnsi="Arial"/>
          <w:sz w:val="18"/>
          <w:szCs w:val="18"/>
          <w:color w:val="auto"/>
        </w:rPr>
        <w:t>” has the meaning specified in the Amendment and Restatement Agreement.</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the United States Foreign Corrupt Practices Act of 1977, the UK Bribery Act 2010, or other similar legislation in other jurisdictions.</w:t>
      </w:r>
    </w:p>
    <w:p>
      <w:pPr>
        <w:spacing w:after="0" w:line="170" w:lineRule="exact"/>
        <w:rPr>
          <w:sz w:val="20"/>
          <w:szCs w:val="20"/>
          <w:color w:val="auto"/>
        </w:rPr>
      </w:pPr>
    </w:p>
    <w:p>
      <w:pPr>
        <w:jc w:val="center"/>
        <w:ind w:right="10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Fee Rate</w:t>
      </w:r>
      <w:r>
        <w:rPr>
          <w:rFonts w:ascii="Arial" w:cs="Arial" w:eastAsia="Arial" w:hAnsi="Arial"/>
          <w:sz w:val="18"/>
          <w:szCs w:val="18"/>
          <w:color w:val="auto"/>
        </w:rPr>
        <w:t>” means the Applicable Rate with respect to the “Commitment Fee” as set forth in the definition of Applicable Rate. E-4-2</w:t>
      </w:r>
    </w:p>
    <w:p>
      <w:pPr>
        <w:sectPr>
          <w:pgSz w:w="11900" w:h="16838" w:orient="portrait"/>
          <w:cols w:equalWidth="0" w:num="1">
            <w:col w:w="10900"/>
          </w:cols>
          <w:pgMar w:left="440" w:top="274" w:right="559" w:bottom="1440" w:gutter="0" w:footer="0" w:header="0"/>
        </w:sectPr>
      </w:pPr>
    </w:p>
    <w:bookmarkStart w:id="28" w:name="page29"/>
    <w:bookmarkEnd w:id="28"/>
    <w:p>
      <w:pPr>
        <w:ind w:firstLine="44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(a) in respect of the Term Facility, with respect to any Term Lender at any time, the percentage (carried out to the ninth decimal place) of the Term Facility represented by (i) such Term Lender’s Term Commitment at such time, subject to adjustment as provided in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principal amount of such Term Lender’s Term Loans at such time and (b) in respect of the Revolving Credit Facility, with respect to any Revolving Credit Lender at any time, the percentage (carried out to the ninth decimal place) of the Revolving Credit Facility represented by such Revolving Credit Lender’s Revolving Credit Commitment at such time, subject to adjustment as provided in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If the commitment of each Lender to make Loans and the obligation of the L/C Issuers to make L/C Credit Extensions have been terminated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or if the Revolving Credit Commitments or the Term Commitments have expired, then the Applicable Percentage of each Lender in respect of the applicable Facility shall be determined based on the Applicable Percentage of such Lender in respect of such Facility most recently in effect, giving effect to any subsequent assignments. The initial Applicable Percentage of each Lender in respect of each Facility is set forth opposite the name of such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w:t>
      </w:r>
    </w:p>
    <w:p>
      <w:pPr>
        <w:spacing w:after="0" w:line="16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xml:space="preserve">” means, at any time, in respect of (x) the Tranche B Term Loans and the Extended 2017 Incremental Term Loans (A) prior to any Ratings Event, 4.25% per annum for Base Rate Loans and 5.25% per annum for Eurodollar Rate Loans and (B) after a Ratings Event, 4.75% per annum for Base Rate Loans and 5.75% per annum for Eurodollar Rate Loans, (y) the 2017 Incremental Term Loans, 2.25% per annum for Base Rate Loans and 3.25% per annum for Eurodollar Rate Loans and (z) the Revolving Credit Facility, the applicable percentage per annum set forth below determined by reference to the Consolidated Leverage Ratio as set forth in the most recent Compliance Certificate received by the Administrative Agent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w:t>
      </w:r>
    </w:p>
    <w:p>
      <w:pPr>
        <w:spacing w:after="0" w:line="199"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Eurocurrency</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Pricing</w:t>
            </w:r>
          </w:p>
        </w:tc>
        <w:tc>
          <w:tcPr>
            <w:tcW w:w="158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Consolidated</w:t>
            </w: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Rate Loans /</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0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Base Rate Loans</w:t>
            </w:r>
          </w:p>
        </w:tc>
        <w:tc>
          <w:tcPr>
            <w:tcW w:w="260" w:type="dxa"/>
            <w:vAlign w:val="bottom"/>
          </w:tcPr>
          <w:p>
            <w:pPr>
              <w:spacing w:after="0"/>
              <w:rPr>
                <w:sz w:val="12"/>
                <w:szCs w:val="12"/>
                <w:color w:val="auto"/>
              </w:rPr>
            </w:pPr>
          </w:p>
        </w:tc>
        <w:tc>
          <w:tcPr>
            <w:tcW w:w="128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6"/>
              </w:rPr>
              <w:t>Letter of</w:t>
            </w:r>
          </w:p>
        </w:tc>
        <w:tc>
          <w:tcPr>
            <w:tcW w:w="15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Commitment Fee</w:t>
            </w:r>
          </w:p>
        </w:tc>
        <w:tc>
          <w:tcPr>
            <w:tcW w:w="0" w:type="dxa"/>
            <w:vAlign w:val="bottom"/>
          </w:tcPr>
          <w:p>
            <w:pPr>
              <w:spacing w:after="0"/>
              <w:rPr>
                <w:sz w:val="1"/>
                <w:szCs w:val="1"/>
                <w:color w:val="auto"/>
              </w:rPr>
            </w:pPr>
          </w:p>
        </w:tc>
      </w:tr>
      <w:tr>
        <w:trPr>
          <w:trHeight w:val="162"/>
        </w:trPr>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Level</w:t>
            </w:r>
          </w:p>
        </w:tc>
        <w:tc>
          <w:tcPr>
            <w:tcW w:w="15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20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Credit Fees</w:t>
            </w:r>
          </w:p>
        </w:tc>
        <w:tc>
          <w:tcPr>
            <w:tcW w:w="15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1700" w:type="dxa"/>
            <w:vAlign w:val="bottom"/>
            <w:shd w:val="clear" w:color="auto" w:fill="CCEEFF"/>
          </w:tcPr>
          <w:p>
            <w:pPr>
              <w:spacing w:after="0" w:line="20" w:lineRule="exact"/>
              <w:rPr>
                <w:sz w:val="1"/>
                <w:szCs w:val="1"/>
                <w:color w:val="auto"/>
              </w:rPr>
            </w:pPr>
          </w:p>
        </w:tc>
        <w:tc>
          <w:tcPr>
            <w:tcW w:w="1580" w:type="dxa"/>
            <w:vAlign w:val="bottom"/>
            <w:vMerge w:val="restart"/>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14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³ 4.00x</w:t>
            </w:r>
          </w:p>
        </w:tc>
        <w:tc>
          <w:tcPr>
            <w:tcW w:w="560" w:type="dxa"/>
            <w:vAlign w:val="bottom"/>
            <w:vMerge w:val="continue"/>
            <w:shd w:val="clear" w:color="auto" w:fill="CCEEFF"/>
          </w:tcPr>
          <w:p>
            <w:pPr>
              <w:spacing w:after="0"/>
              <w:rPr>
                <w:sz w:val="17"/>
                <w:szCs w:val="17"/>
                <w:color w:val="auto"/>
              </w:rPr>
            </w:pPr>
          </w:p>
        </w:tc>
        <w:tc>
          <w:tcPr>
            <w:tcW w:w="144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3.00%</w:t>
            </w:r>
          </w:p>
        </w:tc>
        <w:tc>
          <w:tcPr>
            <w:tcW w:w="26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4.00%</w:t>
            </w:r>
          </w:p>
        </w:tc>
        <w:tc>
          <w:tcPr>
            <w:tcW w:w="26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2</w:t>
            </w:r>
          </w:p>
        </w:tc>
        <w:tc>
          <w:tcPr>
            <w:tcW w:w="1700" w:type="dxa"/>
            <w:vAlign w:val="bottom"/>
          </w:tcPr>
          <w:p>
            <w:pPr>
              <w:spacing w:after="0"/>
              <w:rPr>
                <w:sz w:val="18"/>
                <w:szCs w:val="18"/>
                <w:color w:val="auto"/>
              </w:rPr>
            </w:pPr>
          </w:p>
        </w:tc>
        <w:tc>
          <w:tcPr>
            <w:tcW w:w="3000" w:type="dxa"/>
            <w:vAlign w:val="bottom"/>
            <w:gridSpan w:val="2"/>
          </w:tcPr>
          <w:p>
            <w:pPr>
              <w:jc w:val="center"/>
              <w:ind w:left="1490"/>
              <w:spacing w:after="0"/>
              <w:rPr>
                <w:sz w:val="20"/>
                <w:szCs w:val="20"/>
                <w:color w:val="auto"/>
              </w:rPr>
            </w:pPr>
            <w:r>
              <w:rPr>
                <w:rFonts w:ascii="Arial" w:cs="Arial" w:eastAsia="Arial" w:hAnsi="Arial"/>
                <w:sz w:val="18"/>
                <w:szCs w:val="18"/>
                <w:color w:val="auto"/>
                <w:w w:val="91"/>
              </w:rPr>
              <w:t>³ 3.50x and &lt; 4.00x</w:t>
            </w:r>
          </w:p>
        </w:tc>
        <w:tc>
          <w:tcPr>
            <w:tcW w:w="2000" w:type="dxa"/>
            <w:vAlign w:val="bottom"/>
            <w:gridSpan w:val="3"/>
          </w:tcPr>
          <w:p>
            <w:pPr>
              <w:jc w:val="right"/>
              <w:ind w:right="260"/>
              <w:spacing w:after="0"/>
              <w:rPr>
                <w:sz w:val="20"/>
                <w:szCs w:val="20"/>
                <w:color w:val="auto"/>
              </w:rPr>
            </w:pPr>
            <w:r>
              <w:rPr>
                <w:rFonts w:ascii="Arial" w:cs="Arial" w:eastAsia="Arial" w:hAnsi="Arial"/>
                <w:sz w:val="18"/>
                <w:szCs w:val="18"/>
                <w:color w:val="auto"/>
              </w:rPr>
              <w:t>2.75%</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3.75%</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70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center"/>
              <w:ind w:left="1490"/>
              <w:spacing w:after="0"/>
              <w:rPr>
                <w:sz w:val="20"/>
                <w:szCs w:val="20"/>
                <w:color w:val="auto"/>
              </w:rPr>
            </w:pPr>
            <w:r>
              <w:rPr>
                <w:rFonts w:ascii="Arial" w:cs="Arial" w:eastAsia="Arial" w:hAnsi="Arial"/>
                <w:sz w:val="18"/>
                <w:szCs w:val="18"/>
                <w:color w:val="auto"/>
                <w:w w:val="91"/>
              </w:rPr>
              <w:t>³ 3.00x and &lt; 3.50x</w:t>
            </w:r>
          </w:p>
        </w:tc>
        <w:tc>
          <w:tcPr>
            <w:tcW w:w="2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2.50%</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3.50%</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4</w:t>
            </w:r>
          </w:p>
        </w:tc>
        <w:tc>
          <w:tcPr>
            <w:tcW w:w="1700" w:type="dxa"/>
            <w:vAlign w:val="bottom"/>
          </w:tcPr>
          <w:p>
            <w:pPr>
              <w:spacing w:after="0"/>
              <w:rPr>
                <w:sz w:val="18"/>
                <w:szCs w:val="18"/>
                <w:color w:val="auto"/>
              </w:rPr>
            </w:pPr>
          </w:p>
        </w:tc>
        <w:tc>
          <w:tcPr>
            <w:tcW w:w="3000" w:type="dxa"/>
            <w:vAlign w:val="bottom"/>
            <w:gridSpan w:val="2"/>
          </w:tcPr>
          <w:p>
            <w:pPr>
              <w:jc w:val="center"/>
              <w:ind w:left="1490"/>
              <w:spacing w:after="0"/>
              <w:rPr>
                <w:sz w:val="20"/>
                <w:szCs w:val="20"/>
                <w:color w:val="auto"/>
              </w:rPr>
            </w:pPr>
            <w:r>
              <w:rPr>
                <w:rFonts w:ascii="Arial" w:cs="Arial" w:eastAsia="Arial" w:hAnsi="Arial"/>
                <w:sz w:val="18"/>
                <w:szCs w:val="18"/>
                <w:color w:val="auto"/>
                <w:w w:val="91"/>
              </w:rPr>
              <w:t>³ 2.50x and &lt; 3.00x</w:t>
            </w:r>
          </w:p>
        </w:tc>
        <w:tc>
          <w:tcPr>
            <w:tcW w:w="2000" w:type="dxa"/>
            <w:vAlign w:val="bottom"/>
            <w:gridSpan w:val="3"/>
          </w:tcPr>
          <w:p>
            <w:pPr>
              <w:jc w:val="right"/>
              <w:ind w:right="260"/>
              <w:spacing w:after="0"/>
              <w:rPr>
                <w:sz w:val="20"/>
                <w:szCs w:val="20"/>
                <w:color w:val="auto"/>
              </w:rPr>
            </w:pPr>
            <w:r>
              <w:rPr>
                <w:rFonts w:ascii="Arial" w:cs="Arial" w:eastAsia="Arial" w:hAnsi="Arial"/>
                <w:sz w:val="18"/>
                <w:szCs w:val="18"/>
                <w:color w:val="auto"/>
              </w:rPr>
              <w:t>2.25%</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3.25%</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7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&lt; 2.50x</w:t>
            </w:r>
          </w:p>
        </w:tc>
        <w:tc>
          <w:tcPr>
            <w:tcW w:w="2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3.00%</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Arial" w:cs="Arial" w:eastAsia="Arial" w:hAnsi="Arial"/>
          <w:sz w:val="18"/>
          <w:szCs w:val="18"/>
          <w:u w:val="single" w:color="auto"/>
          <w:color w:val="auto"/>
        </w:rPr>
        <w:t>Section 6.02(b)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either an Event of Default exists or a Compliance Certificate is not delivered when due in accordance with </w:t>
      </w:r>
      <w:r>
        <w:rPr>
          <w:rFonts w:ascii="Arial" w:cs="Arial" w:eastAsia="Arial" w:hAnsi="Arial"/>
          <w:sz w:val="18"/>
          <w:szCs w:val="18"/>
          <w:u w:val="single" w:color="auto"/>
          <w:color w:val="auto"/>
        </w:rPr>
        <w:t>Section 6.02(b)</w:t>
      </w:r>
      <w:r>
        <w:rPr>
          <w:rFonts w:ascii="Arial" w:cs="Arial" w:eastAsia="Arial" w:hAnsi="Arial"/>
          <w:sz w:val="18"/>
          <w:szCs w:val="18"/>
          <w:color w:val="auto"/>
        </w:rPr>
        <w:t>, then Pricing Level 1 shall apply in respect of the Revolving Credit Facility as of the first Business Day after either an Event of Default exists or the date on which such Compliance Certificate was required to have been delivered, as applicable, and shall remain in effect until the date on which no Event of Default exists and such Compliance Certificate is delivered.</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Notwithstanding anything to the contrary contained in this definition, the determination of the Applicable Rate for any period shall be subject to the provisions of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Requirements</w:t>
      </w:r>
      <w:r>
        <w:rPr>
          <w:rFonts w:ascii="Arial" w:cs="Arial" w:eastAsia="Arial" w:hAnsi="Arial"/>
          <w:sz w:val="18"/>
          <w:szCs w:val="18"/>
          <w:color w:val="auto"/>
        </w:rPr>
        <w:t>” shall mean, in respect of any Indebtedness, that such Indebtedness satisfies the following requirements:</w:t>
      </w:r>
    </w:p>
    <w:p>
      <w:pPr>
        <w:spacing w:after="0" w:line="117" w:lineRule="exact"/>
        <w:rPr>
          <w:sz w:val="20"/>
          <w:szCs w:val="20"/>
          <w:color w:val="auto"/>
        </w:rPr>
      </w:pPr>
    </w:p>
    <w:p>
      <w:pPr>
        <w:ind w:left="440" w:right="460" w:firstLine="428"/>
        <w:spacing w:after="0" w:line="277" w:lineRule="auto"/>
        <w:tabs>
          <w:tab w:leader="none" w:pos="11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Indebtedness shall not mature earlier than 91 days after the Latest Maturity Date of the Term Loans outstanding at the time of incurrence of such Indebtedness;</w:t>
      </w:r>
    </w:p>
    <w:p>
      <w:pPr>
        <w:spacing w:after="0" w:line="62" w:lineRule="exact"/>
        <w:rPr>
          <w:rFonts w:ascii="Arial" w:cs="Arial" w:eastAsia="Arial" w:hAnsi="Arial"/>
          <w:sz w:val="18"/>
          <w:szCs w:val="18"/>
          <w:color w:val="auto"/>
        </w:rPr>
      </w:pPr>
    </w:p>
    <w:p>
      <w:pPr>
        <w:ind w:left="440" w:right="100" w:firstLine="428"/>
        <w:spacing w:after="0" w:line="277" w:lineRule="auto"/>
        <w:tabs>
          <w:tab w:leader="none" w:pos="1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Indebtedness shall have a weighted average life to maturity not shorter than the remaining weighted average life to maturity of the Term Loans outstanding at the time of incurrence of such Indebtedness;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E-4-3</w:t>
      </w:r>
    </w:p>
    <w:p>
      <w:pPr>
        <w:sectPr>
          <w:pgSz w:w="11900" w:h="16838" w:orient="portrait"/>
          <w:cols w:equalWidth="0" w:num="1">
            <w:col w:w="10980"/>
          </w:cols>
          <w:pgMar w:left="440" w:top="274" w:right="479" w:bottom="1440" w:gutter="0" w:footer="0" w:header="0"/>
        </w:sectPr>
      </w:pPr>
    </w:p>
    <w:bookmarkStart w:id="29" w:name="page30"/>
    <w:bookmarkEnd w:id="29"/>
    <w:p>
      <w:pPr>
        <w:ind w:left="1120" w:hanging="252"/>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Indebtedness shall not be guaranteed by any Person other than any Loan Party and shall not have any obligors other than any Loan</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102" w:lineRule="exact"/>
        <w:rPr>
          <w:rFonts w:ascii="Arial" w:cs="Arial" w:eastAsia="Arial" w:hAnsi="Arial"/>
          <w:sz w:val="16"/>
          <w:szCs w:val="16"/>
          <w:color w:val="auto"/>
        </w:rPr>
      </w:pPr>
    </w:p>
    <w:p>
      <w:pPr>
        <w:ind w:left="440" w:right="40" w:firstLine="428"/>
        <w:spacing w:after="0" w:line="279" w:lineRule="auto"/>
        <w:tabs>
          <w:tab w:leader="none" w:pos="111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other terms and conditions of such Indebtedness (excluding pricing, fees, rate floors, premiums, optional prepayment or optional redemption provisions) are (i) not materially less favorable (when taken as a whole) to the Borrower and its Subsidiaries than those set forth in the Loan Documents (when taken as a whole) or (ii) on customary terms at the time of incurrence, except in each case for covenants or other provisions contained in such Indebtedness that are applicable only after the then Latest Maturity Date; and</w:t>
      </w:r>
    </w:p>
    <w:p>
      <w:pPr>
        <w:spacing w:after="0" w:line="63" w:lineRule="exact"/>
        <w:rPr>
          <w:rFonts w:ascii="Arial" w:cs="Arial" w:eastAsia="Arial" w:hAnsi="Arial"/>
          <w:sz w:val="17"/>
          <w:szCs w:val="17"/>
          <w:color w:val="auto"/>
        </w:rPr>
      </w:pPr>
    </w:p>
    <w:p>
      <w:pPr>
        <w:ind w:left="440" w:right="160" w:firstLine="428"/>
        <w:spacing w:after="0" w:line="277" w:lineRule="auto"/>
        <w:tabs>
          <w:tab w:leader="none" w:pos="11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holders of such Indebtedness may participate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or less than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(but not on a greater than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in any voluntary or mandatory prepayments of Term Loans then outstanding.”</w:t>
      </w:r>
    </w:p>
    <w:p>
      <w:pPr>
        <w:spacing w:after="0" w:line="170"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Revolving Credit Percentage</w:t>
      </w:r>
      <w:r>
        <w:rPr>
          <w:rFonts w:ascii="Arial" w:cs="Arial" w:eastAsia="Arial" w:hAnsi="Arial"/>
          <w:sz w:val="18"/>
          <w:szCs w:val="18"/>
          <w:color w:val="auto"/>
        </w:rPr>
        <w:t>” means with respect to any Revolving Credit Lender at any time, such Revolving Credit Lender’s Applicable Percentage in respect of the Revolving Credit Facility at such time.</w:t>
      </w:r>
    </w:p>
    <w:p>
      <w:pPr>
        <w:spacing w:after="0" w:line="170"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Appropriate Lender</w:t>
      </w:r>
      <w:r>
        <w:rPr>
          <w:rFonts w:ascii="Arial" w:cs="Arial" w:eastAsia="Arial" w:hAnsi="Arial"/>
          <w:sz w:val="17"/>
          <w:szCs w:val="17"/>
          <w:color w:val="auto"/>
        </w:rPr>
        <w:t xml:space="preserve">” means, at any time, (a) with respect to any Facility, a Lender that has a Commitment with respect to such Facility or holds a Loan under such Facility at such time, (b) with respect to the Letter of Credit Sublimit, (i) the L/C Issuers and (ii) if any Letters of Credit have been issued pursuant to </w:t>
      </w: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the Revolving Credit Lenders and (c) with respect to the Swing Line Sublimit, (i) the Swing Line Lender and (ii) if any Swing Line Loans are outstanding pursuant to </w:t>
      </w:r>
      <w:r>
        <w:rPr>
          <w:rFonts w:ascii="Arial" w:cs="Arial" w:eastAsia="Arial" w:hAnsi="Arial"/>
          <w:sz w:val="17"/>
          <w:szCs w:val="17"/>
          <w:u w:val="single" w:color="auto"/>
          <w:color w:val="auto"/>
        </w:rPr>
        <w:t>Section 2.04(a)</w:t>
      </w:r>
      <w:r>
        <w:rPr>
          <w:rFonts w:ascii="Arial" w:cs="Arial" w:eastAsia="Arial" w:hAnsi="Arial"/>
          <w:sz w:val="17"/>
          <w:szCs w:val="17"/>
          <w:color w:val="auto"/>
        </w:rPr>
        <w:t>, the Revolving Credit Lenders.</w:t>
      </w:r>
    </w:p>
    <w:p>
      <w:pPr>
        <w:spacing w:after="0" w:line="17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collectively, KeyBanc Capital Markets Inc., SunTrust Robinson Humphrey, Inc. and Regions Capital Markets, a division of Regions Bank, in their respective capacities as Joint Lead Arrangers and Joint Bookrunners.</w:t>
      </w:r>
    </w:p>
    <w:p>
      <w:pPr>
        <w:spacing w:after="0" w:line="170" w:lineRule="exact"/>
        <w:rPr>
          <w:sz w:val="20"/>
          <w:szCs w:val="20"/>
          <w:color w:val="auto"/>
        </w:rPr>
      </w:pPr>
    </w:p>
    <w:p>
      <w:pPr>
        <w:ind w:right="16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and Assumption</w:t>
      </w:r>
      <w:r>
        <w:rPr>
          <w:rFonts w:ascii="Arial" w:cs="Arial" w:eastAsia="Arial" w:hAnsi="Arial"/>
          <w:sz w:val="17"/>
          <w:szCs w:val="17"/>
          <w:color w:val="auto"/>
        </w:rPr>
        <w:t xml:space="preserve">” means an assignment and assumption entered into by a Lender and an Eligible Assignee (with the consent of any party whose consent is required by </w:t>
      </w:r>
      <w:r>
        <w:rPr>
          <w:rFonts w:ascii="Arial" w:cs="Arial" w:eastAsia="Arial" w:hAnsi="Arial"/>
          <w:sz w:val="17"/>
          <w:szCs w:val="17"/>
          <w:u w:val="single" w:color="auto"/>
          <w:color w:val="auto"/>
        </w:rPr>
        <w:t>Section 10.06(b)</w:t>
      </w:r>
      <w:r>
        <w:rPr>
          <w:rFonts w:ascii="Arial" w:cs="Arial" w:eastAsia="Arial" w:hAnsi="Arial"/>
          <w:sz w:val="17"/>
          <w:szCs w:val="17"/>
          <w:color w:val="auto"/>
        </w:rPr>
        <w:t xml:space="preserve">), and accepted by the Administrative Agent, in substantially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or any other form (including electronic documentation generated by use of an electronic platform) approved by the Administrative Agent.</w:t>
      </w:r>
    </w:p>
    <w:p>
      <w:pPr>
        <w:spacing w:after="0" w:line="166"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and (c) all Synthetic Debt of such Person.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Audited Financial Statements</w:t>
      </w:r>
      <w:r>
        <w:rPr>
          <w:rFonts w:ascii="Arial" w:cs="Arial" w:eastAsia="Arial" w:hAnsi="Arial"/>
          <w:sz w:val="16"/>
          <w:szCs w:val="16"/>
          <w:color w:val="auto"/>
        </w:rPr>
        <w:t>” means, collectively, the Borrower Audited Financial Statements and the Company Audited Financial Statements.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Availability Period</w:t>
      </w:r>
      <w:r>
        <w:rPr>
          <w:rFonts w:ascii="Arial" w:cs="Arial" w:eastAsia="Arial" w:hAnsi="Arial"/>
          <w:sz w:val="17"/>
          <w:szCs w:val="17"/>
          <w:color w:val="auto"/>
        </w:rPr>
        <w:t>” means, (a) in respect of the Revolving Credit Facility, the period commencing on the day after the Closing Date to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earliest of (i) the Maturity Date for the Revolving Credit Facility, (ii) the date of termination of the Revolving Credit Commitments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2.06</w:t>
      </w:r>
      <w:r>
        <w:rPr>
          <w:rFonts w:ascii="Arial" w:cs="Arial" w:eastAsia="Arial" w:hAnsi="Arial"/>
          <w:sz w:val="16"/>
          <w:szCs w:val="16"/>
          <w:color w:val="auto"/>
        </w:rPr>
        <w:t>, and (iii) the date of termination of the commitment of each Revolving Credit Lender to make Revolving Credit Loans and of the obligation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of the L/C Issuers to make L/C Credit Extensions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(b) in respect of the Tranche B Term Facility, the Amendment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Restatement Effective Date and (c) in respect of the 2017 Incremental Term Facility, the First Amendment Effective Date.</w:t>
      </w:r>
    </w:p>
    <w:p>
      <w:pPr>
        <w:spacing w:after="0" w:line="211"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E-4-4</w:t>
      </w:r>
    </w:p>
    <w:p>
      <w:pPr>
        <w:sectPr>
          <w:pgSz w:w="11900" w:h="16838" w:orient="portrait"/>
          <w:cols w:equalWidth="0" w:num="1">
            <w:col w:w="11020"/>
          </w:cols>
          <w:pgMar w:left="440" w:top="274" w:right="439" w:bottom="1440" w:gutter="0" w:footer="0" w:header="0"/>
        </w:sectPr>
      </w:pPr>
    </w:p>
    <w:bookmarkStart w:id="30" w:name="page31"/>
    <w:bookmarkEnd w:id="30"/>
    <w:p>
      <w:pPr>
        <w:ind w:right="4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shall mean the highest of (i) the rate which the Administrative Agent announces from time to time as its prime lending rate, as in effect from time to time, (ii) the Federal Funds Rate, as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one-half of one percent (0.50%)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and (iii) the Eurodollar Rate determined on a daily basis for an Interest Period of one (1) month,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one percent (1.00%)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(any changes in such rates to be effective as of the date of any change in such rate). The Administrative Agent’s prime lending rate is a reference rate and does not necessarily represent the lowest or best rate actually charged to any customer. The Administrative Agent may make commercial loans or other loans at rates of interest at, above, or below the Administrative Agent’s prime lending rate.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Revolving Credit Loan or a Term Loan that bears interest based on the Base Rate.</w:t>
      </w:r>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shall mean an “affiliate” (as such term is defined under, and interpreted in accordance with, 12 U.S.C. 1841(k)) of such party.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Audited Financial Statements</w:t>
      </w:r>
      <w:r>
        <w:rPr>
          <w:rFonts w:ascii="Arial" w:cs="Arial" w:eastAsia="Arial" w:hAnsi="Arial"/>
          <w:sz w:val="18"/>
          <w:szCs w:val="18"/>
          <w:color w:val="auto"/>
        </w:rPr>
        <w:t>” means the audited consolidated balance sheet of the Borrower and its Subsidiaries (but not including the Company and its Subsidiaries) for the fiscal years ended December 31, 2012, December 31, 2013 and December 31, 2014, and the related consolidated statements of income or operations, shareholders’ equity and cash flows for such fiscal year of the Borrower and its Subsidiaries, including the notes thereto.</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Interim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4.01(a)(ix)</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Pro Forma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4.01(a)(x)</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Borrowing, a Swing Line Borrowing or a Term Borrowing, as the context may require.</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81"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Distribution</w:t>
      </w:r>
      <w:r>
        <w:rPr>
          <w:rFonts w:ascii="Arial" w:cs="Arial" w:eastAsia="Arial" w:hAnsi="Arial"/>
          <w:sz w:val="17"/>
          <w:szCs w:val="17"/>
          <w:color w:val="auto"/>
        </w:rPr>
        <w:t>” means a payment made, liability incurred or other consideration given by the Borrower or any of its Subsidiaries, for the purchase, acquisition, redemption, repurchase, payment, defeasance, cancellation, termination or retirement of any capital stock or other Equity Interest of the Borrower or such Subsidiary, as applicable, or as a dividend, return of capital or other distribution (other than any stock dividend, stock split or other equity distribution payable only in its common capital stock or other Equity Interests (other than Disqualified Equity Interests)) in respect of the Borrower’s or such Subsidiary’s (as the case may be) capital stock or other Equity Interest.</w:t>
      </w:r>
    </w:p>
    <w:p>
      <w:pPr>
        <w:spacing w:after="0" w:line="173" w:lineRule="exact"/>
        <w:rPr>
          <w:sz w:val="20"/>
          <w:szCs w:val="20"/>
          <w:color w:val="auto"/>
        </w:rPr>
      </w:pPr>
    </w:p>
    <w:p>
      <w:pPr>
        <w:ind w:right="26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means, with respect to any Person for any period, any expenditure in respect of the purchase or other acquisition of any fixed or capital asset (excluding normal replacements and maintenance which are properly charged to current operations).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Leases</w:t>
      </w:r>
      <w:r>
        <w:rPr>
          <w:rFonts w:ascii="Arial" w:cs="Arial" w:eastAsia="Arial" w:hAnsi="Arial"/>
          <w:sz w:val="18"/>
          <w:szCs w:val="18"/>
          <w:color w:val="auto"/>
        </w:rPr>
        <w:t>” means all leases that have been or should be, in accordance with GAAP, recorded as capitalized leases.</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E-4-5</w:t>
      </w:r>
    </w:p>
    <w:p>
      <w:pPr>
        <w:sectPr>
          <w:pgSz w:w="11900" w:h="16838" w:orient="portrait"/>
          <w:cols w:equalWidth="0" w:num="1">
            <w:col w:w="11020"/>
          </w:cols>
          <w:pgMar w:left="440" w:top="274" w:right="439" w:bottom="1440" w:gutter="0" w:footer="0" w:header="0"/>
        </w:sectPr>
      </w:pPr>
    </w:p>
    <w:bookmarkStart w:id="31" w:name="page32"/>
    <w:bookmarkEnd w:id="31"/>
    <w:p>
      <w:pPr>
        <w:ind w:right="8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Administrative Agent, for the benefit of one or more of the respective L/C Issuers or Swing Line Lender (as applicable) and the Lenders, as collateral for L/C Obligations, Obligations in respect of Swing Line Loans, or obligations of Lenders to fund participations in respect of either thereof (as the context may require), cash or deposit account balances or, if the Administrative Agent, the applicable L/C Issuer or Swing Line Lender shall agree in their sole discretion, other credit support, in each case pursuant to documentation in form and substance satisfactory to (a) the Administrative Agent and (b) the respective L/C Issuer or the Swing Line Lender (as applicable). “</w:t>
      </w:r>
      <w:r>
        <w:rPr>
          <w:rFonts w:ascii="Arial" w:cs="Arial" w:eastAsia="Arial" w:hAnsi="Arial"/>
          <w:sz w:val="18"/>
          <w:szCs w:val="18"/>
          <w:u w:val="single" w:color="auto"/>
          <w:color w:val="auto"/>
        </w:rPr>
        <w:t>Cash Collateral</w:t>
      </w:r>
      <w:r>
        <w:rPr>
          <w:rFonts w:ascii="Arial" w:cs="Arial" w:eastAsia="Arial" w:hAnsi="Arial"/>
          <w:sz w:val="18"/>
          <w:szCs w:val="18"/>
          <w:color w:val="auto"/>
        </w:rPr>
        <w:t>” shall have a meaning correlative to the foregoing and shall include the proceeds of such cash collateral and other credit support.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means any type of Investment permitted pursuant to </w:t>
      </w:r>
      <w:r>
        <w:rPr>
          <w:rFonts w:ascii="Arial" w:cs="Arial" w:eastAsia="Arial" w:hAnsi="Arial"/>
          <w:sz w:val="18"/>
          <w:szCs w:val="18"/>
          <w:u w:val="single" w:color="auto"/>
          <w:color w:val="auto"/>
        </w:rPr>
        <w:t>Section 7.03(a)(ii)</w:t>
      </w:r>
      <w:r>
        <w:rPr>
          <w:rFonts w:ascii="Arial" w:cs="Arial" w:eastAsia="Arial" w:hAnsi="Arial"/>
          <w:sz w:val="18"/>
          <w:szCs w:val="18"/>
          <w:color w:val="auto"/>
        </w:rPr>
        <w:t>.</w:t>
      </w:r>
    </w:p>
    <w:p>
      <w:pPr>
        <w:spacing w:after="0" w:line="22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to provide cash management services, including treasury, depository, overdraft, credit or debit card, electronic funds transfer and other cash management arrangements.</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any Person that (a) at the time it enters into a Cash Management Agreement with a Loan Party, is the Administrative Agent, an Affiliate of the Administrative Agent, a Lender or an Affiliate of a Lender or (b) at the time it (or its Affiliate) becomes the Administrative Agent or a Lender, as applicable (including on the Closing Date), is a party to a Cash Management Agreement with a Loan Party, in each case in its capacity as a party to such Cash Management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Cashless Option Lender</w:t>
      </w:r>
      <w:r>
        <w:rPr>
          <w:rFonts w:ascii="Arial" w:cs="Arial" w:eastAsia="Arial" w:hAnsi="Arial"/>
          <w:sz w:val="18"/>
          <w:szCs w:val="18"/>
          <w:color w:val="auto"/>
        </w:rPr>
        <w:t>” has the meaning specified in the Amendment and Restatement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any of the following:</w:t>
      </w:r>
    </w:p>
    <w:p>
      <w:pPr>
        <w:spacing w:after="0" w:line="117" w:lineRule="exact"/>
        <w:rPr>
          <w:sz w:val="20"/>
          <w:szCs w:val="20"/>
          <w:color w:val="auto"/>
        </w:rPr>
      </w:pPr>
    </w:p>
    <w:p>
      <w:pPr>
        <w:ind w:left="440" w:right="60" w:firstLine="428"/>
        <w:spacing w:after="0" w:line="257" w:lineRule="auto"/>
        <w:tabs>
          <w:tab w:leader="none" w:pos="11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acquisition of, or, if earlier, the shareholder or director approval of the acquisition of, ownership or voting control, directly or indirectly, beneficially (within the meaning of Rules 13d-3 and 13d-5 of the Securities Exchange Act of 1934, as then in effect) or of record, on or after the Closing Date, by any Person or group (within the meaning of Sections 13d and 14d of the Securities Exchange Act of 1934, as then in effect), of shares representing more than thirty-five percent (35%) of the aggregate ordinary Voting Power represented by the issued and outstanding capital stock of the Borrower;</w:t>
      </w:r>
    </w:p>
    <w:p>
      <w:pPr>
        <w:spacing w:after="0" w:line="80" w:lineRule="exact"/>
        <w:rPr>
          <w:rFonts w:ascii="Arial" w:cs="Arial" w:eastAsia="Arial" w:hAnsi="Arial"/>
          <w:sz w:val="18"/>
          <w:szCs w:val="18"/>
          <w:color w:val="auto"/>
        </w:rPr>
      </w:pPr>
    </w:p>
    <w:p>
      <w:pPr>
        <w:ind w:left="440" w:right="180" w:firstLine="428"/>
        <w:spacing w:after="0" w:line="273" w:lineRule="auto"/>
        <w:tabs>
          <w:tab w:leader="none" w:pos="1118"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during any period of 12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constituting at the time of such election or nomination at least a majority of that board or equivalent governing body;</w:t>
      </w:r>
    </w:p>
    <w:p>
      <w:pPr>
        <w:spacing w:after="0" w:line="70" w:lineRule="exact"/>
        <w:rPr>
          <w:rFonts w:ascii="Arial" w:cs="Arial" w:eastAsia="Arial" w:hAnsi="Arial"/>
          <w:sz w:val="17"/>
          <w:szCs w:val="17"/>
          <w:color w:val="auto"/>
        </w:rPr>
      </w:pPr>
    </w:p>
    <w:p>
      <w:pPr>
        <w:ind w:left="440" w:right="80" w:firstLine="428"/>
        <w:spacing w:after="0" w:line="277" w:lineRule="auto"/>
        <w:tabs>
          <w:tab w:leader="none" w:pos="11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Borrower shall cease to own, directly or indirectly, one hundred percent (100%) of the record and beneficial ownership of each other Loan Party; or</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occurrence of a change in control, or other similar provision, as defined in any Material Indebtedness Agreement.</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E-4-6</w:t>
      </w:r>
    </w:p>
    <w:p>
      <w:pPr>
        <w:sectPr>
          <w:pgSz w:w="11900" w:h="16838" w:orient="portrait"/>
          <w:cols w:equalWidth="0" w:num="1">
            <w:col w:w="11020"/>
          </w:cols>
          <w:pgMar w:left="440" w:top="274" w:right="439" w:bottom="1440" w:gutter="0" w:footer="0" w:header="0"/>
        </w:sectPr>
      </w:pPr>
    </w:p>
    <w:bookmarkStart w:id="32" w:name="page33"/>
    <w:bookmarkEnd w:id="32"/>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means the first date all the conditions precedent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10.01</w:t>
      </w:r>
      <w:r>
        <w:rPr>
          <w:rFonts w:ascii="Arial" w:cs="Arial" w:eastAsia="Arial" w:hAnsi="Arial"/>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Acquisition</w:t>
      </w:r>
      <w:r>
        <w:rPr>
          <w:rFonts w:ascii="Arial" w:cs="Arial" w:eastAsia="Arial" w:hAnsi="Arial"/>
          <w:sz w:val="18"/>
          <w:szCs w:val="18"/>
          <w:color w:val="auto"/>
        </w:rPr>
        <w:t>” has the meaning specified in the Preliminary Statements.</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Acquisition Agreement</w:t>
      </w:r>
      <w:r>
        <w:rPr>
          <w:rFonts w:ascii="Arial" w:cs="Arial" w:eastAsia="Arial" w:hAnsi="Arial"/>
          <w:sz w:val="18"/>
          <w:szCs w:val="18"/>
          <w:color w:val="auto"/>
        </w:rPr>
        <w:t>” means that certain Stock Purchase Agreement, dated as of August 17, 2015, by and among the Borrower, the Company and the Seller.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Consolidated Net Leverage Ratio</w:t>
      </w:r>
      <w:r>
        <w:rPr>
          <w:rFonts w:ascii="Arial" w:cs="Arial" w:eastAsia="Arial" w:hAnsi="Arial"/>
          <w:sz w:val="18"/>
          <w:szCs w:val="18"/>
          <w:color w:val="auto"/>
        </w:rPr>
        <w:t>” means 4.77:1.00.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jc w:val="both"/>
        <w:ind w:right="6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w:t>
      </w:r>
      <w:r>
        <w:rPr>
          <w:rFonts w:ascii="Arial" w:cs="Arial" w:eastAsia="Arial" w:hAnsi="Arial"/>
          <w:sz w:val="18"/>
          <w:szCs w:val="18"/>
          <w:u w:val="single" w:color="auto"/>
          <w:color w:val="auto"/>
        </w:rPr>
        <w:t>Collateral</w:t>
      </w:r>
      <w:r>
        <w:rPr>
          <w:rFonts w:ascii="Arial" w:cs="Arial" w:eastAsia="Arial" w:hAnsi="Arial"/>
          <w:sz w:val="18"/>
          <w:szCs w:val="18"/>
          <w:color w:val="auto"/>
        </w:rPr>
        <w:t>” and “</w:t>
      </w:r>
      <w:r>
        <w:rPr>
          <w:rFonts w:ascii="Arial" w:cs="Arial" w:eastAsia="Arial" w:hAnsi="Arial"/>
          <w:sz w:val="18"/>
          <w:szCs w:val="18"/>
          <w:u w:val="single" w:color="auto"/>
          <w:color w:val="auto"/>
        </w:rPr>
        <w:t>Mortgaged Property</w:t>
      </w:r>
      <w:r>
        <w:rPr>
          <w:rFonts w:ascii="Arial" w:cs="Arial" w:eastAsia="Arial" w:hAnsi="Arial"/>
          <w:sz w:val="18"/>
          <w:szCs w:val="18"/>
          <w:color w:val="auto"/>
        </w:rPr>
        <w:t>” or “</w:t>
      </w:r>
      <w:r>
        <w:rPr>
          <w:rFonts w:ascii="Arial" w:cs="Arial" w:eastAsia="Arial" w:hAnsi="Arial"/>
          <w:sz w:val="18"/>
          <w:szCs w:val="18"/>
          <w:u w:val="single" w:color="auto"/>
          <w:color w:val="auto"/>
        </w:rPr>
        <w:t>Trust Property</w:t>
      </w:r>
      <w:r>
        <w:rPr>
          <w:rFonts w:ascii="Arial" w:cs="Arial" w:eastAsia="Arial" w:hAnsi="Arial"/>
          <w:sz w:val="18"/>
          <w:szCs w:val="18"/>
          <w:color w:val="auto"/>
        </w:rPr>
        <w:t>” or other similar term referred to in the Collateral Documents and all of the other property that is or is intended under the terms of the Collateral Documents to be subject to Liens in favor of the Administrative Agent for the benefit of the Secured Parties.</w:t>
      </w:r>
    </w:p>
    <w:p>
      <w:pPr>
        <w:spacing w:after="0" w:line="181" w:lineRule="exact"/>
        <w:rPr>
          <w:sz w:val="20"/>
          <w:szCs w:val="20"/>
          <w:color w:val="auto"/>
        </w:rPr>
      </w:pPr>
    </w:p>
    <w:p>
      <w:pPr>
        <w:jc w:val="both"/>
        <w:ind w:right="20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collectively, the Security Agreement, the Intellectual Property Security Agreements, the Mortgages, each of the mortgages, collateral assignments, Security Joinder Agreements, security agreements, pledge agreements or other similar agreements delivered to the Administrative Agent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and each of the other agreements, instruments or documents that creates or purports to create a Lien in favor of the Administrative Agent for the benefit of the Secured Parties.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Term Commitment or a Revolving Credit Commitment, as the context may require.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225" w:lineRule="exact"/>
        <w:rPr>
          <w:sz w:val="20"/>
          <w:szCs w:val="20"/>
          <w:color w:val="auto"/>
        </w:rPr>
      </w:pPr>
    </w:p>
    <w:p>
      <w:pPr>
        <w:ind w:right="12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Committed Loan Notice</w:t>
      </w:r>
      <w:r>
        <w:rPr>
          <w:rFonts w:ascii="Arial" w:cs="Arial" w:eastAsia="Arial" w:hAnsi="Arial"/>
          <w:sz w:val="16"/>
          <w:szCs w:val="16"/>
          <w:color w:val="auto"/>
        </w:rPr>
        <w:t xml:space="preserve">” means a notice of (a) a Term Borrowing, (b) a Revolving Credit Borrowing, (c) a conversion of Loans from one Type to the other, or (d) a continuation of Eurodollar Rate Loans, pursuant to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which, if in writing,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i w:val="1"/>
          <w:iCs w:val="1"/>
          <w:color w:val="auto"/>
        </w:rPr>
        <w:t>et seq</w:t>
      </w:r>
      <w:r>
        <w:rPr>
          <w:rFonts w:ascii="Arial" w:cs="Arial" w:eastAsia="Arial" w:hAnsi="Arial"/>
          <w:sz w:val="16"/>
          <w:szCs w:val="16"/>
          <w:color w:val="auto"/>
        </w:rPr>
        <w:t>.), as amended from time to time, and any successor statute.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Preliminary Statements.</w:t>
      </w:r>
    </w:p>
    <w:p>
      <w:pPr>
        <w:spacing w:after="0" w:line="225" w:lineRule="exact"/>
        <w:rPr>
          <w:sz w:val="20"/>
          <w:szCs w:val="20"/>
          <w:color w:val="auto"/>
        </w:rPr>
      </w:pPr>
    </w:p>
    <w:p>
      <w:pPr>
        <w:jc w:val="both"/>
        <w:ind w:right="12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Audited Financial Statements</w:t>
      </w:r>
      <w:r>
        <w:rPr>
          <w:rFonts w:ascii="Arial" w:cs="Arial" w:eastAsia="Arial" w:hAnsi="Arial"/>
          <w:sz w:val="17"/>
          <w:szCs w:val="17"/>
          <w:color w:val="auto"/>
        </w:rPr>
        <w:t>” means the audited consolidated balance sheet of the Company and its Subsidiaries for the fiscal years ended December 31, 2012, December 31, 2013 and December 31, 2014, and the related consolidated statements of income or operations, shareholders’ equity and cash flows for such fiscal year of the Company and its Subsidiaries, including the notes thereto.</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Interim Financial Statements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4.01(a)(ix)</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Material Adverse Effect</w:t>
      </w:r>
      <w:r>
        <w:rPr>
          <w:rFonts w:ascii="Arial" w:cs="Arial" w:eastAsia="Arial" w:hAnsi="Arial"/>
          <w:sz w:val="17"/>
          <w:szCs w:val="17"/>
          <w:color w:val="auto"/>
        </w:rPr>
        <w:t>” means a material adverse effect on the financial condition, business, properties, or results of operations of the Company and its Subsidiaries, taken as a whole, excluding any change, occurrence, event or effect resulting directly or indirectly from (i) international, national, regional or industry-wide political, economic or business conditions (including financial, banking, securities and capital market conditions and any disruption thereof and adverse changes in the price of precious metals or other natural resources used by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E-4-7</w:t>
      </w:r>
    </w:p>
    <w:p>
      <w:pPr>
        <w:sectPr>
          <w:pgSz w:w="11900" w:h="16838" w:orient="portrait"/>
          <w:cols w:equalWidth="0" w:num="1">
            <w:col w:w="11020"/>
          </w:cols>
          <w:pgMar w:left="440" w:top="274" w:right="439" w:bottom="1440" w:gutter="0" w:footer="0" w:header="0"/>
        </w:sectPr>
      </w:pPr>
    </w:p>
    <w:bookmarkStart w:id="33" w:name="page34"/>
    <w:bookmarkEnd w:id="33"/>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and its Subsidiaries in the ordinary and usual course of their business, consistent with past practice), (ii) acts of war (whether or not declared), sabotage or terrorism, military actions or the escalation thereof, hurricanes, earthquakes, floods, tsunamis, tornadoes, mudslides, wild fires or other natural disasters and other force majeure events, (iii) any change, occurrence, event or effect generally applicable to the business of the Company and its Subsidiaries or affecting any of the following industries: precision manufacturing, medical and FDA-compliant devices, electrical controls, transportation or power grid distribution, (iv) actual or proposed changes in the Law (as defined in the Closing Date Acquisition Agreement) or applicable accounting regulations or standards (including GAAP (as defined in the Closing Date Acquisition Agreement)) or interpretations thereof,</w:t>
      </w:r>
    </w:p>
    <w:p>
      <w:pPr>
        <w:spacing w:after="0" w:line="5" w:lineRule="exact"/>
        <w:rPr>
          <w:sz w:val="20"/>
          <w:szCs w:val="20"/>
          <w:color w:val="auto"/>
        </w:rPr>
      </w:pPr>
    </w:p>
    <w:p>
      <w:pPr>
        <w:ind w:firstLine="4"/>
        <w:spacing w:after="0" w:line="286" w:lineRule="auto"/>
        <w:tabs>
          <w:tab w:leader="none" w:pos="2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any changes in the technology used by the Company and its Subsidiaries, their customers or others in any of the following industries: precision manufacturing, medical and FDA-compliant devices, electrical controls, transportation or power grid distribution, (vi) any failure by the Company or any of its Subsidiaries to meet any internal or published projections, forecasts or revenue or earnings predictions for any period, (vii) any matter that is set forth in any disclosure schedule to the Closing Date Acquisition Agreement, or (viii) the execution or announcement of the Closing Date Acquisition Agreement or of the Closing (as defined in the Closing Date Acquisition Agreement) or the taking of any action contemplated or required by the Closing Date Acquisition Agreement, or the consummation of the transactions contemplated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shall not prevent or otherwise affect a determination that the facts giving rise or contributing to any such failure has resulted in or contributed to a Company Material Adverse Effect, except that any change, occurrence, event or effect resulting from the matters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above may constitute a Company Material Adverse Effect, and shall be taken into account in determining whether a Company Material Adverse Effect has occurred or would or could occur to the extent that such change, occurrence, event or effect has a disproportionate impact on the Company and its Subsidiaries as compared to any of the other companies in the industries in which the Company and its Subsidiaries operate.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Consideration</w:t>
      </w:r>
      <w:r>
        <w:rPr>
          <w:rFonts w:ascii="Arial" w:cs="Arial" w:eastAsia="Arial" w:hAnsi="Arial"/>
          <w:sz w:val="18"/>
          <w:szCs w:val="18"/>
          <w:color w:val="auto"/>
        </w:rPr>
        <w:t>” means, in connection with an Acquisition, the aggregate consideration paid or to be paid, including borrowed funds, cash, deferred payments, the issuance of securities or notes, the assumption or incurring of liabilities (direct or contingent), the payment of consulting fees or fees for a covenant not to compete and any other consideration paid or to be paid for such Acquisition.</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Depreciation and Amortization Charges</w:t>
      </w:r>
      <w:r>
        <w:rPr>
          <w:rFonts w:ascii="Arial" w:cs="Arial" w:eastAsia="Arial" w:hAnsi="Arial"/>
          <w:sz w:val="18"/>
          <w:szCs w:val="18"/>
          <w:color w:val="auto"/>
        </w:rPr>
        <w:t>” means, for any period, the aggregate of all depreciation and amortization charges for fixed assets, leasehold improvements and general intangibles (specifically including goodwill) of the Borrower and its Subsidiaries for such period, as determined on a consolidated basis and in accordance with GAAP.</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xml:space="preserve">” means, for any period, as determined on a consolidated basis, Consolidated Net Earnings for such period, </w:t>
      </w:r>
      <w:r>
        <w:rPr>
          <w:rFonts w:ascii="Arial" w:cs="Arial" w:eastAsia="Arial" w:hAnsi="Arial"/>
          <w:sz w:val="17"/>
          <w:szCs w:val="17"/>
          <w:u w:val="single" w:color="auto"/>
          <w:color w:val="auto"/>
        </w:rPr>
        <w:t>plus</w:t>
      </w:r>
    </w:p>
    <w:p>
      <w:pPr>
        <w:spacing w:after="0" w:line="35" w:lineRule="exact"/>
        <w:rPr>
          <w:sz w:val="20"/>
          <w:szCs w:val="20"/>
          <w:color w:val="auto"/>
        </w:rPr>
      </w:pPr>
    </w:p>
    <w:p>
      <w:pPr>
        <w:ind w:left="240" w:hanging="236"/>
        <w:spacing w:after="0"/>
        <w:tabs>
          <w:tab w:leader="none" w:pos="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without duplication, the aggregate amounts deducted in determining such Consolidated Net Earnings in respect of: (i) Consolidated Interest Expense,</w:t>
      </w:r>
    </w:p>
    <w:p>
      <w:pPr>
        <w:spacing w:after="0" w:line="32" w:lineRule="exact"/>
        <w:rPr>
          <w:rFonts w:ascii="Arial" w:cs="Arial" w:eastAsia="Arial" w:hAnsi="Arial"/>
          <w:sz w:val="16"/>
          <w:szCs w:val="16"/>
          <w:color w:val="auto"/>
        </w:rPr>
      </w:pPr>
    </w:p>
    <w:p>
      <w:pPr>
        <w:ind w:right="200" w:firstLine="4"/>
        <w:spacing w:after="0" w:line="281" w:lineRule="auto"/>
        <w:tabs>
          <w:tab w:leader="none" w:pos="2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Consolidated Income Tax Expense, (iii) Consolidated Depreciation and Amortization Charges, (iv) actual non-recurring non-cash restructuring charges to the extent such amounts together do not exceed $20,000,000 in the aggregate over all periods, (v) foreign exchange losses as reported in “Other Income” according to GAAP and the negative impact to Consolidated EBITDA resulting from converting foreign currency-based income to Dollar-based income to the extent such amounts together exceed $15,000,000 for such period, (vi) synergies, cost savings, operational expense reductions, other operating improvements and other pro forma adjustments to actual historical Consolidated EBITDA in connection with the Paragon Acquisition, any Acquisition or Disposition permitted pursuant to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restructurings and cost savings initiatives to the extent projected by the Borrower in good faith to be realized within 24 months of the Paragon Acquisition or such Acquisition, Disposition, restructuring or cost savings initiative,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synergies, cost savings and other adjustments are (A) directly attributable to the Paragon Acquisition or such Acquisition, Disposition, restructuring or cost savings initiative, (B) factually supportable, (C) reasonably identifiable and</w:t>
      </w:r>
    </w:p>
    <w:p>
      <w:pPr>
        <w:spacing w:after="0" w:line="6" w:lineRule="exact"/>
        <w:rPr>
          <w:rFonts w:ascii="Arial" w:cs="Arial" w:eastAsia="Arial" w:hAnsi="Arial"/>
          <w:sz w:val="16"/>
          <w:szCs w:val="16"/>
          <w:color w:val="auto"/>
        </w:rPr>
      </w:pPr>
    </w:p>
    <w:p>
      <w:pPr>
        <w:ind w:right="12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(D) expected to have a continuing impact on the Borrower and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aggregate amounts added to Consolidated EBITDA pursuant to this clause (vi) in any such period shall not exceed 25% of Consolidated EBITDA for such period (calculated before giving effect to the adjustment set forth in this clause (vi)) and (vii) to the extent deducted in calculating Consolidated Net Earnings for such period,</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E-4-8</w:t>
      </w:r>
    </w:p>
    <w:p>
      <w:pPr>
        <w:sectPr>
          <w:pgSz w:w="11900" w:h="16838" w:orient="portrait"/>
          <w:cols w:equalWidth="0" w:num="1">
            <w:col w:w="11020"/>
          </w:cols>
          <w:pgMar w:left="440" w:top="274" w:right="4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Transaction Costs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without duplication, the aggregate amounts included in determining such Consolidated Net Earnings in respect of:</w:t>
      </w:r>
    </w:p>
    <w:p>
      <w:pPr>
        <w:spacing w:after="0" w:line="35" w:lineRule="exact"/>
        <w:rPr>
          <w:sz w:val="20"/>
          <w:szCs w:val="20"/>
          <w:color w:val="auto"/>
        </w:rPr>
      </w:pPr>
    </w:p>
    <w:p>
      <w:pPr>
        <w:ind w:right="20" w:firstLine="4"/>
        <w:spacing w:after="0" w:line="268" w:lineRule="auto"/>
        <w:tabs>
          <w:tab w:leader="none" w:pos="2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unusual non-cash gains not incurred in the ordinary course of business and (ii) foreign exchange gains as reported in Other Income according to GAAP and the positive impact to Consolidated EBITDA resulting from converting foreign currency-based income to Dollar-based income to the extent such amounts together exceed $15,000,000 for such period. For purposes of this Agreement, Consolidated EBITDA shall be adjusted pursuant to </w:t>
      </w:r>
      <w:r>
        <w:rPr>
          <w:rFonts w:ascii="Arial" w:cs="Arial" w:eastAsia="Arial" w:hAnsi="Arial"/>
          <w:sz w:val="17"/>
          <w:szCs w:val="17"/>
          <w:u w:val="single" w:color="auto"/>
          <w:color w:val="auto"/>
        </w:rPr>
        <w:t>Section 1.03(c)</w:t>
      </w:r>
      <w:r>
        <w:rPr>
          <w:rFonts w:ascii="Arial" w:cs="Arial" w:eastAsia="Arial" w:hAnsi="Arial"/>
          <w:sz w:val="17"/>
          <w:szCs w:val="17"/>
          <w:color w:val="auto"/>
        </w:rPr>
        <w:t>. Notwithstanding the foregoing or anything to the contrary contained herein, Consolidated EBITDA for each of the fiscal quarters ended December 31, 2014, March 31, 2015 and June 30, 2015 shall be deemed to equal $44,087,000, $43,593,000 and $44,091,000, respectively, Consolidated EBITDA for each of the fiscal months ended July 31, 2015 and August 31, 2015 shall be deemed to equal $12,486,000 and $12,724,000, respectively, and Consolidated EBITDA for the period from September 1, 2015 through the Closing Date shall be determined in a manner consistent with the calculation of Consolidated EBITDA for the fiscal quarters ended December 31, 2014, March 31, 2015 and June 30, 2015 and the fiscal months ended July 31, 2015 and August 31, 2015.</w:t>
      </w:r>
    </w:p>
    <w:p>
      <w:pPr>
        <w:spacing w:after="0" w:line="182" w:lineRule="exact"/>
        <w:rPr>
          <w:sz w:val="20"/>
          <w:szCs w:val="20"/>
          <w:color w:val="auto"/>
        </w:rPr>
      </w:pPr>
    </w:p>
    <w:p>
      <w:pPr>
        <w:ind w:right="44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Funded Indebtedness</w:t>
      </w:r>
      <w:r>
        <w:rPr>
          <w:rFonts w:ascii="Arial" w:cs="Arial" w:eastAsia="Arial" w:hAnsi="Arial"/>
          <w:sz w:val="16"/>
          <w:szCs w:val="16"/>
          <w:color w:val="auto"/>
        </w:rPr>
        <w:t>” means, at any date, all Indebtedness (including, but not limited to, current, long-term and Subordinated Indebtedness, if any) of the Borrower and its Subsidiaries, as determined on a consolidated basis and in accordance with GAAP.</w:t>
      </w:r>
    </w:p>
    <w:p>
      <w:pPr>
        <w:spacing w:after="0" w:line="124" w:lineRule="exact"/>
        <w:rPr>
          <w:sz w:val="20"/>
          <w:szCs w:val="20"/>
          <w:color w:val="auto"/>
        </w:rPr>
      </w:pPr>
    </w:p>
    <w:p>
      <w:pPr>
        <w:ind w:right="4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Income Tax Expense</w:t>
      </w:r>
      <w:r>
        <w:rPr>
          <w:rFonts w:ascii="Arial" w:cs="Arial" w:eastAsia="Arial" w:hAnsi="Arial"/>
          <w:sz w:val="18"/>
          <w:szCs w:val="18"/>
          <w:color w:val="auto"/>
        </w:rPr>
        <w:t>” means, for any period, all provisions for taxes based on the gross or net income of the Borrower and its Subsidiaries (including, without limitation, any additions to such taxes, and any penalties and interest with respect thereto), as determined on a consolidated basis and in accordance with GAAP.</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for any period, the interest expense of the Borrower and its Subsidiaries for such period, as determined on a consolidated basis and in accordance with GAAP.</w:t>
      </w:r>
    </w:p>
    <w:p>
      <w:pPr>
        <w:spacing w:after="0" w:line="170"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Earnings</w:t>
      </w:r>
      <w:r>
        <w:rPr>
          <w:rFonts w:ascii="Arial" w:cs="Arial" w:eastAsia="Arial" w:hAnsi="Arial"/>
          <w:sz w:val="16"/>
          <w:szCs w:val="16"/>
          <w:color w:val="auto"/>
        </w:rPr>
        <w:t xml:space="preserve">” means, for any period, the net income (or loss) of the Borrower and its Subsidiaries for such period, as determined on a consolidated basis and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Net Earnings shall exclude (a) extraordinary gains and extraordinary losses (which includes for the avoidance of doubt, impairment charges or write offs with respect to goodwill and other intangible assets) for such period,</w:t>
      </w:r>
    </w:p>
    <w:p>
      <w:pPr>
        <w:ind w:right="140" w:firstLine="4"/>
        <w:spacing w:after="0" w:line="268"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the Borrower’s equity in any net loss of any such Subsidiary for such period shall be included in determining Consolidated Net Earnings, and (c) any income (or loss) for such period of any Person if such Person is not a Subsidiary, except that the Borrower’s equity in the net income of any such Person for such period shall be included in Consolidated Net Earnings up to the aggregate amount of cash actually distributed by such Person during such period to the Borrower or a Subsidiary as a dividend or other distribution (and in the case of a dividend or other distribution to a Subsidiary, such Subsidiary is not precluded from further distributing such amount to the Borrower as described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this proviso).</w:t>
      </w:r>
    </w:p>
    <w:p>
      <w:pPr>
        <w:spacing w:after="0" w:line="184"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Leverage Ratio</w:t>
      </w:r>
      <w:r>
        <w:rPr>
          <w:rFonts w:ascii="Arial" w:cs="Arial" w:eastAsia="Arial" w:hAnsi="Arial"/>
          <w:sz w:val="17"/>
          <w:szCs w:val="17"/>
          <w:color w:val="auto"/>
        </w:rPr>
        <w:t xml:space="preserve">” means, as of any date, determined on a consolidated basis, the ratio of (a) Consolidated Funded Indebtedness (as of such date) minus the aggregate amount equal to the lesser of (x) (1) 100% of the Unrestricted Cash and Cash Equivalents (as of such date) of the Borrower and its Domestic Subsidiaries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50% of the Unrestricted Cash and Cash Equivalents (as of such date) of the Foreign Subsidiaries of the Borrower organized under the laws of a jurisdiction located in Europe, as of such date, and (y) the Cap Amount to (b) Consolidated EBITDA for the period of four consecutive fiscal quarters of the Borrower then ended (in the case of any determination as of the last day of a fiscal quarter) or for the most recently completed four fiscal quarters of the Borrower for which financials are required to be delivered hereunder (in the case of any determination of such ratio on a pro forma basis hereunder). For the purposes of this definition, the “</w:t>
      </w:r>
      <w:r>
        <w:rPr>
          <w:rFonts w:ascii="Arial" w:cs="Arial" w:eastAsia="Arial" w:hAnsi="Arial"/>
          <w:sz w:val="17"/>
          <w:szCs w:val="17"/>
          <w:u w:val="single" w:color="auto"/>
          <w:color w:val="auto"/>
        </w:rPr>
        <w:t>Cap Amount</w:t>
      </w:r>
      <w:r>
        <w:rPr>
          <w:rFonts w:ascii="Arial" w:cs="Arial" w:eastAsia="Arial" w:hAnsi="Arial"/>
          <w:sz w:val="17"/>
          <w:szCs w:val="17"/>
          <w:color w:val="auto"/>
        </w:rPr>
        <w:t>” means the greater of (A) $40,000,000 and (B) the amount (not to exceed $150,000,000) of Unrestricted Cash and Cash Equivalents standing to the credit of Deposit Account Control Agreements (as of such date).</w:t>
      </w:r>
    </w:p>
    <w:p>
      <w:pPr>
        <w:spacing w:after="0" w:line="182"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means, as of any date, determined on a consolidated basis, the ratio of (a) Consolidated Funded Indebtedness (as of such date) to (b) Consolidated EBITDA (for the most recently completed four fiscal quarters of the Borrower for which financials are required to be delivered hereunder).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E-4-9</w:t>
      </w:r>
    </w:p>
    <w:p>
      <w:pPr>
        <w:sectPr>
          <w:pgSz w:w="11900" w:h="16838" w:orient="portrait"/>
          <w:cols w:equalWidth="0" w:num="1">
            <w:col w:w="11020"/>
          </w:cols>
          <w:pgMar w:left="440" w:top="274" w:right="439" w:bottom="1440" w:gutter="0" w:footer="0" w:header="0"/>
        </w:sectPr>
      </w:pPr>
    </w:p>
    <w:bookmarkStart w:id="35" w:name="page36"/>
    <w:bookmarkEnd w:id="35"/>
    <w:p>
      <w:pPr>
        <w:ind w:right="32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Consolidated Secured Leverage Ratio</w:t>
      </w:r>
      <w:r>
        <w:rPr>
          <w:rFonts w:ascii="Arial" w:cs="Arial" w:eastAsia="Arial" w:hAnsi="Arial"/>
          <w:sz w:val="16"/>
          <w:szCs w:val="16"/>
          <w:color w:val="auto"/>
        </w:rPr>
        <w:t>” means, as of any date, determined on a consolidated basis, the ratio of (a) Consolidated Funded Indebtedness (as of such date) that is secured by Liens on assets or property of the Borrower and the Subsidiaries as of such date to (b) Consolidated EBITDA (for the most recently completed four fiscal quarters of the Borrower for which financials are required to be delivered hereunder).</w:t>
      </w:r>
    </w:p>
    <w:p>
      <w:pPr>
        <w:spacing w:after="0" w:line="14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38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Copyright Security Agreement</w:t>
      </w:r>
      <w:r>
        <w:rPr>
          <w:rFonts w:ascii="Arial" w:cs="Arial" w:eastAsia="Arial" w:hAnsi="Arial"/>
          <w:sz w:val="17"/>
          <w:szCs w:val="17"/>
          <w:color w:val="auto"/>
        </w:rPr>
        <w:t>” means a copyright security agreement in form and substance satisfactory to the Administrative Agent.</w:t>
      </w:r>
    </w:p>
    <w:p>
      <w:pPr>
        <w:spacing w:after="0" w:line="23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382.2(b).</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10.21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Retained Excess Cash Flow Amount</w:t>
      </w:r>
      <w:r>
        <w:rPr>
          <w:rFonts w:ascii="Arial" w:cs="Arial" w:eastAsia="Arial" w:hAnsi="Arial"/>
          <w:sz w:val="18"/>
          <w:szCs w:val="18"/>
          <w:color w:val="auto"/>
        </w:rPr>
        <w:t xml:space="preserve">” means, as of any date of determination, an amount, determined on a cumulative basis equal to the sum of (a) Excess Cash Flow (which shall not be less than zero) for each fiscal year of the Borrower ending on or after December 31, 2016 for which the Borrower has delivered the financial statements required by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and the related Compliance Certificate required by </w:t>
      </w:r>
      <w:r>
        <w:rPr>
          <w:rFonts w:ascii="Arial" w:cs="Arial" w:eastAsia="Arial" w:hAnsi="Arial"/>
          <w:sz w:val="18"/>
          <w:szCs w:val="18"/>
          <w:u w:val="single" w:color="auto"/>
          <w:color w:val="auto"/>
        </w:rPr>
        <w:t>Section 6.02(b) less</w:t>
      </w:r>
      <w:r>
        <w:rPr>
          <w:rFonts w:ascii="Arial" w:cs="Arial" w:eastAsia="Arial" w:hAnsi="Arial"/>
          <w:sz w:val="18"/>
          <w:szCs w:val="18"/>
          <w:color w:val="auto"/>
        </w:rPr>
        <w:t xml:space="preserve"> (b) the ECF Prepayment Amount for each such corresponding fiscal year.</w:t>
      </w:r>
    </w:p>
    <w:p>
      <w:pPr>
        <w:spacing w:after="0" w:line="18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means, as applicable, (a) the public corporate family rating of the Borrower as determined both Moody’s and S&amp;P, (b) the public corporate credit rating of the Borrower as determined by both Moody’s and S&amp;P, and (c) the senior secured debt rating of the Borrower as determined by both Moody’s and S&amp;P.</w:t>
      </w:r>
    </w:p>
    <w:p>
      <w:pPr>
        <w:spacing w:after="0" w:line="18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1"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means (a) when used with respect to Obligations other than Letter of Credit Fees, an interest rate equal to (i) the Base Rate </w:t>
      </w:r>
      <w:r>
        <w:rPr>
          <w:rFonts w:ascii="Arial" w:cs="Arial" w:eastAsia="Arial" w:hAnsi="Arial"/>
          <w:sz w:val="16"/>
          <w:szCs w:val="16"/>
          <w:u w:val="single" w:color="auto"/>
          <w:color w:val="auto"/>
        </w:rPr>
        <w:t>plus</w:t>
      </w:r>
    </w:p>
    <w:p>
      <w:pPr>
        <w:spacing w:after="0" w:line="46" w:lineRule="exact"/>
        <w:rPr>
          <w:sz w:val="20"/>
          <w:szCs w:val="20"/>
          <w:color w:val="auto"/>
        </w:rPr>
      </w:pPr>
    </w:p>
    <w:p>
      <w:pPr>
        <w:ind w:right="20" w:firstLine="4"/>
        <w:spacing w:after="0" w:line="254" w:lineRule="auto"/>
        <w:tabs>
          <w:tab w:leader="none" w:pos="2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Applicable Rate applicable to Base Rate Loans under the Revolving Credit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2%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 Eurodollar Rate Loan, the Default Rate shall be an interest rate equal to the interest rate (including any Applicable Rate) otherwise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 and (b) when used with respect to Letter of Credit Fees, a rate equal to the Applicable Rate applicable to Eurodollar Rate Loans under the Revolving Credit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per annum.</w:t>
      </w:r>
    </w:p>
    <w:p>
      <w:pPr>
        <w:spacing w:after="0" w:line="190" w:lineRule="exact"/>
        <w:rPr>
          <w:sz w:val="20"/>
          <w:szCs w:val="20"/>
          <w:color w:val="auto"/>
        </w:rPr>
      </w:pPr>
    </w:p>
    <w:p>
      <w:pPr>
        <w:ind w:right="18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subject to </w:t>
      </w:r>
      <w:r>
        <w:rPr>
          <w:rFonts w:ascii="Arial" w:cs="Arial" w:eastAsia="Arial" w:hAnsi="Arial"/>
          <w:sz w:val="17"/>
          <w:szCs w:val="17"/>
          <w:u w:val="single" w:color="auto"/>
          <w:color w:val="auto"/>
        </w:rPr>
        <w:t>Section 2.15(b)</w:t>
      </w:r>
      <w:r>
        <w:rPr>
          <w:rFonts w:ascii="Arial" w:cs="Arial" w:eastAsia="Arial" w:hAnsi="Arial"/>
          <w:sz w:val="17"/>
          <w:szCs w:val="17"/>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E-4-10</w:t>
      </w:r>
    </w:p>
    <w:p>
      <w:pPr>
        <w:sectPr>
          <w:pgSz w:w="11900" w:h="16838" w:orient="portrait"/>
          <w:cols w:equalWidth="0" w:num="1">
            <w:col w:w="11020"/>
          </w:cols>
          <w:pgMar w:left="440" w:top="274" w:right="439" w:bottom="1440" w:gutter="0" w:footer="0" w:header="0"/>
        </w:sectPr>
      </w:pPr>
    </w:p>
    <w:bookmarkStart w:id="36" w:name="page37"/>
    <w:bookmarkEnd w:id="36"/>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Administrative Agent, any L/C Issuer, the Swing Line Lender or any other Lender any other amount required to be paid by it hereunder (including in respect of its participation in Letters of Credit or Swing Line Loans) within two Business Days of the date when due, (b) has notified the Borrower, the Administrative Agent, the applicable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upon receipt of such written confirmation by the Administrative Agent and the Borrower), or (d) has, or has a direct or indirect parent company that has other than via an Undisclosed Administration,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6"/>
          <w:szCs w:val="16"/>
          <w:u w:val="single" w:color="auto"/>
          <w:color w:val="auto"/>
        </w:rPr>
        <w:t>clauses</w:t>
      </w:r>
    </w:p>
    <w:p>
      <w:pPr>
        <w:spacing w:after="0" w:line="13" w:lineRule="exact"/>
        <w:rPr>
          <w:sz w:val="20"/>
          <w:szCs w:val="20"/>
          <w:color w:val="auto"/>
        </w:rPr>
      </w:pPr>
    </w:p>
    <w:p>
      <w:pPr>
        <w:ind w:right="20" w:firstLine="4"/>
        <w:spacing w:after="0" w:line="254" w:lineRule="auto"/>
        <w:tabs>
          <w:tab w:leader="none" w:pos="245" w:val="left"/>
        </w:tabs>
        <w:numPr>
          <w:ilvl w:val="0"/>
          <w:numId w:val="23"/>
        </w:numPr>
        <w:rPr>
          <w:rFonts w:ascii="Arial" w:cs="Arial" w:eastAsia="Arial" w:hAnsi="Arial"/>
          <w:sz w:val="18"/>
          <w:szCs w:val="18"/>
          <w:u w:val="single" w:color="auto"/>
          <w:color w:val="auto"/>
        </w:rPr>
      </w:pPr>
      <w:r>
        <w:rPr>
          <w:rFonts w:ascii="Arial" w:cs="Arial" w:eastAsia="Arial" w:hAnsi="Arial"/>
          <w:sz w:val="18"/>
          <w:szCs w:val="18"/>
          <w:color w:val="auto"/>
        </w:rPr>
        <w:t xml:space="preserve">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8"/>
          <w:szCs w:val="18"/>
          <w:u w:val="single" w:color="auto"/>
          <w:color w:val="auto"/>
        </w:rPr>
        <w:t>Section 2.15(b)</w:t>
      </w:r>
      <w:r>
        <w:rPr>
          <w:rFonts w:ascii="Arial" w:cs="Arial" w:eastAsia="Arial" w:hAnsi="Arial"/>
          <w:sz w:val="18"/>
          <w:szCs w:val="18"/>
          <w:color w:val="auto"/>
        </w:rPr>
        <w:t>) as of the date established therefor by the Administrative Agent in a written notice of such determination, which shall be delivered by the Administrative Agent to the Borrower, the L/C Issuers, the Swing Line Lender and each other Lender promptly following such determination.</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 Control Agreement</w:t>
      </w:r>
      <w:r>
        <w:rPr>
          <w:rFonts w:ascii="Arial" w:cs="Arial" w:eastAsia="Arial" w:hAnsi="Arial"/>
          <w:sz w:val="18"/>
          <w:szCs w:val="18"/>
          <w:color w:val="auto"/>
        </w:rPr>
        <w:t>” has the meaning assigned thereto in the Security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Jurisdiction</w:t>
      </w:r>
      <w:r>
        <w:rPr>
          <w:rFonts w:ascii="Arial" w:cs="Arial" w:eastAsia="Arial" w:hAnsi="Arial"/>
          <w:sz w:val="17"/>
          <w:szCs w:val="17"/>
          <w:color w:val="auto"/>
        </w:rPr>
        <w:t>” means any country or territory to the extent that such country or territory itself is the subject of any Sanction.</w:t>
      </w:r>
    </w:p>
    <w:p>
      <w:pPr>
        <w:spacing w:after="0" w:line="237" w:lineRule="exact"/>
        <w:rPr>
          <w:sz w:val="20"/>
          <w:szCs w:val="20"/>
          <w:color w:val="auto"/>
        </w:rPr>
      </w:pPr>
    </w:p>
    <w:p>
      <w:pPr>
        <w:ind w:right="52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Disposition</w:t>
      </w:r>
      <w:r>
        <w:rPr>
          <w:rFonts w:ascii="Arial" w:cs="Arial" w:eastAsia="Arial" w:hAnsi="Arial"/>
          <w:sz w:val="17"/>
          <w:szCs w:val="17"/>
          <w:color w:val="auto"/>
        </w:rPr>
        <w:t>” or “</w:t>
      </w:r>
      <w:r>
        <w:rPr>
          <w:rFonts w:ascii="Arial" w:cs="Arial" w:eastAsia="Arial" w:hAnsi="Arial"/>
          <w:sz w:val="17"/>
          <w:szCs w:val="17"/>
          <w:u w:val="single" w:color="auto"/>
          <w:color w:val="auto"/>
        </w:rPr>
        <w:t>Dispose</w:t>
      </w:r>
      <w:r>
        <w:rPr>
          <w:rFonts w:ascii="Arial" w:cs="Arial" w:eastAsia="Arial" w:hAnsi="Arial"/>
          <w:sz w:val="17"/>
          <w:szCs w:val="17"/>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w:t>
      </w:r>
    </w:p>
    <w:p>
      <w:pPr>
        <w:spacing w:after="0" w:line="166" w:lineRule="exact"/>
        <w:rPr>
          <w:sz w:val="20"/>
          <w:szCs w:val="20"/>
          <w:color w:val="auto"/>
        </w:rPr>
      </w:pPr>
    </w:p>
    <w:p>
      <w:pPr>
        <w:ind w:right="200" w:firstLine="44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Equity Interest</w:t>
      </w:r>
      <w:r>
        <w:rPr>
          <w:rFonts w:ascii="Arial" w:cs="Arial" w:eastAsia="Arial" w:hAnsi="Arial"/>
          <w:sz w:val="16"/>
          <w:szCs w:val="16"/>
          <w:color w:val="auto"/>
        </w:rPr>
        <w:t>” means, with respect to any Person, any Equity Interest which by its terms (or by the terms of any security into which it is convertible or for which it is exchangeable at the option of the holder) or upon the happening of any event: (a) matures or is mandatorily redeemable (other than redeemable only for Equity Interests of such Person which are not themselves Equity Interests described in this definition) pursuant to a sinking fund obligation or otherwise; (b) is convertible or exchangeable at the option of the holder for Indebtedness or Equity Interests described in this definition (excluding Equity Interests which are convertible or exchangeable solely at the option of the Borrower or a Subsidiary); or</w:t>
      </w:r>
    </w:p>
    <w:p>
      <w:pPr>
        <w:spacing w:after="0" w:line="2" w:lineRule="exact"/>
        <w:rPr>
          <w:sz w:val="20"/>
          <w:szCs w:val="20"/>
          <w:color w:val="auto"/>
        </w:rPr>
      </w:pPr>
    </w:p>
    <w:p>
      <w:pPr>
        <w:ind w:firstLine="4"/>
        <w:spacing w:after="0" w:line="267" w:lineRule="auto"/>
        <w:tabs>
          <w:tab w:leader="none" w:pos="245"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is mandatorily redeemable or must be purchased upon the occurrence of certain events or otherwise, in whole or in part; in each case, in the case of the Borrower, on or prior to the ninety-first day following the final maturity date of the then issued Term Loans, as extended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Equity Interests that would not constitute Equity Interests described in this definition but for provisions thereof giving holders thereof the right to require such Person to purchase or redeem such Equity Interests upon the occurrence of an “asset sale” or “change of control” occurring prior to the ninety-first day following the final maturity date of the then-existing Term Loans shall not constitute Disqualified Equity Interests if any such requirement only becomes operative after payment in full of all amounts owing under this Agreement and the other Loan Documents and the termination in full of the Commitments. The amount of any Disqualified Equity Interests that do not have a fixed redemption, repayment or repurchase price will be calculated in accordance with the terms of such Disqualified Equity Interests as if such Disqualified Equity Interests were redeemed, repaid or repurchased on any date on which the amount of such Disqualified Equity Interests is to be determined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Disqualified Equity Interests could not be required to be redeemed, repaid or repurchased at the time of such determination, the redemption, repayment or repurchase price will be the book value of such Disqualified Equity Interests as reflected in the most recent financial statements of such Person.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E-4-11</w:t>
      </w:r>
    </w:p>
    <w:p>
      <w:pPr>
        <w:sectPr>
          <w:pgSz w:w="11900" w:h="16838" w:orient="portrait"/>
          <w:cols w:equalWidth="0" w:num="1">
            <w:col w:w="11000"/>
          </w:cols>
          <w:pgMar w:left="440" w:top="274" w:right="459" w:bottom="1440" w:gutter="0" w:footer="0" w:header="0"/>
        </w:sectPr>
      </w:pPr>
    </w:p>
    <w:bookmarkStart w:id="37" w:name="page38"/>
    <w:bookmarkEnd w:id="3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any political subdivision of the United States.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Percentage</w:t>
      </w:r>
      <w:r>
        <w:rPr>
          <w:rFonts w:ascii="Arial" w:cs="Arial" w:eastAsia="Arial" w:hAnsi="Arial"/>
          <w:sz w:val="18"/>
          <w:szCs w:val="18"/>
          <w:color w:val="auto"/>
        </w:rPr>
        <w:t>” means, for any fiscal year ending on or after December 31, 2016:</w:t>
      </w:r>
    </w:p>
    <w:p>
      <w:pPr>
        <w:spacing w:after="0" w:line="117" w:lineRule="exact"/>
        <w:rPr>
          <w:sz w:val="20"/>
          <w:szCs w:val="20"/>
          <w:color w:val="auto"/>
        </w:rPr>
      </w:pPr>
    </w:p>
    <w:p>
      <w:pPr>
        <w:ind w:left="1120" w:hanging="252"/>
        <w:spacing w:after="0"/>
        <w:tabs>
          <w:tab w:leader="none" w:pos="11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50% if the Consolidated Secured Leverage Ratio as of the last day of such fiscal year is greater or equal to than 3.00 to 1.00;</w:t>
      </w:r>
    </w:p>
    <w:p>
      <w:pPr>
        <w:spacing w:after="0" w:line="128" w:lineRule="exact"/>
        <w:rPr>
          <w:rFonts w:ascii="Arial" w:cs="Arial" w:eastAsia="Arial" w:hAnsi="Arial"/>
          <w:sz w:val="17"/>
          <w:szCs w:val="17"/>
          <w:color w:val="auto"/>
        </w:rPr>
      </w:pPr>
    </w:p>
    <w:p>
      <w:pPr>
        <w:ind w:left="440" w:right="20" w:firstLine="428"/>
        <w:spacing w:after="0" w:line="277" w:lineRule="auto"/>
        <w:tabs>
          <w:tab w:leader="none" w:pos="11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25% if the Consolidated Secured Leverage Ratio as of the last day of such fiscal year is less than 3.00 to 1.00 but greater than or equal to 2.50 to 1.00; and</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0% if the Consolidated Secured Leverage Ratio as of the last day of such fiscal year is less than 2.50 to 1.00.</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Prepayment Amount</w:t>
      </w:r>
      <w:r>
        <w:rPr>
          <w:rFonts w:ascii="Arial" w:cs="Arial" w:eastAsia="Arial" w:hAnsi="Arial"/>
          <w:sz w:val="18"/>
          <w:szCs w:val="18"/>
          <w:color w:val="auto"/>
        </w:rPr>
        <w:t xml:space="preserve">” means for any fiscal year, the product obtained by multiplying (a) Excess Cash Flow for such fiscal year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(b) the applicable ECF Percentage for such fiscal year.</w:t>
      </w:r>
    </w:p>
    <w:p>
      <w:pPr>
        <w:spacing w:after="0" w:line="170"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Eighth Amendment</w:t>
      </w:r>
      <w:r>
        <w:rPr>
          <w:rFonts w:ascii="Arial" w:cs="Arial" w:eastAsia="Arial" w:hAnsi="Arial"/>
          <w:sz w:val="18"/>
          <w:szCs w:val="18"/>
          <w:color w:val="auto"/>
        </w:rPr>
        <w:t>” means the Eighth Amendment to Amended and Restated Credit Agreement dated as of December 19, 2019.</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Eighth Amendment Arrangers</w:t>
      </w:r>
      <w:r>
        <w:rPr>
          <w:rFonts w:ascii="Arial" w:cs="Arial" w:eastAsia="Arial" w:hAnsi="Arial"/>
          <w:sz w:val="18"/>
          <w:szCs w:val="18"/>
          <w:color w:val="auto"/>
        </w:rPr>
        <w:t>” means SunTrust Robinson Humphrey, Inc., KeyBanc Capital Markets Inc. and JPMorgan Chase Bank, N.A. in their capacities as Lead Arrangers and Bookrunners for the Eighth Amendment.</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means ambient air, indoor air, surface water, groundwater, drinking water, soil, surface and subsurface strata, and natural resources such as wetland, flora and fauna.</w:t>
      </w:r>
    </w:p>
    <w:p>
      <w:pPr>
        <w:spacing w:after="0" w:line="170"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E-4-12</w:t>
      </w:r>
    </w:p>
    <w:p>
      <w:pPr>
        <w:sectPr>
          <w:pgSz w:w="11900" w:h="16838" w:orient="portrait"/>
          <w:cols w:equalWidth="0" w:num="1">
            <w:col w:w="11000"/>
          </w:cols>
          <w:pgMar w:left="440" w:top="274" w:right="459" w:bottom="1440" w:gutter="0" w:footer="0" w:header="0"/>
        </w:sectPr>
      </w:pPr>
    </w:p>
    <w:bookmarkStart w:id="38" w:name="page39"/>
    <w:bookmarkEnd w:id="38"/>
    <w:p>
      <w:pPr>
        <w:ind w:right="160" w:firstLine="441"/>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248"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3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24"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80"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Rate</w:t>
      </w:r>
      <w:r>
        <w:rPr>
          <w:rFonts w:ascii="Arial" w:cs="Arial" w:eastAsia="Arial" w:hAnsi="Arial"/>
          <w:sz w:val="17"/>
          <w:szCs w:val="17"/>
          <w:color w:val="auto"/>
        </w:rPr>
        <w:t xml:space="preserve">” means, with respect to each Interest Period for a Eurodollar Rate Loan or for any calculation of the Base Rate in accordance with clause (iii) of the definition of Base Rate, (i) the rate per annum equal to the London interbank offered rate for deposits in Dollars appearing on Reuters screen page LIBOR 01 (or on any successor or substitute page of such service or any successor to such service, or such other commercially available source providing such quotations as may be designated by the Administrative Agent from time to time) at approximately 11:00 A.M. (London time) two (2) Business Days prior to the first day of such Interest Period, with a maturity equal to such Interest Period, </w:t>
      </w:r>
      <w:r>
        <w:rPr>
          <w:rFonts w:ascii="Arial" w:cs="Arial" w:eastAsia="Arial" w:hAnsi="Arial"/>
          <w:sz w:val="17"/>
          <w:szCs w:val="17"/>
          <w:u w:val="single" w:color="auto"/>
          <w:color w:val="auto"/>
        </w:rPr>
        <w:t>divided by</w:t>
      </w:r>
      <w:r>
        <w:rPr>
          <w:rFonts w:ascii="Arial" w:cs="Arial" w:eastAsia="Arial" w:hAnsi="Arial"/>
          <w:sz w:val="17"/>
          <w:szCs w:val="17"/>
          <w:color w:val="auto"/>
        </w:rPr>
        <w:t xml:space="preserve"> (ii) a percentage equal to 100%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then stated maximum rate of all reserve requirements (including any marginal, emergency, supplemental, special or other reserves and without benefit of credits for proration, exceptions or offsets that may be available from time to time) applicable to any member bank of the Federal Reserve System in respect of Eurocurrency liabilities as defined in Regulation D (or any successor category of liabilities under Regulation 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rate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E-4-13</w:t>
      </w:r>
    </w:p>
    <w:p>
      <w:pPr>
        <w:sectPr>
          <w:pgSz w:w="11900" w:h="16838" w:orient="portrait"/>
          <w:cols w:equalWidth="0" w:num="1">
            <w:col w:w="11000"/>
          </w:cols>
          <w:pgMar w:left="440" w:top="274" w:right="459" w:bottom="1440" w:gutter="0" w:footer="0" w:header="0"/>
        </w:sectPr>
      </w:pPr>
    </w:p>
    <w:bookmarkStart w:id="39" w:name="page40"/>
    <w:bookmarkEnd w:id="39"/>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 available at any such time for any reason, then the rate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shall instead be the interest rate per annum, as determined by the Administrative Agent, to be the arithmetic average of the rates per annum at which deposits in Dollars in an amount equal to the amount of such Eurodollar Loan are offered by major banks in the London interbank market to the Administrative Agent at approximately 11:00 A.M. (London time), two (2) Business Days prior to the first day of such Interest Period for contracts that would be entered into at the commencement of such Interest Period for the same duration as such Interest Period.</w:t>
      </w:r>
    </w:p>
    <w:p>
      <w:pPr>
        <w:spacing w:after="0" w:line="188" w:lineRule="exact"/>
        <w:rPr>
          <w:sz w:val="20"/>
          <w:szCs w:val="20"/>
          <w:color w:val="auto"/>
        </w:rPr>
      </w:pPr>
    </w:p>
    <w:p>
      <w:pPr>
        <w:ind w:right="40" w:firstLine="441"/>
        <w:spacing w:after="0" w:line="342" w:lineRule="auto"/>
        <w:rPr>
          <w:sz w:val="20"/>
          <w:szCs w:val="20"/>
          <w:color w:val="auto"/>
        </w:rPr>
      </w:pPr>
      <w:r>
        <w:rPr>
          <w:rFonts w:ascii="Arial" w:cs="Arial" w:eastAsia="Arial" w:hAnsi="Arial"/>
          <w:sz w:val="16"/>
          <w:szCs w:val="16"/>
          <w:color w:val="auto"/>
        </w:rPr>
        <w:t>Notwithstanding the foregoing, in no event shall the Eurodollar Rate be less than, with respect to (i) any Tranche B Term Loan, 0.75%, (ii) any Extended 2017 Incremental Term Loan, 0.00%, (iii) 2017 Incremental Term Loan, 0.00% and (iv) with respect to any other Loan or Obligations, 0.00%.</w:t>
      </w:r>
    </w:p>
    <w:p>
      <w:pPr>
        <w:spacing w:after="0" w:line="124"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Loan that bears interest at a rate determined by reference to the Eurodollar Rate (other than by reason of clause (iii) of the definition of “Base Rate”).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Cash Flow</w:t>
      </w:r>
      <w:r>
        <w:rPr>
          <w:rFonts w:ascii="Arial" w:cs="Arial" w:eastAsia="Arial" w:hAnsi="Arial"/>
          <w:sz w:val="16"/>
          <w:szCs w:val="16"/>
          <w:color w:val="auto"/>
        </w:rPr>
        <w:t xml:space="preserve">” means, for any fiscal year of the Borrower, the excess (if any) of (a) Consolidated EBITDA for such fiscal year (determined without giving effect to </w:t>
      </w:r>
      <w:r>
        <w:rPr>
          <w:rFonts w:ascii="Arial" w:cs="Arial" w:eastAsia="Arial" w:hAnsi="Arial"/>
          <w:sz w:val="16"/>
          <w:szCs w:val="16"/>
          <w:u w:val="single" w:color="auto"/>
          <w:color w:val="auto"/>
        </w:rPr>
        <w:t>clause (a)(vi)</w:t>
      </w:r>
      <w:r>
        <w:rPr>
          <w:rFonts w:ascii="Arial" w:cs="Arial" w:eastAsia="Arial" w:hAnsi="Arial"/>
          <w:sz w:val="16"/>
          <w:szCs w:val="16"/>
          <w:color w:val="auto"/>
        </w:rPr>
        <w:t xml:space="preserve"> thereof and any adjustments thereto pursuant to </w:t>
      </w:r>
      <w:r>
        <w:rPr>
          <w:rFonts w:ascii="Arial" w:cs="Arial" w:eastAsia="Arial" w:hAnsi="Arial"/>
          <w:sz w:val="16"/>
          <w:szCs w:val="16"/>
          <w:u w:val="single" w:color="auto"/>
          <w:color w:val="auto"/>
        </w:rPr>
        <w:t>Section 1.03(c)</w:t>
      </w:r>
      <w:r>
        <w:rPr>
          <w:rFonts w:ascii="Arial" w:cs="Arial" w:eastAsia="Arial" w:hAnsi="Arial"/>
          <w:sz w:val="16"/>
          <w:szCs w:val="16"/>
          <w:color w:val="auto"/>
        </w:rPr>
        <w:t xml:space="preserve">)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sum (for such fiscal year) of</w:t>
      </w:r>
    </w:p>
    <w:p>
      <w:pPr>
        <w:ind w:right="200" w:firstLine="4"/>
        <w:spacing w:after="0" w:line="252" w:lineRule="auto"/>
        <w:tabs>
          <w:tab w:leader="none" w:pos="2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Consolidated Interest Expense actually paid in cash by the Borrower and its Subsidiaries, (ii) scheduled principal repayments, to the extent actually made in cash, of the Term Loans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(iii) all Consolidated Income Tax Expense actually paid in cash by the Borrower and its Subsidiaries, (iv) Capital Expenditures actually made by the Borrower and its Subsidiaries in cash, and (v) Transaction Costs actually paid by the Borrower and its Subsidiaries in cash;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of </w:t>
      </w:r>
      <w:r>
        <w:rPr>
          <w:rFonts w:ascii="Arial" w:cs="Arial" w:eastAsia="Arial" w:hAnsi="Arial"/>
          <w:sz w:val="18"/>
          <w:szCs w:val="18"/>
          <w:u w:val="single" w:color="auto"/>
          <w:color w:val="auto"/>
        </w:rPr>
        <w:t>clauses (b)(i)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such payment was not made with proceeds of any Indebtedness, Disposition, equity issuance, Extraordinary Receipts or other proceeds that would not be included in calculating Consolidated EBITDA for the applicable fiscal year.</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Accounts</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Swap Obligation</w:t>
      </w:r>
      <w:r>
        <w:rPr>
          <w:rFonts w:ascii="Arial" w:cs="Arial" w:eastAsia="Arial" w:hAnsi="Arial"/>
          <w:sz w:val="16"/>
          <w:szCs w:val="16"/>
          <w:color w:val="auto"/>
        </w:rPr>
        <w:t xml:space="preserve">”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of the Security Agreement and any other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16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or (ii) such Lender changes its Lending Office, except in each case to the extent that, pursuant to </w:t>
      </w:r>
      <w:r>
        <w:rPr>
          <w:rFonts w:ascii="Arial" w:cs="Arial" w:eastAsia="Arial" w:hAnsi="Arial"/>
          <w:sz w:val="17"/>
          <w:szCs w:val="17"/>
          <w:u w:val="single" w:color="auto"/>
          <w:color w:val="auto"/>
        </w:rPr>
        <w:t>Section 3.01(a)(ii)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and (d) any U.S. Federal withholding Taxes imposed under FATCA.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E-4-14</w:t>
      </w:r>
    </w:p>
    <w:p>
      <w:pPr>
        <w:sectPr>
          <w:pgSz w:w="11900" w:h="16838" w:orient="portrait"/>
          <w:cols w:equalWidth="0" w:num="1">
            <w:col w:w="11020"/>
          </w:cols>
          <w:pgMar w:left="440" w:top="274" w:right="439" w:bottom="1440" w:gutter="0" w:footer="0" w:header="0"/>
        </w:sectPr>
      </w:pPr>
    </w:p>
    <w:bookmarkStart w:id="40" w:name="page41"/>
    <w:bookmarkEnd w:id="4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Existing 2017 Incremental Term Lender</w:t>
      </w:r>
      <w:r>
        <w:rPr>
          <w:rFonts w:ascii="Arial" w:cs="Arial" w:eastAsia="Arial" w:hAnsi="Arial"/>
          <w:sz w:val="18"/>
          <w:szCs w:val="18"/>
          <w:color w:val="auto"/>
        </w:rPr>
        <w:t>” has the meaning assigned to such term in the Eighth Amendment.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2017 Incremental Term Loans</w:t>
      </w:r>
      <w:r>
        <w:rPr>
          <w:rFonts w:ascii="Arial" w:cs="Arial" w:eastAsia="Arial" w:hAnsi="Arial"/>
          <w:sz w:val="18"/>
          <w:szCs w:val="18"/>
          <w:color w:val="auto"/>
        </w:rPr>
        <w:t>” has the meaning assigned to such term in the Eighth Amendment.</w:t>
      </w:r>
    </w:p>
    <w:p>
      <w:pPr>
        <w:spacing w:after="0" w:line="225" w:lineRule="exact"/>
        <w:rPr>
          <w:sz w:val="20"/>
          <w:szCs w:val="20"/>
          <w:color w:val="auto"/>
        </w:rPr>
      </w:pPr>
    </w:p>
    <w:p>
      <w:pPr>
        <w:ind w:right="5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Company Indebtedness</w:t>
      </w:r>
      <w:r>
        <w:rPr>
          <w:rFonts w:ascii="Arial" w:cs="Arial" w:eastAsia="Arial" w:hAnsi="Arial"/>
          <w:sz w:val="18"/>
          <w:szCs w:val="18"/>
          <w:color w:val="auto"/>
        </w:rPr>
        <w:t>” means all Indebtedness evidenced by that certain Credit Agreement, dated as of December 22, 2010 (as amended through the Closing Date), by and between the Company, KeyBank National Association, as Administrative Agent, and the other parties thereto and the other loan documents thereunder.</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that certain Credit Agreement dated as of August 29, 2014 (as amended through the Closing Date), among the Borrower, KeyBank National Association, as administrative agent and a syndicate of lenders party thereto.</w:t>
      </w:r>
    </w:p>
    <w:p>
      <w:pPr>
        <w:spacing w:after="0" w:line="170"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Indebtedness</w:t>
      </w:r>
      <w:r>
        <w:rPr>
          <w:rFonts w:ascii="Arial" w:cs="Arial" w:eastAsia="Arial" w:hAnsi="Arial"/>
          <w:sz w:val="18"/>
          <w:szCs w:val="18"/>
          <w:color w:val="auto"/>
        </w:rPr>
        <w:t xml:space="preserve">” means all existing Indebtedness of the Borrower and its Subsidiaries (including, without limitation, the Company and its Subsidiaries), including, without limitation, (a) the Existing KeyBank Indebtedness, (b) the Existing Term Loan Agreement Indebtedness, and (c) the Existing Company Indebtedness, but excluding Indebtedness permitted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KeyBank Indebtedness</w:t>
      </w:r>
      <w:r>
        <w:rPr>
          <w:rFonts w:ascii="Arial" w:cs="Arial" w:eastAsia="Arial" w:hAnsi="Arial"/>
          <w:sz w:val="16"/>
          <w:szCs w:val="16"/>
          <w:color w:val="auto"/>
        </w:rPr>
        <w:t>” means all Indebtedness evidenced by the Existing Credit Agreement and the other loan documents thereunder.</w:t>
      </w:r>
    </w:p>
    <w:p>
      <w:pPr>
        <w:spacing w:after="0" w:line="248"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Term Loan Agreement</w:t>
      </w:r>
      <w:r>
        <w:rPr>
          <w:rFonts w:ascii="Arial" w:cs="Arial" w:eastAsia="Arial" w:hAnsi="Arial"/>
          <w:sz w:val="18"/>
          <w:szCs w:val="18"/>
          <w:color w:val="auto"/>
        </w:rPr>
        <w:t>” means that certain Term Loan Agreement dated August 29, 2014 (as amended through the Closing Date), among the Borrower, Bank of America, N.A., as administrative agent and a syndicate of lenders party thereto.</w:t>
      </w:r>
    </w:p>
    <w:p>
      <w:pPr>
        <w:spacing w:after="0" w:line="170"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Term Loan Agreement Indebtedness</w:t>
      </w:r>
      <w:r>
        <w:rPr>
          <w:rFonts w:ascii="Arial" w:cs="Arial" w:eastAsia="Arial" w:hAnsi="Arial"/>
          <w:sz w:val="18"/>
          <w:szCs w:val="18"/>
          <w:color w:val="auto"/>
        </w:rPr>
        <w:t>” means all Indebtedness evidenced by the Existing Term Loan Agreement and the other loan documents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Extended 2017 Incremental Term Borrowings</w:t>
      </w:r>
      <w:r>
        <w:rPr>
          <w:rFonts w:ascii="Arial" w:cs="Arial" w:eastAsia="Arial" w:hAnsi="Arial"/>
          <w:sz w:val="16"/>
          <w:szCs w:val="16"/>
          <w:color w:val="auto"/>
        </w:rPr>
        <w:t>” means a borrowing made on the Second Restatement Effective Date with respect to Extended</w:t>
      </w:r>
    </w:p>
    <w:p>
      <w:pPr>
        <w:spacing w:after="0" w:line="46"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 xml:space="preserve">2017 Incremental Term Loans consisting of the same Type and, in the case of Eurodollar Rate Loans, having the same Interest Period, made by Extended 2017 Incremental Term Lenders pursuant to </w:t>
      </w:r>
      <w:r>
        <w:rPr>
          <w:rFonts w:ascii="Arial" w:cs="Arial" w:eastAsia="Arial" w:hAnsi="Arial"/>
          <w:sz w:val="18"/>
          <w:szCs w:val="18"/>
          <w:u w:val="single" w:color="auto"/>
          <w:color w:val="auto"/>
        </w:rPr>
        <w:t>Section 2.01(e)</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Extended 2017 Incremental Term Facility</w:t>
      </w:r>
      <w:r>
        <w:rPr>
          <w:rFonts w:ascii="Arial" w:cs="Arial" w:eastAsia="Arial" w:hAnsi="Arial"/>
          <w:sz w:val="16"/>
          <w:szCs w:val="16"/>
          <w:color w:val="auto"/>
        </w:rPr>
        <w:t>” means, at any time, the aggregate amount of the Extended 2017 Incremental Term Loans at such time.</w:t>
      </w:r>
    </w:p>
    <w:p>
      <w:pPr>
        <w:spacing w:after="0" w:line="248"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2017 Incremental Term Lender</w:t>
      </w:r>
      <w:r>
        <w:rPr>
          <w:rFonts w:ascii="Arial" w:cs="Arial" w:eastAsia="Arial" w:hAnsi="Arial"/>
          <w:sz w:val="18"/>
          <w:szCs w:val="18"/>
          <w:color w:val="auto"/>
        </w:rPr>
        <w:t>” means each Lender (including the New Extended 2017 Incremental Term Lender) with an outstanding Extended 2017 Incremental Term Loan.</w:t>
      </w:r>
    </w:p>
    <w:p>
      <w:pPr>
        <w:spacing w:after="0" w:line="170" w:lineRule="exact"/>
        <w:rPr>
          <w:sz w:val="20"/>
          <w:szCs w:val="20"/>
          <w:color w:val="auto"/>
        </w:rPr>
      </w:pPr>
    </w:p>
    <w:p>
      <w:pPr>
        <w:ind w:right="22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Extended 2017 Incremental Term Loan</w:t>
      </w:r>
      <w:r>
        <w:rPr>
          <w:rFonts w:ascii="Arial" w:cs="Arial" w:eastAsia="Arial" w:hAnsi="Arial"/>
          <w:sz w:val="16"/>
          <w:szCs w:val="16"/>
          <w:color w:val="auto"/>
        </w:rPr>
        <w:t xml:space="preserve">” means each Existing 2017 Incremental Term Loan that, on the Second Restatement Effective Date, an Existing 2017 Incremental Term Lender has elected to extend the Maturity Date thereof and reclassify in accordance with </w:t>
      </w:r>
      <w:r>
        <w:rPr>
          <w:rFonts w:ascii="Arial" w:cs="Arial" w:eastAsia="Arial" w:hAnsi="Arial"/>
          <w:sz w:val="16"/>
          <w:szCs w:val="16"/>
          <w:u w:val="single" w:color="auto"/>
          <w:color w:val="auto"/>
        </w:rPr>
        <w:t>Section 2.01(e)</w:t>
      </w:r>
      <w:r>
        <w:rPr>
          <w:rFonts w:ascii="Arial" w:cs="Arial" w:eastAsia="Arial" w:hAnsi="Arial"/>
          <w:sz w:val="16"/>
          <w:szCs w:val="16"/>
          <w:color w:val="auto"/>
        </w:rPr>
        <w:t>. As of the Second Restatement Effective Date, the aggregate outstanding principal amount of Extended 2017 Incremental Term Loans was $260,000,000.</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2017 Incremental Term Loan Call Premium</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2.05(c)(iii)</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Extraordinary Receipt</w:t>
      </w:r>
      <w:r>
        <w:rPr>
          <w:rFonts w:ascii="Arial" w:cs="Arial" w:eastAsia="Arial" w:hAnsi="Arial"/>
          <w:sz w:val="17"/>
          <w:szCs w:val="17"/>
          <w:color w:val="auto"/>
        </w:rPr>
        <w:t xml:space="preserve">” means any cash received by or paid to or for the account of any Person not in the ordinary course of business, including tax refunds, pension plan reversions, proceeds of insurance (other than proceeds of business interruption insurance to the extent such proceeds constitute compensation for lost earnings), condemnation awards (and payments in lieu thereof), indemnity payments and any purchase price adjustments;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Extraordinary Receipt shall not include cash receipts from proceeds of insurance, condemnation awards (or payments in lieu thereof) or indemnity payments to the extent that such proceeds, awards or payments in respect of loss or damage to equipment, fixed assets or real property are applied (or in respect of which expenditures were previously incurred) to replace or repair the equipment, fixed assets or real property in respect of which such proceeds were received in accordance with the terms of </w:t>
      </w:r>
      <w:r>
        <w:rPr>
          <w:rFonts w:ascii="Arial" w:cs="Arial" w:eastAsia="Arial" w:hAnsi="Arial"/>
          <w:sz w:val="17"/>
          <w:szCs w:val="17"/>
          <w:u w:val="single" w:color="auto"/>
          <w:color w:val="auto"/>
        </w:rPr>
        <w:t>Section 2.05(b)(iv)</w:t>
      </w:r>
      <w:r>
        <w:rPr>
          <w:rFonts w:ascii="Arial" w:cs="Arial" w:eastAsia="Arial" w:hAnsi="Arial"/>
          <w:sz w:val="17"/>
          <w:szCs w:val="17"/>
          <w:color w:val="auto"/>
        </w:rPr>
        <w: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E-4-15</w:t>
      </w:r>
    </w:p>
    <w:p>
      <w:pPr>
        <w:sectPr>
          <w:pgSz w:w="11900" w:h="16838" w:orient="portrait"/>
          <w:cols w:equalWidth="0" w:num="1">
            <w:col w:w="11020"/>
          </w:cols>
          <w:pgMar w:left="440" w:top="274" w:right="439" w:bottom="1440" w:gutter="0" w:footer="0" w:header="0"/>
        </w:sectPr>
      </w:pPr>
    </w:p>
    <w:bookmarkStart w:id="41" w:name="page42"/>
    <w:bookmarkEnd w:id="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Term Facility or the Revolving Credit Facility, as the context may require.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81"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means, for any day, the rate per annum (rounded upwards, if necessary, to the next 1/100 of 1%) equal to the weighted average of the rates on overnight Federal funds transactions with member banks of the Federal Reserve System arranged by Federal funds brokers, as published by the Federal Reserve Bank of New York on the next succeeding Business Day or, if such rate is not so published for any Business Day, the Federal Funds Rate for such day shall be the average (rounded upwards, if necessary, to the next 1/100 of 1%) of the quotations for such day on such transactions received by the Administrative Agent from three Federal funds brokers of recognized standing selected by the Administrative Agent.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Letter</w:t>
      </w:r>
      <w:r>
        <w:rPr>
          <w:rFonts w:ascii="Arial" w:cs="Arial" w:eastAsia="Arial" w:hAnsi="Arial"/>
          <w:sz w:val="16"/>
          <w:szCs w:val="16"/>
          <w:color w:val="auto"/>
        </w:rPr>
        <w:t>” means the letter agreement, dated September 28, 2016, among the Borrower, SunTrust Bank and SunTrust Robinson Humphrey, Inc.</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Fifth Amendment</w:t>
      </w:r>
      <w:r>
        <w:rPr>
          <w:rFonts w:ascii="Arial" w:cs="Arial" w:eastAsia="Arial" w:hAnsi="Arial"/>
          <w:sz w:val="18"/>
          <w:szCs w:val="18"/>
          <w:color w:val="auto"/>
        </w:rPr>
        <w:t>” means the Fifth Amendment to Amended and Restated Credit Agreement dated as of December 26, 2018.</w:t>
      </w:r>
    </w:p>
    <w:p>
      <w:pPr>
        <w:spacing w:after="0" w:line="225"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Fifth Amendment Arranger</w:t>
      </w:r>
      <w:r>
        <w:rPr>
          <w:rFonts w:ascii="Arial" w:cs="Arial" w:eastAsia="Arial" w:hAnsi="Arial"/>
          <w:sz w:val="18"/>
          <w:szCs w:val="18"/>
          <w:color w:val="auto"/>
        </w:rPr>
        <w:t>” means SunTrust Robinson Humphrey, Inc., in its capacity as sole Lead Arranger and Bookrunner for the Fifth Amendment.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Fifth Amendment Effective Date</w:t>
      </w:r>
      <w:r>
        <w:rPr>
          <w:rFonts w:ascii="Arial" w:cs="Arial" w:eastAsia="Arial" w:hAnsi="Arial"/>
          <w:sz w:val="18"/>
          <w:szCs w:val="18"/>
          <w:color w:val="auto"/>
        </w:rPr>
        <w:t>” means December 26, 2018.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 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any of the following officers: chief executive officer, president, chief financial officer, chief administrative officer, treasurer or controller. Unless otherwise qualified, all references to a Financial Officer in this Agreement shall refer to a Financial Officer of the Borrower.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w:t>
      </w:r>
      <w:r>
        <w:rPr>
          <w:rFonts w:ascii="Arial" w:cs="Arial" w:eastAsia="Arial" w:hAnsi="Arial"/>
          <w:sz w:val="18"/>
          <w:szCs w:val="18"/>
          <w:color w:val="auto"/>
        </w:rPr>
        <w:t>” means the First Amendment to Amended and Restated Credit Agreement dated as of April 3, 2017.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means April 3, 2017.</w:t>
      </w:r>
    </w:p>
    <w:p>
      <w:pPr>
        <w:spacing w:after="0" w:line="225" w:lineRule="exact"/>
        <w:rPr>
          <w:sz w:val="20"/>
          <w:szCs w:val="20"/>
          <w:color w:val="auto"/>
        </w:rPr>
      </w:pPr>
    </w:p>
    <w:p>
      <w:pPr>
        <w:jc w:val="both"/>
        <w:ind w:right="6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Benefit Plan</w:t>
      </w:r>
      <w:r>
        <w:rPr>
          <w:rFonts w:ascii="Arial" w:cs="Arial" w:eastAsia="Arial" w:hAnsi="Arial"/>
          <w:sz w:val="16"/>
          <w:szCs w:val="16"/>
          <w:color w:val="auto"/>
        </w:rPr>
        <w:t>” means each material plan, fund, program or policy established under the law of a jurisdiction other than the United States (or a state or local government thereof), whether formal or informal, funded or unfunded, insured or uninsured, providing employee benefits, including medical, hospital care, dental, sickness, accident, disability, life insurance, pension, retirement or savings benefits, under which the Borrower or any of its Subsidiaries have any liability with respect to any employee or former employee, but excluding any Foreign Pension Plan.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Disposition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2.05(b)(viii)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Excess Cash Flow</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2.05(b)(viii)</w:t>
      </w:r>
      <w:r>
        <w:rPr>
          <w:rFonts w:ascii="Arial" w:cs="Arial" w:eastAsia="Arial" w:hAnsi="Arial"/>
          <w:sz w:val="18"/>
          <w:szCs w:val="18"/>
          <w:color w:val="auto"/>
        </w:rPr>
        <w:t>.</w:t>
      </w:r>
    </w:p>
    <w:p>
      <w:pPr>
        <w:spacing w:after="0" w:line="225"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 if the Borrower is a U.S. Person, a Lender that is not a U.S. Person, and (b) if the Borrower is not a U.S. Person, a Lender that is resident or organized under laws of a jurisdiction other than that in which the Borrower is resident for tax purposes. For purposes of this definition, the United States, each State thereof and the District of Columbia shall be deemed to constitute a single jurisdiction.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E-4-16</w:t>
      </w:r>
    </w:p>
    <w:p>
      <w:pPr>
        <w:sectPr>
          <w:pgSz w:w="11900" w:h="16838" w:orient="portrait"/>
          <w:cols w:equalWidth="0" w:num="1">
            <w:col w:w="10940"/>
          </w:cols>
          <w:pgMar w:left="440" w:top="274" w:right="519" w:bottom="1440" w:gutter="0" w:footer="0" w:header="0"/>
        </w:sectPr>
      </w:pPr>
    </w:p>
    <w:bookmarkStart w:id="42" w:name="page43"/>
    <w:bookmarkEnd w:id="42"/>
    <w:p>
      <w:pPr>
        <w:ind w:right="24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Foreign Pension Plan</w:t>
      </w:r>
      <w:r>
        <w:rPr>
          <w:rFonts w:ascii="Arial" w:cs="Arial" w:eastAsia="Arial" w:hAnsi="Arial"/>
          <w:sz w:val="16"/>
          <w:szCs w:val="16"/>
          <w:color w:val="auto"/>
        </w:rPr>
        <w:t>” means a pension plan required to be registered under the law of a jurisdiction other than the United States (or a state or local government thereof), that is maintained or contributed to by the Borrower or any of its Subsidiaries for their employees or former employees.</w:t>
      </w:r>
    </w:p>
    <w:p>
      <w:pPr>
        <w:spacing w:after="0" w:line="124"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organized under the laws of any political subdivision other than any political subdivision of the United States.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Fourth Amendment</w:t>
      </w:r>
      <w:r>
        <w:rPr>
          <w:rFonts w:ascii="Arial" w:cs="Arial" w:eastAsia="Arial" w:hAnsi="Arial"/>
          <w:sz w:val="18"/>
          <w:szCs w:val="18"/>
          <w:color w:val="auto"/>
        </w:rPr>
        <w:t>” means the Fourth Amendment to Amended and Restated Credit Agreement dated as of May 7, 2018.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Fourth Amendment Effective Date</w:t>
      </w:r>
      <w:r>
        <w:rPr>
          <w:rFonts w:ascii="Arial" w:cs="Arial" w:eastAsia="Arial" w:hAnsi="Arial"/>
          <w:sz w:val="18"/>
          <w:szCs w:val="18"/>
          <w:color w:val="auto"/>
        </w:rPr>
        <w:t>” means May 7, 2018.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Fronting Exposure</w:t>
      </w:r>
      <w:r>
        <w:rPr>
          <w:rFonts w:ascii="Arial" w:cs="Arial" w:eastAsia="Arial" w:hAnsi="Arial"/>
          <w:sz w:val="16"/>
          <w:szCs w:val="16"/>
          <w:color w:val="auto"/>
        </w:rPr>
        <w:t>” means, at any time there is a Defaulting Lender, (a) with respect to any L/C Issuer, such Defaulting Lender’s Applicable Percentage of the outstanding L/C Obligations with respect to the Letters of Credit issued by such L/C Issuer other than L/C Obligations as to which such Defaulting Lender’s participation obligation has been reallocated to other Lenders or Cash Collateralized in accordance with the terms hereof, and</w:t>
      </w:r>
    </w:p>
    <w:p>
      <w:pPr>
        <w:ind w:right="300" w:firstLine="4"/>
        <w:spacing w:after="0" w:line="290" w:lineRule="auto"/>
        <w:tabs>
          <w:tab w:leader="none" w:pos="2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with respect to the Swing Line Lender, such Defaulting Lender’s Applicable Percentage of Swing Line Loans other than Swing Line Loans as to which such Defaulting Lender’s participation obligation has been reallocated to other Lenders in accordance with the terms hereof.</w:t>
      </w:r>
    </w:p>
    <w:p>
      <w:pPr>
        <w:spacing w:after="0" w:line="162"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right="5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Indemnity Letter</w:t>
      </w:r>
      <w:r>
        <w:rPr>
          <w:rFonts w:ascii="Arial" w:cs="Arial" w:eastAsia="Arial" w:hAnsi="Arial"/>
          <w:sz w:val="18"/>
          <w:szCs w:val="18"/>
          <w:color w:val="auto"/>
        </w:rPr>
        <w:t>” means, a letter agreement, in form and substance reasonably satisfactory to the Administrative Agent, that the Borrower will promptly compensate each Lender for and hold such Lender harmless from any loss, cost or expense incurred by it as a result of Borrower’s failure to borrow any Loan other than a Base Rate Loan on the Closing Date.</w:t>
      </w:r>
    </w:p>
    <w:p>
      <w:pPr>
        <w:spacing w:after="0" w:line="18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means, as to any Person, (a) any obligation, contingent or otherwise, of such Person guaranteeing or having the economic effect of guaranteeing any Indebtedness or other obligation payable or performable by another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E-4-17</w:t>
      </w:r>
    </w:p>
    <w:p>
      <w:pPr>
        <w:sectPr>
          <w:pgSz w:w="11900" w:h="16838" w:orient="portrait"/>
          <w:cols w:equalWidth="0" w:num="1">
            <w:col w:w="10980"/>
          </w:cols>
          <w:pgMar w:left="440" w:top="274" w:right="479" w:bottom="1440" w:gutter="0" w:footer="0" w:header="0"/>
        </w:sectPr>
      </w:pPr>
    </w:p>
    <w:bookmarkStart w:id="43" w:name="page44"/>
    <w:bookmarkEnd w:id="43"/>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6"/>
          <w:szCs w:val="16"/>
          <w:u w:val="single" w:color="auto"/>
          <w:color w:val="auto"/>
        </w:rPr>
        <w:t>Guarantee</w:t>
      </w:r>
      <w:r>
        <w:rPr>
          <w:rFonts w:ascii="Arial" w:cs="Arial" w:eastAsia="Arial" w:hAnsi="Arial"/>
          <w:sz w:val="16"/>
          <w:szCs w:val="16"/>
          <w:color w:val="auto"/>
        </w:rPr>
        <w:t>” as a verb has a corresponding meaning.</w:t>
      </w:r>
    </w:p>
    <w:p>
      <w:pPr>
        <w:spacing w:after="0" w:line="165"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collectively, (a) the Domestic Subsidiaries of the Borrower (other than Inactive Subsidiaries and Immaterial Subsidiaries) listed on </w:t>
      </w:r>
      <w:r>
        <w:rPr>
          <w:rFonts w:ascii="Arial" w:cs="Arial" w:eastAsia="Arial" w:hAnsi="Arial"/>
          <w:sz w:val="18"/>
          <w:szCs w:val="18"/>
          <w:u w:val="single" w:color="auto"/>
          <w:color w:val="auto"/>
        </w:rPr>
        <w:t>Schedule 5.01</w:t>
      </w:r>
      <w:r>
        <w:rPr>
          <w:rFonts w:ascii="Arial" w:cs="Arial" w:eastAsia="Arial" w:hAnsi="Arial"/>
          <w:sz w:val="18"/>
          <w:szCs w:val="18"/>
          <w:color w:val="auto"/>
        </w:rPr>
        <w:t xml:space="preserve"> and each other Subsidiary of the Borrower that shall be required to execute and deliver a Guaranty or guaranty supplement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and (b) with respect to (i) Obligations owing by any Loan Party or any Subsidiary of a Loan Party (other than the Borrower) under any Hedge Agreement or any Cash Management Agreement and (ii) the payment and performance by each Specified Loan Party of its obligations under its Guaranty with respect to all Swap Obligations, the Borrower.</w:t>
      </w:r>
    </w:p>
    <w:p>
      <w:pPr>
        <w:spacing w:after="0" w:line="188"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collectively, the Guaranty made by the Guarantors in favor of the Secured Parties, together with each other guaranty and guaranty supplement delivered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170"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in each case, regulated pursuant to any Environmental Law.</w:t>
      </w:r>
    </w:p>
    <w:p>
      <w:pPr>
        <w:spacing w:after="0" w:line="187"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xml:space="preserve">” means any Person that (a) at the time it enters into a Swap Contract with a Loan Party permitted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is the Administrative Agent, an Affiliate of the Administrative Agent, a Lender or an Affiliate of a Lender or (b) at the time it (or its Affiliate) becomes the Administrative Agent or a Lender, as applicable (including on the Closing Date), is a party to a Swap Contract with a Loan Party, in each case in its capacity as a party to such Swap Contract.</w:t>
      </w:r>
    </w:p>
    <w:p>
      <w:pPr>
        <w:spacing w:after="0" w:line="187"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 delivered under or referred to herein.</w:t>
      </w:r>
    </w:p>
    <w:p>
      <w:pPr>
        <w:spacing w:after="0" w:line="170" w:lineRule="exact"/>
        <w:rPr>
          <w:sz w:val="20"/>
          <w:szCs w:val="20"/>
          <w:color w:val="auto"/>
        </w:rPr>
      </w:pPr>
    </w:p>
    <w:p>
      <w:pPr>
        <w:ind w:right="14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Immaterial Subsidiary</w:t>
      </w:r>
      <w:r>
        <w:rPr>
          <w:rFonts w:ascii="Arial" w:cs="Arial" w:eastAsia="Arial" w:hAnsi="Arial"/>
          <w:sz w:val="17"/>
          <w:szCs w:val="17"/>
          <w:color w:val="auto"/>
        </w:rPr>
        <w:t xml:space="preserve">” means any Subsidiary of the Borrower that, (a) together with its Subsidiaries, (i) contributed less than 2% of the Consolidated EBITDA of the Borrower and its Subsidiaries, taken as a whole, during the most recently-ended four fiscal quarter period (taken as a single period) and (ii) as of any applicable date of determination has assets that constitute less than 2% aggregate net book value of the assets of the Borrower and its Subsidiaries, taken as a whole, (b) does not Guarantee or provide a Lien on its assets or otherwise provide credit support with respect to any Indebtedness of the Borrower or any of the Borrower’s other Subsidiaries, (c) does not own, directly or indirectly, any Equity Interests or Indebtedness of, or own or hold any Lien on any property of, a Loan Party, (d) does not own any other Subsidiaries (other than Inactive Subsidiaries or Immaterial Subsidiaries) and (e) has not been designated to be a Loan Party pursuant to </w:t>
      </w:r>
      <w:r>
        <w:rPr>
          <w:rFonts w:ascii="Arial" w:cs="Arial" w:eastAsia="Arial" w:hAnsi="Arial"/>
          <w:sz w:val="17"/>
          <w:szCs w:val="17"/>
          <w:u w:val="single" w:color="auto"/>
          <w:color w:val="auto"/>
        </w:rPr>
        <w:t>Section 6.12(g)</w:t>
      </w:r>
      <w:r>
        <w:rPr>
          <w:rFonts w:ascii="Arial" w:cs="Arial" w:eastAsia="Arial" w:hAnsi="Arial"/>
          <w:sz w:val="17"/>
          <w:szCs w:val="17"/>
          <w:color w:val="auto"/>
        </w:rPr>
        <w:t xml:space="preserve"> hereof.</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Inactive Subsidiary</w:t>
      </w:r>
      <w:r>
        <w:rPr>
          <w:rFonts w:ascii="Arial" w:cs="Arial" w:eastAsia="Arial" w:hAnsi="Arial"/>
          <w:sz w:val="18"/>
          <w:szCs w:val="18"/>
          <w:color w:val="auto"/>
        </w:rPr>
        <w:t xml:space="preserve">” means any Subsidiary of the Borrower that (a) owns no assets (other than assets of de minimis value), has no Subsidiaries (other than other Inactive Subsidiaries) and conducts no operations, (b) does not Guarantee or provide a Lien on its assets or otherwise provide credit support with respect to any Indebtedness of the Borrower or any of the Borrower’s other Subsidiaries, (c) does not own, directly or indirectly, any Equity Interests or Indebtedness of, or own or hold any Lien on any property of, a Loan Party and (d) has not been designated to be a Loan Party pursuant to </w:t>
      </w:r>
      <w:r>
        <w:rPr>
          <w:rFonts w:ascii="Arial" w:cs="Arial" w:eastAsia="Arial" w:hAnsi="Arial"/>
          <w:sz w:val="18"/>
          <w:szCs w:val="18"/>
          <w:u w:val="single" w:color="auto"/>
          <w:color w:val="auto"/>
        </w:rPr>
        <w:t>Section 6.12(g)</w:t>
      </w:r>
      <w:r>
        <w:rPr>
          <w:rFonts w:ascii="Arial" w:cs="Arial" w:eastAsia="Arial" w:hAnsi="Arial"/>
          <w:sz w:val="18"/>
          <w:szCs w:val="18"/>
          <w:color w:val="auto"/>
        </w:rPr>
        <w:t xml:space="preserve"> 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E-4-18</w:t>
      </w:r>
    </w:p>
    <w:p>
      <w:pPr>
        <w:sectPr>
          <w:pgSz w:w="11900" w:h="16838" w:orient="portrait"/>
          <w:cols w:equalWidth="0" w:num="1">
            <w:col w:w="11020"/>
          </w:cols>
          <w:pgMar w:left="440" w:top="274" w:right="439" w:bottom="1440" w:gutter="0" w:footer="0" w:header="0"/>
        </w:sectPr>
      </w:pPr>
    </w:p>
    <w:bookmarkStart w:id="44" w:name="page45"/>
    <w:bookmarkEnd w:id="44"/>
    <w:p>
      <w:pPr>
        <w:ind w:right="1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62" w:lineRule="exact"/>
        <w:rPr>
          <w:sz w:val="20"/>
          <w:szCs w:val="20"/>
          <w:color w:val="auto"/>
        </w:rPr>
      </w:pPr>
    </w:p>
    <w:p>
      <w:pPr>
        <w:ind w:left="440" w:right="540" w:firstLine="428"/>
        <w:spacing w:after="0" w:line="277" w:lineRule="auto"/>
        <w:tabs>
          <w:tab w:leader="none" w:pos="11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62" w:lineRule="exact"/>
        <w:rPr>
          <w:rFonts w:ascii="Arial" w:cs="Arial" w:eastAsia="Arial" w:hAnsi="Arial"/>
          <w:sz w:val="18"/>
          <w:szCs w:val="18"/>
          <w:color w:val="auto"/>
        </w:rPr>
      </w:pPr>
    </w:p>
    <w:p>
      <w:pPr>
        <w:ind w:left="440" w:right="660" w:firstLine="428"/>
        <w:spacing w:after="0" w:line="277" w:lineRule="auto"/>
        <w:tabs>
          <w:tab w:leader="none" w:pos="11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maximum amount of all direct or contingent obligations of such Person arising under letters of credit (including standby and commercial), bankers’ acceptances, bank guaranties, surety bonds and similar instruments;</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117" w:lineRule="exact"/>
        <w:rPr>
          <w:rFonts w:ascii="Arial" w:cs="Arial" w:eastAsia="Arial" w:hAnsi="Arial"/>
          <w:sz w:val="18"/>
          <w:szCs w:val="18"/>
          <w:color w:val="auto"/>
        </w:rPr>
      </w:pPr>
    </w:p>
    <w:p>
      <w:pPr>
        <w:ind w:left="440" w:right="340" w:firstLine="428"/>
        <w:spacing w:after="0" w:line="264" w:lineRule="auto"/>
        <w:tabs>
          <w:tab w:leader="none" w:pos="11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(other than trade accounts payable in the ordinary course of business and current liabilities in the form of expenses that are not the result of the borrowing of money or the extension of credit and that are listed on the financial statements of the Borrower as “other current liabilities”);</w:t>
      </w:r>
    </w:p>
    <w:p>
      <w:pPr>
        <w:spacing w:after="0" w:line="73" w:lineRule="exact"/>
        <w:rPr>
          <w:rFonts w:ascii="Arial" w:cs="Arial" w:eastAsia="Arial" w:hAnsi="Arial"/>
          <w:sz w:val="18"/>
          <w:szCs w:val="18"/>
          <w:color w:val="auto"/>
        </w:rPr>
      </w:pPr>
    </w:p>
    <w:p>
      <w:pPr>
        <w:jc w:val="both"/>
        <w:ind w:left="440" w:right="280" w:firstLine="428"/>
        <w:spacing w:after="0" w:line="264" w:lineRule="auto"/>
        <w:tabs>
          <w:tab w:leader="none" w:pos="11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73" w:lineRule="exact"/>
        <w:rPr>
          <w:rFonts w:ascii="Arial" w:cs="Arial" w:eastAsia="Arial" w:hAnsi="Arial"/>
          <w:sz w:val="18"/>
          <w:szCs w:val="18"/>
          <w:color w:val="auto"/>
        </w:rPr>
      </w:pPr>
    </w:p>
    <w:p>
      <w:pPr>
        <w:ind w:left="440" w:right="160" w:firstLine="428"/>
        <w:spacing w:after="0" w:line="277" w:lineRule="auto"/>
        <w:tabs>
          <w:tab w:leader="none" w:pos="108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Attributable Indebtedness in respect of Capitalized Leases and Synthetic Lease Obligations of such Person and all Synthetic Debt of such Person;</w:t>
      </w:r>
    </w:p>
    <w:p>
      <w:pPr>
        <w:spacing w:after="0" w:line="62" w:lineRule="exact"/>
        <w:rPr>
          <w:rFonts w:ascii="Arial" w:cs="Arial" w:eastAsia="Arial" w:hAnsi="Arial"/>
          <w:sz w:val="18"/>
          <w:szCs w:val="18"/>
          <w:color w:val="auto"/>
        </w:rPr>
      </w:pPr>
    </w:p>
    <w:p>
      <w:pPr>
        <w:ind w:left="440" w:right="20" w:firstLine="428"/>
        <w:spacing w:after="0" w:line="276" w:lineRule="auto"/>
        <w:tabs>
          <w:tab w:leader="none" w:pos="1118"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all obligations of such Person to mandatorily purchase, redeem, retire or defease any Equity Interest in such Person or any other Person or any warrant, right or option to mandatorily acquire such Equity Interest (other than an acquisition solely with such Person’s common capital stock or other Equity Interests (other than Disqualified Equity Interests)), valued, in the case of a mandatorily redeemable preferred interest, at the greater of its voluntary or involuntary liquidation preference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accrued and unpaid dividends (other than dividends payable only in such Person’s common capital stock or other Equity Interests (other than Disqualified Equity Interests));</w:t>
      </w:r>
    </w:p>
    <w:p>
      <w:pPr>
        <w:spacing w:after="0" w:line="64" w:lineRule="exact"/>
        <w:rPr>
          <w:rFonts w:ascii="Arial" w:cs="Arial" w:eastAsia="Arial" w:hAnsi="Arial"/>
          <w:sz w:val="17"/>
          <w:szCs w:val="17"/>
          <w:color w:val="auto"/>
        </w:rPr>
      </w:pPr>
    </w:p>
    <w:p>
      <w:pPr>
        <w:ind w:left="440" w:right="380" w:firstLine="428"/>
        <w:spacing w:after="0" w:line="277" w:lineRule="auto"/>
        <w:tabs>
          <w:tab w:leader="none" w:pos="11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obligations of such Person with respect to asset securitization financing programs to the extent that there is recourse against such Person or such Person is liable (contingent or otherwise) under any such program;</w:t>
      </w:r>
    </w:p>
    <w:p>
      <w:pPr>
        <w:spacing w:after="0" w:line="62" w:lineRule="exact"/>
        <w:rPr>
          <w:rFonts w:ascii="Arial" w:cs="Arial" w:eastAsia="Arial" w:hAnsi="Arial"/>
          <w:sz w:val="18"/>
          <w:szCs w:val="18"/>
          <w:color w:val="auto"/>
        </w:rPr>
      </w:pPr>
    </w:p>
    <w:p>
      <w:pPr>
        <w:ind w:left="1080" w:hanging="21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 and</w:t>
      </w:r>
    </w:p>
    <w:p>
      <w:pPr>
        <w:spacing w:after="0" w:line="117" w:lineRule="exact"/>
        <w:rPr>
          <w:rFonts w:ascii="Arial" w:cs="Arial" w:eastAsia="Arial" w:hAnsi="Arial"/>
          <w:sz w:val="18"/>
          <w:szCs w:val="18"/>
          <w:color w:val="auto"/>
        </w:rPr>
      </w:pPr>
    </w:p>
    <w:p>
      <w:pPr>
        <w:ind w:left="440" w:firstLine="428"/>
        <w:spacing w:after="0" w:line="264" w:lineRule="auto"/>
        <w:tabs>
          <w:tab w:leader="none" w:pos="107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Disqualified Equity Interests issued by such Person with the amount of Indebtedness represented by such Disqualified Equity Interests being equal to the greater of its voluntary or involuntary liquidation preference and its maximum fixed repurchase price or, with respect to any Subsidiary, any preferred Equity Interests (but excluding, in each case, accrued dividends, if any).</w:t>
      </w:r>
    </w:p>
    <w:p>
      <w:pPr>
        <w:spacing w:after="0" w:line="18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87" w:lineRule="exact"/>
        <w:rPr>
          <w:sz w:val="20"/>
          <w:szCs w:val="20"/>
          <w:color w:val="auto"/>
        </w:rPr>
      </w:pPr>
    </w:p>
    <w:p>
      <w:pPr>
        <w:ind w:right="52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Other Taxes.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E-4-19</w:t>
      </w:r>
    </w:p>
    <w:p>
      <w:pPr>
        <w:sectPr>
          <w:pgSz w:w="11900" w:h="16838" w:orient="portrait"/>
          <w:cols w:equalWidth="0" w:num="1">
            <w:col w:w="11000"/>
          </w:cols>
          <w:pgMar w:left="440" w:top="274" w:right="459" w:bottom="1440" w:gutter="0" w:footer="0" w:header="0"/>
        </w:sectPr>
      </w:pPr>
    </w:p>
    <w:bookmarkStart w:id="45" w:name="page46"/>
    <w:bookmarkEnd w:id="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4.01(a)(iv)</w:t>
      </w:r>
      <w:r>
        <w:rPr>
          <w:rFonts w:ascii="Arial" w:cs="Arial" w:eastAsia="Arial" w:hAnsi="Arial"/>
          <w:sz w:val="18"/>
          <w:szCs w:val="18"/>
          <w:color w:val="auto"/>
        </w:rPr>
        <w:t>.</w:t>
      </w:r>
    </w:p>
    <w:p>
      <w:pPr>
        <w:spacing w:after="0" w:line="225"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Eurodollar Rate Loan, the last day of each Interest Period applicable to such Loan and the Maturity Date of the Facility under which such Loan was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Interest Period for a Eurodollar Rate Loan exceeds three months, the respective dates that fall every three months after the beginning of such Interest Period shall also be Interest Payment Dates; (b) as to any Base Rate Loan, the last Business Day of each March, June, September and December and the Maturity Date of the Facility under which such Loan was made; and</w:t>
      </w:r>
    </w:p>
    <w:p>
      <w:pPr>
        <w:spacing w:after="0" w:line="2" w:lineRule="exact"/>
        <w:rPr>
          <w:sz w:val="20"/>
          <w:szCs w:val="20"/>
          <w:color w:val="auto"/>
        </w:rPr>
      </w:pPr>
    </w:p>
    <w:p>
      <w:pPr>
        <w:ind w:right="160" w:firstLine="4"/>
        <w:spacing w:after="0" w:line="261" w:lineRule="auto"/>
        <w:tabs>
          <w:tab w:leader="none" w:pos="2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to any Swing Line Loan, the second Business Day after the last day of each March, June, September and December and the Maturity Date of the Revolving Credit Facility.</w:t>
      </w:r>
    </w:p>
    <w:p>
      <w:pPr>
        <w:spacing w:after="0" w:line="184"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Eurodollar Rate Loan, the period commencing on the date such Eurodollar Rate Loan is disbursed or converted to or continued as a Eurodollar Rate Loan and ending on the date one, two, three or six months thereafter (in each case, subject to availability), as selected by the Borrower in its Committed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jc w:val="both"/>
        <w:ind w:left="440" w:right="160" w:firstLine="428"/>
        <w:spacing w:after="0" w:line="264" w:lineRule="auto"/>
        <w:tabs>
          <w:tab w:leader="none" w:pos="107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Eurodollar Rate Loan, such Business Day falls in another calendar month, in which case such Interest Period shall end on the next preceding Business Day;</w:t>
      </w:r>
    </w:p>
    <w:p>
      <w:pPr>
        <w:spacing w:after="0" w:line="73" w:lineRule="exact"/>
        <w:rPr>
          <w:rFonts w:ascii="Arial" w:cs="Arial" w:eastAsia="Arial" w:hAnsi="Arial"/>
          <w:sz w:val="18"/>
          <w:szCs w:val="18"/>
          <w:color w:val="auto"/>
        </w:rPr>
      </w:pPr>
    </w:p>
    <w:p>
      <w:pPr>
        <w:ind w:left="440" w:right="60" w:firstLine="428"/>
        <w:spacing w:after="0" w:line="264" w:lineRule="auto"/>
        <w:tabs>
          <w:tab w:leader="none" w:pos="112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Interest Period pertaining to a Eurodollar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73" w:lineRule="exact"/>
        <w:rPr>
          <w:rFonts w:ascii="Arial" w:cs="Arial" w:eastAsia="Arial" w:hAnsi="Arial"/>
          <w:sz w:val="18"/>
          <w:szCs w:val="18"/>
          <w:color w:val="auto"/>
        </w:rPr>
      </w:pPr>
    </w:p>
    <w:p>
      <w:pPr>
        <w:ind w:left="1180" w:hanging="312"/>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of the following: (a) creating, acquiring or holding any Subsidiary, (b) making or holding any investment in any stocks, bonds or securities of any kind, (c) being or becoming a party to any joint venture or other partnership, (d) making or keeping outstanding any advance or loan to any Person or assumption or acquisition of any debt of another Person, or (e) any Guarantee (other than the Guaranty). For purposes of covenant compliance, the amount of any Investment shall be the amount actually invested, without adjustment for subsequent increases or decreases in the value of such Investment.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0" w:lineRule="exact"/>
        <w:rPr>
          <w:sz w:val="20"/>
          <w:szCs w:val="20"/>
          <w:color w:val="auto"/>
        </w:rPr>
      </w:pPr>
    </w:p>
    <w:p>
      <w:pPr>
        <w:ind w:right="5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Documents</w:t>
      </w:r>
      <w:r>
        <w:rPr>
          <w:rFonts w:ascii="Arial" w:cs="Arial" w:eastAsia="Arial" w:hAnsi="Arial"/>
          <w:sz w:val="16"/>
          <w:szCs w:val="16"/>
          <w:color w:val="auto"/>
        </w:rPr>
        <w:t>” means with respect to any Letter of Credit, the Letter of Credit Application, and any other document, agreement and instrument entered into by an L/C Issuer and the Borrower (or any Subsidiary) or in favor of such L/C Issuer and relating to such Letter of Credit.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Indebtedness</w:t>
      </w:r>
      <w:r>
        <w:rPr>
          <w:rFonts w:ascii="Arial" w:cs="Arial" w:eastAsia="Arial" w:hAnsi="Arial"/>
          <w:sz w:val="18"/>
          <w:szCs w:val="18"/>
          <w:color w:val="auto"/>
        </w:rPr>
        <w:t>” means Indebtedness incurred pursuant to Section 7.02(p)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KeyBank</w:t>
      </w:r>
      <w:r>
        <w:rPr>
          <w:rFonts w:ascii="Arial" w:cs="Arial" w:eastAsia="Arial" w:hAnsi="Arial"/>
          <w:sz w:val="18"/>
          <w:szCs w:val="18"/>
          <w:color w:val="auto"/>
        </w:rPr>
        <w:t>” means KeyBank National Association.</w:t>
      </w:r>
    </w:p>
    <w:p>
      <w:pPr>
        <w:spacing w:after="0" w:line="225"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at any date of incurrence of any Indebtedness, the latest maturity or expiration date applicable to any Loan or Commitment hereunder at such time, including the latest maturity or expiration of any Term Loan or any applicable Commitment in respect thereof, in each case then outstanding and as extended in accordance with this Agreement from time to time.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E-4-20</w:t>
      </w:r>
    </w:p>
    <w:p>
      <w:pPr>
        <w:sectPr>
          <w:pgSz w:w="11900" w:h="16838" w:orient="portrait"/>
          <w:cols w:equalWidth="0" w:num="1">
            <w:col w:w="11020"/>
          </w:cols>
          <w:pgMar w:left="440" w:top="274" w:right="439" w:bottom="1440" w:gutter="0" w:footer="0" w:header="0"/>
        </w:sectPr>
      </w:pPr>
    </w:p>
    <w:bookmarkStart w:id="46" w:name="page47"/>
    <w:bookmarkEnd w:id="46"/>
    <w:p>
      <w:pPr>
        <w:ind w:right="40" w:firstLine="4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Revolving Credit Lender, such Lender’s funding of its participation in any L/C Borrowing in accordance with its Applicable Revolving Credit Percentage.</w:t>
      </w:r>
    </w:p>
    <w:p>
      <w:pPr>
        <w:spacing w:after="0" w:line="170"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Revolving Credit Borrowing.</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extension of the expiry date thereof or the increase of the amount thereof.</w:t>
      </w:r>
    </w:p>
    <w:p>
      <w:pPr>
        <w:spacing w:after="0" w:line="170"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means, individually or collectively as the context may indicate, (a) KeyBank and Truist Bank, in each case, in their respective capacity as issuer of Letters of Credit hereunder, or any successor issuer of Letters of Credit hereunder and (b) any other Revolving Credit Lender, selected by the Borrower and reasonably acceptable to the Administrative Agent, which consents to its appointment by the Borrower as an issuer of Letters of Credit hereunder and becomes an L/C Issuer hereunder pursuant to a joinder agreement in form and substance reasonably satisfactory to the Administrative Agent and its counsel, in its capacity as an issuer of Letters of Credit hereunder or any successor to such Lender in its capacity as an issuer of Letters of Credit hereunder.</w:t>
      </w:r>
    </w:p>
    <w:p>
      <w:pPr>
        <w:spacing w:after="0" w:line="193"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xml:space="preserve">” means, as at any date of determination, the aggregate amount available to be drawn under all outstanding Letters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has the meaning specified in the introductory paragraph hereto and, as the context requires, includes the Swing Line Lender.</w:t>
      </w:r>
    </w:p>
    <w:p>
      <w:pPr>
        <w:spacing w:after="0" w:line="237"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7"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hereunder, providing for the payment of cash upon the honoring of a presentation thereunder.</w:t>
      </w:r>
    </w:p>
    <w:p>
      <w:pPr>
        <w:spacing w:after="0" w:line="170"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an L/C Issuer.</w:t>
      </w:r>
    </w:p>
    <w:p>
      <w:pPr>
        <w:spacing w:after="0" w:line="170"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thirty days prior to the Maturity Date then in effect for the Revolving Credit Facility (or, if such day is not a Business Day, the next preceding Business Day).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in the aggregate, an amount equal to the lesser of (a) $15,000,000 and (b) the Revolving Credit Facility and, with respect to each L/C Issuer, an amount not to exceed $5,000,000 unless otherwise agreed to by such L/C Issuer. The Letter of Credit Sublimit is part of, and not in addition to, the Revolving Credit Facility.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E-4-21</w:t>
      </w:r>
    </w:p>
    <w:p>
      <w:pPr>
        <w:sectPr>
          <w:pgSz w:w="11900" w:h="16838" w:orient="portrait"/>
          <w:cols w:equalWidth="0" w:num="1">
            <w:col w:w="11000"/>
          </w:cols>
          <w:pgMar w:left="440" w:top="274" w:right="459" w:bottom="1440" w:gutter="0" w:footer="0" w:header="0"/>
        </w:sectPr>
      </w:pPr>
    </w:p>
    <w:bookmarkStart w:id="47" w:name="page48"/>
    <w:bookmarkEnd w:id="47"/>
    <w:p>
      <w:pPr>
        <w:ind w:right="8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87"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the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Term Loan, a Revolving Credit Loan or a Swing Line Loan.</w:t>
      </w:r>
    </w:p>
    <w:p>
      <w:pPr>
        <w:spacing w:after="0" w:line="170" w:lineRule="exact"/>
        <w:rPr>
          <w:sz w:val="20"/>
          <w:szCs w:val="20"/>
          <w:color w:val="auto"/>
        </w:rPr>
      </w:pPr>
    </w:p>
    <w:p>
      <w:pPr>
        <w:ind w:right="56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collectively, (a) this Agreement, (b) the Notes, (c) any agreement creating or perfecting rights in cash collateral pursuant to the provisions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of this Agreement, (d) the Collateral Documents, (e) the Guaranty, (f) the Fee Letter, (g) each Issuer Document, (h) the Amendment and Restatement Agreement, (i) the 2016 Incremental Amendment, (j) the First Amendment and (k) the Second Amendment.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each Guarantor.</w:t>
      </w:r>
    </w:p>
    <w:p>
      <w:pPr>
        <w:spacing w:after="0" w:line="225"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ind w:right="36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assets, liabilities (actual or contingent), operations, condition (financial or otherwise) or prospects of the Borrower, (b) the business, assets, liabilities (actual or contingent), operations, condition (financial or otherwise) or prospects of the Borrower and its Subsidiaries, taken as a whole, (c) the ability of any Loan Party to perform its obligations under any Loan Document to which it is a party, or (d) the legality, validity, binding effect or enforceability against any Loan Party of any Loan Document to which it is a party.</w:t>
      </w:r>
    </w:p>
    <w:p>
      <w:pPr>
        <w:spacing w:after="0" w:line="188" w:lineRule="exact"/>
        <w:rPr>
          <w:sz w:val="20"/>
          <w:szCs w:val="20"/>
          <w:color w:val="auto"/>
        </w:rPr>
      </w:pPr>
    </w:p>
    <w:p>
      <w:pPr>
        <w:jc w:val="both"/>
        <w:ind w:right="6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 Agreement</w:t>
      </w:r>
      <w:r>
        <w:rPr>
          <w:rFonts w:ascii="Arial" w:cs="Arial" w:eastAsia="Arial" w:hAnsi="Arial"/>
          <w:sz w:val="18"/>
          <w:szCs w:val="18"/>
          <w:color w:val="auto"/>
        </w:rPr>
        <w:t>” means any debt instrument, lease (capital, operating or otherwise), guaranty, contract, commitment, agreement or other arrangement evidencing or entered into in connection with any Indebtedness of the Borrower or any Subsidiary in excess of $30,000,000.</w:t>
      </w:r>
    </w:p>
    <w:p>
      <w:pPr>
        <w:spacing w:after="0" w:line="18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Property</w:t>
      </w:r>
      <w:r>
        <w:rPr>
          <w:rFonts w:ascii="Arial" w:cs="Arial" w:eastAsia="Arial" w:hAnsi="Arial"/>
          <w:sz w:val="18"/>
          <w:szCs w:val="18"/>
          <w:color w:val="auto"/>
        </w:rPr>
        <w:t xml:space="preserve">” means any real property owned by a Loan Party in fee simple or leasehold real property of a Loan Party that (a) has a fair market value of $7,500,000 or (b) is designated by the Borrower in accordance with </w:t>
      </w:r>
      <w:r>
        <w:rPr>
          <w:rFonts w:ascii="Arial" w:cs="Arial" w:eastAsia="Arial" w:hAnsi="Arial"/>
          <w:sz w:val="18"/>
          <w:szCs w:val="18"/>
          <w:u w:val="single" w:color="auto"/>
          <w:color w:val="auto"/>
        </w:rPr>
        <w:t>Section 6.12(h)</w:t>
      </w:r>
      <w:r>
        <w:rPr>
          <w:rFonts w:ascii="Arial" w:cs="Arial" w:eastAsia="Arial" w:hAnsi="Arial"/>
          <w:sz w:val="18"/>
          <w:szCs w:val="18"/>
          <w:color w:val="auto"/>
        </w:rPr>
        <w:t>.</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(a) with respect to the Revolving Credit Facility, July 20, 2022, (b) with respect to the Extended 2017 Incremental Term Facility and the Tranche B Term Facility, October 19, 2022, (c) with respect to the 2017 Incremental Term Facility, April 3, 2021, in each case, if such maturity is extended pursuant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such maturity date as determined pursuant to such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if such date is not a Business Day, the Maturity Date shall be the next preceding Business Day.</w:t>
      </w:r>
    </w:p>
    <w:p>
      <w:pPr>
        <w:spacing w:after="0" w:line="187"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xml:space="preserve">” means, at any time, (i) with respect to Cash Collateral consisting of cash or deposit account balances provided to reduce or eliminate Fronting Exposure during the existence of a Defaulting Lender, an amount equal to 105% of the Fronting Exposure of the applicable L/C Issuer with respect to Letters of Credit issued and outstanding at such time, (ii) with respect to Cash Collateral consisting of cash or deposit account balances provided in accordance with the provisions of </w:t>
      </w:r>
      <w:r>
        <w:rPr>
          <w:rFonts w:ascii="Arial" w:cs="Arial" w:eastAsia="Arial" w:hAnsi="Arial"/>
          <w:sz w:val="16"/>
          <w:szCs w:val="16"/>
          <w:u w:val="single" w:color="auto"/>
          <w:color w:val="auto"/>
        </w:rPr>
        <w:t>Section 2.16(a)(i)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(a)(iii)</w:t>
      </w:r>
      <w:r>
        <w:rPr>
          <w:rFonts w:ascii="Arial" w:cs="Arial" w:eastAsia="Arial" w:hAnsi="Arial"/>
          <w:sz w:val="16"/>
          <w:szCs w:val="16"/>
          <w:color w:val="auto"/>
        </w:rPr>
        <w:t>, an amount equal to 105% of the Outstanding Amount of all L/C Obligations, and (iii) otherwise, an amount determined by the Administrative Agent and the applicable L/C Issuer in their sole discretion.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Policy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Schedule 6.17</w:t>
      </w:r>
      <w:r>
        <w:rPr>
          <w:rFonts w:ascii="Arial" w:cs="Arial" w:eastAsia="Arial" w:hAnsi="Arial"/>
          <w:sz w:val="18"/>
          <w:szCs w:val="18"/>
          <w:color w:val="auto"/>
        </w:rPr>
        <w:t>.</w:t>
      </w:r>
    </w:p>
    <w:p>
      <w:pPr>
        <w:spacing w:after="0" w:line="225" w:lineRule="exact"/>
        <w:rPr>
          <w:sz w:val="20"/>
          <w:szCs w:val="20"/>
          <w:color w:val="auto"/>
        </w:rPr>
      </w:pPr>
    </w:p>
    <w:p>
      <w:pPr>
        <w:ind w:right="22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Mortgaged Property</w:t>
      </w:r>
      <w:r>
        <w:rPr>
          <w:rFonts w:ascii="Arial" w:cs="Arial" w:eastAsia="Arial" w:hAnsi="Arial"/>
          <w:sz w:val="17"/>
          <w:szCs w:val="17"/>
          <w:color w:val="auto"/>
        </w:rPr>
        <w:t>” means any real property owned in fee simple by any Loan Party or leased by any Loan Party, which real property is or is intended under the terms hereof to be subject to a Lien in favor of the Administrative Agent for the benefit of the Secured Parties.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E-4-22</w:t>
      </w:r>
    </w:p>
    <w:p>
      <w:pPr>
        <w:sectPr>
          <w:pgSz w:w="11900" w:h="16838" w:orient="portrait"/>
          <w:cols w:equalWidth="0" w:num="1">
            <w:col w:w="11000"/>
          </w:cols>
          <w:pgMar w:left="440" w:top="274" w:right="459" w:bottom="1440" w:gutter="0" w:footer="0" w:header="0"/>
        </w:sectPr>
      </w:pPr>
    </w:p>
    <w:bookmarkStart w:id="48" w:name="page49"/>
    <w:bookmarkEnd w:id="48"/>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Mortgages</w:t>
      </w:r>
      <w:r>
        <w:rPr>
          <w:rFonts w:ascii="Arial" w:cs="Arial" w:eastAsia="Arial" w:hAnsi="Arial"/>
          <w:sz w:val="18"/>
          <w:szCs w:val="18"/>
          <w:color w:val="auto"/>
        </w:rPr>
        <w:t>” means deeds of trust, trust deeds, deeds to secure debt, mortgages, leasehold mortgages and leasehold deeds of trust or other equivalent document (together with related fixture filings and assignments of leases and rents) now or hereafter encumbering any Mortgaged Property of any Loan Party in favor of the Administrative Agent, on behalf of the Secured Parties, as security for any of the Obligations, each of which shall be in form and substance satisfactory to the Administrative Agent.</w:t>
      </w:r>
    </w:p>
    <w:p>
      <w:pPr>
        <w:spacing w:after="0" w:line="187"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24"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which has two or more contributing sponsors (including the Borrower or any ERISA Affiliate) at least two of whom are not under common control, as such a plan is described in Section 4064 of ERISA.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117" w:lineRule="exact"/>
        <w:rPr>
          <w:sz w:val="20"/>
          <w:szCs w:val="20"/>
          <w:color w:val="auto"/>
        </w:rPr>
      </w:pPr>
    </w:p>
    <w:p>
      <w:pPr>
        <w:ind w:left="440" w:right="20" w:firstLine="428"/>
        <w:spacing w:after="0" w:line="283" w:lineRule="auto"/>
        <w:tabs>
          <w:tab w:leader="none" w:pos="1108"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with respect to any Disposition by the Borrower or any of its Subsidiaries, or any Extraordinary Receipt received or paid to the account of the Borrower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(B) the reasonable and customary out-of-pocket fees and expenses incurred by the Borrower or such Subsidiary in connection with such transaction (including reasonable and customary fees of attorneys, accountants, consultants and investment advisers, reasonable and customary out-of-pocket costs associated with title insurance policies, surveys, lien and judgment searching, recording documents, and transaction and recording taxes), (C) income taxes reasonably estimated to be actually payable within two years of the date of the relevant transaction as a result of any gain recognized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any estimated taxes pursuant to this </w:t>
      </w:r>
      <w:r>
        <w:rPr>
          <w:rFonts w:ascii="Arial" w:cs="Arial" w:eastAsia="Arial" w:hAnsi="Arial"/>
          <w:sz w:val="16"/>
          <w:szCs w:val="16"/>
          <w:u w:val="single" w:color="auto"/>
          <w:color w:val="auto"/>
        </w:rPr>
        <w:t>subclause (C)</w:t>
      </w:r>
      <w:r>
        <w:rPr>
          <w:rFonts w:ascii="Arial" w:cs="Arial" w:eastAsia="Arial" w:hAnsi="Arial"/>
          <w:sz w:val="16"/>
          <w:szCs w:val="16"/>
          <w:color w:val="auto"/>
        </w:rPr>
        <w:t xml:space="preserve"> exceeds the amount of taxes actually required to be paid in cash in respect of such Disposition, the aggregate amount of such excess shall constitute Net Cash Proceeds and</w:t>
      </w:r>
    </w:p>
    <w:p>
      <w:pPr>
        <w:spacing w:after="0" w:line="4" w:lineRule="exact"/>
        <w:rPr>
          <w:rFonts w:ascii="Arial" w:cs="Arial" w:eastAsia="Arial" w:hAnsi="Arial"/>
          <w:sz w:val="16"/>
          <w:szCs w:val="16"/>
          <w:color w:val="auto"/>
        </w:rPr>
      </w:pPr>
    </w:p>
    <w:p>
      <w:pPr>
        <w:ind w:left="440" w:right="100" w:firstLine="4"/>
        <w:spacing w:after="0" w:line="270" w:lineRule="auto"/>
        <w:tabs>
          <w:tab w:leader="none" w:pos="7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amounts held in any reserve created for escrow, holdback, indemnity or similar obligations of the Borrower or any of its Subsidiaries in connection with such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such amounts held in such reserves shall not exceed 10% of the gross cash proceeds received with respect to such Disposition and (2) such amounts held in such reserves shall constitute Net Cash Proceeds upon release to, or receipt by, the Borrower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such cash or Cash Equivalents received in connection with any Disposition or Extraordinary Receipt shall only constitute Net Cash Proceeds under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in any fiscal year to the extent that the aggregate amount of such cash and Cash Equivalents received in such fiscal year exceeds $5,000,000; and</w:t>
      </w:r>
    </w:p>
    <w:p>
      <w:pPr>
        <w:spacing w:after="0" w:line="70" w:lineRule="exact"/>
        <w:rPr>
          <w:rFonts w:ascii="Arial" w:cs="Arial" w:eastAsia="Arial" w:hAnsi="Arial"/>
          <w:sz w:val="17"/>
          <w:szCs w:val="17"/>
          <w:color w:val="auto"/>
        </w:rPr>
      </w:pPr>
    </w:p>
    <w:p>
      <w:pPr>
        <w:ind w:left="440" w:right="80" w:firstLine="428"/>
        <w:spacing w:after="0" w:line="286" w:lineRule="auto"/>
        <w:tabs>
          <w:tab w:leader="none" w:pos="1118" w:val="left"/>
        </w:tabs>
        <w:numPr>
          <w:ilvl w:val="1"/>
          <w:numId w:val="32"/>
        </w:numPr>
        <w:rPr>
          <w:rFonts w:ascii="Arial" w:cs="Arial" w:eastAsia="Arial" w:hAnsi="Arial"/>
          <w:sz w:val="17"/>
          <w:szCs w:val="17"/>
          <w:color w:val="auto"/>
        </w:rPr>
      </w:pPr>
      <w:r>
        <w:rPr>
          <w:rFonts w:ascii="Arial" w:cs="Arial" w:eastAsia="Arial" w:hAnsi="Arial"/>
          <w:sz w:val="17"/>
          <w:szCs w:val="17"/>
          <w:color w:val="auto"/>
        </w:rPr>
        <w:t>with respect to the incurrence or issuance of any Indebtedness by the Borrower or any of its Subsidiaries, the excess of (i) the sum of the cash and Cash Equivalents received in connection with such transaction over (ii) the underwriting discounts and commissions, and other reasonable and customary out-of-pocket expenses, incurred by the Borrower or such Subsidiary in connection therewith.</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Extended 2017 Incremental Term Lender</w:t>
      </w:r>
      <w:r>
        <w:rPr>
          <w:rFonts w:ascii="Arial" w:cs="Arial" w:eastAsia="Arial" w:hAnsi="Arial"/>
          <w:sz w:val="18"/>
          <w:szCs w:val="18"/>
          <w:color w:val="auto"/>
        </w:rPr>
        <w:t>” has the meaning assigned to such term in the Eighth Amendment.</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(i) requires the approval of all Lenders or all affected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(ii) has been approved by the Required Lenders.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E-4-23</w:t>
      </w:r>
    </w:p>
    <w:p>
      <w:pPr>
        <w:sectPr>
          <w:pgSz w:w="11900" w:h="16838" w:orient="portrait"/>
          <w:cols w:equalWidth="0" w:num="1">
            <w:col w:w="11020"/>
          </w:cols>
          <w:pgMar w:left="440" w:top="274" w:right="439" w:bottom="1440" w:gutter="0" w:footer="0" w:header="0"/>
        </w:sectPr>
      </w:pPr>
    </w:p>
    <w:bookmarkStart w:id="49" w:name="page50"/>
    <w:bookmarkEnd w:id="4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Non-Extending 2017 Incremental Term Lender</w:t>
      </w:r>
      <w:r>
        <w:rPr>
          <w:rFonts w:ascii="Arial" w:cs="Arial" w:eastAsia="Arial" w:hAnsi="Arial"/>
          <w:sz w:val="18"/>
          <w:szCs w:val="18"/>
          <w:color w:val="auto"/>
        </w:rPr>
        <w:t>” has the meaning assigned to such term in the Eighth Amendment.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Term Note or a Revolving Credit Note, as the context may require.</w:t>
      </w:r>
    </w:p>
    <w:p>
      <w:pPr>
        <w:spacing w:after="0" w:line="22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xml:space="preserve">” means all advances to, and debts, liabilities, obligations, covenants and duties of, any Loan Party arising under any Loan Document or otherwise with respect to any Loan, Letter of Credit,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Obligations shall exclude any Excluded Swap Obligations.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 Out Lender</w:t>
      </w:r>
      <w:r>
        <w:rPr>
          <w:rFonts w:ascii="Arial" w:cs="Arial" w:eastAsia="Arial" w:hAnsi="Arial"/>
          <w:sz w:val="18"/>
          <w:szCs w:val="18"/>
          <w:color w:val="auto"/>
        </w:rPr>
        <w:t>” has the meaning specified in the Amendment and Restatement Agreement.</w:t>
      </w:r>
    </w:p>
    <w:p>
      <w:pPr>
        <w:spacing w:after="0" w:line="225"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Credit Agreement</w:t>
      </w:r>
      <w:r>
        <w:rPr>
          <w:rFonts w:ascii="Arial" w:cs="Arial" w:eastAsia="Arial" w:hAnsi="Arial"/>
          <w:sz w:val="18"/>
          <w:szCs w:val="18"/>
          <w:color w:val="auto"/>
        </w:rPr>
        <w:t>” has the meaning specified in the Preliminary Statements.</w:t>
      </w:r>
    </w:p>
    <w:p>
      <w:pPr>
        <w:spacing w:after="0" w:line="225"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Term Loans</w:t>
      </w:r>
      <w:r>
        <w:rPr>
          <w:rFonts w:ascii="Arial" w:cs="Arial" w:eastAsia="Arial" w:hAnsi="Arial"/>
          <w:sz w:val="18"/>
          <w:szCs w:val="18"/>
          <w:color w:val="auto"/>
        </w:rPr>
        <w:t>” shall mean, collectively, the term loans outstanding under this agreement immediately prior to the Amendment and Restatement Effective Date.</w:t>
      </w:r>
    </w:p>
    <w:p>
      <w:pPr>
        <w:spacing w:after="0" w:line="170"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87"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(a) with respect to Term Loans, Revolving Credit Loans and Swing Line Loans on any date, the aggregate outstanding principal amount thereof after giving effect to any borrowings and prepayments or repayments of Term Loans, Revolving Credit Loans and Swing 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58"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Paragon Acquisition</w:t>
      </w:r>
      <w:r>
        <w:rPr>
          <w:rFonts w:ascii="Arial" w:cs="Arial" w:eastAsia="Arial" w:hAnsi="Arial"/>
          <w:sz w:val="18"/>
          <w:szCs w:val="18"/>
          <w:color w:val="auto"/>
        </w:rPr>
        <w:t>” means the transaction contemplated by the Borrower, Precision Engineered Products LLC, PMG Intermediate Holding Corporation (“</w:t>
      </w:r>
      <w:r>
        <w:rPr>
          <w:rFonts w:ascii="Arial" w:cs="Arial" w:eastAsia="Arial" w:hAnsi="Arial"/>
          <w:sz w:val="18"/>
          <w:szCs w:val="18"/>
          <w:u w:val="single" w:color="auto"/>
          <w:color w:val="auto"/>
        </w:rPr>
        <w:t>Target</w:t>
      </w:r>
      <w:r>
        <w:rPr>
          <w:rFonts w:ascii="Arial" w:cs="Arial" w:eastAsia="Arial" w:hAnsi="Arial"/>
          <w:sz w:val="18"/>
          <w:szCs w:val="18"/>
          <w:color w:val="auto"/>
        </w:rPr>
        <w:t>”) and Paragon Equity, LLC, the existing shareholder of the Target entering into a Stock Purchase Agreement, dated as of April 2, 2018.</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E-4-24</w:t>
      </w:r>
    </w:p>
    <w:p>
      <w:pPr>
        <w:sectPr>
          <w:pgSz w:w="11900" w:h="16838" w:orient="portrait"/>
          <w:cols w:equalWidth="0" w:num="1">
            <w:col w:w="11020"/>
          </w:cols>
          <w:pgMar w:left="440" w:top="274" w:right="439" w:bottom="1440" w:gutter="0" w:footer="0" w:header="0"/>
        </w:sectPr>
      </w:pPr>
    </w:p>
    <w:bookmarkStart w:id="50" w:name="page51"/>
    <w:bookmarkEnd w:id="5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Security Agreement</w:t>
      </w:r>
      <w:r>
        <w:rPr>
          <w:rFonts w:ascii="Arial" w:cs="Arial" w:eastAsia="Arial" w:hAnsi="Arial"/>
          <w:sz w:val="18"/>
          <w:szCs w:val="18"/>
          <w:color w:val="auto"/>
        </w:rPr>
        <w:t>” means a patent security agreement or notice of grant of security interest in patents, in each case in form and substance satisfactory to the Administrative Agent.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the USA Patriot Act (Title III of Pub. L.107-56 (signed into law October 26, 2001)).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7"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Foreign Subsidiary and other Loans and Investments</w:t>
      </w:r>
      <w:r>
        <w:rPr>
          <w:rFonts w:ascii="Arial" w:cs="Arial" w:eastAsia="Arial" w:hAnsi="Arial"/>
          <w:sz w:val="18"/>
          <w:szCs w:val="18"/>
          <w:color w:val="auto"/>
        </w:rPr>
        <w:t>” means, collectively:</w:t>
      </w:r>
    </w:p>
    <w:p>
      <w:pPr>
        <w:spacing w:after="0" w:line="117" w:lineRule="exact"/>
        <w:rPr>
          <w:sz w:val="20"/>
          <w:szCs w:val="20"/>
          <w:color w:val="auto"/>
        </w:rPr>
      </w:pPr>
    </w:p>
    <w:p>
      <w:pPr>
        <w:ind w:left="440" w:right="20" w:firstLine="428"/>
        <w:spacing w:after="0" w:line="277" w:lineRule="auto"/>
        <w:tabs>
          <w:tab w:leader="none" w:pos="1108"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any investment existing as of the Closing Date by the Borrower or any of its Subsidiaries in, and any loan existing as of the Closing Date by the Borrower or any of its Subsidiaries to, a Foreign Subsidiary, as set forth on </w:t>
      </w:r>
      <w:r>
        <w:rPr>
          <w:rFonts w:ascii="Arial" w:cs="Arial" w:eastAsia="Arial" w:hAnsi="Arial"/>
          <w:sz w:val="18"/>
          <w:szCs w:val="18"/>
          <w:u w:val="single" w:color="auto"/>
          <w:color w:val="auto"/>
        </w:rPr>
        <w:t>Schedule 7.03</w:t>
      </w:r>
      <w:r>
        <w:rPr>
          <w:rFonts w:ascii="Arial" w:cs="Arial" w:eastAsia="Arial" w:hAnsi="Arial"/>
          <w:sz w:val="18"/>
          <w:szCs w:val="18"/>
          <w:color w:val="auto"/>
        </w:rPr>
        <w:t xml:space="preserve"> hereto;</w:t>
      </w:r>
    </w:p>
    <w:p>
      <w:pPr>
        <w:spacing w:after="0" w:line="62" w:lineRule="exact"/>
        <w:rPr>
          <w:rFonts w:ascii="Arial" w:cs="Arial" w:eastAsia="Arial" w:hAnsi="Arial"/>
          <w:sz w:val="18"/>
          <w:szCs w:val="18"/>
          <w:color w:val="auto"/>
        </w:rPr>
      </w:pPr>
    </w:p>
    <w:p>
      <w:pPr>
        <w:ind w:left="440" w:right="140" w:firstLine="428"/>
        <w:spacing w:after="0" w:line="259" w:lineRule="auto"/>
        <w:tabs>
          <w:tab w:leader="none" w:pos="1118"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any investment by a Foreign Subsidiary in, or loan from a Foreign Subsidiary to, or Guarantee by a Foreign Subsidiary of Indebtedness of,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loan or Guarantee or, if applicable, such Investment, is subordinated to the Obligations on terms and conditions satisfactory to the Administrative Agent (unless such subordination requirement is waived by the Administrative Agent in its sole discretion); and</w:t>
      </w:r>
    </w:p>
    <w:p>
      <w:pPr>
        <w:spacing w:after="0" w:line="78" w:lineRule="exact"/>
        <w:rPr>
          <w:rFonts w:ascii="Arial" w:cs="Arial" w:eastAsia="Arial" w:hAnsi="Arial"/>
          <w:sz w:val="18"/>
          <w:szCs w:val="18"/>
          <w:color w:val="auto"/>
        </w:rPr>
      </w:pPr>
    </w:p>
    <w:p>
      <w:pPr>
        <w:ind w:left="440" w:firstLine="428"/>
        <w:spacing w:after="0" w:line="257" w:lineRule="auto"/>
        <w:tabs>
          <w:tab w:leader="none" w:pos="1108"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(i) any investment by any Loan Party in, or loan by any Loan Party to, or Guarantee by any Loan Party of the Indebtedness of, a Foreign Subsidiary or (ii) any investment by any Loan Party in the Equity Interest of, or loan, contribution or advance by any Loan Party to, a Person other than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any Investment under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and after giving effect thereto, the aggregate amount of all such investments, loans, Guarantees, contributions and advances made pursuant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shall not exceed $30,000,000 during any fiscal year and $60,000,000 during the term of this Agreement.</w:t>
      </w:r>
    </w:p>
    <w:p>
      <w:pPr>
        <w:spacing w:after="0" w:line="188"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Intercompany Note</w:t>
      </w:r>
      <w:r>
        <w:rPr>
          <w:rFonts w:ascii="Arial" w:cs="Arial" w:eastAsia="Arial" w:hAnsi="Arial"/>
          <w:sz w:val="18"/>
          <w:szCs w:val="18"/>
          <w:color w:val="auto"/>
        </w:rPr>
        <w:t>” means any promissory note made by any Subsidiary to the Borrower or a Loan Party, whether now owned or hereafter acquired by the Borrower or such Loan Party.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E-4-25</w:t>
      </w:r>
    </w:p>
    <w:p>
      <w:pPr>
        <w:sectPr>
          <w:pgSz w:w="11900" w:h="16838" w:orient="portrait"/>
          <w:cols w:equalWidth="0" w:num="1">
            <w:col w:w="11000"/>
          </w:cols>
          <w:pgMar w:left="440" w:top="274" w:right="459" w:bottom="1440" w:gutter="0" w:footer="0" w:header="0"/>
        </w:sectPr>
      </w:pPr>
    </w:p>
    <w:bookmarkStart w:id="51" w:name="page52"/>
    <w:bookmarkEnd w:id="51"/>
    <w:p>
      <w:pPr>
        <w:ind w:right="6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Precious Metal Consignment Agreements</w:t>
      </w:r>
      <w:r>
        <w:rPr>
          <w:rFonts w:ascii="Arial" w:cs="Arial" w:eastAsia="Arial" w:hAnsi="Arial"/>
          <w:sz w:val="18"/>
          <w:szCs w:val="18"/>
          <w:color w:val="auto"/>
        </w:rPr>
        <w:t>” means, collectively, (a) the Consignment Agreement dated as of July 30, 2009, between Mitsubishi International Corporation and Precision Engineered Products LLC and (b) the Consignment Agreement dated as of January 25, 2010, between Umicore Precious Metals NJ, LLC and Precision Engineered Products LLC, and in each case each other agreement entered into in connection with such consignment agreements, each as may be amended, modified, restated or replaced, in each case, in a manner not adverse to the Lenders, from time to time.</w:t>
      </w:r>
    </w:p>
    <w:p>
      <w:pPr>
        <w:spacing w:after="0" w:line="188"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Leverage Test</w:t>
      </w:r>
      <w:r>
        <w:rPr>
          <w:rFonts w:ascii="Arial" w:cs="Arial" w:eastAsia="Arial" w:hAnsi="Arial"/>
          <w:sz w:val="17"/>
          <w:szCs w:val="17"/>
          <w:color w:val="auto"/>
        </w:rPr>
        <w:t xml:space="preserve">” means, as of any date of determination, with respect to any Specified Transaction,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Consolidated Net Leverage Ratio that is equal to or less than the maximum Consolidated Net Leverage Ratio then permitted under </w:t>
      </w:r>
      <w:r>
        <w:rPr>
          <w:rFonts w:ascii="Arial" w:cs="Arial" w:eastAsia="Arial" w:hAnsi="Arial"/>
          <w:sz w:val="17"/>
          <w:szCs w:val="17"/>
          <w:u w:val="single" w:color="auto"/>
          <w:color w:val="auto"/>
        </w:rPr>
        <w:t>Section 7.14</w:t>
      </w:r>
      <w:r>
        <w:rPr>
          <w:rFonts w:ascii="Arial" w:cs="Arial" w:eastAsia="Arial" w:hAnsi="Arial"/>
          <w:sz w:val="17"/>
          <w:szCs w:val="17"/>
          <w:color w:val="auto"/>
        </w:rPr>
        <w:t xml:space="preserve"> (whether or not the covenant set forth in </w:t>
      </w:r>
      <w:r>
        <w:rPr>
          <w:rFonts w:ascii="Arial" w:cs="Arial" w:eastAsia="Arial" w:hAnsi="Arial"/>
          <w:sz w:val="17"/>
          <w:szCs w:val="17"/>
          <w:u w:val="single" w:color="auto"/>
          <w:color w:val="auto"/>
        </w:rPr>
        <w:t>Section 7.14</w:t>
      </w:r>
      <w:r>
        <w:rPr>
          <w:rFonts w:ascii="Arial" w:cs="Arial" w:eastAsia="Arial" w:hAnsi="Arial"/>
          <w:sz w:val="17"/>
          <w:szCs w:val="17"/>
          <w:color w:val="auto"/>
        </w:rPr>
        <w:t xml:space="preserve"> is then applicable), adjusted by reducing the numerator of such maximum permitted ratio by 0.50, for the most recent fiscal quarter (or fiscal year, as applicable) most recently ended prior to such date for which financial statements are required to have been delivered to the Administrative Agent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w:t>
      </w:r>
      <w:r>
        <w:rPr>
          <w:rFonts w:ascii="Arial" w:cs="Arial" w:eastAsia="Arial" w:hAnsi="Arial"/>
          <w:sz w:val="17"/>
          <w:szCs w:val="17"/>
          <w:u w:val="single" w:color="auto"/>
          <w:color w:val="auto"/>
        </w:rPr>
        <w:t>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6.01(b)</w:t>
      </w:r>
      <w:r>
        <w:rPr>
          <w:rFonts w:ascii="Arial" w:cs="Arial" w:eastAsia="Arial" w:hAnsi="Arial"/>
          <w:sz w:val="17"/>
          <w:szCs w:val="17"/>
          <w:color w:val="auto"/>
        </w:rPr>
        <w:t>, determined based on the financial information received for such most recently ended fiscal quarter (or fiscal year, as applicable) after giving effect to such Specified Transaction and any other Specified Transaction consummated after the date of such financial statements and on or prior to the date of such Specified Transaction.”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QFC</w:t>
      </w:r>
      <w:r>
        <w:rPr>
          <w:rFonts w:ascii="Arial" w:cs="Arial" w:eastAsia="Arial" w:hAnsi="Arial"/>
          <w:sz w:val="17"/>
          <w:szCs w:val="17"/>
          <w:color w:val="auto"/>
        </w:rPr>
        <w:t>” shall have the meaning assigned to the term “qualified financial contract” in, and shall be interpreted in accordance with, 12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5390(c)(8)(D).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10.21</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Receivables Transaction</w:t>
      </w:r>
      <w:r>
        <w:rPr>
          <w:rFonts w:ascii="Arial" w:cs="Arial" w:eastAsia="Arial" w:hAnsi="Arial"/>
          <w:sz w:val="16"/>
          <w:szCs w:val="16"/>
          <w:color w:val="auto"/>
        </w:rPr>
        <w:t xml:space="preserve">” means any transaction or series of transactions entered into by Borrower or any Subsidiary pursuant to which Borrower or such Subsidiary sells, contributes, conveys or otherwise transfers to, or grants a security interest in for the benefit of, any other Person (other than Borrower or a Subsidiary), any Receivables (whether now existing or arising in the future) of Borrower or such Subsidiary, and any related assets, including, without limitation, all collateral securing such Receivables, all contracts and all guarantees or other obligations in respect of such Receivables, proceeds of such Receivables and other assets (including contract rights) which are customarily transferred or in respect of which security interests are customarily granted in connection with asset securitization transactions involving Receivables;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Qualified Receivables Transactions shall be made at fair market value (including after giving effect to any Receivables Fees);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all such Qualified Receivables Transactions shall not (x) be Guaranteed by Borrower or any Subsidiary (excluding Guarantees of obligations (other than the principal of, and interest on, Indebtedness) pursuant to representations, warranties, covenants, indemnities and performance Guarantees that are reasonably customary in an accounts receivables financings), (y) be recourse to or obligate Borrower or any Subsidiary in any way other than pursuant to representations, warranties, covenants, indemnities and performance Guarantees that are reasonably customary in accounts receivables financings, or</w:t>
      </w:r>
    </w:p>
    <w:p>
      <w:pPr>
        <w:spacing w:after="0" w:line="5" w:lineRule="exact"/>
        <w:rPr>
          <w:sz w:val="20"/>
          <w:szCs w:val="20"/>
          <w:color w:val="auto"/>
        </w:rPr>
      </w:pPr>
    </w:p>
    <w:p>
      <w:pPr>
        <w:ind w:right="60" w:firstLine="4"/>
        <w:spacing w:after="0" w:line="270" w:lineRule="auto"/>
        <w:tabs>
          <w:tab w:leader="none" w:pos="245"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subject any property or asset of Borrower or any Subsidiary, directly or indirectly, contingently or otherwise, to the satisfaction thereof, other than pursuant to representations, warranties, covenants, indemnities and performance Guarantees reasonably customary in accounts receivables financings and other than any interest in the Receivables (whether in the form of an equity interest in such Receivables payable primarily from such Receivables) retained or acquired by Borrower or any Subsidiaries and (b) the fair market value of all Receivables sold, contributed conveyed or otherwise transferred, and all Receivables in which a security interest is granted by the Borrower or any Subsidiary, shall not exceed $20,000,000 in the aggregate for all Qualified Receivables Transactions during the term of this Agreement.</w:t>
      </w:r>
    </w:p>
    <w:p>
      <w:pPr>
        <w:spacing w:after="0" w:line="179"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Ratings Event</w:t>
      </w:r>
      <w:r>
        <w:rPr>
          <w:rFonts w:ascii="Arial" w:cs="Arial" w:eastAsia="Arial" w:hAnsi="Arial"/>
          <w:sz w:val="18"/>
          <w:szCs w:val="18"/>
          <w:color w:val="auto"/>
        </w:rPr>
        <w:t>” means any date on which the Borrower (i) receives a corporate family rating from either Moody’s or S&amp;P of less than or equivalent to Caa1(stable) or CCC+ (stable), respectively, or (ii) is no longer rated by either S&amp;P or Moody’s and fails to obtain from a nationally recognized statistical rating agency or agencies, which shall be substituted for either of S&amp;P or Moody’s, a rating at least equivalent to B3 (stable) from Moody’s and B- (stable) from S&amp;P.</w:t>
      </w:r>
    </w:p>
    <w:p>
      <w:pPr>
        <w:spacing w:after="0" w:line="187"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Requirements</w:t>
      </w:r>
      <w:r>
        <w:rPr>
          <w:rFonts w:ascii="Arial" w:cs="Arial" w:eastAsia="Arial" w:hAnsi="Arial"/>
          <w:sz w:val="18"/>
          <w:szCs w:val="18"/>
          <w:color w:val="auto"/>
        </w:rPr>
        <w:t xml:space="preserve">” means, with respect to any Material Real Property, the documentation and other items of the type specified in Section 1 of </w:t>
      </w:r>
      <w:r>
        <w:rPr>
          <w:rFonts w:ascii="Arial" w:cs="Arial" w:eastAsia="Arial" w:hAnsi="Arial"/>
          <w:sz w:val="18"/>
          <w:szCs w:val="18"/>
          <w:u w:val="single" w:color="auto"/>
          <w:color w:val="auto"/>
        </w:rPr>
        <w:t>Schedule 6.17</w:t>
      </w:r>
      <w:r>
        <w:rPr>
          <w:rFonts w:ascii="Arial" w:cs="Arial" w:eastAsia="Arial" w:hAnsi="Arial"/>
          <w:sz w:val="18"/>
          <w:szCs w:val="18"/>
          <w:color w:val="auto"/>
        </w:rPr>
        <w: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E-4-26</w:t>
      </w:r>
    </w:p>
    <w:p>
      <w:pPr>
        <w:sectPr>
          <w:pgSz w:w="11900" w:h="16838" w:orient="portrait"/>
          <w:cols w:equalWidth="0" w:num="1">
            <w:col w:w="10980"/>
          </w:cols>
          <w:pgMar w:left="440" w:top="274" w:right="479" w:bottom="1440" w:gutter="0" w:footer="0" w:header="0"/>
        </w:sectPr>
      </w:pPr>
    </w:p>
    <w:bookmarkStart w:id="52" w:name="page53"/>
    <w:bookmarkEnd w:id="52"/>
    <w:p>
      <w:pPr>
        <w:jc w:val="both"/>
        <w:ind w:right="36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Receivable</w:t>
      </w:r>
      <w:r>
        <w:rPr>
          <w:rFonts w:ascii="Arial" w:cs="Arial" w:eastAsia="Arial" w:hAnsi="Arial"/>
          <w:sz w:val="18"/>
          <w:szCs w:val="18"/>
          <w:color w:val="auto"/>
        </w:rPr>
        <w:t>” means any Indebtedness and other payment obligations owed to Borrower or any Subsidiary, whether constituting an account, chattel paper, payment intangible, instrument or general intangible, in each case arising in connection with (a) the sale of goods or the rendering of service or (b) the lease, license, rental or use of equipment, facilities or software, including the obligation to pay any finance charges, fees and other charges with respect thereto.</w:t>
      </w:r>
    </w:p>
    <w:p>
      <w:pPr>
        <w:spacing w:after="0" w:line="187"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Fees</w:t>
      </w:r>
      <w:r>
        <w:rPr>
          <w:rFonts w:ascii="Arial" w:cs="Arial" w:eastAsia="Arial" w:hAnsi="Arial"/>
          <w:sz w:val="18"/>
          <w:szCs w:val="18"/>
          <w:color w:val="auto"/>
        </w:rPr>
        <w:t>” means distributions or payments made directly or by means of discounts with respect to any participation interest issued or sold in connection with, and other fees and expenses (including reasonable fees and expenses of legal counsel) paid to a Person (other than Borrower or a Subsidiary) in connection with, any Qualified Receivables Transaction.</w:t>
      </w:r>
    </w:p>
    <w:p>
      <w:pPr>
        <w:spacing w:after="0" w:line="18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or any other recipient of any payment to be made by or on account of any obligation of any Loan Party hereunder.</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w:t>
      </w:r>
      <w:r>
        <w:rPr>
          <w:rFonts w:ascii="Arial" w:cs="Arial" w:eastAsia="Arial" w:hAnsi="Arial"/>
          <w:sz w:val="18"/>
          <w:szCs w:val="18"/>
          <w:color w:val="auto"/>
        </w:rPr>
        <w:t>” means, in respect of any security or Indebtedness, to refinance, extend, renew, refund, repay, prepay, redeem, defease or retire, or to issue a security or Indebtedness in exchange or replacement for, such security or Indebtedness in whole or in part. “</w:t>
      </w:r>
      <w:r>
        <w:rPr>
          <w:rFonts w:ascii="Arial" w:cs="Arial" w:eastAsia="Arial" w:hAnsi="Arial"/>
          <w:sz w:val="18"/>
          <w:szCs w:val="18"/>
          <w:u w:val="single" w:color="auto"/>
          <w:color w:val="auto"/>
        </w:rPr>
        <w:t>Refinanced</w:t>
      </w:r>
      <w:r>
        <w:rPr>
          <w:rFonts w:ascii="Arial" w:cs="Arial" w:eastAsia="Arial" w:hAnsi="Arial"/>
          <w:sz w:val="18"/>
          <w:szCs w:val="18"/>
          <w:color w:val="auto"/>
        </w:rPr>
        <w:t>” and “</w:t>
      </w:r>
      <w:r>
        <w:rPr>
          <w:rFonts w:ascii="Arial" w:cs="Arial" w:eastAsia="Arial" w:hAnsi="Arial"/>
          <w:sz w:val="18"/>
          <w:szCs w:val="18"/>
          <w:u w:val="single" w:color="auto"/>
          <w:color w:val="auto"/>
        </w:rPr>
        <w:t>Refinancing</w:t>
      </w:r>
      <w:r>
        <w:rPr>
          <w:rFonts w:ascii="Arial" w:cs="Arial" w:eastAsia="Arial" w:hAnsi="Arial"/>
          <w:sz w:val="18"/>
          <w:szCs w:val="18"/>
          <w:color w:val="auto"/>
        </w:rPr>
        <w:t>” shall have correlative meanings.</w:t>
      </w:r>
    </w:p>
    <w:p>
      <w:pPr>
        <w:spacing w:after="0" w:line="18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Indebtedness</w:t>
      </w:r>
      <w:r>
        <w:rPr>
          <w:rFonts w:ascii="Arial" w:cs="Arial" w:eastAsia="Arial" w:hAnsi="Arial"/>
          <w:sz w:val="16"/>
          <w:szCs w:val="16"/>
          <w:color w:val="auto"/>
        </w:rPr>
        <w:t>” means any Refinancing, modification, replacement, restatement, refunding, deferral, extension, substitution, supplement, reissuance or resale of existing or future Indebtedness (other than intercompany Indebtedness), including any additional Indebtedness incurred to pay interest or premiums required by the instruments governing such existing or future Indebtedness as in effect at the time of issuance thereof (“</w:t>
      </w:r>
      <w:r>
        <w:rPr>
          <w:rFonts w:ascii="Arial" w:cs="Arial" w:eastAsia="Arial" w:hAnsi="Arial"/>
          <w:sz w:val="16"/>
          <w:szCs w:val="16"/>
          <w:u w:val="single" w:color="auto"/>
          <w:color w:val="auto"/>
        </w:rPr>
        <w:t>Required Premiums</w:t>
      </w:r>
      <w:r>
        <w:rPr>
          <w:rFonts w:ascii="Arial" w:cs="Arial" w:eastAsia="Arial" w:hAnsi="Arial"/>
          <w:sz w:val="16"/>
          <w:szCs w:val="16"/>
          <w:color w:val="auto"/>
        </w:rPr>
        <w:t xml:space="preserve">”) and fees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Refinancing, modification, replacement, restatement, refunding, deferral, extension, substitution, supplement, reissuance or resale shall not: (i) directly or indirectly result in an increase in the aggregate principal amount of such Indebtedness, except to the extent such increase is a result of a simultaneous incurrence of additional Indebtedness to pay Required Premiums and related fees and expenses; or (ii) result in Indebtedness with a weighted average life to maturity at the time of such Refinancing, modification, replacement, restatement, refunding, deferral, extension, substitution, supplement, reissuance or resale that is less than the weighted average life to maturity at such time of the Indebtedness being Refinanced, modified, replaced, renewed, restated, refunded, deferred, extended, substituted, supplemented, reissued or resold; or (iii) if the Indebtedness being Refinanced, modified, replaced, restated, refunded, deferred, extended, substituted, supplemented, reissued or resold is subordinated in right of payment or Lien priority to the Obligations or the Guarantees thereof, such Refinancing Indebtedness is subordinated in right of payment or Lien priority to the Obligations or the Guarantees thereof or Liens thereof, as applicable, on terms at least as favorable to the Lenders as those contained in the documentation governing the Indebtedness being Refinanced, modified, replaced, restated, refunded, deferred, extended, substituted, supplemented, reissued or resold.</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Documents</w:t>
      </w:r>
      <w:r>
        <w:rPr>
          <w:rFonts w:ascii="Arial" w:cs="Arial" w:eastAsia="Arial" w:hAnsi="Arial"/>
          <w:sz w:val="18"/>
          <w:szCs w:val="18"/>
          <w:color w:val="auto"/>
        </w:rPr>
        <w:t>” means, collectively, (a) the Closing Date Acquisition Agreement and (b) all other material documents entered into by any Loan Party in connection with the Closing Date Acquisition.</w:t>
      </w:r>
    </w:p>
    <w:p>
      <w:pPr>
        <w:spacing w:after="0" w:line="170"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and advisors of such Person and of such Person’s Affiliates.</w:t>
      </w:r>
    </w:p>
    <w:p>
      <w:pPr>
        <w:spacing w:after="0" w:line="170"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discharge, deposit, disposal, leaking, pumping, pouring, dumping, emptying, injection or leaching into the Environment, or into, from or through any building, structure or facility.</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other than events for which the 30 day notice period has been waived.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E-4-27</w:t>
      </w:r>
    </w:p>
    <w:p>
      <w:pPr>
        <w:sectPr>
          <w:pgSz w:w="11900" w:h="16838" w:orient="portrait"/>
          <w:cols w:equalWidth="0" w:num="1">
            <w:col w:w="11000"/>
          </w:cols>
          <w:pgMar w:left="440" w:top="274" w:right="459" w:bottom="1440" w:gutter="0" w:footer="0" w:header="0"/>
        </w:sectPr>
      </w:pPr>
    </w:p>
    <w:bookmarkStart w:id="53" w:name="page54"/>
    <w:bookmarkEnd w:id="53"/>
    <w:p>
      <w:pPr>
        <w:ind w:firstLine="44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Repricing Event</w:t>
      </w:r>
      <w:r>
        <w:rPr>
          <w:rFonts w:ascii="Arial" w:cs="Arial" w:eastAsia="Arial" w:hAnsi="Arial"/>
          <w:sz w:val="17"/>
          <w:szCs w:val="17"/>
          <w:color w:val="auto"/>
        </w:rPr>
        <w:t xml:space="preserve">” means (a) any prepayment or repayment of the initial Loans (or any portion thereof) with the proceeds of, or any conversion of initial Loans into, any new or replacement Indebtedness bearing interest with an “effective yield” (taking into account, for example, upfront fees, interest rate spreads, interest rate benchmark floors and original issue discount, but excluding the effect of any arrangement, structuring, syndication or other fees payable in connection therewith that are not shared with all lenders or holders of the initial Loans or such new or replacement Indebtedness, as the case may be) less than the “effective yield” applicable to all or a portion of the initial Loans subject to such prepayment or repayment (as such comparative yields are determined by the Administrative Agent) or (b) any amendment to this Agreement which reduces the “effective yield” (determined in accordance with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applicable to all or a portion of the initial Loans.</w:t>
      </w:r>
    </w:p>
    <w:p>
      <w:pPr>
        <w:spacing w:after="0" w:line="178"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Term Loans or Revolving Credit Loans, a Committed Loan Notice, (b) with respect to an L/C Credit Extension, a Letter of Credit Application, and (c) with respect to a Swing Line Loan, a Swing Line Loan Notice.</w:t>
      </w:r>
    </w:p>
    <w:p>
      <w:pPr>
        <w:spacing w:after="0" w:line="181" w:lineRule="exact"/>
        <w:rPr>
          <w:sz w:val="20"/>
          <w:szCs w:val="20"/>
          <w:color w:val="auto"/>
        </w:rPr>
      </w:pPr>
    </w:p>
    <w:p>
      <w:pPr>
        <w:ind w:right="12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holding more than 50% of the sum of the (a) Total Outstandings (with the aggregate amount of each Revolving Credit Lender’s risk participation and funded participation in L/C Obligations and Swing Line Loans being deemed “held” by such Revolving Credit Lender for purposes of this definition) and (b) aggregate unused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unused Revolving Credit Commitment of, and the portion of the Total Revolving Credit Outstandings and the Term Facility held or deemed held by, any Defaulting Lender shall be excluded for purposes of making a determination of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at such time there are three or fewer unaffiliated Lenders (other than Defaulting Lenders), Required Lenders shall also require not fewer than two unaffiliated Lenders (other than Defaulting Lenders).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Revolving Lenders</w:t>
      </w:r>
      <w:r>
        <w:rPr>
          <w:rFonts w:ascii="Arial" w:cs="Arial" w:eastAsia="Arial" w:hAnsi="Arial"/>
          <w:sz w:val="17"/>
          <w:szCs w:val="17"/>
          <w:color w:val="auto"/>
        </w:rPr>
        <w:t>” means, as of any date of determination, Revolving Credit Lenders holding more than 50% of the sum of the</w:t>
      </w:r>
    </w:p>
    <w:p>
      <w:pPr>
        <w:spacing w:after="0" w:line="35" w:lineRule="exact"/>
        <w:rPr>
          <w:sz w:val="20"/>
          <w:szCs w:val="20"/>
          <w:color w:val="auto"/>
        </w:rPr>
      </w:pPr>
    </w:p>
    <w:p>
      <w:pPr>
        <w:ind w:left="240" w:hanging="236"/>
        <w:spacing w:after="0"/>
        <w:tabs>
          <w:tab w:leader="none" w:pos="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Total Revolving Credit Outstandings (with the aggregate amount of each Revolving Credit Lender’s risk participation and funded participation in</w:t>
      </w:r>
    </w:p>
    <w:p>
      <w:pPr>
        <w:spacing w:after="0" w:line="20" w:lineRule="exact"/>
        <w:rPr>
          <w:rFonts w:ascii="Arial" w:cs="Arial" w:eastAsia="Arial" w:hAnsi="Arial"/>
          <w:sz w:val="17"/>
          <w:szCs w:val="17"/>
          <w:color w:val="auto"/>
        </w:rPr>
      </w:pPr>
    </w:p>
    <w:p>
      <w:pPr>
        <w:ind w:right="2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L/C Obligations and Swing Line Loans being deemed “held” by such Revolving Credit Lender for purposes of this definition) and (b) aggregate unused Revolving Credit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unused Revolving Credit Commitment of, and the portion of the Total Revolving Credit Outstandings held or deemed held by, any Defaulting Lender shall be excluded for purposes of making a determination of Required Revolving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at such time there are three or fewer unaffiliated Revolving Credit Lenders (other than Defaulting Lenders), Required Revolving Lenders shall also require not fewer than two unaffiliated Lenders (other than Defaulting Lenders).</w:t>
      </w:r>
    </w:p>
    <w:p>
      <w:pPr>
        <w:spacing w:after="0" w:line="179"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Term Lenders</w:t>
      </w:r>
      <w:r>
        <w:rPr>
          <w:rFonts w:ascii="Arial" w:cs="Arial" w:eastAsia="Arial" w:hAnsi="Arial"/>
          <w:sz w:val="18"/>
          <w:szCs w:val="18"/>
          <w:color w:val="auto"/>
        </w:rPr>
        <w:t xml:space="preserve">” means, as of any date of determination, Term Lenders holding more than 50% of the sum of the (a) Term Loans outstanding on such date and (b) the aggregate unused Term Commitments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portion of the Term Facility held by any Defaulting Lender shall be excluded for purposes of making a determination of Required Term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at such time there are three or fewer unaffiliated Term Lenders (other than Defaulting Lenders), Required Term Lenders shall also require not fewer than two unaffiliated Lenders (other than Defaulting Lenders).</w:t>
      </w:r>
    </w:p>
    <w:p>
      <w:pPr>
        <w:spacing w:after="0" w:line="188"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xml:space="preserve">” means the chief executive officer, president, chief financial officer, treasurer, assistant treasurer or controller of a Loan Party, solely for purposes of the delivery of incumbency certificates pursuant to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the secretary or any assistant secretary of a Loan Party and, solely for the purposes of notices given to </w:t>
      </w:r>
      <w:r>
        <w:rPr>
          <w:rFonts w:ascii="Arial" w:cs="Arial" w:eastAsia="Arial" w:hAnsi="Arial"/>
          <w:sz w:val="16"/>
          <w:szCs w:val="16"/>
          <w:u w:val="single" w:color="auto"/>
          <w:color w:val="auto"/>
        </w:rPr>
        <w:t>Article II</w:t>
      </w:r>
      <w:r>
        <w:rPr>
          <w:rFonts w:ascii="Arial" w:cs="Arial" w:eastAsia="Arial" w:hAnsi="Arial"/>
          <w:sz w:val="16"/>
          <w:szCs w:val="16"/>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67"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with respect to the Borrower or any of its Subsidiaries, (a) any Capital Distribution and (b) any amount paid by the Borrower or any of its Subsidiaries in repayment, redemption, retirement or repurchase, directly or indirectly, of any Subordinated Indebtedness or any Junior Indebtedness.</w:t>
      </w:r>
    </w:p>
    <w:p>
      <w:pPr>
        <w:spacing w:after="0" w:line="181" w:lineRule="exact"/>
        <w:rPr>
          <w:sz w:val="20"/>
          <w:szCs w:val="20"/>
          <w:color w:val="auto"/>
        </w:rPr>
      </w:pPr>
    </w:p>
    <w:p>
      <w:pPr>
        <w:ind w:right="56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Borrowing</w:t>
      </w:r>
      <w:r>
        <w:rPr>
          <w:rFonts w:ascii="Arial" w:cs="Arial" w:eastAsia="Arial" w:hAnsi="Arial"/>
          <w:sz w:val="16"/>
          <w:szCs w:val="16"/>
          <w:color w:val="auto"/>
        </w:rPr>
        <w:t xml:space="preserve">” means a borrowing consisting of simultaneous Revolving Credit Loans of the same Type and, in the case of Eurodollar Rate Loans, having the same Interest Period made by each of the Revolving Credit Lenders pursuant to </w:t>
      </w:r>
      <w:r>
        <w:rPr>
          <w:rFonts w:ascii="Arial" w:cs="Arial" w:eastAsia="Arial" w:hAnsi="Arial"/>
          <w:sz w:val="16"/>
          <w:szCs w:val="16"/>
          <w:u w:val="single" w:color="auto"/>
          <w:color w:val="auto"/>
        </w:rPr>
        <w:t>Section 2.01(b)</w:t>
      </w:r>
      <w:r>
        <w:rPr>
          <w:rFonts w:ascii="Arial" w:cs="Arial" w:eastAsia="Arial" w:hAnsi="Arial"/>
          <w:sz w:val="16"/>
          <w:szCs w:val="16"/>
          <w:color w:val="auto"/>
        </w:rPr>
        <w: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E-4-28</w:t>
      </w:r>
    </w:p>
    <w:p>
      <w:pPr>
        <w:sectPr>
          <w:pgSz w:w="11900" w:h="16838" w:orient="portrait"/>
          <w:cols w:equalWidth="0" w:num="1">
            <w:col w:w="11020"/>
          </w:cols>
          <w:pgMar w:left="440" w:top="274" w:right="439" w:bottom="1440" w:gutter="0" w:footer="0" w:header="0"/>
        </w:sectPr>
      </w:pPr>
    </w:p>
    <w:bookmarkStart w:id="54" w:name="page55"/>
    <w:bookmarkEnd w:id="54"/>
    <w:p>
      <w:pPr>
        <w:ind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Revolving Credit Commitments</w:t>
      </w:r>
      <w:r>
        <w:rPr>
          <w:rFonts w:ascii="Arial" w:cs="Arial" w:eastAsia="Arial" w:hAnsi="Arial"/>
          <w:sz w:val="17"/>
          <w:szCs w:val="17"/>
          <w:color w:val="auto"/>
        </w:rPr>
        <w:t xml:space="preserve">” means, as to each Revolving Credit Lender, its obligation to (a) make Revolving Credit Loans to the Borrower pursuant to </w:t>
      </w:r>
      <w:r>
        <w:rPr>
          <w:rFonts w:ascii="Arial" w:cs="Arial" w:eastAsia="Arial" w:hAnsi="Arial"/>
          <w:sz w:val="17"/>
          <w:szCs w:val="17"/>
          <w:u w:val="single" w:color="auto"/>
          <w:color w:val="auto"/>
        </w:rPr>
        <w:t>Section 2.01(b)</w:t>
      </w:r>
      <w:r>
        <w:rPr>
          <w:rFonts w:ascii="Arial" w:cs="Arial" w:eastAsia="Arial" w:hAnsi="Arial"/>
          <w:sz w:val="17"/>
          <w:szCs w:val="17"/>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to the Eighth Amendment under the caption “Revolving Credit Commitment” or opposite such caption in the Assignment and Assumption pursuant to which such Lender becomes a party hereto, as applicable, as such amount may be adjusted from time to time in accordance with this Agreement.</w:t>
      </w:r>
    </w:p>
    <w:p>
      <w:pPr>
        <w:spacing w:after="0" w:line="173"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to any Lender at any time, the aggregate principal amount at such time of its outstanding Revolving Credit Loans and such Lender’s participation in L/C Obligations and Swing Line Loans at such time.</w:t>
      </w:r>
    </w:p>
    <w:p>
      <w:pPr>
        <w:spacing w:after="0" w:line="170"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means, at any time, the aggregate amount of the Revolving Credit Lenders’ Revolving Credit Commitments at such time. As of the Second Restatement Effective Date, the Revolving Credit Facility was $75,000,000.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Increase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Increase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2.14(d)(ii)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Lender</w:t>
      </w:r>
      <w:r>
        <w:rPr>
          <w:rFonts w:ascii="Arial" w:cs="Arial" w:eastAsia="Arial" w:hAnsi="Arial"/>
          <w:sz w:val="18"/>
          <w:szCs w:val="18"/>
          <w:color w:val="auto"/>
        </w:rPr>
        <w:t>” means, at any time, any Lender that has a Revolving Credit Commitment at such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jc w:val="both"/>
        <w:ind w:right="48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xml:space="preserve">” means a promissory note made by the Borrower in favor of a Revolving Credit Lender (and its registered assigns) evidencing Revolving Credit Loans or Swing Line Loans, as the case may be, made by such Revolving Credit Lender, substantially in the form of </w:t>
      </w:r>
      <w:r>
        <w:rPr>
          <w:rFonts w:ascii="Arial" w:cs="Arial" w:eastAsia="Arial" w:hAnsi="Arial"/>
          <w:sz w:val="18"/>
          <w:szCs w:val="18"/>
          <w:u w:val="single" w:color="auto"/>
          <w:color w:val="auto"/>
        </w:rPr>
        <w:t>Exhibit C-2</w:t>
      </w:r>
      <w:r>
        <w:rPr>
          <w:rFonts w:ascii="Arial" w:cs="Arial" w:eastAsia="Arial" w:hAnsi="Arial"/>
          <w:sz w:val="18"/>
          <w:szCs w:val="18"/>
          <w:color w:val="auto"/>
        </w:rPr>
        <w:t>.</w:t>
      </w:r>
    </w:p>
    <w:p>
      <w:pPr>
        <w:spacing w:after="0" w:line="18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 administered or enforced by the United States Government (including without limitation, OFAC), the United Nations Security Council, the European Union, Her Majesty’s Treasury or other relevant sanctions authority.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Financial Services LLC, a subsidiary of The McGraw-Hill Companies, Inc., and any successor thereto.</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Amendment</w:t>
      </w:r>
      <w:r>
        <w:rPr>
          <w:rFonts w:ascii="Arial" w:cs="Arial" w:eastAsia="Arial" w:hAnsi="Arial"/>
          <w:sz w:val="18"/>
          <w:szCs w:val="18"/>
          <w:color w:val="auto"/>
        </w:rPr>
        <w:t>” means the Second Amendment to Amended and Restated Credit Agreement dated as of August 15, 2017.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Amendment Effective Date</w:t>
      </w:r>
      <w:r>
        <w:rPr>
          <w:rFonts w:ascii="Arial" w:cs="Arial" w:eastAsia="Arial" w:hAnsi="Arial"/>
          <w:sz w:val="18"/>
          <w:szCs w:val="18"/>
          <w:color w:val="auto"/>
        </w:rPr>
        <w:t>” means August 15, 2017.</w:t>
      </w:r>
    </w:p>
    <w:p>
      <w:pPr>
        <w:spacing w:after="0" w:line="225" w:lineRule="exact"/>
        <w:rPr>
          <w:sz w:val="20"/>
          <w:szCs w:val="20"/>
          <w:color w:val="auto"/>
        </w:rPr>
      </w:pPr>
    </w:p>
    <w:p>
      <w:pPr>
        <w:ind w:right="9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Restatement Effective Date</w:t>
      </w:r>
      <w:r>
        <w:rPr>
          <w:rFonts w:ascii="Arial" w:cs="Arial" w:eastAsia="Arial" w:hAnsi="Arial"/>
          <w:sz w:val="18"/>
          <w:szCs w:val="18"/>
          <w:color w:val="auto"/>
        </w:rPr>
        <w:t>” has the meaning specified in the Eighth Amendment. The Second Restatement Effective Date is December 19, 2019.</w:t>
      </w:r>
    </w:p>
    <w:p>
      <w:pPr>
        <w:spacing w:after="0" w:line="170"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means any Cash Management Agreement that is entered into by and between any Loan Party and any Cash Management Bank.</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xml:space="preserve">” means any Swap Contract permitted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that is entered into by and between any Loan Party and any Hedge Bank.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E-4-29</w:t>
      </w:r>
    </w:p>
    <w:p>
      <w:pPr>
        <w:sectPr>
          <w:pgSz w:w="11900" w:h="16838" w:orient="portrait"/>
          <w:cols w:equalWidth="0" w:num="1">
            <w:col w:w="11000"/>
          </w:cols>
          <w:pgMar w:left="440" w:top="274" w:right="459" w:bottom="1440" w:gutter="0" w:footer="0" w:header="0"/>
        </w:sectPr>
      </w:pPr>
    </w:p>
    <w:bookmarkStart w:id="55" w:name="page56"/>
    <w:bookmarkEnd w:id="55"/>
    <w:p>
      <w:pPr>
        <w:jc w:val="both"/>
        <w:ind w:right="280" w:firstLine="44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Secured Parties</w:t>
      </w:r>
      <w:r>
        <w:rPr>
          <w:rFonts w:ascii="Arial" w:cs="Arial" w:eastAsia="Arial" w:hAnsi="Arial"/>
          <w:sz w:val="17"/>
          <w:szCs w:val="17"/>
          <w:color w:val="auto"/>
        </w:rPr>
        <w:t xml:space="preserve">” means, collectively, the Administrative Agent, the Lenders, the L/C Issuers, the Hedge Banks, the Cash Management Banks, each co-agent or sub-agent appointed by the Administrative Agent from time to time pursuant to </w:t>
      </w:r>
      <w:r>
        <w:rPr>
          <w:rFonts w:ascii="Arial" w:cs="Arial" w:eastAsia="Arial" w:hAnsi="Arial"/>
          <w:sz w:val="17"/>
          <w:szCs w:val="17"/>
          <w:u w:val="single" w:color="auto"/>
          <w:color w:val="auto"/>
        </w:rPr>
        <w:t>Section 9.05</w:t>
      </w:r>
      <w:r>
        <w:rPr>
          <w:rFonts w:ascii="Arial" w:cs="Arial" w:eastAsia="Arial" w:hAnsi="Arial"/>
          <w:sz w:val="17"/>
          <w:szCs w:val="17"/>
          <w:color w:val="auto"/>
        </w:rPr>
        <w:t>, and the other Persons the Obligations owing to which are or are purported to be secured by the Collateral under the terms of the Collateral Documents.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 Control Agreement</w:t>
      </w:r>
      <w:r>
        <w:rPr>
          <w:rFonts w:ascii="Arial" w:cs="Arial" w:eastAsia="Arial" w:hAnsi="Arial"/>
          <w:sz w:val="18"/>
          <w:szCs w:val="18"/>
          <w:color w:val="auto"/>
        </w:rPr>
        <w:t>” has the meaning assigned thereto in the Security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4.01(a)(iii)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Joinder Agreement</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Seventh Amendment</w:t>
      </w:r>
      <w:r>
        <w:rPr>
          <w:rFonts w:ascii="Arial" w:cs="Arial" w:eastAsia="Arial" w:hAnsi="Arial"/>
          <w:sz w:val="18"/>
          <w:szCs w:val="18"/>
          <w:color w:val="auto"/>
        </w:rPr>
        <w:t>” means the Seventh Amendment to Amended and Restated Credit Agreement dated as of June 11, 2019.</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Seventh Amendment Arranger</w:t>
      </w:r>
      <w:r>
        <w:rPr>
          <w:rFonts w:ascii="Arial" w:cs="Arial" w:eastAsia="Arial" w:hAnsi="Arial"/>
          <w:sz w:val="18"/>
          <w:szCs w:val="18"/>
          <w:color w:val="auto"/>
        </w:rPr>
        <w:t>” means SunTrust Robinson Humphrey, Inc., in its capacity as sole Lead Arranger and Bookrunner for the Seventh Amendment.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Seventh Amendment Effective Date</w:t>
      </w:r>
      <w:r>
        <w:rPr>
          <w:rFonts w:ascii="Arial" w:cs="Arial" w:eastAsia="Arial" w:hAnsi="Arial"/>
          <w:sz w:val="18"/>
          <w:szCs w:val="18"/>
          <w:color w:val="auto"/>
        </w:rPr>
        <w:t>” means June 11, 2019.</w:t>
      </w:r>
    </w:p>
    <w:p>
      <w:pPr>
        <w:spacing w:after="0" w:line="225" w:lineRule="exact"/>
        <w:rPr>
          <w:sz w:val="20"/>
          <w:szCs w:val="20"/>
          <w:color w:val="auto"/>
        </w:rPr>
      </w:pPr>
    </w:p>
    <w:p>
      <w:pPr>
        <w:ind w:right="26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Sold Account</w:t>
      </w:r>
      <w:r>
        <w:rPr>
          <w:rFonts w:ascii="Arial" w:cs="Arial" w:eastAsia="Arial" w:hAnsi="Arial"/>
          <w:sz w:val="17"/>
          <w:szCs w:val="17"/>
          <w:color w:val="auto"/>
        </w:rPr>
        <w:t>” means an Account which Borrower or a Subsidiary has sold to, or otherwise has granted a Lien on or in favor of, the purchaser pursuant to a Qualified Receivables Transaction, for which such Credit Party has received the purchase price for such Account.</w:t>
      </w:r>
    </w:p>
    <w:p>
      <w:pPr>
        <w:spacing w:after="0" w:line="14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and “</w:t>
      </w:r>
      <w:r>
        <w:rPr>
          <w:rFonts w:ascii="Arial" w:cs="Arial" w:eastAsia="Arial" w:hAnsi="Arial"/>
          <w:sz w:val="17"/>
          <w:szCs w:val="17"/>
          <w:u w:val="single" w:color="auto"/>
          <w:color w:val="auto"/>
        </w:rPr>
        <w:t>Solvency</w:t>
      </w:r>
      <w:r>
        <w:rPr>
          <w:rFonts w:ascii="Arial" w:cs="Arial" w:eastAsia="Arial" w:hAnsi="Arial"/>
          <w:sz w:val="17"/>
          <w:szCs w:val="17"/>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2"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Loan Party</w:t>
      </w:r>
      <w:r>
        <w:rPr>
          <w:rFonts w:ascii="Arial" w:cs="Arial" w:eastAsia="Arial" w:hAnsi="Arial"/>
          <w:sz w:val="16"/>
          <w:szCs w:val="16"/>
          <w:color w:val="auto"/>
        </w:rPr>
        <w:t>” means any Loan Party that is not an “eligible contract participant” under the Commodity Exchange Act (determined prior to giving effect to Section 29 of the Security Agreement and any other “keepwell, support or other agreement” for the benefit of such Loan Party).</w:t>
      </w:r>
    </w:p>
    <w:p>
      <w:pPr>
        <w:spacing w:after="0" w:line="124"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Purchase Agreement Representations</w:t>
      </w:r>
      <w:r>
        <w:rPr>
          <w:rFonts w:ascii="Arial" w:cs="Arial" w:eastAsia="Arial" w:hAnsi="Arial"/>
          <w:sz w:val="17"/>
          <w:szCs w:val="17"/>
          <w:color w:val="auto"/>
        </w:rPr>
        <w:t>” means the representations and warranties made by, or with respect to, the Company and its Subsidiaries in the Closing Date Acquisition Agreement as are material to the interests of the Lenders (in their capacities as such), but only to the extent that the Borrower (or any of its Affiliates) have the right to terminate the Borrower’s obligations under the Closing Date Acquisition Agreement (or decline or otherwise refuse to consummate the Closing Date Acquisition pursuant to the Closing Date Acquisition Agreement) as a result of a breach of any such representation and warranty in the Closing Date Acquisition Agreement or any such representation and warranty not being accurate (in each case, determined without regard to any notice requirement).</w:t>
      </w:r>
    </w:p>
    <w:p>
      <w:pPr>
        <w:spacing w:after="0" w:line="178"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Representations</w:t>
      </w:r>
      <w:r>
        <w:rPr>
          <w:rFonts w:ascii="Arial" w:cs="Arial" w:eastAsia="Arial" w:hAnsi="Arial"/>
          <w:sz w:val="16"/>
          <w:szCs w:val="16"/>
          <w:color w:val="auto"/>
        </w:rPr>
        <w:t xml:space="preserve">” means the representations and warranties set forth in </w:t>
      </w:r>
      <w:r>
        <w:rPr>
          <w:rFonts w:ascii="Arial" w:cs="Arial" w:eastAsia="Arial" w:hAnsi="Arial"/>
          <w:sz w:val="16"/>
          <w:szCs w:val="16"/>
          <w:u w:val="single" w:color="auto"/>
          <w:color w:val="auto"/>
        </w:rPr>
        <w:t>Sections 5.01</w:t>
      </w:r>
      <w:r>
        <w:rPr>
          <w:rFonts w:ascii="Arial" w:cs="Arial" w:eastAsia="Arial" w:hAnsi="Arial"/>
          <w:sz w:val="16"/>
          <w:szCs w:val="16"/>
          <w:color w:val="auto"/>
        </w:rPr>
        <w:t xml:space="preserve">, </w:t>
      </w:r>
      <w:r>
        <w:rPr>
          <w:rFonts w:ascii="Arial" w:cs="Arial" w:eastAsia="Arial" w:hAnsi="Arial"/>
          <w:sz w:val="16"/>
          <w:szCs w:val="16"/>
          <w:u w:val="single" w:color="auto"/>
          <w:color w:val="auto"/>
        </w:rPr>
        <w:t>5.02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thereof), </w:t>
      </w:r>
      <w:r>
        <w:rPr>
          <w:rFonts w:ascii="Arial" w:cs="Arial" w:eastAsia="Arial" w:hAnsi="Arial"/>
          <w:sz w:val="16"/>
          <w:szCs w:val="16"/>
          <w:u w:val="single" w:color="auto"/>
          <w:color w:val="auto"/>
        </w:rPr>
        <w:t>5.06</w:t>
      </w:r>
      <w:r>
        <w:rPr>
          <w:rFonts w:ascii="Arial" w:cs="Arial" w:eastAsia="Arial" w:hAnsi="Arial"/>
          <w:sz w:val="16"/>
          <w:szCs w:val="16"/>
          <w:color w:val="auto"/>
        </w:rPr>
        <w:t xml:space="preserve"> (subject to the last sentence of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with respect to the perfection of liens), </w:t>
      </w:r>
      <w:r>
        <w:rPr>
          <w:rFonts w:ascii="Arial" w:cs="Arial" w:eastAsia="Arial" w:hAnsi="Arial"/>
          <w:sz w:val="16"/>
          <w:szCs w:val="16"/>
          <w:u w:val="single" w:color="auto"/>
          <w:color w:val="auto"/>
        </w:rPr>
        <w:t>5.13</w:t>
      </w:r>
      <w:r>
        <w:rPr>
          <w:rFonts w:ascii="Arial" w:cs="Arial" w:eastAsia="Arial" w:hAnsi="Arial"/>
          <w:sz w:val="16"/>
          <w:szCs w:val="16"/>
          <w:color w:val="auto"/>
        </w:rPr>
        <w:t xml:space="preserve"> (determined for this purpose for the Borrower and its Subsidiaries on a consolidated basis as of the Closing Date and after giving effect to the Transactions), </w:t>
      </w:r>
      <w:r>
        <w:rPr>
          <w:rFonts w:ascii="Arial" w:cs="Arial" w:eastAsia="Arial" w:hAnsi="Arial"/>
          <w:sz w:val="16"/>
          <w:szCs w:val="16"/>
          <w:u w:val="single" w:color="auto"/>
          <w:color w:val="auto"/>
        </w:rPr>
        <w:t>5.15</w:t>
      </w:r>
      <w:r>
        <w:rPr>
          <w:rFonts w:ascii="Arial" w:cs="Arial" w:eastAsia="Arial" w:hAnsi="Arial"/>
          <w:sz w:val="16"/>
          <w:szCs w:val="16"/>
          <w:color w:val="auto"/>
        </w:rPr>
        <w:t xml:space="preserve">, </w:t>
      </w:r>
      <w:r>
        <w:rPr>
          <w:rFonts w:ascii="Arial" w:cs="Arial" w:eastAsia="Arial" w:hAnsi="Arial"/>
          <w:sz w:val="16"/>
          <w:szCs w:val="16"/>
          <w:u w:val="single" w:color="auto"/>
          <w:color w:val="auto"/>
        </w:rPr>
        <w:t>5.21</w:t>
      </w:r>
      <w:r>
        <w:rPr>
          <w:rFonts w:ascii="Arial" w:cs="Arial" w:eastAsia="Arial" w:hAnsi="Arial"/>
          <w:sz w:val="16"/>
          <w:szCs w:val="16"/>
          <w:color w:val="auto"/>
        </w:rPr>
        <w:t xml:space="preserve">, </w:t>
      </w:r>
      <w:r>
        <w:rPr>
          <w:rFonts w:ascii="Arial" w:cs="Arial" w:eastAsia="Arial" w:hAnsi="Arial"/>
          <w:sz w:val="16"/>
          <w:szCs w:val="16"/>
          <w:u w:val="single" w:color="auto"/>
          <w:color w:val="auto"/>
        </w:rPr>
        <w:t>5.22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5.26</w:t>
      </w:r>
      <w:r>
        <w:rPr>
          <w:rFonts w:ascii="Arial" w:cs="Arial" w:eastAsia="Arial" w:hAnsi="Arial"/>
          <w:sz w:val="16"/>
          <w:szCs w:val="16"/>
          <w:color w:val="auto"/>
        </w:rPr>
        <w:t>.</w:t>
      </w:r>
    </w:p>
    <w:p>
      <w:pPr>
        <w:spacing w:after="0" w:line="147" w:lineRule="exact"/>
        <w:rPr>
          <w:sz w:val="20"/>
          <w:szCs w:val="20"/>
          <w:color w:val="auto"/>
        </w:rPr>
      </w:pPr>
    </w:p>
    <w:p>
      <w:pPr>
        <w:ind w:right="12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Transaction</w:t>
      </w:r>
      <w:r>
        <w:rPr>
          <w:rFonts w:ascii="Arial" w:cs="Arial" w:eastAsia="Arial" w:hAnsi="Arial"/>
          <w:sz w:val="16"/>
          <w:szCs w:val="16"/>
          <w:color w:val="auto"/>
        </w:rPr>
        <w:t>” means any Acquisition, Investment or Restricted Payment (in each case, whether or not consummated and including any such transaction consummated prior to the Closing Date) and/or (ii) equity issuances, issuances of Indebtedness or other Refinancings, repayments, financings and amendments or other modifications or waivers of debt instruments or documents, mergers, Investments (other than Investments in cash or Cash Equivalents), Restricted Payments or dispositions outside of the ordinary course of business permitted by the Loan Documents.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E-4-30</w:t>
      </w:r>
    </w:p>
    <w:p>
      <w:pPr>
        <w:sectPr>
          <w:pgSz w:w="11900" w:h="16838" w:orient="portrait"/>
          <w:cols w:equalWidth="0" w:num="1">
            <w:col w:w="11020"/>
          </w:cols>
          <w:pgMar w:left="440" w:top="274" w:right="439" w:bottom="1440" w:gutter="0" w:footer="0" w:header="0"/>
        </w:sectPr>
      </w:pPr>
    </w:p>
    <w:bookmarkStart w:id="56" w:name="page57"/>
    <w:bookmarkEnd w:id="56"/>
    <w:p>
      <w:pPr>
        <w:ind w:right="420"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Subordinated</w:t>
      </w:r>
      <w:r>
        <w:rPr>
          <w:rFonts w:ascii="Arial" w:cs="Arial" w:eastAsia="Arial" w:hAnsi="Arial"/>
          <w:sz w:val="17"/>
          <w:szCs w:val="17"/>
          <w:color w:val="auto"/>
        </w:rPr>
        <w:t>” means, as applied to Indebtedness, Indebtedness that shall have been subordinated in favor of the prior payment in full of the Obligations pursuant to documentation in form and substance reasonably satisfactory to the Administrative Agent.</w:t>
      </w:r>
    </w:p>
    <w:p>
      <w:pPr>
        <w:spacing w:after="0" w:line="147"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10.21</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167"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right="28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Lender</w:t>
      </w:r>
      <w:r>
        <w:rPr>
          <w:rFonts w:ascii="Arial" w:cs="Arial" w:eastAsia="Arial" w:hAnsi="Arial"/>
          <w:sz w:val="18"/>
          <w:szCs w:val="18"/>
          <w:color w:val="auto"/>
        </w:rPr>
        <w:t>” means JPMorgan Chase Bank, N.A., in its capacity as provider of Swing Line Loans, or any successor swing line lender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means a notice of a Swing Line Borrowing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may be approved by the Swing Line Lender and the Administrative Agent, appropriately completed and signed by a Responsible Officer of the Borrower.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E-4-31</w:t>
      </w:r>
    </w:p>
    <w:p>
      <w:pPr>
        <w:sectPr>
          <w:pgSz w:w="11900" w:h="16838" w:orient="portrait"/>
          <w:cols w:equalWidth="0" w:num="1">
            <w:col w:w="11020"/>
          </w:cols>
          <w:pgMar w:left="440" w:top="274" w:right="439" w:bottom="1440" w:gutter="0" w:footer="0" w:header="0"/>
        </w:sectPr>
      </w:pPr>
    </w:p>
    <w:bookmarkStart w:id="57" w:name="page58"/>
    <w:bookmarkEnd w:id="57"/>
    <w:p>
      <w:pPr>
        <w:ind w:right="10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the lesser of (a) $10,000,000 and (b) the Revolving Credit Facility. The Swing Line Sublimit is part of, and not in addition to, the Revolving Credit Facility.</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Synthetic Debt</w:t>
      </w:r>
      <w:r>
        <w:rPr>
          <w:rFonts w:ascii="Arial" w:cs="Arial" w:eastAsia="Arial" w:hAnsi="Arial"/>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ind w:right="200" w:firstLine="4"/>
        <w:spacing w:after="0" w:line="255"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90" w:lineRule="exact"/>
        <w:rPr>
          <w:sz w:val="20"/>
          <w:szCs w:val="20"/>
          <w:color w:val="auto"/>
        </w:rPr>
      </w:pPr>
    </w:p>
    <w:p>
      <w:pPr>
        <w:ind w:right="18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Borrowings</w:t>
      </w:r>
      <w:r>
        <w:rPr>
          <w:rFonts w:ascii="Arial" w:cs="Arial" w:eastAsia="Arial" w:hAnsi="Arial"/>
          <w:sz w:val="18"/>
          <w:szCs w:val="18"/>
          <w:color w:val="auto"/>
        </w:rPr>
        <w:t>” means, collectively, the Tranche B Term Borrowings, the 2017 Incremental Term Borrowings and the Extended 2017 Incremental Term Borrowings.</w:t>
      </w:r>
    </w:p>
    <w:p>
      <w:pPr>
        <w:spacing w:after="0" w:line="170" w:lineRule="exact"/>
        <w:rPr>
          <w:sz w:val="20"/>
          <w:szCs w:val="20"/>
          <w:color w:val="auto"/>
        </w:rPr>
      </w:pPr>
    </w:p>
    <w:p>
      <w:pPr>
        <w:ind w:right="36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Commitment</w:t>
      </w:r>
      <w:r>
        <w:rPr>
          <w:rFonts w:ascii="Arial" w:cs="Arial" w:eastAsia="Arial" w:hAnsi="Arial"/>
          <w:sz w:val="16"/>
          <w:szCs w:val="16"/>
          <w:color w:val="auto"/>
        </w:rPr>
        <w:t xml:space="preserve">” means, (a) as to each Tranche B Term Lender, its obligation to make Tranche B Term Loans on the Amendment and Restatement Effective Date pursuant to </w:t>
      </w:r>
      <w:r>
        <w:rPr>
          <w:rFonts w:ascii="Arial" w:cs="Arial" w:eastAsia="Arial" w:hAnsi="Arial"/>
          <w:sz w:val="16"/>
          <w:szCs w:val="16"/>
          <w:u w:val="single" w:color="auto"/>
          <w:color w:val="auto"/>
        </w:rPr>
        <w:t>Section 2.01(c)</w:t>
      </w:r>
      <w:r>
        <w:rPr>
          <w:rFonts w:ascii="Arial" w:cs="Arial" w:eastAsia="Arial" w:hAnsi="Arial"/>
          <w:sz w:val="16"/>
          <w:szCs w:val="16"/>
          <w:color w:val="auto"/>
        </w:rPr>
        <w:t xml:space="preserve"> in the amount of its Tranche B Term Loan Commitment and (b) as to each 2017 Incremental Term Lender, its obligation to make 2017 Incremental Term Loans to the Borrower on the First Amendment Effective Date with respect to the 2017 Incremental Term Facility pursuant to </w:t>
      </w:r>
      <w:r>
        <w:rPr>
          <w:rFonts w:ascii="Arial" w:cs="Arial" w:eastAsia="Arial" w:hAnsi="Arial"/>
          <w:sz w:val="16"/>
          <w:szCs w:val="16"/>
          <w:u w:val="single" w:color="auto"/>
          <w:color w:val="auto"/>
        </w:rPr>
        <w:t>Section 2.01(d)</w:t>
      </w:r>
      <w:r>
        <w:rPr>
          <w:rFonts w:ascii="Arial" w:cs="Arial" w:eastAsia="Arial" w:hAnsi="Arial"/>
          <w:sz w:val="16"/>
          <w:szCs w:val="16"/>
          <w:color w:val="auto"/>
        </w:rPr>
        <w:t xml:space="preserve"> or, in the case of clause (a) or (b), as set forth in the Assignment and Assumption pursuant to which such Lender becomes a party hereto, as applicable, as such amount may be adjusted from time to time in accordance with this Agreement.</w:t>
      </w:r>
    </w:p>
    <w:p>
      <w:pPr>
        <w:spacing w:after="0" w:line="158"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Facility</w:t>
      </w:r>
      <w:r>
        <w:rPr>
          <w:rFonts w:ascii="Arial" w:cs="Arial" w:eastAsia="Arial" w:hAnsi="Arial"/>
          <w:sz w:val="18"/>
          <w:szCs w:val="18"/>
          <w:color w:val="auto"/>
        </w:rPr>
        <w:t xml:space="preserve">” means, at any time, the </w:t>
      </w:r>
      <w:r>
        <w:rPr>
          <w:rFonts w:ascii="Arial" w:cs="Arial" w:eastAsia="Arial" w:hAnsi="Arial"/>
          <w:sz w:val="18"/>
          <w:szCs w:val="18"/>
          <w:u w:val="single" w:color="auto"/>
          <w:color w:val="auto"/>
        </w:rPr>
        <w:t>sum</w:t>
      </w:r>
      <w:r>
        <w:rPr>
          <w:rFonts w:ascii="Arial" w:cs="Arial" w:eastAsia="Arial" w:hAnsi="Arial"/>
          <w:sz w:val="18"/>
          <w:szCs w:val="18"/>
          <w:color w:val="auto"/>
        </w:rPr>
        <w:t xml:space="preserve"> of (a) the aggregate amount of the unused Term Commitments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principal amount of the Term Loans of all Term Lenders outstanding at such time. As of the Second Restatement Effective Date, the Term Facility was $797,750,000.</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Lender</w:t>
      </w:r>
      <w:r>
        <w:rPr>
          <w:rFonts w:ascii="Arial" w:cs="Arial" w:eastAsia="Arial" w:hAnsi="Arial"/>
          <w:sz w:val="17"/>
          <w:szCs w:val="17"/>
          <w:color w:val="auto"/>
        </w:rPr>
        <w:t>” means, at any time, any Lender that either has an unused Term Commitment or holds Term Loans at such time, or both.</w:t>
      </w:r>
    </w:p>
    <w:p>
      <w:pPr>
        <w:spacing w:after="0" w:line="23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means, collectively, the Tranche B Term Loans, the 2017 Incremental Term Loans and the Extended 2017 Incremental Term Loans, as applicable.</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Note</w:t>
      </w:r>
      <w:r>
        <w:rPr>
          <w:rFonts w:ascii="Arial" w:cs="Arial" w:eastAsia="Arial" w:hAnsi="Arial"/>
          <w:sz w:val="18"/>
          <w:szCs w:val="18"/>
          <w:color w:val="auto"/>
        </w:rPr>
        <w:t xml:space="preserve">” means a promissory note made by the Borrower in favor of a Term Lender (and its registered assigns) evidencing Term Loans made by such Term Lender,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Amendment</w:t>
      </w:r>
      <w:r>
        <w:rPr>
          <w:rFonts w:ascii="Arial" w:cs="Arial" w:eastAsia="Arial" w:hAnsi="Arial"/>
          <w:sz w:val="18"/>
          <w:szCs w:val="18"/>
          <w:color w:val="auto"/>
        </w:rPr>
        <w:t>” means the Third Amendment to the Amended and Restated Credit Agreement, dated as of November 24, 2017.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Amendment Effective Date</w:t>
      </w:r>
      <w:r>
        <w:rPr>
          <w:rFonts w:ascii="Arial" w:cs="Arial" w:eastAsia="Arial" w:hAnsi="Arial"/>
          <w:sz w:val="18"/>
          <w:szCs w:val="18"/>
          <w:color w:val="auto"/>
        </w:rPr>
        <w:t>” means November 24, 2017.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Credit Exposure</w:t>
      </w:r>
      <w:r>
        <w:rPr>
          <w:rFonts w:ascii="Arial" w:cs="Arial" w:eastAsia="Arial" w:hAnsi="Arial"/>
          <w:sz w:val="16"/>
          <w:szCs w:val="16"/>
          <w:color w:val="auto"/>
        </w:rPr>
        <w:t>” means, as to any Lender at any time, the Total Revolving Exposure and Total Term Loan Exposure of such Lender at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Outstandings</w:t>
      </w:r>
      <w:r>
        <w:rPr>
          <w:rFonts w:ascii="Arial" w:cs="Arial" w:eastAsia="Arial" w:hAnsi="Arial"/>
          <w:sz w:val="18"/>
          <w:szCs w:val="18"/>
          <w:color w:val="auto"/>
        </w:rPr>
        <w:t>” means the aggregate Outstanding Amount of all Revolving Credit Loans, Swing Line Loans and L/C Obligations.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E-4-32</w:t>
      </w:r>
    </w:p>
    <w:p>
      <w:pPr>
        <w:sectPr>
          <w:pgSz w:w="11900" w:h="16838" w:orient="portrait"/>
          <w:cols w:equalWidth="0" w:num="1">
            <w:col w:w="11020"/>
          </w:cols>
          <w:pgMar w:left="440" w:top="274" w:right="439" w:bottom="1440" w:gutter="0" w:footer="0" w:header="0"/>
        </w:sectPr>
      </w:pPr>
    </w:p>
    <w:bookmarkStart w:id="58" w:name="page59"/>
    <w:bookmarkEnd w:id="58"/>
    <w:p>
      <w:pPr>
        <w:ind w:right="2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Total Revolving Exposure</w:t>
      </w:r>
      <w:r>
        <w:rPr>
          <w:rFonts w:ascii="Arial" w:cs="Arial" w:eastAsia="Arial" w:hAnsi="Arial"/>
          <w:sz w:val="18"/>
          <w:szCs w:val="18"/>
          <w:color w:val="auto"/>
        </w:rPr>
        <w:t>” means, as to any Revolving Credit Lender at any time, the unused Revolving Credit Commitments and Revolving Credit Exposure of such Lender at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Outstandings</w:t>
      </w:r>
      <w:r>
        <w:rPr>
          <w:rFonts w:ascii="Arial" w:cs="Arial" w:eastAsia="Arial" w:hAnsi="Arial"/>
          <w:sz w:val="18"/>
          <w:szCs w:val="18"/>
          <w:color w:val="auto"/>
        </w:rPr>
        <w:t>” means the aggregate Outstanding Amount of all Loans and all L/C Obligations.</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Term Loan Exposure</w:t>
      </w:r>
      <w:r>
        <w:rPr>
          <w:rFonts w:ascii="Arial" w:cs="Arial" w:eastAsia="Arial" w:hAnsi="Arial"/>
          <w:sz w:val="18"/>
          <w:szCs w:val="18"/>
          <w:color w:val="auto"/>
        </w:rPr>
        <w:t>” means, as to any Term Lender at any time, the unused Term Commitments and the aggregate principal amount of the outstanding Term Loans of such Term Lender at such time.</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Security Agreement</w:t>
      </w:r>
      <w:r>
        <w:rPr>
          <w:rFonts w:ascii="Arial" w:cs="Arial" w:eastAsia="Arial" w:hAnsi="Arial"/>
          <w:sz w:val="18"/>
          <w:szCs w:val="18"/>
          <w:color w:val="auto"/>
        </w:rPr>
        <w:t>” means a trademark security agreement or notice of grant of security interest in trademarks, in each case in form and substance satisfactory to the Administrative Agent.</w:t>
      </w:r>
    </w:p>
    <w:p>
      <w:pPr>
        <w:spacing w:after="0" w:line="170" w:lineRule="exact"/>
        <w:rPr>
          <w:sz w:val="20"/>
          <w:szCs w:val="20"/>
          <w:color w:val="auto"/>
        </w:rPr>
      </w:pPr>
    </w:p>
    <w:p>
      <w:pPr>
        <w:ind w:right="4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Term Borrowings</w:t>
      </w:r>
      <w:r>
        <w:rPr>
          <w:rFonts w:ascii="Arial" w:cs="Arial" w:eastAsia="Arial" w:hAnsi="Arial"/>
          <w:sz w:val="18"/>
          <w:szCs w:val="18"/>
          <w:color w:val="auto"/>
        </w:rPr>
        <w:t>” means a borrowing made on the Amendment and Restatement Effective Date with respect to Tranche B Term Loans consisting of the same Type and, in the case of Eurodollar Rate Loans, having the same Interest Period, made by Tranche B Term Lenders pursuant to the Amendment and Restatement Agreement.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Tranche B Term Facility</w:t>
      </w:r>
      <w:r>
        <w:rPr>
          <w:rFonts w:ascii="Arial" w:cs="Arial" w:eastAsia="Arial" w:hAnsi="Arial"/>
          <w:sz w:val="16"/>
          <w:szCs w:val="16"/>
          <w:color w:val="auto"/>
        </w:rPr>
        <w:t>” means, at any time, the aggregate amount of the Tranche B Term Lenders’ Tranche B Term Loan Commitments at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Term Lender</w:t>
      </w:r>
      <w:r>
        <w:rPr>
          <w:rFonts w:ascii="Arial" w:cs="Arial" w:eastAsia="Arial" w:hAnsi="Arial"/>
          <w:sz w:val="18"/>
          <w:szCs w:val="18"/>
          <w:color w:val="auto"/>
        </w:rPr>
        <w:t>” means, collectively, (i) on the Amendment and Restatement Effective Date, each Cashless Option Lender, and the Additional Tranche B Term Lender and (ii) after the Amendment and Restatement Effective Date, each Lender with an outstanding Tranche B Term Loan.</w:t>
      </w:r>
    </w:p>
    <w:p>
      <w:pPr>
        <w:spacing w:after="0" w:line="18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Term Loan</w:t>
      </w:r>
      <w:r>
        <w:rPr>
          <w:rFonts w:ascii="Arial" w:cs="Arial" w:eastAsia="Arial" w:hAnsi="Arial"/>
          <w:sz w:val="18"/>
          <w:szCs w:val="18"/>
          <w:color w:val="auto"/>
        </w:rPr>
        <w:t xml:space="preserve">” means, collectively, (i) the making of Tranche B Term Loans by exchanging Original Term Loans for a like principal amount of Tranche B Term Loans pursuant to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and (ii) each Additional Tranche B Term Loan made pursuant to </w:t>
      </w:r>
      <w:r>
        <w:rPr>
          <w:rFonts w:ascii="Arial" w:cs="Arial" w:eastAsia="Arial" w:hAnsi="Arial"/>
          <w:sz w:val="18"/>
          <w:szCs w:val="18"/>
          <w:u w:val="single" w:color="auto"/>
          <w:color w:val="auto"/>
        </w:rPr>
        <w:t>Section 2.01(c)</w:t>
      </w:r>
      <w:r>
        <w:rPr>
          <w:rFonts w:ascii="Arial" w:cs="Arial" w:eastAsia="Arial" w:hAnsi="Arial"/>
          <w:sz w:val="18"/>
          <w:szCs w:val="18"/>
          <w:color w:val="auto"/>
        </w:rPr>
        <w:t>, in each case on the Amendment and Restatement Effective Date. As of the Second Restatement Effective Date, the aggregate outstanding principal amount of Tranche B Term Loans $527,750,000.</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Term Loan Call Premium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2.05(c)(ii)</w:t>
      </w:r>
      <w:r>
        <w:rPr>
          <w:rFonts w:ascii="Arial" w:cs="Arial" w:eastAsia="Arial" w:hAnsi="Arial"/>
          <w:sz w:val="18"/>
          <w:szCs w:val="18"/>
          <w:color w:val="auto"/>
        </w:rPr>
        <w:t>.</w:t>
      </w:r>
    </w:p>
    <w:p>
      <w:pPr>
        <w:spacing w:after="0" w:line="225"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Term Loan Commitment</w:t>
      </w:r>
      <w:r>
        <w:rPr>
          <w:rFonts w:ascii="Arial" w:cs="Arial" w:eastAsia="Arial" w:hAnsi="Arial"/>
          <w:sz w:val="18"/>
          <w:szCs w:val="18"/>
          <w:color w:val="auto"/>
        </w:rPr>
        <w:t>” means the Additional Tranche B Term Loan Commitment and the Tranche B Term Loan Exchange Commitments.</w:t>
      </w:r>
    </w:p>
    <w:p>
      <w:pPr>
        <w:spacing w:after="0" w:line="170"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Term Loan Exchange Commitment</w:t>
      </w:r>
      <w:r>
        <w:rPr>
          <w:rFonts w:ascii="Arial" w:cs="Arial" w:eastAsia="Arial" w:hAnsi="Arial"/>
          <w:sz w:val="18"/>
          <w:szCs w:val="18"/>
          <w:color w:val="auto"/>
        </w:rPr>
        <w:t>” means the agreement of a Cashless Option Lender to exchange its Original Term Loans for an equal aggregate principal amount of Tranche B Term Loans on the Amendment and Restatement Effective Date.</w:t>
      </w:r>
    </w:p>
    <w:p>
      <w:pPr>
        <w:spacing w:after="0" w:line="170"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(a) the consummation of the Closing Date Acquisition, (b) the entering into by the Loan Parties and their applicable Subsidiaries of the Loan Documents and the Related Documents to which they are or are intended to be a party, (c) the refinancing of the Existing Indebtedness and the termination of all commitments with respect thereto and (d) the payment of the fees and expenses incurred in connection with the consummation of the foregoing.</w:t>
      </w:r>
    </w:p>
    <w:p>
      <w:pPr>
        <w:spacing w:after="0" w:line="187"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Costs</w:t>
      </w:r>
      <w:r>
        <w:rPr>
          <w:rFonts w:ascii="Arial" w:cs="Arial" w:eastAsia="Arial" w:hAnsi="Arial"/>
          <w:sz w:val="17"/>
          <w:szCs w:val="17"/>
          <w:color w:val="auto"/>
        </w:rPr>
        <w:t xml:space="preserve">” means all customary and reasonable transaction fees, charges and other similar amounts related to the Transactions or any Acquisitions completed during the term of this Agreement in accordance with </w:t>
      </w:r>
      <w:r>
        <w:rPr>
          <w:rFonts w:ascii="Arial" w:cs="Arial" w:eastAsia="Arial" w:hAnsi="Arial"/>
          <w:sz w:val="17"/>
          <w:szCs w:val="17"/>
          <w:u w:val="single" w:color="auto"/>
          <w:color w:val="auto"/>
        </w:rPr>
        <w:t>Section 7.03(b)</w:t>
      </w:r>
      <w:r>
        <w:rPr>
          <w:rFonts w:ascii="Arial" w:cs="Arial" w:eastAsia="Arial" w:hAnsi="Arial"/>
          <w:sz w:val="17"/>
          <w:szCs w:val="17"/>
          <w:color w:val="auto"/>
        </w:rPr>
        <w:t xml:space="preserve"> (including, without limitation, any financing fees, merger and acquisition fees, legal fees and expenses, due diligence fees or any other fees and expenses in connection therewith), in each case to the extent paid within six (6) months of the Closing Date or the closing date of such Acquisition, as applicable.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Truist Bank</w:t>
      </w:r>
      <w:r>
        <w:rPr>
          <w:rFonts w:ascii="Arial" w:cs="Arial" w:eastAsia="Arial" w:hAnsi="Arial"/>
          <w:sz w:val="18"/>
          <w:szCs w:val="18"/>
          <w:color w:val="auto"/>
        </w:rPr>
        <w:t>” means Truist Bank, successor by merger to SunTrust Bank.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Eurodollar Rate Loan.</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E-4-33</w:t>
      </w:r>
    </w:p>
    <w:p>
      <w:pPr>
        <w:sectPr>
          <w:pgSz w:w="11900" w:h="16838" w:orient="portrait"/>
          <w:cols w:equalWidth="0" w:num="1">
            <w:col w:w="11000"/>
          </w:cols>
          <w:pgMar w:left="440" w:top="274" w:right="459" w:bottom="1440" w:gutter="0" w:footer="0" w:header="0"/>
        </w:sectPr>
      </w:pPr>
    </w:p>
    <w:bookmarkStart w:id="59" w:name="page60"/>
    <w:bookmarkEnd w:id="59"/>
    <w:p>
      <w:pPr>
        <w:ind w:right="16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87"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Letter of Credit, the Uniform Customs and Practice for Documentary Credits, International Chamber of Commerce (“</w:t>
      </w:r>
      <w:r>
        <w:rPr>
          <w:rFonts w:ascii="Arial" w:cs="Arial" w:eastAsia="Arial" w:hAnsi="Arial"/>
          <w:sz w:val="18"/>
          <w:szCs w:val="18"/>
          <w:u w:val="single" w:color="auto"/>
          <w:color w:val="auto"/>
        </w:rPr>
        <w:t>ICC</w:t>
      </w:r>
      <w:r>
        <w:rPr>
          <w:rFonts w:ascii="Arial" w:cs="Arial" w:eastAsia="Arial" w:hAnsi="Arial"/>
          <w:sz w:val="18"/>
          <w:szCs w:val="18"/>
          <w:color w:val="auto"/>
        </w:rPr>
        <w:t>”) Publication No. 600 (or such later version thereof as may be in effect at the time of issuance).</w:t>
      </w:r>
    </w:p>
    <w:p>
      <w:pPr>
        <w:spacing w:after="0" w:line="170"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Undisclosed Administration</w:t>
      </w:r>
      <w:r>
        <w:rPr>
          <w:rFonts w:ascii="Arial" w:cs="Arial" w:eastAsia="Arial" w:hAnsi="Arial"/>
          <w:sz w:val="18"/>
          <w:szCs w:val="18"/>
          <w:color w:val="auto"/>
        </w:rPr>
        <w:t>” means in relation to a Lender or a Person that directly or indirectly controls such Lender, the appointment of an administrator, provisional liquidator, conservator, receiver, trustee, custodian or other similar official by a supervisory authority or regulator under or based on the law in the country where such Lender or Person, as the case may be, is subject to home jurisdiction supervision if applicable law requires that such appointment is not to be publicly disclosed.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 and Cash Equivalents</w:t>
      </w:r>
      <w:r>
        <w:rPr>
          <w:rFonts w:ascii="Arial" w:cs="Arial" w:eastAsia="Arial" w:hAnsi="Arial"/>
          <w:sz w:val="18"/>
          <w:szCs w:val="18"/>
          <w:color w:val="auto"/>
        </w:rPr>
        <w:t>” means, with respect to the Borrower and its Subsidiaries, cash or Cash Equivalents of the Borrower and its Subsidiaries that do not appear, or would not be required to appear, as “restricted” on the financial statements of the Borrower and its Subsidiaries (unless related to the Loan Documents or the Liens created thereunder).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10.21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3.01(e)(ii)(B)(3)</w:t>
      </w:r>
      <w:r>
        <w:rPr>
          <w:rFonts w:ascii="Arial" w:cs="Arial" w:eastAsia="Arial" w:hAnsi="Arial"/>
          <w:sz w:val="18"/>
          <w:szCs w:val="18"/>
          <w:color w:val="auto"/>
        </w:rPr>
        <w:t>.</w:t>
      </w:r>
    </w:p>
    <w:p>
      <w:pPr>
        <w:spacing w:after="0" w:line="225" w:lineRule="exact"/>
        <w:rPr>
          <w:sz w:val="20"/>
          <w:szCs w:val="20"/>
          <w:color w:val="auto"/>
        </w:rPr>
      </w:pPr>
    </w:p>
    <w:p>
      <w:pPr>
        <w:ind w:right="22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Power</w:t>
      </w:r>
      <w:r>
        <w:rPr>
          <w:rFonts w:ascii="Arial" w:cs="Arial" w:eastAsia="Arial" w:hAnsi="Arial"/>
          <w:sz w:val="18"/>
          <w:szCs w:val="18"/>
          <w:color w:val="auto"/>
        </w:rPr>
        <w:t>” means, with respect to any Person, the exclusive ability to control, through the ownership of shares of capital stock, partnership interests, membership interests or otherwise, the election of members of the board of directors or other similar governing body of such Person. The holding of a designated percentage of Voting Power of a Person means the ownership of shares of capital stock, partnership interests, membership interests or other interests of such Person sufficient to control exclusively the election of that percentage of the members of the board of directors or similar governing body of such Person.</w:t>
      </w:r>
    </w:p>
    <w:p>
      <w:pPr>
        <w:spacing w:after="0" w:line="188"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Yield</w:t>
      </w:r>
      <w:r>
        <w:rPr>
          <w:rFonts w:ascii="Arial" w:cs="Arial" w:eastAsia="Arial" w:hAnsi="Arial"/>
          <w:sz w:val="18"/>
          <w:szCs w:val="18"/>
          <w:color w:val="auto"/>
        </w:rPr>
        <w:t>” means, with respect to any Loan, on any date of determination, the weighted average yield to maturity, in each case, based on the interest rate applicable to such Loan on such date and giving effect to interest rate floors, upfront fees, original issue discount or similar yield related discounts or deductions payable with respect to such Loans (but, excluding, for the avoidance of doubt, any customary arranging, underwriting or similar fees not paid to all Lenders) based on (i) an assumed four-year average life for the applicable Loans or (ii) if the stated maturity of the applicable Loans is less than four years, the actual life of such Loans.</w:t>
      </w:r>
    </w:p>
    <w:p>
      <w:pPr>
        <w:spacing w:after="0" w:line="188" w:lineRule="exact"/>
        <w:rPr>
          <w:sz w:val="20"/>
          <w:szCs w:val="20"/>
          <w:color w:val="auto"/>
        </w:rPr>
      </w:pPr>
    </w:p>
    <w:p>
      <w:pPr>
        <w:ind w:right="32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Wholly-Owned</w:t>
      </w:r>
      <w:r>
        <w:rPr>
          <w:rFonts w:ascii="Arial" w:cs="Arial" w:eastAsia="Arial" w:hAnsi="Arial"/>
          <w:sz w:val="17"/>
          <w:szCs w:val="17"/>
          <w:color w:val="auto"/>
        </w:rPr>
        <w:t>” means, with respect to a Subsidiary, that all of the Equity Interests of such Subsidiary are, directly or indirectly, owned or controlled by the Borrower and/or one or more of its Wholly-Owned Subsidiaries (except for directors’ qualifying shares or other shares required by applicable Laws to be owned by a Person other than the Borrower and/or one or more of its Wholly-Owned Subsidiaries).</w:t>
      </w:r>
    </w:p>
    <w:p>
      <w:pPr>
        <w:spacing w:after="0" w:line="166"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E-4-34</w:t>
      </w:r>
    </w:p>
    <w:p>
      <w:pPr>
        <w:sectPr>
          <w:pgSz w:w="11900" w:h="16838" w:orient="portrait"/>
          <w:cols w:equalWidth="0" w:num="1">
            <w:col w:w="11020"/>
          </w:cols>
          <w:pgMar w:left="440" w:top="274" w:right="439" w:bottom="1440" w:gutter="0" w:footer="0" w:header="0"/>
        </w:sectPr>
      </w:pPr>
    </w:p>
    <w:bookmarkStart w:id="60" w:name="page61"/>
    <w:bookmarkEnd w:id="60"/>
    <w:p>
      <w:pPr>
        <w:ind w:right="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With reference to this Agreement and each other Loan Document, unless otherwise specified herein or in such other Loan Document:</w:t>
      </w:r>
    </w:p>
    <w:p>
      <w:pPr>
        <w:spacing w:after="0" w:line="62" w:lineRule="exact"/>
        <w:rPr>
          <w:sz w:val="20"/>
          <w:szCs w:val="20"/>
          <w:color w:val="auto"/>
        </w:rPr>
      </w:pPr>
    </w:p>
    <w:p>
      <w:pPr>
        <w:ind w:left="440" w:right="20" w:firstLine="428"/>
        <w:spacing w:after="0" w:line="268" w:lineRule="auto"/>
        <w:tabs>
          <w:tab w:leader="none" w:pos="110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rule or regulation shall include all statutory and regulatory provisions consolidating, amending, replacing or interpreting such law, rule or regulation and any reference to any law, rule or regulation shall, unless otherwise specified, refer to such law, rule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75" w:lineRule="exact"/>
        <w:rPr>
          <w:rFonts w:ascii="Arial" w:cs="Arial" w:eastAsia="Arial" w:hAnsi="Arial"/>
          <w:sz w:val="17"/>
          <w:szCs w:val="17"/>
          <w:color w:val="auto"/>
        </w:rPr>
      </w:pPr>
    </w:p>
    <w:p>
      <w:pPr>
        <w:ind w:left="440" w:right="300" w:firstLine="428"/>
        <w:spacing w:after="0" w:line="277" w:lineRule="auto"/>
        <w:tabs>
          <w:tab w:leader="none" w:pos="11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62" w:lineRule="exact"/>
        <w:rPr>
          <w:rFonts w:ascii="Arial" w:cs="Arial" w:eastAsia="Arial" w:hAnsi="Arial"/>
          <w:sz w:val="18"/>
          <w:szCs w:val="18"/>
          <w:color w:val="auto"/>
        </w:rPr>
      </w:pPr>
    </w:p>
    <w:p>
      <w:pPr>
        <w:ind w:left="440" w:right="660" w:firstLine="428"/>
        <w:spacing w:after="0" w:line="277" w:lineRule="auto"/>
        <w:tabs>
          <w:tab w:leader="none" w:pos="11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Accounting Terms</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255" w:lineRule="auto"/>
        <w:tabs>
          <w:tab w:leader="none" w:pos="68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81" w:lineRule="exact"/>
        <w:rPr>
          <w:rFonts w:ascii="Arial" w:cs="Arial" w:eastAsia="Arial" w:hAnsi="Arial"/>
          <w:sz w:val="18"/>
          <w:szCs w:val="18"/>
          <w:color w:val="auto"/>
        </w:rPr>
      </w:pPr>
    </w:p>
    <w:p>
      <w:pPr>
        <w:ind w:firstLine="444"/>
        <w:spacing w:after="0" w:line="272" w:lineRule="auto"/>
        <w:tabs>
          <w:tab w:leader="none" w:pos="69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Changes in GAAP</w:t>
      </w:r>
      <w:r>
        <w:rPr>
          <w:rFonts w:ascii="Arial" w:cs="Arial" w:eastAsia="Arial" w:hAnsi="Arial"/>
          <w:sz w:val="17"/>
          <w:szCs w:val="17"/>
          <w:color w:val="auto"/>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69" w:lineRule="exact"/>
        <w:rPr>
          <w:rFonts w:ascii="Arial" w:cs="Arial" w:eastAsia="Arial" w:hAnsi="Arial"/>
          <w:sz w:val="17"/>
          <w:szCs w:val="17"/>
          <w:color w:val="auto"/>
        </w:rPr>
      </w:pPr>
    </w:p>
    <w:p>
      <w:pPr>
        <w:ind w:right="220" w:firstLine="444"/>
        <w:spacing w:after="0" w:line="264" w:lineRule="auto"/>
        <w:tabs>
          <w:tab w:leader="none" w:pos="68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Pro Forma Effect</w:t>
      </w:r>
      <w:r>
        <w:rPr>
          <w:rFonts w:ascii="Arial" w:cs="Arial" w:eastAsia="Arial" w:hAnsi="Arial"/>
          <w:sz w:val="18"/>
          <w:szCs w:val="18"/>
          <w:color w:val="auto"/>
        </w:rPr>
        <w:t xml:space="preserve">. Notwithstanding the above, the parties hereto acknowledge and agree that, for purposes of all financial calculations (other than with respect to Excess Cash Flow), if the Borrower or any Subsidiary has made any Acquisition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any Disposition outside the ordinary course of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E-4-35</w:t>
      </w:r>
    </w:p>
    <w:p>
      <w:pPr>
        <w:sectPr>
          <w:pgSz w:w="11900" w:h="16838" w:orient="portrait"/>
          <w:cols w:equalWidth="0" w:num="1">
            <w:col w:w="11020"/>
          </w:cols>
          <w:pgMar w:left="440" w:top="274" w:right="439" w:bottom="1440" w:gutter="0" w:footer="0" w:header="0"/>
        </w:sectPr>
      </w:pPr>
    </w:p>
    <w:bookmarkStart w:id="61" w:name="page62"/>
    <w:bookmarkEnd w:id="6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permitted by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during the relevant period for determining compliance with such covenants, such calculations shall be made after giving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forma </w:t>
      </w:r>
      <w:r>
        <w:rPr>
          <w:rFonts w:ascii="Arial" w:cs="Arial" w:eastAsia="Arial" w:hAnsi="Arial"/>
          <w:sz w:val="18"/>
          <w:szCs w:val="18"/>
          <w:color w:val="auto"/>
        </w:rPr>
        <w:t>effect thereto, as if such Acquisition or Disposition had occurred on the first day of such period, but in the case of an Acquisition, only so long as</w:t>
      </w:r>
      <w:r>
        <w:rPr>
          <w:rFonts w:ascii="Arial" w:cs="Arial" w:eastAsia="Arial" w:hAnsi="Arial"/>
          <w:sz w:val="18"/>
          <w:szCs w:val="18"/>
          <w:i w:val="1"/>
          <w:iCs w:val="1"/>
          <w:color w:val="auto"/>
        </w:rPr>
        <w:t xml:space="preserve"> </w:t>
      </w:r>
      <w:r>
        <w:rPr>
          <w:rFonts w:ascii="Arial" w:cs="Arial" w:eastAsia="Arial" w:hAnsi="Arial"/>
          <w:sz w:val="18"/>
          <w:szCs w:val="18"/>
          <w:color w:val="auto"/>
        </w:rPr>
        <w:t>the results of the business being acquired are supported by financial statements or other financial data reasonably acceptable to the Administrative Agent.</w:t>
      </w:r>
    </w:p>
    <w:p>
      <w:pPr>
        <w:spacing w:after="0" w:line="187"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Rounding</w:t>
      </w:r>
      <w:r>
        <w:rPr>
          <w:rFonts w:ascii="Arial" w:cs="Arial" w:eastAsia="Arial" w:hAnsi="Arial"/>
          <w:sz w:val="17"/>
          <w:szCs w:val="17"/>
          <w:color w:val="auto"/>
        </w:rPr>
        <w:t>.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6"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Times of Day; Rates</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w:t>
      </w:r>
    </w:p>
    <w:p>
      <w:pPr>
        <w:spacing w:after="0" w:line="181" w:lineRule="exact"/>
        <w:rPr>
          <w:sz w:val="20"/>
          <w:szCs w:val="20"/>
          <w:color w:val="auto"/>
        </w:rPr>
      </w:pPr>
    </w:p>
    <w:p>
      <w:pPr>
        <w:ind w:right="140" w:firstLine="441"/>
        <w:spacing w:after="0" w:line="290"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Currency Equivalents Generally</w:t>
      </w:r>
      <w:r>
        <w:rPr>
          <w:rFonts w:ascii="Arial" w:cs="Arial" w:eastAsia="Arial" w:hAnsi="Arial"/>
          <w:sz w:val="16"/>
          <w:szCs w:val="16"/>
          <w:color w:val="auto"/>
        </w:rPr>
        <w:t xml:space="preserve">. Any amount specified in this Agreement (other than in </w:t>
      </w:r>
      <w:r>
        <w:rPr>
          <w:rFonts w:ascii="Arial" w:cs="Arial" w:eastAsia="Arial" w:hAnsi="Arial"/>
          <w:sz w:val="16"/>
          <w:szCs w:val="16"/>
          <w:u w:val="single" w:color="auto"/>
          <w:color w:val="auto"/>
        </w:rPr>
        <w:t>Article II, 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Arial" w:cs="Arial" w:eastAsia="Arial" w:hAnsi="Arial"/>
          <w:sz w:val="16"/>
          <w:szCs w:val="16"/>
          <w:u w:val="single" w:color="auto"/>
          <w:color w:val="auto"/>
        </w:rPr>
        <w:t>Section 1.06</w:t>
      </w:r>
      <w:r>
        <w:rPr>
          <w:rFonts w:ascii="Arial" w:cs="Arial" w:eastAsia="Arial" w:hAnsi="Arial"/>
          <w:sz w:val="16"/>
          <w:szCs w:val="16"/>
          <w:color w:val="auto"/>
        </w:rPr>
        <w:t>, the “</w:t>
      </w:r>
      <w:r>
        <w:rPr>
          <w:rFonts w:ascii="Arial" w:cs="Arial" w:eastAsia="Arial" w:hAnsi="Arial"/>
          <w:sz w:val="16"/>
          <w:szCs w:val="16"/>
          <w:u w:val="single" w:color="auto"/>
          <w:color w:val="auto"/>
        </w:rPr>
        <w:t>Spot Rate</w:t>
      </w:r>
      <w:r>
        <w:rPr>
          <w:rFonts w:ascii="Arial" w:cs="Arial" w:eastAsia="Arial" w:hAnsi="Arial"/>
          <w:sz w:val="16"/>
          <w:szCs w:val="16"/>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66"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Letter of Credit Amounts</w:t>
      </w:r>
      <w:r>
        <w:rPr>
          <w:rFonts w:ascii="Arial" w:cs="Arial" w:eastAsia="Arial" w:hAnsi="Arial"/>
          <w:sz w:val="18"/>
          <w:szCs w:val="18"/>
          <w:color w:val="auto"/>
        </w:rPr>
        <w:t xml:space="preserve">. Unless otherwise specified herein, the amount of a Letter of Credit at any time shall be deemed to be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8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8"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Effect of Restatement</w:t>
      </w:r>
      <w:r>
        <w:rPr>
          <w:rFonts w:ascii="Arial" w:cs="Arial" w:eastAsia="Arial" w:hAnsi="Arial"/>
          <w:sz w:val="16"/>
          <w:szCs w:val="16"/>
          <w:color w:val="auto"/>
        </w:rPr>
        <w:t>. This Agreement shall amend and restate the Original Credit Agreement in its entirety, with the parties hereby agreeing that there is no novation of the Original Credit Agreement and from and after the Second Restatement Effective Date, the rights and obligations of the parties under the Original Credit Agreement shall be subsumed and governed by this Agreement. From and after the Second Restatement Effective Date, the Obligations and Commitments under the Original Credit Agreement shall continue as Obligations and Commitments under this Agreement until otherwise paid or terminated in accordance with the terms hereof. Without limiting the generality of the foregoing, the Collateral Documents and all of the Collateral described therein do and shall continue to secure the payment of all Obligations of the Loan Parties under the Loan Documents, in each case, as amended by this Agreement. On and after the Second Restatement Effective Date, each reference to the “Credit Agreement” or “Amended and Restated Credit Agreement” in any other Loan Document shall mean and be a reference to this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E-4-36</w:t>
      </w:r>
    </w:p>
    <w:p>
      <w:pPr>
        <w:sectPr>
          <w:pgSz w:w="11900" w:h="16838" w:orient="portrait"/>
          <w:cols w:equalWidth="0" w:num="1">
            <w:col w:w="11000"/>
          </w:cols>
          <w:pgMar w:left="440" w:top="274" w:right="459" w:bottom="1440" w:gutter="0" w:footer="0" w:header="0"/>
        </w:sectPr>
      </w:pPr>
    </w:p>
    <w:bookmarkStart w:id="62" w:name="page63"/>
    <w:bookmarkEnd w:id="62"/>
    <w:p>
      <w:pPr>
        <w:jc w:val="center"/>
        <w:ind w:right="-1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2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THE COMMITMENTS AND BORROWINGS</w:t>
      </w:r>
    </w:p>
    <w:p>
      <w:pPr>
        <w:spacing w:after="0" w:line="211"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The Loans</w:t>
      </w:r>
      <w:r>
        <w:rPr>
          <w:rFonts w:ascii="Arial" w:cs="Arial" w:eastAsia="Arial" w:hAnsi="Arial"/>
          <w:sz w:val="18"/>
          <w:szCs w:val="18"/>
          <w:color w:val="auto"/>
        </w:rPr>
        <w:t>.</w:t>
      </w:r>
    </w:p>
    <w:p>
      <w:pPr>
        <w:spacing w:after="0" w:line="117" w:lineRule="exact"/>
        <w:rPr>
          <w:sz w:val="20"/>
          <w:szCs w:val="20"/>
          <w:color w:val="auto"/>
        </w:rPr>
      </w:pPr>
    </w:p>
    <w:p>
      <w:pPr>
        <w:ind w:left="676" w:hanging="236"/>
        <w:spacing w:after="0"/>
        <w:tabs>
          <w:tab w:leader="none" w:pos="676"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0" w:firstLine="444"/>
        <w:spacing w:after="0" w:line="254" w:lineRule="auto"/>
        <w:tabs>
          <w:tab w:leader="none" w:pos="692"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Revolving Credit Borrowings</w:t>
      </w:r>
      <w:r>
        <w:rPr>
          <w:rFonts w:ascii="Arial" w:cs="Arial" w:eastAsia="Arial" w:hAnsi="Arial"/>
          <w:sz w:val="18"/>
          <w:szCs w:val="18"/>
          <w:color w:val="auto"/>
        </w:rPr>
        <w:t>. Subject to the terms and conditions set forth herein, each Revolving Credit Lender severally agrees to make loans (each such loan, a “</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to the Borrower from time to time, on any Business Day during the Availability Period for the Revolving Credit Facility, in an aggregate amount not to exceed at any time outstanding the amount of such Lender’s Revolving Credit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Revolving Credit Borrowing, (i) the Total Revolving Credit Outstandings shall not exceed the Revolving Credit Facility, and (ii) the Revolving Credit Exposure of any Revolving Credit Lender shall not exceed such Revolving Credit Lender’s Revolving Credit Commitment. Within the limits of each Revolving Credit Lender’s Revolving Credit Commitment, and subject to the other terms and conditions hereof, the Borrower may borrow, prepay and reborrow Revolving Credit Loans. Revolving Credit Loans may be Base Rate Loans or Eurodollar Rate Loans, as further provided herein.</w:t>
      </w:r>
    </w:p>
    <w:p>
      <w:pPr>
        <w:spacing w:after="0" w:line="84" w:lineRule="exact"/>
        <w:rPr>
          <w:rFonts w:ascii="Arial" w:cs="Arial" w:eastAsia="Arial" w:hAnsi="Arial"/>
          <w:sz w:val="18"/>
          <w:szCs w:val="18"/>
          <w:color w:val="auto"/>
        </w:rPr>
      </w:pPr>
    </w:p>
    <w:p>
      <w:pPr>
        <w:ind w:left="-4" w:right="20" w:firstLine="444"/>
        <w:spacing w:after="0" w:line="291" w:lineRule="auto"/>
        <w:tabs>
          <w:tab w:leader="none" w:pos="681"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Tranche B Borrowings</w:t>
      </w:r>
      <w:r>
        <w:rPr>
          <w:rFonts w:ascii="Arial" w:cs="Arial" w:eastAsia="Arial" w:hAnsi="Arial"/>
          <w:sz w:val="16"/>
          <w:szCs w:val="16"/>
          <w:color w:val="auto"/>
        </w:rPr>
        <w:t>. On the Amendment and Restatement Effective Date, (i) each Cashless Option Lender agrees, severally, and not jointly, to exchange its Original Term Loans for a like principal amount of Tranche B Term Loans, subject to allocation by the 2016 Amendment Arranger, and</w:t>
      </w:r>
    </w:p>
    <w:p>
      <w:pPr>
        <w:ind w:left="-4" w:right="100" w:firstLine="4"/>
        <w:spacing w:after="0" w:line="323" w:lineRule="auto"/>
        <w:tabs>
          <w:tab w:leader="none" w:pos="261"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Additional Tranche B Term Lender agrees to make additional Tranche B Term Loans (the “</w:t>
      </w:r>
      <w:r>
        <w:rPr>
          <w:rFonts w:ascii="Arial" w:cs="Arial" w:eastAsia="Arial" w:hAnsi="Arial"/>
          <w:sz w:val="16"/>
          <w:szCs w:val="16"/>
          <w:u w:val="single" w:color="auto"/>
          <w:color w:val="auto"/>
        </w:rPr>
        <w:t>Additional Tranche B Term Loans</w:t>
      </w:r>
      <w:r>
        <w:rPr>
          <w:rFonts w:ascii="Arial" w:cs="Arial" w:eastAsia="Arial" w:hAnsi="Arial"/>
          <w:sz w:val="16"/>
          <w:szCs w:val="16"/>
          <w:color w:val="auto"/>
        </w:rPr>
        <w:t>”) to the Borrower in a principal amount in an amount equal to its Additional Tranche B Term Loan Commitment on the Amendment and Restatement Effective Date.</w:t>
      </w:r>
    </w:p>
    <w:p>
      <w:pPr>
        <w:spacing w:after="0" w:line="30" w:lineRule="exact"/>
        <w:rPr>
          <w:rFonts w:ascii="Arial" w:cs="Arial" w:eastAsia="Arial" w:hAnsi="Arial"/>
          <w:sz w:val="16"/>
          <w:szCs w:val="16"/>
          <w:color w:val="auto"/>
        </w:rPr>
      </w:pPr>
    </w:p>
    <w:p>
      <w:pPr>
        <w:ind w:left="-4" w:firstLine="444"/>
        <w:spacing w:after="0" w:line="279" w:lineRule="auto"/>
        <w:tabs>
          <w:tab w:leader="none" w:pos="692"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2017 Incremental Borrowings</w:t>
      </w:r>
      <w:r>
        <w:rPr>
          <w:rFonts w:ascii="Arial" w:cs="Arial" w:eastAsia="Arial" w:hAnsi="Arial"/>
          <w:sz w:val="17"/>
          <w:szCs w:val="17"/>
          <w:color w:val="auto"/>
        </w:rPr>
        <w:t xml:space="preserve">. On the First Amendment Effective Date, each 2017 Incremental Term Lender hereby agrees, severally and not jointly, on the terms set forth herein and in the First Amendment and subject to the conditions set forth therein, to make 2017 Incremental Term Loans to the Borrower on the First Amendment Effective Date in a principal amount equal to its 2017 Incremental Term Loan Commitment on the First Amendment Effective Date. Amounts borrowed under this </w:t>
      </w:r>
      <w:r>
        <w:rPr>
          <w:rFonts w:ascii="Arial" w:cs="Arial" w:eastAsia="Arial" w:hAnsi="Arial"/>
          <w:sz w:val="17"/>
          <w:szCs w:val="17"/>
          <w:u w:val="single" w:color="auto"/>
          <w:color w:val="auto"/>
        </w:rPr>
        <w:t>Section 2.01(d)</w:t>
      </w:r>
      <w:r>
        <w:rPr>
          <w:rFonts w:ascii="Arial" w:cs="Arial" w:eastAsia="Arial" w:hAnsi="Arial"/>
          <w:sz w:val="17"/>
          <w:szCs w:val="17"/>
          <w:color w:val="auto"/>
        </w:rPr>
        <w:t xml:space="preserve"> and repaid or prepaid may not be reborrowed.</w:t>
      </w:r>
    </w:p>
    <w:p>
      <w:pPr>
        <w:spacing w:after="0" w:line="63" w:lineRule="exact"/>
        <w:rPr>
          <w:rFonts w:ascii="Arial" w:cs="Arial" w:eastAsia="Arial" w:hAnsi="Arial"/>
          <w:sz w:val="17"/>
          <w:szCs w:val="17"/>
          <w:color w:val="auto"/>
        </w:rPr>
      </w:pPr>
    </w:p>
    <w:p>
      <w:pPr>
        <w:ind w:left="-4" w:right="20" w:firstLine="444"/>
        <w:spacing w:after="0" w:line="255" w:lineRule="auto"/>
        <w:tabs>
          <w:tab w:leader="none" w:pos="682" w:val="left"/>
        </w:tabs>
        <w:numPr>
          <w:ilvl w:val="1"/>
          <w:numId w:val="40"/>
        </w:numPr>
        <w:rPr>
          <w:rFonts w:ascii="Arial" w:cs="Arial" w:eastAsia="Arial" w:hAnsi="Arial"/>
          <w:sz w:val="18"/>
          <w:szCs w:val="18"/>
          <w:color w:val="auto"/>
        </w:rPr>
      </w:pPr>
      <w:r>
        <w:rPr>
          <w:rFonts w:ascii="Arial" w:cs="Arial" w:eastAsia="Arial" w:hAnsi="Arial"/>
          <w:sz w:val="18"/>
          <w:szCs w:val="18"/>
          <w:color w:val="auto"/>
        </w:rPr>
        <w:t>On the Second Restatement Effective Date, in accordance with, and upon the terms and conditions set forth in the Eighth Amendment, (a) any Existing 2017 Incremental Term Loans of each Non-Extending 2017 Incremental Term Lender outstanding on such date shall continue hereunder (without, for the avoidance of doubt, any novation, discharge, recession, extinguishment, or substitutions of the parties rights and obligations hereunder) and be reclassified as “2017 Incremental Term Loans” on such date and (b) any Existing 2017 Incremental Term Loans of each Extended 2017 Incremental Term Lender outstanding on such date shall continue hereunder (without, for the avoidance of doubt, any novation, discharge, recession, extinguishment, or substitutions of the parties rights and obligations hereunder) and be reclassified as Extended 2017 Incremental Term Loans on such date.</w:t>
      </w:r>
    </w:p>
    <w:p>
      <w:pPr>
        <w:spacing w:after="0" w:line="81" w:lineRule="exact"/>
        <w:rPr>
          <w:rFonts w:ascii="Arial" w:cs="Arial" w:eastAsia="Arial" w:hAnsi="Arial"/>
          <w:sz w:val="18"/>
          <w:szCs w:val="18"/>
          <w:color w:val="auto"/>
        </w:rPr>
      </w:pPr>
    </w:p>
    <w:p>
      <w:pPr>
        <w:ind w:left="-4" w:firstLine="444"/>
        <w:spacing w:after="0" w:line="272" w:lineRule="auto"/>
        <w:tabs>
          <w:tab w:leader="none" w:pos="662" w:val="left"/>
        </w:tabs>
        <w:numPr>
          <w:ilvl w:val="1"/>
          <w:numId w:val="40"/>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on the Second Restatement Effective Date, (a) 2017 Incremental Term Loans and Extended 2017 Incremental Term Loans shall be deemed made as Eurodollar Rate loans in a principal amount equal to the principal amount of the Existing 2017 Incremental Term Loans reclassified as 2017 Incremental Term Loans and Extended 2017 Incremental Term Loans, respectively, pursuant to </w:t>
      </w:r>
      <w:r>
        <w:rPr>
          <w:rFonts w:ascii="Arial" w:cs="Arial" w:eastAsia="Arial" w:hAnsi="Arial"/>
          <w:sz w:val="17"/>
          <w:szCs w:val="17"/>
          <w:u w:val="single" w:color="auto"/>
          <w:color w:val="auto"/>
        </w:rPr>
        <w:t>Section 2.01(e)</w:t>
      </w:r>
      <w:r>
        <w:rPr>
          <w:rFonts w:ascii="Arial" w:cs="Arial" w:eastAsia="Arial" w:hAnsi="Arial"/>
          <w:sz w:val="17"/>
          <w:szCs w:val="17"/>
          <w:color w:val="auto"/>
        </w:rPr>
        <w:t xml:space="preserve"> that were outstanding as Eurodollar Rate loans at the time of reclassification, and (b) the 2017 Incremental Term Loans and Extended 2017 Incremental Term Loans described in subclause (a) above shall be of the Types and have the Interest Periods (as applicable) as set forth in the Committed Loan Notice delivered to the Administrative Agent by the Borrower prior to the Second Restatement Effective Date, with any such Interest Periods to commence on the Second Restatement Effective Date.</w:t>
      </w:r>
    </w:p>
    <w:p>
      <w:pPr>
        <w:spacing w:after="0" w:line="178"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Borrowings, Conversions and Continuations of Loans</w:t>
      </w:r>
      <w:r>
        <w:rPr>
          <w:rFonts w:ascii="Arial" w:cs="Arial" w:eastAsia="Arial" w:hAnsi="Arial"/>
          <w:sz w:val="18"/>
          <w:szCs w:val="18"/>
          <w:color w:val="auto"/>
        </w:rPr>
        <w:t>.</w:t>
      </w:r>
    </w:p>
    <w:p>
      <w:pPr>
        <w:spacing w:after="0" w:line="117" w:lineRule="exact"/>
        <w:rPr>
          <w:sz w:val="20"/>
          <w:szCs w:val="20"/>
          <w:color w:val="auto"/>
        </w:rPr>
      </w:pPr>
    </w:p>
    <w:p>
      <w:pPr>
        <w:ind w:left="-4" w:right="20" w:firstLine="444"/>
        <w:spacing w:after="0" w:line="257" w:lineRule="auto"/>
        <w:tabs>
          <w:tab w:leader="none" w:pos="682"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Each Term Borrowing, each Revolving Credit Borrowing, each conversion of Term Loans or Revolving Credit Loans from one Type to the other, and each continuation of Eurodollar Rate Loans shall be made upon the Borrower’s irrevocable notice to the Administrative Agent, which may be given by (A) telephone, or (B) a Committed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telephone notice must be confirmed promptly by delivery to the Administrative Agent of a Committed Loan Notice. Each such telephone notice and Committed Loan Notice must be received by the Administrative Agent not later than 11:00 a.m. (i) three Business Days prior to the requested date of</w:t>
      </w:r>
    </w:p>
    <w:p>
      <w:pPr>
        <w:spacing w:after="0" w:line="12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E-4-37</w:t>
      </w:r>
    </w:p>
    <w:p>
      <w:pPr>
        <w:sectPr>
          <w:pgSz w:w="11900" w:h="16838" w:orient="portrait"/>
          <w:cols w:equalWidth="0" w:num="1">
            <w:col w:w="10996"/>
          </w:cols>
          <w:pgMar w:left="444" w:top="274" w:right="45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Borrowing of, conversion to or continuation of Eurodollar Rate Loans or of any conversion of Eurodollar Rate Loans to Base Rate Loans, and</w:t>
      </w:r>
    </w:p>
    <w:p>
      <w:pPr>
        <w:spacing w:after="0" w:line="35" w:lineRule="exact"/>
        <w:rPr>
          <w:sz w:val="20"/>
          <w:szCs w:val="20"/>
          <w:color w:val="auto"/>
        </w:rPr>
      </w:pPr>
    </w:p>
    <w:p>
      <w:pPr>
        <w:ind w:firstLine="4"/>
        <w:spacing w:after="0" w:line="281" w:lineRule="auto"/>
        <w:tabs>
          <w:tab w:leader="none" w:pos="265"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on the requested date of any Borrowing of Base Rate Loans. Each Borrowing of, conversion to or continuation of Eurodollar Rate Loans shall be in a minimum principal amount of $1,000,000 or a whole multiple of $500,000 in excess thereof. Except as provided in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2.04(c)</w:t>
      </w:r>
      <w:r>
        <w:rPr>
          <w:rFonts w:ascii="Arial" w:cs="Arial" w:eastAsia="Arial" w:hAnsi="Arial"/>
          <w:sz w:val="16"/>
          <w:szCs w:val="16"/>
          <w:color w:val="auto"/>
        </w:rPr>
        <w:t>, each Borrowing of or conversion to Base Rate Loans shall be in a minimum principal amount of $500,000 or a whole multiple of $100,000 in excess thereof. Each such telephone notice and Committed Loan Notice shall specify (i) whether the Borrower is requesting a Term Borrowing, a Revolving Credit Borrowing, a conversion of Term Loans or Revolving Credit Loans from one Type to the other, or a continuation of Eurodollar Rate Loans,</w:t>
      </w:r>
    </w:p>
    <w:p>
      <w:pPr>
        <w:spacing w:after="0" w:line="3" w:lineRule="exact"/>
        <w:rPr>
          <w:rFonts w:ascii="Arial" w:cs="Arial" w:eastAsia="Arial" w:hAnsi="Arial"/>
          <w:sz w:val="16"/>
          <w:szCs w:val="16"/>
          <w:color w:val="auto"/>
        </w:rPr>
      </w:pPr>
    </w:p>
    <w:p>
      <w:pPr>
        <w:ind w:right="60" w:firstLine="4"/>
        <w:spacing w:after="0" w:line="251" w:lineRule="auto"/>
        <w:tabs>
          <w:tab w:leader="none" w:pos="2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requested date of the Borrowing, conversion or continuation, as the case may be (which shall be a Business Day), (iii) the principal amount of Loans to be borrowed, converted or continued, (iv) the Type of Term Loans or Revolving Credit Loans to be borrowed or to which existing Loans are to be converted, and (v) if applicable, the duration of the Interest Period with respect thereto. If the Borrower fails to specify a Type of Loan in a Committed Loan Notice or if the Borrower fails to give a timely notice requesting a conversion or continuation, then the applicable Term Loans or Revolving Credit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such Committed Loan Notice, but fails to specify an Interest Period, it will be deemed to have specified an Interest Period of one month. Notwithstanding anything to the contrary herein, a Swing Line Loan may not be converted to a Eurodollar Rate Loan.</w:t>
      </w:r>
    </w:p>
    <w:p>
      <w:pPr>
        <w:spacing w:after="0" w:line="90" w:lineRule="exact"/>
        <w:rPr>
          <w:rFonts w:ascii="Arial" w:cs="Arial" w:eastAsia="Arial" w:hAnsi="Arial"/>
          <w:sz w:val="18"/>
          <w:szCs w:val="18"/>
          <w:color w:val="auto"/>
        </w:rPr>
      </w:pPr>
    </w:p>
    <w:p>
      <w:pPr>
        <w:ind w:right="20" w:firstLine="444"/>
        <w:spacing w:after="0" w:line="287" w:lineRule="auto"/>
        <w:tabs>
          <w:tab w:leader="none" w:pos="696" w:val="left"/>
        </w:tabs>
        <w:numPr>
          <w:ilvl w:val="1"/>
          <w:numId w:val="43"/>
        </w:numPr>
        <w:rPr>
          <w:rFonts w:ascii="Arial" w:cs="Arial" w:eastAsia="Arial" w:hAnsi="Arial"/>
          <w:sz w:val="16"/>
          <w:szCs w:val="16"/>
          <w:color w:val="auto"/>
        </w:rPr>
      </w:pPr>
      <w:r>
        <w:rPr>
          <w:rFonts w:ascii="Arial" w:cs="Arial" w:eastAsia="Arial" w:hAnsi="Arial"/>
          <w:sz w:val="16"/>
          <w:szCs w:val="16"/>
          <w:color w:val="auto"/>
        </w:rPr>
        <w:t xml:space="preserve">Following receipt of a Committed Loan Notice, the Administrative Agent shall promptly notify each Lender of the amount of its Applicable Percentage under the applicable Facility of the applicable Term Loans or Revolving Credit Loans, and if no timely notice of a conversion or continuation is provided by the Borrower, the Administrative Agent shall notify each Lender of the details of any automatic conversion to Base Rate Loans described in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In the case of a Term Borrowing or a Revolving Credit Borrowing, each Appropriate Lender shall make the amount of its Loan available to the Administrative Agent in immediately available funds at the Administrative Agent’s Office not later than 1:00 p.m. on the Business Day specified in the applicable Committed Loan Notice. Upon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the Administrative Agent shall make all funds so received available to the Borrower in like funds as received by the Administrative Agent either by (i) crediting the account of the Borrower on the books of Truist Bank, if any, with the amount of such funds or (ii) wire transfer of such funds, in each case in accordance with instructions provided to (and reasonably acceptable to) the Administrative Agent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the date a Committed Loan Notice with respect to a Revolving Credit Borrowing is given by the Borrower, there are L/C Borrowings outstanding, then the proceeds of such Revolving Credit Borrowing,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shall be applied to the payment in full of any such L/C Borrowings, and </w:t>
      </w:r>
      <w:r>
        <w:rPr>
          <w:rFonts w:ascii="Arial" w:cs="Arial" w:eastAsia="Arial" w:hAnsi="Arial"/>
          <w:sz w:val="16"/>
          <w:szCs w:val="16"/>
          <w:u w:val="single" w:color="auto"/>
          <w:color w:val="auto"/>
        </w:rPr>
        <w:t>second</w:t>
      </w:r>
      <w:r>
        <w:rPr>
          <w:rFonts w:ascii="Arial" w:cs="Arial" w:eastAsia="Arial" w:hAnsi="Arial"/>
          <w:sz w:val="16"/>
          <w:szCs w:val="16"/>
          <w:color w:val="auto"/>
        </w:rPr>
        <w:t>, shall be made available to the Borrower as provided above.</w:t>
      </w:r>
    </w:p>
    <w:p>
      <w:pPr>
        <w:spacing w:after="0" w:line="60" w:lineRule="exact"/>
        <w:rPr>
          <w:rFonts w:ascii="Arial" w:cs="Arial" w:eastAsia="Arial" w:hAnsi="Arial"/>
          <w:sz w:val="16"/>
          <w:szCs w:val="16"/>
          <w:color w:val="auto"/>
        </w:rPr>
      </w:pPr>
    </w:p>
    <w:p>
      <w:pPr>
        <w:jc w:val="both"/>
        <w:ind w:right="60" w:firstLine="444"/>
        <w:spacing w:after="0" w:line="264" w:lineRule="auto"/>
        <w:tabs>
          <w:tab w:leader="none" w:pos="685"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During the existence of a Default, no Loans may be requested as, converted to or continued as Eurodollar Rate Loans without the consent of the Required Lenders.</w:t>
      </w:r>
    </w:p>
    <w:p>
      <w:pPr>
        <w:spacing w:after="0" w:line="73" w:lineRule="exact"/>
        <w:rPr>
          <w:rFonts w:ascii="Arial" w:cs="Arial" w:eastAsia="Arial" w:hAnsi="Arial"/>
          <w:sz w:val="18"/>
          <w:szCs w:val="18"/>
          <w:color w:val="auto"/>
        </w:rPr>
      </w:pPr>
    </w:p>
    <w:p>
      <w:pPr>
        <w:ind w:right="20" w:firstLine="444"/>
        <w:spacing w:after="0" w:line="259" w:lineRule="auto"/>
        <w:tabs>
          <w:tab w:leader="none" w:pos="696"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Truist Bank’s prime rate used in determining the Base Rate promptly following the public announcement of such change.</w:t>
      </w:r>
    </w:p>
    <w:p>
      <w:pPr>
        <w:spacing w:after="0" w:line="78" w:lineRule="exact"/>
        <w:rPr>
          <w:rFonts w:ascii="Arial" w:cs="Arial" w:eastAsia="Arial" w:hAnsi="Arial"/>
          <w:sz w:val="18"/>
          <w:szCs w:val="18"/>
          <w:color w:val="auto"/>
        </w:rPr>
      </w:pPr>
    </w:p>
    <w:p>
      <w:pPr>
        <w:ind w:right="280" w:firstLine="444"/>
        <w:spacing w:after="0" w:line="277" w:lineRule="auto"/>
        <w:tabs>
          <w:tab w:leader="none" w:pos="68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ten (10) Interest Periods in effect in respect of the Facilities.</w:t>
      </w:r>
    </w:p>
    <w:p>
      <w:pPr>
        <w:spacing w:after="0" w:line="62" w:lineRule="exact"/>
        <w:rPr>
          <w:rFonts w:ascii="Arial" w:cs="Arial" w:eastAsia="Arial" w:hAnsi="Arial"/>
          <w:sz w:val="18"/>
          <w:szCs w:val="18"/>
          <w:color w:val="auto"/>
        </w:rPr>
      </w:pPr>
    </w:p>
    <w:p>
      <w:pPr>
        <w:ind w:right="40" w:firstLine="444"/>
        <w:spacing w:after="0" w:line="264" w:lineRule="auto"/>
        <w:tabs>
          <w:tab w:leader="none" w:pos="665"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Anything in this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to the contrary notwithstanding, the Borrower may not select the Eurodollar Rate for the initial Borrowing unless the Borrower delivers a Funding Indemnity Letter to the Administrative Agent no later than 11:00 a.m. three (3) Business Days prior to the Closing Date.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E-4-38</w:t>
      </w:r>
    </w:p>
    <w:p>
      <w:pPr>
        <w:sectPr>
          <w:pgSz w:w="11900" w:h="16838" w:orient="portrait"/>
          <w:cols w:equalWidth="0" w:num="1">
            <w:col w:w="11020"/>
          </w:cols>
          <w:pgMar w:left="440" w:top="274" w:right="439" w:bottom="1440" w:gutter="0" w:footer="0" w:header="0"/>
        </w:sectPr>
      </w:pPr>
    </w:p>
    <w:bookmarkStart w:id="64" w:name="page65"/>
    <w:bookmarkEnd w:id="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2.03.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68" w:lineRule="auto"/>
        <w:tabs>
          <w:tab w:leader="none" w:pos="685"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The Letter of Credit Commitment</w:t>
      </w:r>
      <w:r>
        <w:rPr>
          <w:rFonts w:ascii="Arial" w:cs="Arial" w:eastAsia="Arial" w:hAnsi="Arial"/>
          <w:sz w:val="17"/>
          <w:szCs w:val="17"/>
          <w:color w:val="auto"/>
        </w:rPr>
        <w:t xml:space="preserve">. Subject to the terms and conditions set forth herein, (A) each L/C Issuer agrees, in reliance upon the agreements of the Revolving Credit Lenders set forth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(1) from time to time on any Business Day during the period from the Closing Date until the Letter of Credit Expiration Date, to issue Letters of Credit for the account of the Borrower or its Subsidiaries, and to amend or extend Letters of Credit previously issued by it, in accordance with </w:t>
      </w:r>
      <w:r>
        <w:rPr>
          <w:rFonts w:ascii="Arial" w:cs="Arial" w:eastAsia="Arial" w:hAnsi="Arial"/>
          <w:sz w:val="17"/>
          <w:szCs w:val="17"/>
          <w:u w:val="single" w:color="auto"/>
          <w:color w:val="auto"/>
        </w:rPr>
        <w:t>Section 2.03(b)</w:t>
      </w:r>
      <w:r>
        <w:rPr>
          <w:rFonts w:ascii="Arial" w:cs="Arial" w:eastAsia="Arial" w:hAnsi="Arial"/>
          <w:sz w:val="17"/>
          <w:szCs w:val="17"/>
          <w:color w:val="auto"/>
        </w:rPr>
        <w:t xml:space="preserve">, and (2) to honor drawings under the Letters of Credit; and (B) the Revolving Credit Lenders severally agree to participate in Letters of Credit issued for the account of the Borrower or its Subsidiaries and any drawings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L/C Credit Extension with respect to any Letter of Credit, (w) the Total Revolving Credit Outstandings shall not exceed the aggregate Revolving Credit Commitments of the Revolving Credit Lenders, (x) the Revolving Credit Exposure of any Revolving Credit Lender shall not exceed such Revolving Credit Lender’s Revolving Credit Commitment, (y) the face amount of all outstanding Letters of Credit issued by an L/C Issuer shall not exceed the Letter of Credit Sublimit of such L/C Issuer,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77" w:lineRule="exact"/>
        <w:rPr>
          <w:sz w:val="20"/>
          <w:szCs w:val="20"/>
          <w:color w:val="auto"/>
        </w:rPr>
      </w:pPr>
    </w:p>
    <w:p>
      <w:pPr>
        <w:ind w:left="660" w:hanging="21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L/C Issuer shall issue any Letter of Credit if:</w:t>
      </w:r>
    </w:p>
    <w:p>
      <w:pPr>
        <w:spacing w:after="0" w:line="117" w:lineRule="exact"/>
        <w:rPr>
          <w:rFonts w:ascii="Arial" w:cs="Arial" w:eastAsia="Arial" w:hAnsi="Arial"/>
          <w:sz w:val="18"/>
          <w:szCs w:val="18"/>
          <w:color w:val="auto"/>
        </w:rPr>
      </w:pPr>
    </w:p>
    <w:p>
      <w:pPr>
        <w:ind w:left="440" w:right="240" w:firstLine="428"/>
        <w:spacing w:after="0" w:line="342" w:lineRule="auto"/>
        <w:tabs>
          <w:tab w:leader="none" w:pos="1158"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2.03(b)(iii)</w:t>
      </w:r>
      <w:r>
        <w:rPr>
          <w:rFonts w:ascii="Arial" w:cs="Arial" w:eastAsia="Arial" w:hAnsi="Arial"/>
          <w:sz w:val="16"/>
          <w:szCs w:val="16"/>
          <w:color w:val="auto"/>
        </w:rPr>
        <w:t>, the expiry date of the requested Letter of Credit would occur more than twelve months after the date of issuance or last extension, unless the applicable L/C Issuer and the Required Revolving Lenders have approved such expiry date; or</w:t>
      </w:r>
    </w:p>
    <w:p>
      <w:pPr>
        <w:spacing w:after="0" w:line="15" w:lineRule="exact"/>
        <w:rPr>
          <w:rFonts w:ascii="Arial" w:cs="Arial" w:eastAsia="Arial" w:hAnsi="Arial"/>
          <w:sz w:val="16"/>
          <w:szCs w:val="16"/>
          <w:color w:val="auto"/>
        </w:rPr>
      </w:pPr>
    </w:p>
    <w:p>
      <w:pPr>
        <w:ind w:left="440" w:right="180" w:firstLine="428"/>
        <w:spacing w:after="0" w:line="277" w:lineRule="auto"/>
        <w:tabs>
          <w:tab w:leader="none" w:pos="11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expiry date of the requested Letter of Credit would occur after the Letter of Credit Expiration Date, unless all the Revolving Credit Lenders and the applicable L/C Issuer have approved such expiry date.</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L/C Issuer shall be under any obligation to issue any Letter of Credit if:</w:t>
      </w:r>
    </w:p>
    <w:p>
      <w:pPr>
        <w:spacing w:after="0" w:line="117" w:lineRule="exact"/>
        <w:rPr>
          <w:rFonts w:ascii="Arial" w:cs="Arial" w:eastAsia="Arial" w:hAnsi="Arial"/>
          <w:sz w:val="18"/>
          <w:szCs w:val="18"/>
          <w:color w:val="auto"/>
        </w:rPr>
      </w:pPr>
    </w:p>
    <w:p>
      <w:pPr>
        <w:ind w:left="440" w:right="80" w:firstLine="428"/>
        <w:spacing w:after="0" w:line="255" w:lineRule="auto"/>
        <w:tabs>
          <w:tab w:leader="none" w:pos="115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the Letter of Credit in particular or shall impose upon such L/C Issuer with respect to the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81" w:lineRule="exact"/>
        <w:rPr>
          <w:rFonts w:ascii="Arial" w:cs="Arial" w:eastAsia="Arial" w:hAnsi="Arial"/>
          <w:sz w:val="18"/>
          <w:szCs w:val="18"/>
          <w:color w:val="auto"/>
        </w:rPr>
      </w:pPr>
    </w:p>
    <w:p>
      <w:pPr>
        <w:ind w:left="1160" w:hanging="292"/>
        <w:spacing w:after="0"/>
        <w:tabs>
          <w:tab w:leader="none" w:pos="11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issuance of such Letter of Credit would violate one or more policies of such L/C Issuer applicable to letters of credit generally;</w:t>
      </w:r>
    </w:p>
    <w:p>
      <w:pPr>
        <w:spacing w:after="0" w:line="128" w:lineRule="exact"/>
        <w:rPr>
          <w:rFonts w:ascii="Arial" w:cs="Arial" w:eastAsia="Arial" w:hAnsi="Arial"/>
          <w:sz w:val="17"/>
          <w:szCs w:val="17"/>
          <w:color w:val="auto"/>
        </w:rPr>
      </w:pPr>
    </w:p>
    <w:p>
      <w:pPr>
        <w:ind w:left="440" w:right="20" w:firstLine="428"/>
        <w:spacing w:after="0" w:line="277" w:lineRule="auto"/>
        <w:tabs>
          <w:tab w:leader="none" w:pos="1148"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applicable L/C Issuer, such Letter of Credit is in an initial stated amount less than $500,000;</w:t>
      </w:r>
    </w:p>
    <w:p>
      <w:pPr>
        <w:spacing w:after="0" w:line="62" w:lineRule="exact"/>
        <w:rPr>
          <w:rFonts w:ascii="Arial" w:cs="Arial" w:eastAsia="Arial" w:hAnsi="Arial"/>
          <w:sz w:val="18"/>
          <w:szCs w:val="18"/>
          <w:color w:val="auto"/>
        </w:rPr>
      </w:pPr>
    </w:p>
    <w:p>
      <w:pPr>
        <w:ind w:left="1160" w:hanging="292"/>
        <w:spacing w:after="0"/>
        <w:tabs>
          <w:tab w:leader="none" w:pos="1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such Letter of Credit is to be denominated in a currency other than Dollars;</w:t>
      </w:r>
    </w:p>
    <w:p>
      <w:pPr>
        <w:spacing w:after="0" w:line="117" w:lineRule="exact"/>
        <w:rPr>
          <w:rFonts w:ascii="Arial" w:cs="Arial" w:eastAsia="Arial" w:hAnsi="Arial"/>
          <w:sz w:val="18"/>
          <w:szCs w:val="18"/>
          <w:color w:val="auto"/>
        </w:rPr>
      </w:pPr>
    </w:p>
    <w:p>
      <w:pPr>
        <w:ind w:left="440" w:firstLine="428"/>
        <w:spacing w:after="0" w:line="257" w:lineRule="auto"/>
        <w:tabs>
          <w:tab w:leader="none" w:pos="113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Revolving Credit Lender is at that time a Defaulting Lender, unless such L/C Issuer has entered into arrangements, including the delivery of Cash Collateral, satisfactory to such L/C Issuer (in its sole discretion) with the Borrower or such Lender to eliminate such L/C Issuer’s actual or potential Fronting Exposure (after giving effect to Section 2.15(a)(iv)) with respect to the Defaulting Lender arising from either the Letter of Credit then proposed to be issued or that Letter of Credit and all other L/C Obligations as to which such L/C Issuer has actual or potential Fronting Exposure, as it may elect in its sole discretion; 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E-4-39</w:t>
      </w:r>
    </w:p>
    <w:p>
      <w:pPr>
        <w:sectPr>
          <w:pgSz w:w="11900" w:h="16838" w:orient="portrait"/>
          <w:cols w:equalWidth="0" w:num="1">
            <w:col w:w="11020"/>
          </w:cols>
          <w:pgMar w:left="440" w:top="274" w:right="439" w:bottom="1440" w:gutter="0" w:footer="0" w:header="0"/>
        </w:sectPr>
      </w:pPr>
    </w:p>
    <w:bookmarkStart w:id="65" w:name="page66"/>
    <w:bookmarkEnd w:id="65"/>
    <w:p>
      <w:pPr>
        <w:ind w:left="1100" w:hanging="272"/>
        <w:spacing w:after="0"/>
        <w:tabs>
          <w:tab w:leader="none" w:pos="1100" w:val="left"/>
        </w:tabs>
        <w:numPr>
          <w:ilvl w:val="1"/>
          <w:numId w:val="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Letter of Credit contains any provisions for automatic reinstatement of the stated amount after any drawing thereunder.</w:t>
      </w:r>
    </w:p>
    <w:p>
      <w:pPr>
        <w:spacing w:after="0" w:line="128" w:lineRule="exact"/>
        <w:rPr>
          <w:rFonts w:ascii="Arial" w:cs="Arial" w:eastAsia="Arial" w:hAnsi="Arial"/>
          <w:sz w:val="17"/>
          <w:szCs w:val="17"/>
          <w:color w:val="auto"/>
        </w:rPr>
      </w:pPr>
    </w:p>
    <w:p>
      <w:pPr>
        <w:ind w:left="-40" w:right="320" w:firstLine="444"/>
        <w:spacing w:after="0" w:line="277" w:lineRule="auto"/>
        <w:tabs>
          <w:tab w:leader="none" w:pos="716"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L/C Issuer shall amend any Letter of Credit if such L/C Issuer would not be permitted at such time to issue such Letter of Credit in its amended form under the terms hereof.</w:t>
      </w:r>
    </w:p>
    <w:p>
      <w:pPr>
        <w:spacing w:after="0" w:line="62" w:lineRule="exact"/>
        <w:rPr>
          <w:rFonts w:ascii="Arial" w:cs="Arial" w:eastAsia="Arial" w:hAnsi="Arial"/>
          <w:sz w:val="18"/>
          <w:szCs w:val="18"/>
          <w:color w:val="auto"/>
        </w:rPr>
      </w:pPr>
    </w:p>
    <w:p>
      <w:pPr>
        <w:ind w:left="-40" w:right="300" w:firstLine="444"/>
        <w:spacing w:after="0" w:line="264" w:lineRule="auto"/>
        <w:tabs>
          <w:tab w:leader="none" w:pos="7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L/C Issuer shall be under any obligation to amend any Letter of Credit if (A) such L/C Issuer would have no obligation at such time to issue the Letter of Credit in its amended form under the terms hereof, or (B) the beneficiary of such Letter of Credit does not accept the proposed amendment to such Letter of Credit.</w:t>
      </w:r>
    </w:p>
    <w:p>
      <w:pPr>
        <w:spacing w:after="0" w:line="73" w:lineRule="exact"/>
        <w:rPr>
          <w:rFonts w:ascii="Arial" w:cs="Arial" w:eastAsia="Arial" w:hAnsi="Arial"/>
          <w:sz w:val="18"/>
          <w:szCs w:val="18"/>
          <w:color w:val="auto"/>
        </w:rPr>
      </w:pPr>
    </w:p>
    <w:p>
      <w:pPr>
        <w:ind w:left="-40" w:right="80" w:firstLine="444"/>
        <w:spacing w:after="0" w:line="276" w:lineRule="auto"/>
        <w:tabs>
          <w:tab w:leader="none" w:pos="656"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Each L/C Issuer shall act on behalf of the Revolving Credit Lenders with respect to any Letters of Credit issued by it and the documents associated therewith, and each L/C Issuer shall have all of the benefits and immunities (A) provided to the Administrative Agent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included the L/C Issuers with respect to such acts or omissions, and (B) as additionally provided herein with respect to each L/C Issuer.</w:t>
      </w:r>
    </w:p>
    <w:p>
      <w:pPr>
        <w:spacing w:after="0" w:line="64" w:lineRule="exact"/>
        <w:rPr>
          <w:sz w:val="20"/>
          <w:szCs w:val="20"/>
          <w:color w:val="auto"/>
        </w:rPr>
      </w:pPr>
    </w:p>
    <w:p>
      <w:pPr>
        <w:ind w:left="660" w:hanging="25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pacing w:after="0" w:line="117" w:lineRule="exact"/>
        <w:rPr>
          <w:sz w:val="20"/>
          <w:szCs w:val="20"/>
          <w:color w:val="auto"/>
        </w:rPr>
      </w:pPr>
    </w:p>
    <w:p>
      <w:pPr>
        <w:ind w:left="-40" w:firstLine="444"/>
        <w:spacing w:after="0" w:line="267" w:lineRule="auto"/>
        <w:tabs>
          <w:tab w:leader="none" w:pos="616" w:val="left"/>
        </w:tabs>
        <w:numPr>
          <w:ilvl w:val="0"/>
          <w:numId w:val="49"/>
        </w:numPr>
        <w:rPr>
          <w:rFonts w:ascii="Arial" w:cs="Arial" w:eastAsia="Arial" w:hAnsi="Arial"/>
          <w:sz w:val="17"/>
          <w:szCs w:val="17"/>
          <w:color w:val="auto"/>
        </w:rPr>
      </w:pPr>
      <w:r>
        <w:rPr>
          <w:rFonts w:ascii="Arial" w:cs="Arial" w:eastAsia="Arial" w:hAnsi="Arial"/>
          <w:sz w:val="17"/>
          <w:szCs w:val="17"/>
          <w:color w:val="auto"/>
        </w:rPr>
        <w:t>Each Letter of Credit shall be issued or amended, as the case may be, upon the request of the Borrower delivered to the applicable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applicable L/C Issuer, by personal delivery or by any other means acceptable to the applicable L/C Issuer. Such Letter of Credit Application must be received by such L/C Issuer and the Administrative Agent not later than 11:00 a.m. at least two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such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(H) the name of the Person for whose account such requested Letter of Credit is to be issued; and (I) such other matters as such L/C Issuer may require. In the case of a request for an amendment of any outstanding Letter of Credit, such Letter of Credit Application shall specify in form and detail satisfactory to such L/C Issuer (1) the Letter of Credit to be amended; (2) the proposed date of amendment thereof (which shall be a Business Day); (3) the nature of the proposed amendment; and (4) such other matters as such L/C Issuer may require. Additionally, the Borrower shall furnish to such L/C Issuer and the Administrative Agent such other documents and information pertaining to such requested Letter of Credit issuance or amendment, including any Issuer Documents, as such L/C Issuer or the Administrative Agent may require</w:t>
      </w:r>
    </w:p>
    <w:p>
      <w:pPr>
        <w:spacing w:after="0" w:line="84" w:lineRule="exact"/>
        <w:rPr>
          <w:rFonts w:ascii="Arial" w:cs="Arial" w:eastAsia="Arial" w:hAnsi="Arial"/>
          <w:sz w:val="17"/>
          <w:szCs w:val="17"/>
          <w:color w:val="auto"/>
        </w:rPr>
      </w:pPr>
    </w:p>
    <w:p>
      <w:pPr>
        <w:ind w:left="-40" w:firstLine="444"/>
        <w:spacing w:after="0" w:line="291" w:lineRule="auto"/>
        <w:tabs>
          <w:tab w:leader="none" w:pos="666"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Promptly after receipt of any Letter of Credit Application, the applicable L/C Issuer will confirm with the Administrative Agent (by telephone or in writing) that the Administrative Agent has received a copy of such Letter of Credit Application from the Borrower and, if not, such L/C Issuer will provide the Administrative Agent with a copy thereof. Unless the applicable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not then be satisfied, then, subject to the terms and conditions hereof, such L/C Issuer shall, on the requested date, issue a Letter of Credit for the account of the Borrower (or the applicable Subsidiary) or enter into the applicable amendment, as the case may be, in each case in accordance with such L/C Issuer’s usual and customary business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E-4-40</w:t>
      </w:r>
    </w:p>
    <w:p>
      <w:pPr>
        <w:sectPr>
          <w:pgSz w:w="11900" w:h="16838" w:orient="portrait"/>
          <w:cols w:equalWidth="0" w:num="1">
            <w:col w:w="10940"/>
          </w:cols>
          <w:pgMar w:left="480" w:top="274" w:right="479" w:bottom="1440" w:gutter="0" w:footer="0" w:header="0"/>
        </w:sectPr>
      </w:pPr>
    </w:p>
    <w:bookmarkStart w:id="66" w:name="page67"/>
    <w:bookmarkEnd w:id="66"/>
    <w:p>
      <w:pPr>
        <w:ind w:right="6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practices. Immediately upon the issuance of each Letter of Credit, each Revolving Credit Lender shall be deemed to, and hereby irrevocably and unconditionally agrees to, purchase from such L/C Issuer a risk participation in such Letter of Credit in an amount equal to the product of such Revolving Credit Lender’s Applicable Revolving Credit Percentage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Letter of Credit.</w:t>
      </w:r>
    </w:p>
    <w:p>
      <w:pPr>
        <w:spacing w:after="0" w:line="57" w:lineRule="exact"/>
        <w:rPr>
          <w:sz w:val="20"/>
          <w:szCs w:val="20"/>
          <w:color w:val="auto"/>
        </w:rPr>
      </w:pPr>
    </w:p>
    <w:p>
      <w:pPr>
        <w:ind w:firstLine="444"/>
        <w:spacing w:after="0" w:line="284" w:lineRule="auto"/>
        <w:tabs>
          <w:tab w:leader="none" w:pos="756" w:val="left"/>
        </w:tabs>
        <w:numPr>
          <w:ilvl w:val="1"/>
          <w:numId w:val="50"/>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applicable L/C Issuer may, in its discretion, agree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applicable L/C Issuer, the Borrower shall not be required to make a specific request to such L/C Issuer for any such extension. Once an Auto-Extension Letter of Credit has been issued, the Revolving Credit Lenders shall be deemed to have authorized (but may not require) the applicable L/C Issuer to permit the extension of such Letter of Credit at any time to an expiry date not later than the Letter of Credit Expiration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L/C Issuer shall not permit any such extension if</w:t>
      </w:r>
    </w:p>
    <w:p>
      <w:pPr>
        <w:spacing w:after="0" w:line="1" w:lineRule="exact"/>
        <w:rPr>
          <w:rFonts w:ascii="Arial" w:cs="Arial" w:eastAsia="Arial" w:hAnsi="Arial"/>
          <w:sz w:val="16"/>
          <w:szCs w:val="16"/>
          <w:color w:val="auto"/>
        </w:rPr>
      </w:pPr>
    </w:p>
    <w:p>
      <w:pPr>
        <w:ind w:right="40" w:firstLine="4"/>
        <w:spacing w:after="0" w:line="252" w:lineRule="auto"/>
        <w:tabs>
          <w:tab w:leader="none" w:pos="2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such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or otherwise), or (B) it has received notice (which may be by telephone or in writing) on or before the day that is seven Business Days before the Non-Extension Notice Date (1) from the Administrative Agent that the Required Revolving Lenders have elected not to permit such extension or (2) from the Administrative Agent, any Revolving Credit Lender or the Borrower that one or more of the applicable conditions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not then satisfied, and in each such case directing such L/C Issuer not to permit such extension.</w:t>
      </w:r>
    </w:p>
    <w:p>
      <w:pPr>
        <w:spacing w:after="0" w:line="86" w:lineRule="exact"/>
        <w:rPr>
          <w:rFonts w:ascii="Arial" w:cs="Arial" w:eastAsia="Arial" w:hAnsi="Arial"/>
          <w:sz w:val="18"/>
          <w:szCs w:val="18"/>
          <w:color w:val="auto"/>
        </w:rPr>
      </w:pPr>
    </w:p>
    <w:p>
      <w:pPr>
        <w:ind w:right="100" w:firstLine="444"/>
        <w:spacing w:after="0" w:line="264" w:lineRule="auto"/>
        <w:tabs>
          <w:tab w:leader="none" w:pos="746" w:val="left"/>
        </w:tabs>
        <w:numPr>
          <w:ilvl w:val="1"/>
          <w:numId w:val="51"/>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applicable L/C Issuer will also deliver to the Borrower and the Administrative Agent a true and complete copy of such Letter of Credit or amendment.</w:t>
      </w:r>
    </w:p>
    <w:p>
      <w:pPr>
        <w:spacing w:after="0" w:line="73" w:lineRule="exact"/>
        <w:rPr>
          <w:sz w:val="20"/>
          <w:szCs w:val="20"/>
          <w:color w:val="auto"/>
        </w:rPr>
      </w:pPr>
    </w:p>
    <w:p>
      <w:pPr>
        <w:ind w:left="680" w:hanging="236"/>
        <w:spacing w:after="0"/>
        <w:tabs>
          <w:tab w:leader="none" w:pos="6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287" w:lineRule="auto"/>
        <w:tabs>
          <w:tab w:leader="none" w:pos="656" w:val="left"/>
        </w:tabs>
        <w:numPr>
          <w:ilvl w:val="0"/>
          <w:numId w:val="53"/>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notice of a drawing under such Letter of Credit, the applicable L/C Issuer shall notify the Borrower and the Administrative Agent thereof. Not later than 11:00 a.m. on the date of any payment by the applicable L/C Issuer under a Letter of Credit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the Borrower shall reimburse such L/C Issuer through the Administrative Agent in an amount equal to the amount of such drawing. If the Borrower fails to so reimburse such L/C Issuer by such time, the Administrative Agent shall promptly notify each Revolving Credit Lender of the Honor Date, the amount of the unreimbursed drawing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Revolving Credit Lender’s Applicable Revolving Credit Percentage thereof. In such event, the Borrower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but subject to the amount of the unutilized portion of the Revolving Credit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Committed Loan Notice). Any notice given by the applicable L/C Issuer or the Administrative Agent pursuant to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may be given by telephone if immediately confirmed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w:t>
      </w:r>
    </w:p>
    <w:p>
      <w:pPr>
        <w:spacing w:after="0" w:line="64" w:lineRule="exact"/>
        <w:rPr>
          <w:rFonts w:ascii="Arial" w:cs="Arial" w:eastAsia="Arial" w:hAnsi="Arial"/>
          <w:sz w:val="16"/>
          <w:szCs w:val="16"/>
          <w:color w:val="auto"/>
        </w:rPr>
      </w:pPr>
    </w:p>
    <w:p>
      <w:pPr>
        <w:ind w:right="80" w:firstLine="444"/>
        <w:spacing w:after="0" w:line="255" w:lineRule="auto"/>
        <w:tabs>
          <w:tab w:leader="none" w:pos="706"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Each Revolving Credit Lender shall upon any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make funds available (and the Administrative Agent may apply Cash Collateral provided for this purpose) for the account of the applicable L/C Issuer at the Administrative Agent’s Office in an amount equal to its Applicable Revolving Credit Percentage of the Unreimbursed Amount not later than 1:00 p.m. on the Business Day specified in such notice by the Administrative Agent, whereupon, subject to the provisions of </w:t>
      </w:r>
      <w:r>
        <w:rPr>
          <w:rFonts w:ascii="Arial" w:cs="Arial" w:eastAsia="Arial" w:hAnsi="Arial"/>
          <w:sz w:val="18"/>
          <w:szCs w:val="18"/>
          <w:u w:val="single" w:color="auto"/>
          <w:color w:val="auto"/>
        </w:rPr>
        <w:t>Section 2.03(c)(iii)</w:t>
      </w:r>
      <w:r>
        <w:rPr>
          <w:rFonts w:ascii="Arial" w:cs="Arial" w:eastAsia="Arial" w:hAnsi="Arial"/>
          <w:sz w:val="18"/>
          <w:szCs w:val="18"/>
          <w:color w:val="auto"/>
        </w:rPr>
        <w:t>, each Revolving Credit Lender that so makes funds available shall be deemed to have made a Base Rate Loan to the Borrower in such amount. The Administrative Agent shall remit the funds so received to the applicable L/C Issuer.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E-4-41</w:t>
      </w:r>
    </w:p>
    <w:p>
      <w:pPr>
        <w:sectPr>
          <w:pgSz w:w="11900" w:h="16838" w:orient="portrait"/>
          <w:cols w:equalWidth="0" w:num="1">
            <w:col w:w="11020"/>
          </w:cols>
          <w:pgMar w:left="440" w:top="274" w:right="439" w:bottom="1440" w:gutter="0" w:footer="0" w:header="0"/>
        </w:sectPr>
      </w:pPr>
    </w:p>
    <w:bookmarkStart w:id="67" w:name="page68"/>
    <w:bookmarkEnd w:id="67"/>
    <w:p>
      <w:pPr>
        <w:ind w:right="60" w:firstLine="444"/>
        <w:spacing w:after="0" w:line="293" w:lineRule="auto"/>
        <w:tabs>
          <w:tab w:leader="none" w:pos="756" w:val="left"/>
        </w:tabs>
        <w:numPr>
          <w:ilvl w:val="0"/>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respect to any Unreimbursed Amount that is not fully refinanced by a Revolving Credit Borrowing of Base Rate Loans because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cannot be satisfied or for any other reason, the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applicable L/C Issuer pursuant to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right="140" w:firstLine="444"/>
        <w:spacing w:after="0" w:line="264" w:lineRule="auto"/>
        <w:tabs>
          <w:tab w:leader="none" w:pos="746"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Until each Revolving Credit Lender funds its Revolving Credit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applicable L/C Issuer for any amount drawn under any Letter of Credit, interest in respect of such Lender’s Applicable Revolving Credit Percentage of such amount shall be solely for the account of such L/C Issuer.</w:t>
      </w:r>
    </w:p>
    <w:p>
      <w:pPr>
        <w:spacing w:after="0" w:line="73" w:lineRule="exact"/>
        <w:rPr>
          <w:rFonts w:ascii="Arial" w:cs="Arial" w:eastAsia="Arial" w:hAnsi="Arial"/>
          <w:sz w:val="18"/>
          <w:szCs w:val="18"/>
          <w:color w:val="auto"/>
        </w:rPr>
      </w:pPr>
    </w:p>
    <w:p>
      <w:pPr>
        <w:ind w:right="60" w:firstLine="444"/>
        <w:spacing w:after="0" w:line="271" w:lineRule="auto"/>
        <w:tabs>
          <w:tab w:leader="none" w:pos="696"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Each Revolving Credit Lender’s obligation to make Revolving Credit Loans or L/C Advances to reimburse the applicable L/C Issuer for amounts drawn under Letters of Credit, as contemplated by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which such Lender may have against such L/C Issuer, the Borrower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Revolving Credit Lender’s obligation to make Revolving Credit Loans pursuant to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(other than delivery by the Borrower of a Committed Loan Notice). No such making of an L/C Advance shall relieve or otherwise impair the obligation of the Borrower to reimburse the L/C Issuer for the amount of any payment made by the applicable L/C Issuer under any Letter of Credit, together with interest as provided herein.</w:t>
      </w:r>
    </w:p>
    <w:p>
      <w:pPr>
        <w:spacing w:after="0" w:line="70" w:lineRule="exact"/>
        <w:rPr>
          <w:rFonts w:ascii="Arial" w:cs="Arial" w:eastAsia="Arial" w:hAnsi="Arial"/>
          <w:sz w:val="17"/>
          <w:szCs w:val="17"/>
          <w:color w:val="auto"/>
        </w:rPr>
      </w:pPr>
    </w:p>
    <w:p>
      <w:pPr>
        <w:ind w:firstLine="444"/>
        <w:spacing w:after="0" w:line="288" w:lineRule="auto"/>
        <w:tabs>
          <w:tab w:leader="none" w:pos="746"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If any Revolving Credit Lender fails to make available to the Administrative Agent for the account of the applicable L/C Issuer any amount required to be paid by such Lender pursuant to the foregoing provisions of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such L/C Issuer in accordance with banking industry rules on interbank compensation,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administrative, processing or similar fees customarily charged by such L/C Issuer in connection with the foregoing. If such Lender pays such amount (with interest and fees as aforesaid), the amount so paid shall constitute such Lender’s Revolving Credit Loan included in the relevant Revolving Credit Borrowing or L/C Advance in respect of the relevant L/C Borrowing, as the case may be. A certificate of the applicable L/C Issuer submitted to any Revolving Credit Lender (through the Administrative Agent) with respect to any amounts owing under this </w:t>
      </w:r>
      <w:r>
        <w:rPr>
          <w:rFonts w:ascii="Arial" w:cs="Arial" w:eastAsia="Arial" w:hAnsi="Arial"/>
          <w:sz w:val="16"/>
          <w:szCs w:val="16"/>
          <w:u w:val="single" w:color="auto"/>
          <w:color w:val="auto"/>
        </w:rPr>
        <w:t>Section 2.03(c)(vi)</w:t>
      </w:r>
      <w:r>
        <w:rPr>
          <w:rFonts w:ascii="Arial" w:cs="Arial" w:eastAsia="Arial" w:hAnsi="Arial"/>
          <w:sz w:val="16"/>
          <w:szCs w:val="16"/>
          <w:color w:val="auto"/>
        </w:rPr>
        <w:t xml:space="preserve"> shall be conclusive absent manifest error.</w:t>
      </w:r>
    </w:p>
    <w:p>
      <w:pPr>
        <w:spacing w:after="0" w:line="61" w:lineRule="exact"/>
        <w:rPr>
          <w:sz w:val="20"/>
          <w:szCs w:val="20"/>
          <w:color w:val="auto"/>
        </w:rPr>
      </w:pPr>
    </w:p>
    <w:p>
      <w:pPr>
        <w:ind w:left="700" w:hanging="256"/>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sz w:val="20"/>
          <w:szCs w:val="20"/>
          <w:color w:val="auto"/>
        </w:rPr>
      </w:pPr>
    </w:p>
    <w:p>
      <w:pPr>
        <w:ind w:right="60" w:firstLine="444"/>
        <w:spacing w:after="0" w:line="276" w:lineRule="auto"/>
        <w:tabs>
          <w:tab w:leader="none" w:pos="656"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At any time after the applicable L/C Issuer has made a payment under any Letter of Credit and has received from any Revolving Credit Lender such Lender’s L/C Advance in respect of such payment in accordance with </w:t>
      </w:r>
      <w:r>
        <w:rPr>
          <w:rFonts w:ascii="Arial" w:cs="Arial" w:eastAsia="Arial" w:hAnsi="Arial"/>
          <w:sz w:val="17"/>
          <w:szCs w:val="17"/>
          <w:u w:val="single" w:color="auto"/>
          <w:color w:val="auto"/>
        </w:rPr>
        <w:t>Section 2.03(c)</w:t>
      </w:r>
      <w:r>
        <w:rPr>
          <w:rFonts w:ascii="Arial" w:cs="Arial" w:eastAsia="Arial" w:hAnsi="Arial"/>
          <w:sz w:val="17"/>
          <w:szCs w:val="17"/>
          <w:color w:val="auto"/>
        </w:rPr>
        <w:t>, if the Administrative Agent receives for the account of such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Revolving Credit Percentage thereof in the same funds as those received by the Administrative Agent.</w:t>
      </w:r>
    </w:p>
    <w:p>
      <w:pPr>
        <w:spacing w:after="0" w:line="64" w:lineRule="exact"/>
        <w:rPr>
          <w:rFonts w:ascii="Arial" w:cs="Arial" w:eastAsia="Arial" w:hAnsi="Arial"/>
          <w:sz w:val="17"/>
          <w:szCs w:val="17"/>
          <w:color w:val="auto"/>
        </w:rPr>
      </w:pPr>
    </w:p>
    <w:p>
      <w:pPr>
        <w:ind w:right="140" w:firstLine="444"/>
        <w:spacing w:after="0" w:line="273" w:lineRule="auto"/>
        <w:tabs>
          <w:tab w:leader="none" w:pos="706"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If any payment received by the Administrative Agent for the account of the applicable L/C Issuer pursuant to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is required to be returned under any of the circumstances described in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(including pursuant to any settlement entered into by such L/C Issuer in its discretion), each Revolving Credit Lender shall pay to the Administrative Agent for the account of such L/C Issuer its Applicable Revolving Credit Percentage thereof on demand of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E-4-42</w:t>
      </w:r>
    </w:p>
    <w:p>
      <w:pPr>
        <w:sectPr>
          <w:pgSz w:w="11900" w:h="16838" w:orient="portrait"/>
          <w:cols w:equalWidth="0" w:num="1">
            <w:col w:w="11020"/>
          </w:cols>
          <w:pgMar w:left="440" w:top="274" w:right="439" w:bottom="1440" w:gutter="0" w:footer="0" w:header="0"/>
        </w:sectPr>
      </w:pPr>
    </w:p>
    <w:bookmarkStart w:id="68" w:name="page69"/>
    <w:bookmarkEnd w:id="68"/>
    <w:p>
      <w:pPr>
        <w:jc w:val="both"/>
        <w:ind w:right="100" w:firstLine="444"/>
        <w:spacing w:after="0" w:line="264" w:lineRule="auto"/>
        <w:tabs>
          <w:tab w:leader="none" w:pos="68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Absolute</w:t>
      </w:r>
      <w:r>
        <w:rPr>
          <w:rFonts w:ascii="Arial" w:cs="Arial" w:eastAsia="Arial" w:hAnsi="Arial"/>
          <w:sz w:val="18"/>
          <w:szCs w:val="18"/>
          <w:color w:val="auto"/>
        </w:rPr>
        <w:t>. The obligation of the Borrower to reimburse the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73" w:lineRule="exact"/>
        <w:rPr>
          <w:rFonts w:ascii="Arial" w:cs="Arial" w:eastAsia="Arial" w:hAnsi="Arial"/>
          <w:sz w:val="18"/>
          <w:szCs w:val="18"/>
          <w:color w:val="auto"/>
        </w:rPr>
      </w:pPr>
    </w:p>
    <w:p>
      <w:pPr>
        <w:ind w:left="1080" w:hanging="212"/>
        <w:spacing w:after="0"/>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17" w:lineRule="exact"/>
        <w:rPr>
          <w:rFonts w:ascii="Arial" w:cs="Arial" w:eastAsia="Arial" w:hAnsi="Arial"/>
          <w:sz w:val="18"/>
          <w:szCs w:val="18"/>
          <w:color w:val="auto"/>
        </w:rPr>
      </w:pPr>
    </w:p>
    <w:p>
      <w:pPr>
        <w:jc w:val="both"/>
        <w:ind w:left="440" w:right="40" w:firstLine="428"/>
        <w:spacing w:after="0" w:line="279" w:lineRule="auto"/>
        <w:tabs>
          <w:tab w:leader="none" w:pos="1128"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63" w:lineRule="exact"/>
        <w:rPr>
          <w:rFonts w:ascii="Arial" w:cs="Arial" w:eastAsia="Arial" w:hAnsi="Arial"/>
          <w:sz w:val="17"/>
          <w:szCs w:val="17"/>
          <w:color w:val="auto"/>
        </w:rPr>
      </w:pPr>
    </w:p>
    <w:p>
      <w:pPr>
        <w:ind w:left="440" w:right="120" w:firstLine="428"/>
        <w:spacing w:after="0" w:line="264" w:lineRule="auto"/>
        <w:tabs>
          <w:tab w:leader="none" w:pos="117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3" w:lineRule="exact"/>
        <w:rPr>
          <w:rFonts w:ascii="Arial" w:cs="Arial" w:eastAsia="Arial" w:hAnsi="Arial"/>
          <w:sz w:val="18"/>
          <w:szCs w:val="18"/>
          <w:color w:val="auto"/>
        </w:rPr>
      </w:pPr>
    </w:p>
    <w:p>
      <w:pPr>
        <w:ind w:left="440" w:right="680" w:firstLine="428"/>
        <w:spacing w:after="0" w:line="277" w:lineRule="auto"/>
        <w:tabs>
          <w:tab w:leader="none" w:pos="1168" w:val="left"/>
        </w:tabs>
        <w:numPr>
          <w:ilvl w:val="1"/>
          <w:numId w:val="57"/>
        </w:numPr>
        <w:rPr>
          <w:rFonts w:ascii="Arial" w:cs="Arial" w:eastAsia="Arial" w:hAnsi="Arial"/>
          <w:sz w:val="18"/>
          <w:szCs w:val="18"/>
          <w:color w:val="auto"/>
        </w:rPr>
      </w:pPr>
      <w:r>
        <w:rPr>
          <w:rFonts w:ascii="Arial" w:cs="Arial" w:eastAsia="Arial" w:hAnsi="Arial"/>
          <w:sz w:val="18"/>
          <w:szCs w:val="18"/>
          <w:color w:val="auto"/>
        </w:rPr>
        <w:t>waiver by the applicable L/C Issuer of any requirement that exists for such L/C Issuer’s protection and not the protection of the Borrower or any waiver by such L/C Issuer which does not in fact materially prejudice the Borrower;</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57"/>
        </w:numPr>
        <w:rPr>
          <w:rFonts w:ascii="Arial" w:cs="Arial" w:eastAsia="Arial" w:hAnsi="Arial"/>
          <w:sz w:val="17"/>
          <w:szCs w:val="17"/>
          <w:color w:val="auto"/>
        </w:rPr>
      </w:pPr>
      <w:r>
        <w:rPr>
          <w:rFonts w:ascii="Arial" w:cs="Arial" w:eastAsia="Arial" w:hAnsi="Arial"/>
          <w:sz w:val="17"/>
          <w:szCs w:val="17"/>
          <w:color w:val="auto"/>
        </w:rPr>
        <w:t>honor of a demand for payment presented electronically, even if such Letter of Credit requires that demand be in the form of a draft;</w:t>
      </w:r>
    </w:p>
    <w:p>
      <w:pPr>
        <w:spacing w:after="0" w:line="128" w:lineRule="exact"/>
        <w:rPr>
          <w:rFonts w:ascii="Arial" w:cs="Arial" w:eastAsia="Arial" w:hAnsi="Arial"/>
          <w:sz w:val="17"/>
          <w:szCs w:val="17"/>
          <w:color w:val="auto"/>
        </w:rPr>
      </w:pPr>
    </w:p>
    <w:p>
      <w:pPr>
        <w:ind w:left="440" w:right="20" w:firstLine="428"/>
        <w:spacing w:after="0" w:line="264" w:lineRule="auto"/>
        <w:tabs>
          <w:tab w:leader="none" w:pos="116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payment made by the applicable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73" w:lineRule="exact"/>
        <w:rPr>
          <w:rFonts w:ascii="Arial" w:cs="Arial" w:eastAsia="Arial" w:hAnsi="Arial"/>
          <w:sz w:val="18"/>
          <w:szCs w:val="18"/>
          <w:color w:val="auto"/>
        </w:rPr>
      </w:pPr>
    </w:p>
    <w:p>
      <w:pPr>
        <w:jc w:val="both"/>
        <w:ind w:left="440" w:right="100" w:firstLine="428"/>
        <w:spacing w:after="0" w:line="257" w:lineRule="auto"/>
        <w:tabs>
          <w:tab w:leader="none" w:pos="121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payment by the applicable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80" w:lineRule="exact"/>
        <w:rPr>
          <w:rFonts w:ascii="Arial" w:cs="Arial" w:eastAsia="Arial" w:hAnsi="Arial"/>
          <w:sz w:val="18"/>
          <w:szCs w:val="18"/>
          <w:color w:val="auto"/>
        </w:rPr>
      </w:pPr>
    </w:p>
    <w:p>
      <w:pPr>
        <w:ind w:left="440" w:right="60" w:firstLine="428"/>
        <w:spacing w:after="0" w:line="277" w:lineRule="auto"/>
        <w:tabs>
          <w:tab w:leader="none" w:pos="1268"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any of its Subsidiaries.</w:t>
      </w:r>
    </w:p>
    <w:p>
      <w:pPr>
        <w:spacing w:after="0" w:line="170"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applicable L/C Issuer. The Borrower shall be conclusively deemed to have waived any such claim against the applicable L/C Issuer and its correspondents unless such notice is given as aforesaid.</w:t>
      </w:r>
    </w:p>
    <w:p>
      <w:pPr>
        <w:spacing w:after="0" w:line="79" w:lineRule="exact"/>
        <w:rPr>
          <w:sz w:val="20"/>
          <w:szCs w:val="20"/>
          <w:color w:val="auto"/>
        </w:rPr>
      </w:pPr>
    </w:p>
    <w:p>
      <w:pPr>
        <w:ind w:firstLine="444"/>
        <w:spacing w:after="0" w:line="255" w:lineRule="auto"/>
        <w:tabs>
          <w:tab w:leader="none" w:pos="66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Role of L/C Issuer</w:t>
      </w:r>
      <w:r>
        <w:rPr>
          <w:rFonts w:ascii="Arial" w:cs="Arial" w:eastAsia="Arial" w:hAnsi="Arial"/>
          <w:sz w:val="18"/>
          <w:szCs w:val="18"/>
          <w:color w:val="auto"/>
        </w:rPr>
        <w:t>. Each Lender and the Borrower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applicable L/C Issuer, the Administrative Agent, any of their respective Related Parties nor any correspondent, participant or assignee of such L/C Issuer shall be liable to any Lender for (i) any action taken or omitted in connection herewith at the request or with the approval of the Revolving Credit Lenders or the Required Revolving Lenders, as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E-4-43</w:t>
      </w:r>
    </w:p>
    <w:p>
      <w:pPr>
        <w:sectPr>
          <w:pgSz w:w="11900" w:h="16838" w:orient="portrait"/>
          <w:cols w:equalWidth="0" w:num="1">
            <w:col w:w="11020"/>
          </w:cols>
          <w:pgMar w:left="440" w:top="274" w:right="439" w:bottom="1440" w:gutter="0" w:footer="0" w:header="0"/>
        </w:sectPr>
      </w:pPr>
    </w:p>
    <w:bookmarkStart w:id="69" w:name="page70"/>
    <w:bookmarkEnd w:id="6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the Borrower’s pursuing such rights and remedies as it may have against the beneficiary or transferee at law or under any other agreement. None of the applicable L/C Issuer, the Administrative Agent, any of their respective Related Parties nor any correspondent, participant or assignee of such L/C Issuer shall be liable or responsible for any of the matters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the Borrower may have a claim against such L/C Issuer, and such L/C Issuer may be liable to the Borrower, to the extent, but only to the extent, of any direct, as opposed to consequential or exemplary, damages suffered by the Borrower which the Borrower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the applicable L/C Issuer may accept documents that appear on their face to be in order,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Each L/C Issuer may send a Letter of Credit or conduct any communication to or from the beneficiary via the Society for Worldwide Interbank Financial Telecommunication (“</w:t>
      </w:r>
      <w:r>
        <w:rPr>
          <w:rFonts w:ascii="Arial" w:cs="Arial" w:eastAsia="Arial" w:hAnsi="Arial"/>
          <w:sz w:val="16"/>
          <w:szCs w:val="16"/>
          <w:u w:val="single" w:color="auto"/>
          <w:color w:val="auto"/>
        </w:rPr>
        <w:t>SWIFT</w:t>
      </w:r>
      <w:r>
        <w:rPr>
          <w:rFonts w:ascii="Arial" w:cs="Arial" w:eastAsia="Arial" w:hAnsi="Arial"/>
          <w:sz w:val="16"/>
          <w:szCs w:val="16"/>
          <w:color w:val="auto"/>
        </w:rPr>
        <w:t>”) message or overnight courier, or any other commercially reasonable means of communicating with a beneficiary.</w:t>
      </w:r>
    </w:p>
    <w:p>
      <w:pPr>
        <w:spacing w:after="0" w:line="70" w:lineRule="exact"/>
        <w:rPr>
          <w:sz w:val="20"/>
          <w:szCs w:val="20"/>
          <w:color w:val="auto"/>
        </w:rPr>
      </w:pPr>
    </w:p>
    <w:p>
      <w:pPr>
        <w:ind w:right="40" w:firstLine="444"/>
        <w:spacing w:after="0" w:line="254" w:lineRule="auto"/>
        <w:tabs>
          <w:tab w:leader="none" w:pos="69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w:t>
      </w:r>
      <w:r>
        <w:rPr>
          <w:rFonts w:ascii="Arial" w:cs="Arial" w:eastAsia="Arial" w:hAnsi="Arial"/>
          <w:sz w:val="18"/>
          <w:szCs w:val="18"/>
          <w:color w:val="auto"/>
        </w:rPr>
        <w:t>. Unless otherwise expressly agreed by the applicable L/C Issuer and the Borrower when a Letter of Credit is issued, the rules of the ISP or UCP shall apply to each standby Letter of Credit. Notwithstanding the foregoing, no L/C Issuer shall be responsible to the Borrower for, and no L/C Issuer’s rights and remedies against the Borrower shall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84" w:lineRule="exact"/>
        <w:rPr>
          <w:rFonts w:ascii="Arial" w:cs="Arial" w:eastAsia="Arial" w:hAnsi="Arial"/>
          <w:sz w:val="18"/>
          <w:szCs w:val="18"/>
          <w:color w:val="auto"/>
        </w:rPr>
      </w:pPr>
    </w:p>
    <w:p>
      <w:pPr>
        <w:ind w:firstLine="444"/>
        <w:spacing w:after="0" w:line="270" w:lineRule="auto"/>
        <w:tabs>
          <w:tab w:leader="none" w:pos="695"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The Borrower shall pay to the Administrative Agent for the account of each Revolving Credit Lender in accordance with its Applicable Revolving Credit Percentage a Letter of Credit fee (the “</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xml:space="preserve">”) for each Letter of Credit equal to the Applicable Rate for a Eurodollar Rate Loan under the Revolving Credit Facility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Revolving Lenders, while any Event of Default exists, all Letter of Credit Fees shall accrue at the Default Rate.</w:t>
      </w:r>
    </w:p>
    <w:p>
      <w:pPr>
        <w:spacing w:after="0" w:line="69" w:lineRule="exact"/>
        <w:rPr>
          <w:rFonts w:ascii="Arial" w:cs="Arial" w:eastAsia="Arial" w:hAnsi="Arial"/>
          <w:sz w:val="17"/>
          <w:szCs w:val="17"/>
          <w:color w:val="auto"/>
        </w:rPr>
      </w:pPr>
    </w:p>
    <w:p>
      <w:pPr>
        <w:ind w:right="20" w:firstLine="444"/>
        <w:spacing w:after="0" w:line="289" w:lineRule="auto"/>
        <w:tabs>
          <w:tab w:leader="none" w:pos="655"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L/C Issuer</w:t>
      </w:r>
      <w:r>
        <w:rPr>
          <w:rFonts w:ascii="Arial" w:cs="Arial" w:eastAsia="Arial" w:hAnsi="Arial"/>
          <w:sz w:val="16"/>
          <w:szCs w:val="16"/>
          <w:color w:val="auto"/>
        </w:rPr>
        <w:t xml:space="preserve">. The Borrower shall pay directly to the applicable L/C Issuer for its own account a fronting fee with respect to each Letter of Credit, at per annum rate equal to 12.5 basis points, computed on the daily amount available to be drawn under such Letter of Credit on a quarterly basis in arrears. Such fronting fee shall be due and payable on the first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In addition, the Borrower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E-4-44</w:t>
      </w:r>
    </w:p>
    <w:p>
      <w:pPr>
        <w:sectPr>
          <w:pgSz w:w="11900" w:h="16838" w:orient="portrait"/>
          <w:cols w:equalWidth="0" w:num="1">
            <w:col w:w="11000"/>
          </w:cols>
          <w:pgMar w:left="440" w:top="274" w:right="459" w:bottom="1440" w:gutter="0" w:footer="0" w:header="0"/>
        </w:sectPr>
      </w:pPr>
    </w:p>
    <w:bookmarkStart w:id="70" w:name="page71"/>
    <w:bookmarkEnd w:id="70"/>
    <w:p>
      <w:pPr>
        <w:ind w:left="-20" w:right="100" w:firstLine="444"/>
        <w:spacing w:after="0" w:line="277"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62" w:lineRule="exact"/>
        <w:rPr>
          <w:rFonts w:ascii="Arial" w:cs="Arial" w:eastAsia="Arial" w:hAnsi="Arial"/>
          <w:sz w:val="18"/>
          <w:szCs w:val="18"/>
          <w:color w:val="auto"/>
        </w:rPr>
      </w:pPr>
    </w:p>
    <w:p>
      <w:pPr>
        <w:ind w:left="-20" w:right="60" w:firstLine="444"/>
        <w:spacing w:after="0" w:line="279" w:lineRule="auto"/>
        <w:tabs>
          <w:tab w:leader="none" w:pos="675"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Letters of Credit Issued for Subsidiaries</w:t>
      </w:r>
      <w:r>
        <w:rPr>
          <w:rFonts w:ascii="Arial" w:cs="Arial" w:eastAsia="Arial" w:hAnsi="Arial"/>
          <w:sz w:val="17"/>
          <w:szCs w:val="17"/>
          <w:color w:val="auto"/>
        </w:rPr>
        <w:t>. Notwithstanding that a Letter of Credit issued or outstanding hereunder is in support of any obligations of, or is for the account of, a Subsidiary, the Borrower shall be obligated to reimburse the applicable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63" w:lineRule="exact"/>
        <w:rPr>
          <w:rFonts w:ascii="Arial" w:cs="Arial" w:eastAsia="Arial" w:hAnsi="Arial"/>
          <w:sz w:val="17"/>
          <w:szCs w:val="17"/>
          <w:color w:val="auto"/>
        </w:rPr>
      </w:pPr>
    </w:p>
    <w:p>
      <w:pPr>
        <w:ind w:left="-20" w:right="100" w:firstLine="444"/>
        <w:spacing w:after="0" w:line="276" w:lineRule="auto"/>
        <w:tabs>
          <w:tab w:leader="none" w:pos="635"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Additional L/C Issuers</w:t>
      </w:r>
      <w:r>
        <w:rPr>
          <w:rFonts w:ascii="Arial" w:cs="Arial" w:eastAsia="Arial" w:hAnsi="Arial"/>
          <w:sz w:val="17"/>
          <w:szCs w:val="17"/>
          <w:color w:val="auto"/>
        </w:rPr>
        <w:t xml:space="preserve">. In addition to KeyBank and Truist Bank, the Borrower may from time to time, with notice to the Revolving Credit Lenders and the consent of the Administrative Agent (such consent not to be unreasonably withheld or delayed) and the applicable Revolving Credit Lender being so appointed, appoint additional Revolving Credit Lenders to be L/C Issuers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total number of L/C Issuers at any time shall not exceed three Revolving Credit Lenders. Upon the appointment of a Revolving Credit Lender as an L/C Issuer hereunder such Person shall become vested with all of the rights, powers, privileges and duties of an L/C Issuer hereunder.</w:t>
      </w:r>
    </w:p>
    <w:p>
      <w:pPr>
        <w:spacing w:after="0" w:line="64" w:lineRule="exact"/>
        <w:rPr>
          <w:rFonts w:ascii="Arial" w:cs="Arial" w:eastAsia="Arial" w:hAnsi="Arial"/>
          <w:sz w:val="17"/>
          <w:szCs w:val="17"/>
          <w:color w:val="auto"/>
        </w:rPr>
      </w:pPr>
    </w:p>
    <w:p>
      <w:pPr>
        <w:ind w:left="-20" w:firstLine="444"/>
        <w:spacing w:after="0" w:line="253" w:lineRule="auto"/>
        <w:tabs>
          <w:tab w:leader="none" w:pos="72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Removal of L/C Issuers</w:t>
      </w:r>
      <w:r>
        <w:rPr>
          <w:rFonts w:ascii="Arial" w:cs="Arial" w:eastAsia="Arial" w:hAnsi="Arial"/>
          <w:sz w:val="18"/>
          <w:szCs w:val="18"/>
          <w:color w:val="auto"/>
        </w:rPr>
        <w:t xml:space="preserve">. The Borrower may at any time remove any Revolving Credit Lender from its role as an L/C Issuer hereunder upon not less than 30 days’ prior notice to such L/C Issuer (or such shorter period of time as may be acceptable to such L/C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removed L/C Issuer shall retain all the rights, powers, privileges and duties of an L/C Issuer hereunder with respect to all Letters of Credit outstanding as of the effective date of its removal as L/C Issuer and all L/C Obligations with respect thereto (including the right to require the Revolving Credit Lenders to make Base Rate Loans or fund risk participations in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Without limiting the foregoing, upon the removal of a Revolving Credit Lender as an L/C Issuer hereunder, the Borrower may, or at the request of such removed L/C Issuer the Borrower shall use commercially reasonable efforts to, arrange for one or more of the other L/C Issuers to issue Letters of Credit hereunder in substitution for the Letters of Credit, if any, issued by such removed L/C Issuer and outstanding at the time of such removal, or make other arrangements satisfactory to the removed L/C Issuer to effectively cause another L/C Issuer to assume the obligations of the removed L/C Issuer with respect to any such Letters of Credit.</w:t>
      </w:r>
    </w:p>
    <w:p>
      <w:pPr>
        <w:spacing w:after="0" w:line="86" w:lineRule="exact"/>
        <w:rPr>
          <w:rFonts w:ascii="Arial" w:cs="Arial" w:eastAsia="Arial" w:hAnsi="Arial"/>
          <w:sz w:val="18"/>
          <w:szCs w:val="18"/>
          <w:color w:val="auto"/>
        </w:rPr>
      </w:pPr>
    </w:p>
    <w:p>
      <w:pPr>
        <w:ind w:left="-20" w:right="100" w:firstLine="444"/>
        <w:spacing w:after="0" w:line="289" w:lineRule="auto"/>
        <w:tabs>
          <w:tab w:leader="none" w:pos="675"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Reporting of Letter of Credit Information</w:t>
      </w:r>
      <w:r>
        <w:rPr>
          <w:rFonts w:ascii="Arial" w:cs="Arial" w:eastAsia="Arial" w:hAnsi="Arial"/>
          <w:sz w:val="16"/>
          <w:szCs w:val="16"/>
          <w:color w:val="auto"/>
        </w:rPr>
        <w:t xml:space="preserve">. At any time that any Revolving Credit Lender other than the Person serving as the Administrative Agent is an L/C Issuer, then (i) on the last Business Day of each calendar month, (ii) on each date that a Letter of Credit is amended, terminated or otherwise expires, (iii) on each date that an L/C Credit Extension occurs with respect to any Letter of Credit, and (iv) upon the request of the Administrative Agent, each L/C Issuer (or, in the case of </w:t>
      </w:r>
      <w:r>
        <w:rPr>
          <w:rFonts w:ascii="Arial" w:cs="Arial" w:eastAsia="Arial" w:hAnsi="Arial"/>
          <w:sz w:val="16"/>
          <w:szCs w:val="16"/>
          <w:u w:val="single" w:color="auto"/>
          <w:color w:val="auto"/>
        </w:rPr>
        <w:t>part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the applicable L/C Issuer) shall deliver to the Administrative Agent a report setting forth in form and detail reasonably satisfactory to the Administrative Agent information (including, without limitation, any reimbursement, Cash Collateral or termination in respect of Letters of Credit issued by such L/C Issuer) with respect to each Letter of Credit issued by such L/C Issuer that is outstanding hereunder, including any auto-renewal or termination of auto-renewal provisions in such Letter of Credit. No failure on the part of any L/C Issuer to provide such information pursuant to this </w:t>
      </w:r>
      <w:r>
        <w:rPr>
          <w:rFonts w:ascii="Arial" w:cs="Arial" w:eastAsia="Arial" w:hAnsi="Arial"/>
          <w:sz w:val="16"/>
          <w:szCs w:val="16"/>
          <w:u w:val="single" w:color="auto"/>
          <w:color w:val="auto"/>
        </w:rPr>
        <w:t>Section 2.03(n)</w:t>
      </w:r>
      <w:r>
        <w:rPr>
          <w:rFonts w:ascii="Arial" w:cs="Arial" w:eastAsia="Arial" w:hAnsi="Arial"/>
          <w:sz w:val="16"/>
          <w:szCs w:val="16"/>
          <w:color w:val="auto"/>
        </w:rPr>
        <w:t xml:space="preserve"> shall limit the obligation of the Borrower or any Revolving Credit Lender hereunder with respect to its reimbursement and participation obligations, respectively, pursuant to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Swing Line Loans</w:t>
      </w:r>
      <w:r>
        <w:rPr>
          <w:rFonts w:ascii="Arial" w:cs="Arial" w:eastAsia="Arial" w:hAnsi="Arial"/>
          <w:sz w:val="18"/>
          <w:szCs w:val="18"/>
          <w:color w:val="auto"/>
        </w:rPr>
        <w:t>.</w:t>
      </w:r>
    </w:p>
    <w:p>
      <w:pPr>
        <w:spacing w:after="0" w:line="117" w:lineRule="exact"/>
        <w:rPr>
          <w:sz w:val="20"/>
          <w:szCs w:val="20"/>
          <w:color w:val="auto"/>
        </w:rPr>
      </w:pPr>
    </w:p>
    <w:p>
      <w:pPr>
        <w:ind w:left="-20" w:right="20" w:firstLine="444"/>
        <w:spacing w:after="0" w:line="257" w:lineRule="auto"/>
        <w:tabs>
          <w:tab w:leader="none" w:pos="66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The Swing Line</w:t>
      </w:r>
      <w:r>
        <w:rPr>
          <w:rFonts w:ascii="Arial" w:cs="Arial" w:eastAsia="Arial" w:hAnsi="Arial"/>
          <w:sz w:val="18"/>
          <w:szCs w:val="18"/>
          <w:color w:val="auto"/>
        </w:rPr>
        <w:t xml:space="preserve">. Subject to the terms and conditions set forth herein, the Swing Line Lender, in reliance upon the agreements of the other Lenders set forth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shall make loans (each such loan, a “</w:t>
      </w:r>
      <w:r>
        <w:rPr>
          <w:rFonts w:ascii="Arial" w:cs="Arial" w:eastAsia="Arial" w:hAnsi="Arial"/>
          <w:sz w:val="18"/>
          <w:szCs w:val="18"/>
          <w:u w:val="single" w:color="auto"/>
          <w:color w:val="auto"/>
        </w:rPr>
        <w:t>Swing Line Loan</w:t>
      </w:r>
      <w:r>
        <w:rPr>
          <w:rFonts w:ascii="Arial" w:cs="Arial" w:eastAsia="Arial" w:hAnsi="Arial"/>
          <w:sz w:val="18"/>
          <w:szCs w:val="18"/>
          <w:color w:val="auto"/>
        </w:rPr>
        <w:t>”) to the Borrower from time to time on any Business Day during the Availability Period in an aggregate amount not to exceed at any time outstanding the amount of the Swing Line Sublimit, notwithstanding the fact that such Swing Line Loans, when aggregated with the Applicable Revolving Credit Percentage of the Outstanding Amount of Revolving Credit Loans and L/C Obligations of the Lender acting as Swing Line Lender, may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E-4-45</w:t>
      </w:r>
    </w:p>
    <w:p>
      <w:pPr>
        <w:sectPr>
          <w:pgSz w:w="11900" w:h="16838" w:orient="portrait"/>
          <w:cols w:equalWidth="0" w:num="1">
            <w:col w:w="10980"/>
          </w:cols>
          <w:pgMar w:left="460" w:top="274" w:right="459" w:bottom="1440" w:gutter="0" w:footer="0" w:header="0"/>
        </w:sectPr>
      </w:pPr>
    </w:p>
    <w:bookmarkStart w:id="71" w:name="page72"/>
    <w:bookmarkEnd w:id="7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exceed the amount of such Lender’s Revolving Credit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after giving effect to any Swing Line Loan, (i) the Total Revolving Credit Outstandings shall not exceed the Revolving Credit Facility at such time, and (ii) the Revolving Credit Exposure of any Revolving Credit Lender shall not exceed such Lender’s Revolving Credit Commitment, (y) the Borrower shall not use the proceeds of any Swing Line Loan to refinance any outstanding Swing Line Loan, and (z)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Each Swing Line Loan shall bear interest only at a rate based on the Base Rate.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Swing Line Loan.</w:t>
      </w:r>
    </w:p>
    <w:p>
      <w:pPr>
        <w:spacing w:after="0" w:line="70" w:lineRule="exact"/>
        <w:rPr>
          <w:sz w:val="20"/>
          <w:szCs w:val="20"/>
          <w:color w:val="auto"/>
        </w:rPr>
      </w:pPr>
    </w:p>
    <w:p>
      <w:pPr>
        <w:ind w:right="160" w:firstLine="444"/>
        <w:spacing w:after="0" w:line="288" w:lineRule="auto"/>
        <w:tabs>
          <w:tab w:leader="none" w:pos="695"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Each Swing Line Borrowing shall be made upon the Borrower’s irrevocable notice to the Swing Line Lender and the Administrative Agent, which may be given by telephone. Each such notice must be received by the Swing Line Lender and the Administrative Agent not later than 1:00 p.m. on the requested borrowing date, and shall specify (i) the amount to be borrowed, which shall be a minimum of $100,000, and</w:t>
      </w:r>
    </w:p>
    <w:p>
      <w:pPr>
        <w:ind w:firstLine="4"/>
        <w:spacing w:after="0" w:line="267" w:lineRule="auto"/>
        <w:tabs>
          <w:tab w:leader="none" w:pos="265"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requested borrowing date, which shall be a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Revolving Credit Exposure shall be less than Fifty Million Dollars ($50,000,000), no Swing Line Loan Notice shall be required to the extent that funding of Swing Loans is administered through an automated cash management system with the Swing Line Lender. Each such telephonic notice must be confirmed promptly by delivery to the Swing Line Lender and the Administrative Agent of a written Swing Line Loan Notice, appropriately completed and signed by a Responsible Officer of the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7"/>
          <w:szCs w:val="17"/>
          <w:u w:val="single" w:color="auto"/>
          <w:color w:val="auto"/>
        </w:rPr>
        <w:t>Section 2.04(a)</w:t>
      </w:r>
      <w:r>
        <w:rPr>
          <w:rFonts w:ascii="Arial" w:cs="Arial" w:eastAsia="Arial" w:hAnsi="Arial"/>
          <w:sz w:val="17"/>
          <w:szCs w:val="17"/>
          <w:color w:val="auto"/>
        </w:rPr>
        <w:t xml:space="preserve">, or (B) that one or more of the applicable conditions specified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Borrower.</w:t>
      </w:r>
    </w:p>
    <w:p>
      <w:pPr>
        <w:spacing w:after="0" w:line="77" w:lineRule="exact"/>
        <w:rPr>
          <w:rFonts w:ascii="Arial" w:cs="Arial" w:eastAsia="Arial" w:hAnsi="Arial"/>
          <w:sz w:val="17"/>
          <w:szCs w:val="17"/>
          <w:color w:val="auto"/>
        </w:rPr>
      </w:pPr>
    </w:p>
    <w:p>
      <w:pPr>
        <w:ind w:left="680" w:hanging="236"/>
        <w:spacing w:after="0"/>
        <w:tabs>
          <w:tab w:leader="none" w:pos="68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117" w:lineRule="exact"/>
        <w:rPr>
          <w:sz w:val="20"/>
          <w:szCs w:val="20"/>
          <w:color w:val="auto"/>
        </w:rPr>
      </w:pPr>
    </w:p>
    <w:p>
      <w:pPr>
        <w:ind w:right="40" w:firstLine="444"/>
        <w:spacing w:after="0" w:line="287" w:lineRule="auto"/>
        <w:tabs>
          <w:tab w:leader="none" w:pos="656"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The Swing Line Lender at any time in its sole and absolute discretion may request, on behalf of the Borrower (which hereby irrevocably authorizes the Swing Line Lender to so request on its behalf), that each Revolving Credit Lender make a Base Rate Loan in an amount equal to such Lender’s Applicable Revolving Credit Percentage of the amount of Swing Line Loans then outstanding. Such request shall be made in writing (which written request shall be deemed to be a Committed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for the principal amount of Base Rate Loans, but subject to the unutilized portion of the Revolving Credit Facility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Swing Line Lender shall furnish the Borrower with a copy of the applicable Committed Loan Notice promptly after delivering such notice to the Administrative Agent. Each Revolving Credit Lender shall make an amount equal to its Applicable Revolving Credit Percentage of the amount specified in such Committed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1:00 p.m. on the day specified in such Committed Loan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Revolving Credit Lender that so makes funds available shall be deemed to have made a Base Rate Loan to the Borrower in such amount. The Administrative Agent shall remit the funds so received to the Swing Line Lender.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E-4-46</w:t>
      </w:r>
    </w:p>
    <w:p>
      <w:pPr>
        <w:sectPr>
          <w:pgSz w:w="11900" w:h="16838" w:orient="portrait"/>
          <w:cols w:equalWidth="0" w:num="1">
            <w:col w:w="11000"/>
          </w:cols>
          <w:pgMar w:left="440" w:top="274" w:right="459" w:bottom="1440" w:gutter="0" w:footer="0" w:header="0"/>
        </w:sectPr>
      </w:pPr>
    </w:p>
    <w:bookmarkStart w:id="72" w:name="page73"/>
    <w:bookmarkEnd w:id="72"/>
    <w:p>
      <w:pPr>
        <w:ind w:left="-20" w:right="40" w:firstLine="444"/>
        <w:spacing w:after="0" w:line="302" w:lineRule="auto"/>
        <w:tabs>
          <w:tab w:leader="none" w:pos="686" w:val="left"/>
        </w:tabs>
        <w:numPr>
          <w:ilvl w:val="0"/>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for any reason any Swing Line Loan cannot be refinanced by such a Revolving Credit Borrowing in accordance with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shall be deemed payment in respect of such participation.</w:t>
      </w:r>
    </w:p>
    <w:p>
      <w:pPr>
        <w:spacing w:after="0" w:line="46" w:lineRule="exact"/>
        <w:rPr>
          <w:rFonts w:ascii="Arial" w:cs="Arial" w:eastAsia="Arial" w:hAnsi="Arial"/>
          <w:sz w:val="16"/>
          <w:szCs w:val="16"/>
          <w:color w:val="auto"/>
        </w:rPr>
      </w:pPr>
    </w:p>
    <w:p>
      <w:pPr>
        <w:ind w:left="-20" w:right="80" w:firstLine="444"/>
        <w:spacing w:after="0" w:line="270" w:lineRule="auto"/>
        <w:tabs>
          <w:tab w:leader="none" w:pos="736"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If any Revolving Credit Lender fails to make available to the Administrative Agent for the account of the Swing Line Lender any amount required to be paid by such Lender pursuant to the foregoing provisions of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shall be conclusive absent manifest error.</w:t>
      </w:r>
    </w:p>
    <w:p>
      <w:pPr>
        <w:spacing w:after="0" w:line="69" w:lineRule="exact"/>
        <w:rPr>
          <w:rFonts w:ascii="Arial" w:cs="Arial" w:eastAsia="Arial" w:hAnsi="Arial"/>
          <w:sz w:val="17"/>
          <w:szCs w:val="17"/>
          <w:color w:val="auto"/>
        </w:rPr>
      </w:pPr>
    </w:p>
    <w:p>
      <w:pPr>
        <w:ind w:left="-20" w:right="20" w:firstLine="444"/>
        <w:spacing w:after="0" w:line="272" w:lineRule="auto"/>
        <w:tabs>
          <w:tab w:leader="none" w:pos="726"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Each Revolving Credit Lender’s obligation to make Revolving Credit Loans or to purchase and fund risk participations in Swing Line Loans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Revolving Credit Lender’s obligation to make Revolving Credit Loans pursuant to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No such funding of risk participations shall relieve or otherwise impair the obligation of the Borrower to repay Swing Line Loans, together with interest as provided herein.</w:t>
      </w:r>
    </w:p>
    <w:p>
      <w:pPr>
        <w:spacing w:after="0" w:line="70" w:lineRule="exact"/>
        <w:rPr>
          <w:sz w:val="20"/>
          <w:szCs w:val="20"/>
          <w:color w:val="auto"/>
        </w:rPr>
      </w:pPr>
    </w:p>
    <w:p>
      <w:pPr>
        <w:ind w:left="680" w:hanging="256"/>
        <w:spacing w:after="0"/>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sz w:val="20"/>
          <w:szCs w:val="20"/>
          <w:color w:val="auto"/>
        </w:rPr>
      </w:pPr>
    </w:p>
    <w:p>
      <w:pPr>
        <w:ind w:left="-20" w:right="160" w:firstLine="444"/>
        <w:spacing w:after="0" w:line="264" w:lineRule="auto"/>
        <w:tabs>
          <w:tab w:leader="none" w:pos="63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73" w:lineRule="exact"/>
        <w:rPr>
          <w:rFonts w:ascii="Arial" w:cs="Arial" w:eastAsia="Arial" w:hAnsi="Arial"/>
          <w:sz w:val="18"/>
          <w:szCs w:val="18"/>
          <w:color w:val="auto"/>
        </w:rPr>
      </w:pPr>
    </w:p>
    <w:p>
      <w:pPr>
        <w:ind w:left="-20" w:firstLine="444"/>
        <w:spacing w:after="0" w:line="273" w:lineRule="auto"/>
        <w:tabs>
          <w:tab w:leader="none" w:pos="686"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(including pursuant to any settlement entered into by the Swing Line Lender in its discretion), each Revolving Credit Lender shall pay to the Swing Line Lender its Applicable Revolving Credit Percentage thereof on demand of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70" w:lineRule="exact"/>
        <w:rPr>
          <w:sz w:val="20"/>
          <w:szCs w:val="20"/>
          <w:color w:val="auto"/>
        </w:rPr>
      </w:pPr>
    </w:p>
    <w:p>
      <w:pPr>
        <w:ind w:left="-20" w:right="20" w:firstLine="444"/>
        <w:spacing w:after="0" w:line="259" w:lineRule="auto"/>
        <w:tabs>
          <w:tab w:leader="none" w:pos="66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xml:space="preserve">. The Swing Line Lender shall be responsible for invoicing the Borrower for interest on the Swing Line Loans. Until each Revolving Credit Lender funds its Base Rate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78" w:lineRule="exact"/>
        <w:rPr>
          <w:rFonts w:ascii="Arial" w:cs="Arial" w:eastAsia="Arial" w:hAnsi="Arial"/>
          <w:sz w:val="18"/>
          <w:szCs w:val="18"/>
          <w:color w:val="auto"/>
        </w:rPr>
      </w:pPr>
    </w:p>
    <w:p>
      <w:pPr>
        <w:ind w:left="-20" w:right="160" w:firstLine="444"/>
        <w:spacing w:after="0" w:line="277" w:lineRule="auto"/>
        <w:tabs>
          <w:tab w:leader="none" w:pos="645"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Borrower shall make all payments of principal and interest in respect of the Swing Line Loans directly to the Swing Line Lender.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E-4-47</w:t>
      </w:r>
    </w:p>
    <w:p>
      <w:pPr>
        <w:sectPr>
          <w:pgSz w:w="11900" w:h="16838" w:orient="portrait"/>
          <w:cols w:equalWidth="0" w:num="1">
            <w:col w:w="10980"/>
          </w:cols>
          <w:pgMar w:left="460" w:top="274" w:right="459" w:bottom="1440" w:gutter="0" w:footer="0" w:header="0"/>
        </w:sectPr>
      </w:pPr>
    </w:p>
    <w:bookmarkStart w:id="73" w:name="page74"/>
    <w:bookmarkEnd w:id="73"/>
    <w:p>
      <w:pPr>
        <w:ind w:left="696" w:hanging="256"/>
        <w:spacing w:after="0"/>
        <w:tabs>
          <w:tab w:leader="none" w:pos="696"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 and Reporting of Swing Line Loan Information</w:t>
      </w:r>
      <w:r>
        <w:rPr>
          <w:rFonts w:ascii="Arial" w:cs="Arial" w:eastAsia="Arial" w:hAnsi="Arial"/>
          <w:sz w:val="18"/>
          <w:szCs w:val="18"/>
          <w:color w:val="auto"/>
        </w:rPr>
        <w:t>.</w:t>
      </w:r>
    </w:p>
    <w:p>
      <w:pPr>
        <w:spacing w:after="0" w:line="117" w:lineRule="exact"/>
        <w:rPr>
          <w:sz w:val="20"/>
          <w:szCs w:val="20"/>
          <w:color w:val="auto"/>
        </w:rPr>
      </w:pPr>
    </w:p>
    <w:p>
      <w:pPr>
        <w:ind w:left="-4" w:right="220" w:firstLine="444"/>
        <w:spacing w:after="0" w:line="264" w:lineRule="auto"/>
        <w:tabs>
          <w:tab w:leader="none" w:pos="652"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Promptly after receipt of any Swing Line Loan Notice or notice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hereof, the Swing Line Lender will confirm with the Administrative Agent (by telephone or in writing) that the Administrative Agent has received a copy of such notice from the Borrower and, if not, the Swing Line Lender will provide the Administrative Agent with a copy thereof.</w:t>
      </w:r>
    </w:p>
    <w:p>
      <w:pPr>
        <w:spacing w:after="0" w:line="73" w:lineRule="exact"/>
        <w:rPr>
          <w:rFonts w:ascii="Arial" w:cs="Arial" w:eastAsia="Arial" w:hAnsi="Arial"/>
          <w:sz w:val="18"/>
          <w:szCs w:val="18"/>
          <w:color w:val="auto"/>
        </w:rPr>
      </w:pPr>
    </w:p>
    <w:p>
      <w:pPr>
        <w:ind w:left="696" w:hanging="256"/>
        <w:spacing w:after="0"/>
        <w:tabs>
          <w:tab w:leader="none" w:pos="696" w:val="left"/>
        </w:tabs>
        <w:numPr>
          <w:ilvl w:val="1"/>
          <w:numId w:val="70"/>
        </w:numPr>
        <w:rPr>
          <w:rFonts w:ascii="Arial" w:cs="Arial" w:eastAsia="Arial" w:hAnsi="Arial"/>
          <w:sz w:val="17"/>
          <w:szCs w:val="17"/>
          <w:color w:val="auto"/>
        </w:rPr>
      </w:pPr>
      <w:r>
        <w:rPr>
          <w:rFonts w:ascii="Arial" w:cs="Arial" w:eastAsia="Arial" w:hAnsi="Arial"/>
          <w:sz w:val="17"/>
          <w:szCs w:val="17"/>
          <w:color w:val="auto"/>
        </w:rPr>
        <w:t>If at any time that any Revolving Credit Lender other than the Person serving as the Administrative Agent is the Swing Line Lender, then</w:t>
      </w:r>
    </w:p>
    <w:p>
      <w:pPr>
        <w:spacing w:after="0" w:line="34" w:lineRule="exact"/>
        <w:rPr>
          <w:rFonts w:ascii="Arial" w:cs="Arial" w:eastAsia="Arial" w:hAnsi="Arial"/>
          <w:sz w:val="17"/>
          <w:szCs w:val="17"/>
          <w:color w:val="auto"/>
        </w:rPr>
      </w:pPr>
    </w:p>
    <w:p>
      <w:pPr>
        <w:ind w:left="-4" w:firstLine="4"/>
        <w:spacing w:after="0" w:line="269" w:lineRule="auto"/>
        <w:tabs>
          <w:tab w:leader="none" w:pos="291"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on the first Business Day of each calendar month, (B) on each date that a Swing Line Loan is issued, continued or converted, and (C) promptly upon the request of the Administrative Agent, the Swing Line Lender shall deliver (or in the case of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use commercially reasonable efforts to deliver) to the Administrative Agent a report setting forth in form and detail reasonably satisfactory to the Administrative Agent information (including, without limitation, any reimbursement, Cash Collateral, conversion, extension or repayment in respect of Swing Line Loans issued by the Swing Line Lender) with respect to each Swing Line Loan issued by the Swing Line Lender that is outstanding hereunder. No failure on the part of the Swing Line Lender to provide such information pursuant to this </w:t>
      </w:r>
      <w:r>
        <w:rPr>
          <w:rFonts w:ascii="Arial" w:cs="Arial" w:eastAsia="Arial" w:hAnsi="Arial"/>
          <w:sz w:val="17"/>
          <w:szCs w:val="17"/>
          <w:u w:val="single" w:color="auto"/>
          <w:color w:val="auto"/>
        </w:rPr>
        <w:t>Section 2.04(g)</w:t>
      </w:r>
      <w:r>
        <w:rPr>
          <w:rFonts w:ascii="Arial" w:cs="Arial" w:eastAsia="Arial" w:hAnsi="Arial"/>
          <w:sz w:val="17"/>
          <w:szCs w:val="17"/>
          <w:color w:val="auto"/>
        </w:rPr>
        <w:t xml:space="preserve"> shall limit the obligation of the Borrower or any Lender hereunder with respect to its reimbursement and participation obligations, respectively, pursuant to this </w:t>
      </w:r>
      <w:r>
        <w:rPr>
          <w:rFonts w:ascii="Arial" w:cs="Arial" w:eastAsia="Arial" w:hAnsi="Arial"/>
          <w:sz w:val="17"/>
          <w:szCs w:val="17"/>
          <w:u w:val="single" w:color="auto"/>
          <w:color w:val="auto"/>
        </w:rPr>
        <w:t>Section 2.04</w:t>
      </w:r>
      <w:r>
        <w:rPr>
          <w:rFonts w:ascii="Arial" w:cs="Arial" w:eastAsia="Arial" w:hAnsi="Arial"/>
          <w:sz w:val="17"/>
          <w:szCs w:val="17"/>
          <w:color w:val="auto"/>
        </w:rPr>
        <w:t>.</w:t>
      </w:r>
    </w:p>
    <w:p>
      <w:pPr>
        <w:spacing w:after="0" w:line="73" w:lineRule="exact"/>
        <w:rPr>
          <w:sz w:val="20"/>
          <w:szCs w:val="20"/>
          <w:color w:val="auto"/>
        </w:rPr>
      </w:pPr>
    </w:p>
    <w:p>
      <w:pPr>
        <w:ind w:left="-4" w:right="20" w:firstLine="444"/>
        <w:spacing w:after="0" w:line="254" w:lineRule="auto"/>
        <w:tabs>
          <w:tab w:leader="none" w:pos="692"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Removal of Swing Line Lender</w:t>
      </w:r>
      <w:r>
        <w:rPr>
          <w:rFonts w:ascii="Arial" w:cs="Arial" w:eastAsia="Arial" w:hAnsi="Arial"/>
          <w:sz w:val="18"/>
          <w:szCs w:val="18"/>
          <w:color w:val="auto"/>
        </w:rPr>
        <w:t xml:space="preserve">. The Borrower may at any time remove any Revolving Credit Lender from its role as Swing Line Lender hereunder upon not less than 30 days prior notice to the Swing Line Lender and the Administrative Agent (or such shorter period of time as may be acceptable to the Swing Line Lender and the Administrative Agent) so long as prior to the removal of such Revolving Credit Lender from its role as Swing Line Lender, (x) the Borrower appoints another Revolving Credit Lender to serve as successor Swing Line Lender, (y) such Revolving Credit Lender accepts its appointment to serve as Successor Swing Line Lender, and (z) such successor Swing Line Lender is reasonably acceptable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Swing Line Lender shall retain all the rights, powers, privileges and duties of a Swing Line Lender hereunder with respect to all Swing Loans outstanding as of the effective date of its removal as the Swing Line Lender (including the right to require the Revolving Credit Lenders to make Base Rate Loans).</w:t>
      </w:r>
    </w:p>
    <w:p>
      <w:pPr>
        <w:spacing w:after="0" w:line="192"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117" w:lineRule="exact"/>
        <w:rPr>
          <w:sz w:val="20"/>
          <w:szCs w:val="20"/>
          <w:color w:val="auto"/>
        </w:rPr>
      </w:pPr>
    </w:p>
    <w:p>
      <w:pPr>
        <w:ind w:left="676" w:hanging="236"/>
        <w:spacing w:after="0"/>
        <w:tabs>
          <w:tab w:leader="none" w:pos="676"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w:t>
      </w:r>
    </w:p>
    <w:p>
      <w:pPr>
        <w:spacing w:after="0" w:line="117" w:lineRule="exact"/>
        <w:rPr>
          <w:sz w:val="20"/>
          <w:szCs w:val="20"/>
          <w:color w:val="auto"/>
        </w:rPr>
      </w:pPr>
    </w:p>
    <w:p>
      <w:pPr>
        <w:ind w:left="-4" w:right="40" w:firstLine="444"/>
        <w:spacing w:after="0" w:line="285" w:lineRule="auto"/>
        <w:tabs>
          <w:tab w:leader="none" w:pos="652"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2.05(c)</w:t>
      </w:r>
      <w:r>
        <w:rPr>
          <w:rFonts w:ascii="Arial" w:cs="Arial" w:eastAsia="Arial" w:hAnsi="Arial"/>
          <w:sz w:val="16"/>
          <w:szCs w:val="16"/>
          <w:color w:val="auto"/>
        </w:rPr>
        <w:t xml:space="preserve">, the Borrower may, upon notice to the Administrative Agent, at any time or from time to time after the date that is ten (10) Business Days after the Closing Date, voluntarily prepay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notice must be in a form acceptable to the Administrative Agent (including any form on an electronic platform or electronic transmission system as shall be approved by the Administrative Agent) appropriately completed and signed by a Responsible Officer and be received by the Administrative Agent not later than 11:00 a.m. (1) three Business Days prior to any date of prepayment of Eurodollar Rate Loans and (2) on the date of prepayment of Base Rate Loans; (B) any prepayment of Eurodollar Rate Loans shall be in a principal amount of $1,000,000 or a whole multiple of $500,000 in excess thereof; and (C) any prepayment of Base Rate Loans shall be in a principal amount of $500,000 or a whole multiple of $100,000 in excess thereof or, in each case, if less, the entire principal amount thereof then outstanding;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after giving effect to any voluntary prepayment of 2017 Incremental Term Loans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there shall be no outstanding Revolving Credit Loans.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prepayment of a Loan shall be accompanied by all accrued interest on the amount prepaid, together with, in the case of a Eurodollar Rate Loan,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Each prepayment of the outstanding Term Loans pursuant to this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shall be applied to the principal repayment installments thereof as directed by the Borrower, and subject to </w:t>
      </w:r>
      <w:r>
        <w:rPr>
          <w:rFonts w:ascii="Arial" w:cs="Arial" w:eastAsia="Arial" w:hAnsi="Arial"/>
          <w:sz w:val="16"/>
          <w:szCs w:val="16"/>
          <w:u w:val="single" w:color="auto"/>
          <w:color w:val="auto"/>
        </w:rPr>
        <w:t>Section 2.15</w:t>
      </w:r>
      <w:r>
        <w:rPr>
          <w:rFonts w:ascii="Arial" w:cs="Arial" w:eastAsia="Arial" w:hAnsi="Arial"/>
          <w:sz w:val="16"/>
          <w:szCs w:val="16"/>
          <w:color w:val="auto"/>
        </w:rPr>
        <w:t>, each such prepayment shall be paid to the Lenders in accordance with their respective Applicable Percentages in respect of each of the relevant Facility.</w:t>
      </w:r>
    </w:p>
    <w:p>
      <w:pPr>
        <w:spacing w:after="0" w:line="10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E-4-48</w:t>
      </w:r>
    </w:p>
    <w:p>
      <w:pPr>
        <w:sectPr>
          <w:pgSz w:w="11900" w:h="16838" w:orient="portrait"/>
          <w:cols w:equalWidth="0" w:num="1">
            <w:col w:w="11016"/>
          </w:cols>
          <w:pgMar w:left="444" w:top="274" w:right="439" w:bottom="1440" w:gutter="0" w:footer="0" w:header="0"/>
        </w:sectPr>
      </w:pPr>
    </w:p>
    <w:bookmarkStart w:id="74" w:name="page75"/>
    <w:bookmarkEnd w:id="74"/>
    <w:p>
      <w:pPr>
        <w:ind w:right="60" w:firstLine="444"/>
        <w:spacing w:after="0" w:line="255" w:lineRule="auto"/>
        <w:tabs>
          <w:tab w:leader="none" w:pos="706"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notice must be received by the Swing Line Lender and the Administrative Agent not later than 1:00 p.m. on the date of the prepayment, and (B) any such prepayment shall be in a minimum principal amount of $100,000;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with respect to a repayment of a Swing Loan that is administered through an automated cash management system with the Swing Line Lender, no prepayment notice shall be required.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81" w:lineRule="exact"/>
        <w:rPr>
          <w:sz w:val="20"/>
          <w:szCs w:val="20"/>
          <w:color w:val="auto"/>
        </w:rPr>
      </w:pPr>
    </w:p>
    <w:p>
      <w:pPr>
        <w:ind w:left="700" w:hanging="25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290" w:lineRule="auto"/>
        <w:tabs>
          <w:tab w:leader="none" w:pos="656"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Commencing with the fiscal year ending December 31, 2016, within the later of (x) five Business Days after financial statements have been delivered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and the related Compliance Certificate has been delivered pursuant to </w:t>
      </w:r>
      <w:r>
        <w:rPr>
          <w:rFonts w:ascii="Arial" w:cs="Arial" w:eastAsia="Arial" w:hAnsi="Arial"/>
          <w:sz w:val="16"/>
          <w:szCs w:val="16"/>
          <w:u w:val="single" w:color="auto"/>
          <w:color w:val="auto"/>
        </w:rPr>
        <w:t>Section 6.02(b)</w:t>
      </w:r>
      <w:r>
        <w:rPr>
          <w:rFonts w:ascii="Arial" w:cs="Arial" w:eastAsia="Arial" w:hAnsi="Arial"/>
          <w:sz w:val="16"/>
          <w:szCs w:val="16"/>
          <w:color w:val="auto"/>
        </w:rPr>
        <w:t xml:space="preserve"> and (y) ninety-five (95) days after the end of such fiscal year, the Borrower shall prepay an aggregate principal amount of Loans equal to the excess (if any) of (A) the ECF Percentage of Excess Cash Flow for the fiscal year covered by such financial statements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(B) the aggregate principal amount of Term Loans prepaid pursuant to </w:t>
      </w:r>
      <w:r>
        <w:rPr>
          <w:rFonts w:ascii="Arial" w:cs="Arial" w:eastAsia="Arial" w:hAnsi="Arial"/>
          <w:sz w:val="16"/>
          <w:szCs w:val="16"/>
          <w:u w:val="single" w:color="auto"/>
          <w:color w:val="auto"/>
        </w:rPr>
        <w:t>Section 2.05(a)</w:t>
      </w:r>
      <w:r>
        <w:rPr>
          <w:rFonts w:ascii="Arial" w:cs="Arial" w:eastAsia="Arial" w:hAnsi="Arial"/>
          <w:sz w:val="16"/>
          <w:szCs w:val="16"/>
          <w:color w:val="auto"/>
        </w:rPr>
        <w:t xml:space="preserve"> and the aggregate principal amount of optional prepayments of Revolving Credit Loans during such fiscal year (solely to the extent such prepayments are accompanied by a concurrent equivalent permanent reduction in the Revolving Credit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prepayments were not made with proceeds of any Indebtedness, Disposition, equity issuance, Extraordinary Receipts or other proceeds that would not be included in calculating Consolidated EBITDA for the applicable fiscal year (such prepayments to be applied as set forth in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below).</w:t>
      </w:r>
    </w:p>
    <w:p>
      <w:pPr>
        <w:spacing w:after="0" w:line="58" w:lineRule="exact"/>
        <w:rPr>
          <w:rFonts w:ascii="Arial" w:cs="Arial" w:eastAsia="Arial" w:hAnsi="Arial"/>
          <w:sz w:val="16"/>
          <w:szCs w:val="16"/>
          <w:color w:val="auto"/>
        </w:rPr>
      </w:pPr>
    </w:p>
    <w:p>
      <w:pPr>
        <w:ind w:firstLine="444"/>
        <w:spacing w:after="0" w:line="286" w:lineRule="auto"/>
        <w:tabs>
          <w:tab w:leader="none" w:pos="706"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If the Borrower or any of its Subsidiaries Disposes of any property (other than any Disposition of any property permitted by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thereof) which results in the realization by such Person of Net Cash Proceeds, the Borrower shall prepay an aggregate principal amount of Term Loans equal to 100% of such Net Cash Proceeds within ten (10) Business Days of receipt thereof by such Person (such prepayments to be applied as set forth in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Net Cash Proceeds realized under a Disposition described in this </w:t>
      </w:r>
      <w:r>
        <w:rPr>
          <w:rFonts w:ascii="Arial" w:cs="Arial" w:eastAsia="Arial" w:hAnsi="Arial"/>
          <w:sz w:val="16"/>
          <w:szCs w:val="16"/>
          <w:u w:val="single" w:color="auto"/>
          <w:color w:val="auto"/>
        </w:rPr>
        <w:t>Section 2.05(b)(ii)</w:t>
      </w:r>
      <w:r>
        <w:rPr>
          <w:rFonts w:ascii="Arial" w:cs="Arial" w:eastAsia="Arial" w:hAnsi="Arial"/>
          <w:sz w:val="16"/>
          <w:szCs w:val="16"/>
          <w:color w:val="auto"/>
        </w:rPr>
        <w:t xml:space="preserve">, at the election of the Borrower (as notified by the Borrower to the Administrative Agent on or prior to the date of such Disposition), and so long as (i) no Default shall have occurred and be continuing and (ii) either (A) at the time such Disposition is made or (B) after application of a portion of the Net Cash Proceeds to prepay Term Loans as required above, the Consolidated Leverage Ratio in each case is less than or equal to 3.00 to 1.00, the Borrower or such Subsidiary may reinvest all or any portion of such Net Cash Proceeds in operating assets so long as within 365 days after the receipt of such Net Cash Proceeds, such reinvestment shall have been consummated (as certified by the Borrower in writing to the Administrative Agent) and if such Net Cash Proceeds are not so reinvested within such 365-day period but such Net Cash Proceeds are subject to a definitive agreement within such 365-day period to reinvest such Net Cash Proceeds in accordance with this </w:t>
      </w:r>
      <w:r>
        <w:rPr>
          <w:rFonts w:ascii="Arial" w:cs="Arial" w:eastAsia="Arial" w:hAnsi="Arial"/>
          <w:sz w:val="16"/>
          <w:szCs w:val="16"/>
          <w:u w:val="single" w:color="auto"/>
          <w:color w:val="auto"/>
        </w:rPr>
        <w:t>Section 2.05(b)(ii)</w:t>
      </w:r>
      <w:r>
        <w:rPr>
          <w:rFonts w:ascii="Arial" w:cs="Arial" w:eastAsia="Arial" w:hAnsi="Arial"/>
          <w:sz w:val="16"/>
          <w:szCs w:val="16"/>
          <w:color w:val="auto"/>
        </w:rPr>
        <w:t xml:space="preserve"> then the Borrower or such Subsidiary shall have an additional 180 days after the end of the such initial 365-day period to reinvest such Net Cash Proceeds in accordance with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Net Cash Proceeds not subject to such definitive agreement or so reinvested shall be promptly applied to the prepayment of the Loans as set forth in this </w:t>
      </w:r>
      <w:r>
        <w:rPr>
          <w:rFonts w:ascii="Arial" w:cs="Arial" w:eastAsia="Arial" w:hAnsi="Arial"/>
          <w:sz w:val="16"/>
          <w:szCs w:val="16"/>
          <w:u w:val="single" w:color="auto"/>
          <w:color w:val="auto"/>
        </w:rPr>
        <w:t>Section 2.05(b)(ii)</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right="120" w:firstLine="444"/>
        <w:spacing w:after="0" w:line="257" w:lineRule="auto"/>
        <w:tabs>
          <w:tab w:leader="none" w:pos="756"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Upon the incurrence or issuance by the Borrower or any of its Subsidiaries of any Indebtedness (other than Indebtedness expressly permitted to be incurred or issued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(j)(ii)</w:t>
      </w:r>
      <w:r>
        <w:rPr>
          <w:rFonts w:ascii="Arial" w:cs="Arial" w:eastAsia="Arial" w:hAnsi="Arial"/>
          <w:sz w:val="18"/>
          <w:szCs w:val="18"/>
          <w:color w:val="auto"/>
        </w:rPr>
        <w:t xml:space="preserve"> thereof)), the Borrower shall prepay an aggregate principal amount of Loans equal to 100% of all Net Cash Proceeds received therefrom within five (5) Business Days of receipt thereof (or, in the case of Net Cash Proceeds of Indebtedness incurred in reliance upon </w:t>
      </w:r>
      <w:r>
        <w:rPr>
          <w:rFonts w:ascii="Arial" w:cs="Arial" w:eastAsia="Arial" w:hAnsi="Arial"/>
          <w:sz w:val="18"/>
          <w:szCs w:val="18"/>
          <w:u w:val="single" w:color="auto"/>
          <w:color w:val="auto"/>
        </w:rPr>
        <w:t>Section 7.02(j)(ii)</w:t>
      </w:r>
      <w:r>
        <w:rPr>
          <w:rFonts w:ascii="Arial" w:cs="Arial" w:eastAsia="Arial" w:hAnsi="Arial"/>
          <w:sz w:val="18"/>
          <w:szCs w:val="18"/>
          <w:color w:val="auto"/>
        </w:rPr>
        <w:t>, substantially simultaneously with the receipt thereof) by the Borrower or such Subsidiary (such prepayments to be applied as set forth in clause (v) below).</w:t>
      </w:r>
    </w:p>
    <w:p>
      <w:pPr>
        <w:spacing w:after="0" w:line="80" w:lineRule="exact"/>
        <w:rPr>
          <w:rFonts w:ascii="Arial" w:cs="Arial" w:eastAsia="Arial" w:hAnsi="Arial"/>
          <w:sz w:val="18"/>
          <w:szCs w:val="18"/>
          <w:color w:val="auto"/>
        </w:rPr>
      </w:pPr>
    </w:p>
    <w:p>
      <w:pPr>
        <w:ind w:right="40" w:firstLine="444"/>
        <w:spacing w:after="0" w:line="276" w:lineRule="auto"/>
        <w:tabs>
          <w:tab w:leader="none" w:pos="746" w:val="left"/>
        </w:tabs>
        <w:numPr>
          <w:ilvl w:val="0"/>
          <w:numId w:val="77"/>
        </w:numPr>
        <w:rPr>
          <w:rFonts w:ascii="Arial" w:cs="Arial" w:eastAsia="Arial" w:hAnsi="Arial"/>
          <w:sz w:val="17"/>
          <w:szCs w:val="17"/>
          <w:color w:val="auto"/>
        </w:rPr>
      </w:pPr>
      <w:r>
        <w:rPr>
          <w:rFonts w:ascii="Arial" w:cs="Arial" w:eastAsia="Arial" w:hAnsi="Arial"/>
          <w:sz w:val="17"/>
          <w:szCs w:val="17"/>
          <w:color w:val="auto"/>
        </w:rPr>
        <w:t xml:space="preserve">Upon any Extraordinary Receipt received by or paid to or for the account of the Borrower or any of its Subsidiaries, and not otherwise included in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the Borrower shall prepay an aggregate principal amount of Loans equal to 100% of all Net Cash Proceeds received therefrom within ten (10) Business Days of receipt thereof by the Borrower or such Subsidiary (such prepayments to be applied as set forth in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 proceeds of insurance, condemnation awards (or payments in lieu thereof) or indemnity payments, at the election of the Borrower (as notified by the Borrower to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E-4-49</w:t>
      </w:r>
    </w:p>
    <w:p>
      <w:pPr>
        <w:sectPr>
          <w:pgSz w:w="11900" w:h="16838" w:orient="portrait"/>
          <w:cols w:equalWidth="0" w:num="1">
            <w:col w:w="11020"/>
          </w:cols>
          <w:pgMar w:left="440" w:top="274" w:right="439" w:bottom="1440" w:gutter="0" w:footer="0" w:header="0"/>
        </w:sectPr>
      </w:pPr>
    </w:p>
    <w:bookmarkStart w:id="75" w:name="page76"/>
    <w:bookmarkEnd w:id="7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Administrative Agent on or prior to the date of receipt of such insurance proceeds, condemnation awards or indemnity payments), and so long as no Default shall have occurred and be continuing, the Borrower or such Subsidiary may apply within 180 days after the receipt of such cash proceeds to replace or repair the equipment, fixed assets or real property in respect of which such cash proceeds were received and if such Net Cash Proceeds are not so reinvested within such 180-day period but such Net Cash Proceeds are subject to a definitive agreement within such 180-day period to reinvest such Net Cash Proceeds in accordance with this </w:t>
      </w:r>
      <w:r>
        <w:rPr>
          <w:rFonts w:ascii="Arial" w:cs="Arial" w:eastAsia="Arial" w:hAnsi="Arial"/>
          <w:sz w:val="16"/>
          <w:szCs w:val="16"/>
          <w:u w:val="single" w:color="auto"/>
          <w:color w:val="auto"/>
        </w:rPr>
        <w:t>Section 2.05(b)(iv)</w:t>
      </w:r>
      <w:r>
        <w:rPr>
          <w:rFonts w:ascii="Arial" w:cs="Arial" w:eastAsia="Arial" w:hAnsi="Arial"/>
          <w:sz w:val="16"/>
          <w:szCs w:val="16"/>
          <w:color w:val="auto"/>
        </w:rPr>
        <w:t xml:space="preserve"> then the Borrower or such Subsidiary shall have an additional 180 days after the end of the such initial 180-day period to reinvest such Net Cash Proceeds in accordance with this </w:t>
      </w:r>
      <w:r>
        <w:rPr>
          <w:rFonts w:ascii="Arial" w:cs="Arial" w:eastAsia="Arial" w:hAnsi="Arial"/>
          <w:sz w:val="16"/>
          <w:szCs w:val="16"/>
          <w:u w:val="single" w:color="auto"/>
          <w:color w:val="auto"/>
        </w:rPr>
        <w:t>Section 2.05(b)(iv)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cash proceeds not so applied shall be promptly applied to the prepayment of the Loans as set forth in this </w:t>
      </w:r>
      <w:r>
        <w:rPr>
          <w:rFonts w:ascii="Arial" w:cs="Arial" w:eastAsia="Arial" w:hAnsi="Arial"/>
          <w:sz w:val="16"/>
          <w:szCs w:val="16"/>
          <w:u w:val="single" w:color="auto"/>
          <w:color w:val="auto"/>
        </w:rPr>
        <w:t>Section 2.05(b)(iv)</w:t>
      </w:r>
      <w:r>
        <w:rPr>
          <w:rFonts w:ascii="Arial" w:cs="Arial" w:eastAsia="Arial" w:hAnsi="Arial"/>
          <w:sz w:val="16"/>
          <w:szCs w:val="16"/>
          <w:color w:val="auto"/>
        </w:rPr>
        <w:t>.</w:t>
      </w:r>
    </w:p>
    <w:p>
      <w:pPr>
        <w:spacing w:after="0" w:line="59" w:lineRule="exact"/>
        <w:rPr>
          <w:sz w:val="20"/>
          <w:szCs w:val="20"/>
          <w:color w:val="auto"/>
        </w:rPr>
      </w:pPr>
    </w:p>
    <w:p>
      <w:pPr>
        <w:ind w:right="60" w:firstLine="444"/>
        <w:spacing w:after="0" w:line="276" w:lineRule="auto"/>
        <w:tabs>
          <w:tab w:leader="none" w:pos="696"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Each prepayment of Loans pursuant to the foregoing provisions of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shall be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in direct order of maturity to the next four principal repayment installments of the Term Facility and, </w:t>
      </w:r>
      <w:r>
        <w:rPr>
          <w:rFonts w:ascii="Arial" w:cs="Arial" w:eastAsia="Arial" w:hAnsi="Arial"/>
          <w:sz w:val="17"/>
          <w:szCs w:val="17"/>
          <w:u w:val="single" w:color="auto"/>
          <w:color w:val="auto"/>
        </w:rPr>
        <w:t>thereafter</w:t>
      </w:r>
      <w:r>
        <w:rPr>
          <w:rFonts w:ascii="Arial" w:cs="Arial" w:eastAsia="Arial" w:hAnsi="Arial"/>
          <w:sz w:val="17"/>
          <w:szCs w:val="17"/>
          <w:color w:val="auto"/>
        </w:rPr>
        <w:t xml:space="preserve">, to the remaining scheduled principal installments of the Term Facility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and,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upon payment in full of all Term Loans, to the Revolving Credit Facility (without permanent reduction of the Revolving Credit Commitments) in the manner set forth in </w:t>
      </w:r>
      <w:r>
        <w:rPr>
          <w:rFonts w:ascii="Arial" w:cs="Arial" w:eastAsia="Arial" w:hAnsi="Arial"/>
          <w:sz w:val="17"/>
          <w:szCs w:val="17"/>
          <w:u w:val="single" w:color="auto"/>
          <w:color w:val="auto"/>
        </w:rPr>
        <w:t>clause (vii)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2.15</w:t>
      </w:r>
      <w:r>
        <w:rPr>
          <w:rFonts w:ascii="Arial" w:cs="Arial" w:eastAsia="Arial" w:hAnsi="Arial"/>
          <w:sz w:val="17"/>
          <w:szCs w:val="17"/>
          <w:color w:val="auto"/>
        </w:rPr>
        <w:t>, such prepayments shall be paid to the Lenders in accordance with their respective Applicable Percentages in respect of the relevant Facilities.</w:t>
      </w:r>
    </w:p>
    <w:p>
      <w:pPr>
        <w:spacing w:after="0" w:line="64" w:lineRule="exact"/>
        <w:rPr>
          <w:rFonts w:ascii="Arial" w:cs="Arial" w:eastAsia="Arial" w:hAnsi="Arial"/>
          <w:sz w:val="17"/>
          <w:szCs w:val="17"/>
          <w:color w:val="auto"/>
        </w:rPr>
      </w:pPr>
    </w:p>
    <w:p>
      <w:pPr>
        <w:ind w:right="100" w:firstLine="444"/>
        <w:spacing w:after="0" w:line="264" w:lineRule="auto"/>
        <w:tabs>
          <w:tab w:leader="none" w:pos="7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for any reason the Total Revolving Credit Outstandings at any time exceed the Revolving Credit Facility at such time, the Borrower shall immediately prepay Revolving Credit Loans, Swing Line Loans and L/C Borrowings and/or Cash Collateralize the L/C Obligations (other than the L/C Borrowings) in an aggregate amount equal to such excess.</w:t>
      </w:r>
    </w:p>
    <w:p>
      <w:pPr>
        <w:spacing w:after="0" w:line="73" w:lineRule="exact"/>
        <w:rPr>
          <w:rFonts w:ascii="Arial" w:cs="Arial" w:eastAsia="Arial" w:hAnsi="Arial"/>
          <w:sz w:val="18"/>
          <w:szCs w:val="18"/>
          <w:color w:val="auto"/>
        </w:rPr>
      </w:pPr>
    </w:p>
    <w:p>
      <w:pPr>
        <w:ind w:right="20" w:firstLine="444"/>
        <w:spacing w:after="0" w:line="290" w:lineRule="auto"/>
        <w:tabs>
          <w:tab w:leader="none" w:pos="796"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Except as otherwise provided in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prepayments of the Revolving Credit Facility made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shall be applied ratably to the L/C Borrowings and the Swing Line Loans,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shall be applied ratably to the outstanding Revolving Credit Loans, and,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shall be used to Cash Collateralize the remaining L/C Obligations in full; and, in the case of prepayments of the Revolving Credit Facility required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the amount remaining, if any, after the prepayment in full of all L/C Borrowings, Swing Line Loans and Revolving Credit Loans outstanding at such time and the Cash Collateralization of the remaining L/C Obligations in full may be retained by the Borrower for use in the ordinary course of its business. Upon the drawing of any Letter of Credit that has been Cash Collateralized, the funds held as Cash Collateral shall be applied (without any further action by or notice to or from the Borrower or any other Loan Party or any Defaulting Lender that has provided Cash Collateral) to reimburse the applicable L/C Issuer or the applicable Revolving Credit Lenders, as applicable.</w:t>
      </w:r>
    </w:p>
    <w:p>
      <w:pPr>
        <w:spacing w:after="0" w:line="58" w:lineRule="exact"/>
        <w:rPr>
          <w:rFonts w:ascii="Arial" w:cs="Arial" w:eastAsia="Arial" w:hAnsi="Arial"/>
          <w:sz w:val="16"/>
          <w:szCs w:val="16"/>
          <w:color w:val="auto"/>
        </w:rPr>
      </w:pPr>
    </w:p>
    <w:p>
      <w:pPr>
        <w:ind w:firstLine="444"/>
        <w:spacing w:after="0" w:line="288" w:lineRule="auto"/>
        <w:tabs>
          <w:tab w:leader="none" w:pos="846"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any mandatory prepayments arising under </w:t>
      </w:r>
      <w:r>
        <w:rPr>
          <w:rFonts w:ascii="Arial" w:cs="Arial" w:eastAsia="Arial" w:hAnsi="Arial"/>
          <w:sz w:val="16"/>
          <w:szCs w:val="16"/>
          <w:u w:val="single" w:color="auto"/>
          <w:color w:val="auto"/>
        </w:rPr>
        <w:t>Section 2.05(b)(ii)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from the receipt of Net Cash Proceeds from any Disposition or Extraordinary Receipts by any Foreign Subsidiary (each, a “</w:t>
      </w:r>
      <w:r>
        <w:rPr>
          <w:rFonts w:ascii="Arial" w:cs="Arial" w:eastAsia="Arial" w:hAnsi="Arial"/>
          <w:sz w:val="16"/>
          <w:szCs w:val="16"/>
          <w:u w:val="single" w:color="auto"/>
          <w:color w:val="auto"/>
        </w:rPr>
        <w:t>Foreign Disposition</w:t>
      </w:r>
      <w:r>
        <w:rPr>
          <w:rFonts w:ascii="Arial" w:cs="Arial" w:eastAsia="Arial" w:hAnsi="Arial"/>
          <w:sz w:val="16"/>
          <w:szCs w:val="16"/>
          <w:color w:val="auto"/>
        </w:rPr>
        <w:t xml:space="preserve">”) or arising under </w:t>
      </w:r>
      <w:r>
        <w:rPr>
          <w:rFonts w:ascii="Arial" w:cs="Arial" w:eastAsia="Arial" w:hAnsi="Arial"/>
          <w:sz w:val="16"/>
          <w:szCs w:val="16"/>
          <w:u w:val="single" w:color="auto"/>
          <w:color w:val="auto"/>
        </w:rPr>
        <w:t>Section 2.05(b)(i)</w:t>
      </w:r>
      <w:r>
        <w:rPr>
          <w:rFonts w:ascii="Arial" w:cs="Arial" w:eastAsia="Arial" w:hAnsi="Arial"/>
          <w:sz w:val="16"/>
          <w:szCs w:val="16"/>
          <w:color w:val="auto"/>
        </w:rPr>
        <w:t xml:space="preserve"> from Excess Cash Flow directly attributable to Foreign Subsidiaries (“</w:t>
      </w:r>
      <w:r>
        <w:rPr>
          <w:rFonts w:ascii="Arial" w:cs="Arial" w:eastAsia="Arial" w:hAnsi="Arial"/>
          <w:sz w:val="16"/>
          <w:szCs w:val="16"/>
          <w:u w:val="single" w:color="auto"/>
          <w:color w:val="auto"/>
        </w:rPr>
        <w:t>Foreign Excess Cash Flow</w:t>
      </w:r>
      <w:r>
        <w:rPr>
          <w:rFonts w:ascii="Arial" w:cs="Arial" w:eastAsia="Arial" w:hAnsi="Arial"/>
          <w:sz w:val="16"/>
          <w:szCs w:val="16"/>
          <w:color w:val="auto"/>
        </w:rPr>
        <w:t xml:space="preserve">”) shall not be required to the extent that the repatriation of such Net Cash Proceeds or Foreign Excess Cash Flow would (A) give rise to a material adverse tax consequence or (B) be prohibited or delayed by any requirement of applicable Laws. The Borrower hereby agreeing to use commercially reasonable efforts to cause the applicable Foreign Subsidiary to promptly file any required forms, obtain any necessary consents and take all similar actions reasonably required by the applicable local Laws to permit such repatriation;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repatriation of any such affected Net Cash Proceeds or Foreign Excess Cash Flow is later permitted under applicable Laws and can be accomplished without material adverse tax consequences, such repatriation shall be effected as promptly as practicable and such repatriated Net Cash Proceeds or Foreign Excess Cash Flow, as applicable, will be promptly after such repatriation applied to the repayment of the Loans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to the extent provided herein.</w:t>
      </w:r>
    </w:p>
    <w:p>
      <w:pPr>
        <w:spacing w:after="0" w:line="61" w:lineRule="exact"/>
        <w:rPr>
          <w:sz w:val="20"/>
          <w:szCs w:val="20"/>
          <w:color w:val="auto"/>
        </w:rPr>
      </w:pPr>
    </w:p>
    <w:p>
      <w:pPr>
        <w:ind w:left="680" w:hanging="236"/>
        <w:spacing w:after="0"/>
        <w:tabs>
          <w:tab w:leader="none" w:pos="6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Call Premium</w:t>
      </w:r>
      <w:r>
        <w:rPr>
          <w:rFonts w:ascii="Arial" w:cs="Arial" w:eastAsia="Arial" w:hAnsi="Arial"/>
          <w:sz w:val="18"/>
          <w:szCs w:val="18"/>
          <w:color w:val="auto"/>
        </w:rPr>
        <w:t>.</w:t>
      </w:r>
    </w:p>
    <w:p>
      <w:pPr>
        <w:spacing w:after="0" w:line="117" w:lineRule="exact"/>
        <w:rPr>
          <w:sz w:val="20"/>
          <w:szCs w:val="20"/>
          <w:color w:val="auto"/>
        </w:rPr>
      </w:pPr>
    </w:p>
    <w:p>
      <w:pPr>
        <w:ind w:right="120" w:firstLine="444"/>
        <w:spacing w:after="0" w:line="279" w:lineRule="auto"/>
        <w:tabs>
          <w:tab w:leader="none" w:pos="656"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the event that, on or prior to the date that is six months after the Third Amendment Effective Date, a Repricing Event occurs with respect to the 2017 Incremental Term Loans, the Borrower will pay a premium (a “</w:t>
      </w:r>
      <w:r>
        <w:rPr>
          <w:rFonts w:ascii="Arial" w:cs="Arial" w:eastAsia="Arial" w:hAnsi="Arial"/>
          <w:sz w:val="17"/>
          <w:szCs w:val="17"/>
          <w:u w:val="single" w:color="auto"/>
          <w:color w:val="auto"/>
        </w:rPr>
        <w:t>2017 Incremental Term Loan Call Premium</w:t>
      </w:r>
      <w:r>
        <w:rPr>
          <w:rFonts w:ascii="Arial" w:cs="Arial" w:eastAsia="Arial" w:hAnsi="Arial"/>
          <w:sz w:val="17"/>
          <w:szCs w:val="17"/>
          <w:color w:val="auto"/>
        </w:rPr>
        <w:t>”), for the ratable account of each 2017 Incremental Term Lender, in an amount equal to 1.00% of the aggregate principal amount of the 2017 Incremental Term Loans subject to such Repricing Event (it being understood that any such 2017 Incremental Term Loan Call Premium with respect to 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E-4-50</w:t>
      </w:r>
    </w:p>
    <w:p>
      <w:pPr>
        <w:sectPr>
          <w:pgSz w:w="11900" w:h="16838" w:orient="portrait"/>
          <w:cols w:equalWidth="0" w:num="1">
            <w:col w:w="11020"/>
          </w:cols>
          <w:pgMar w:left="440" w:top="274" w:right="439" w:bottom="1440" w:gutter="0" w:footer="0" w:header="0"/>
        </w:sectPr>
      </w:pPr>
    </w:p>
    <w:bookmarkStart w:id="76" w:name="page77"/>
    <w:bookmarkEnd w:id="76"/>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Repricing Event under clause (b) of the definition of Repricing Event shall be paid to each Non-Consenting Lender that is replaced in such Repricing Event pursuant to </w:t>
      </w:r>
      <w:r>
        <w:rPr>
          <w:rFonts w:ascii="Arial" w:cs="Arial" w:eastAsia="Arial" w:hAnsi="Arial"/>
          <w:sz w:val="18"/>
          <w:szCs w:val="18"/>
          <w:u w:val="single" w:color="auto"/>
          <w:color w:val="auto"/>
        </w:rPr>
        <w:t>Section 10.13</w:t>
      </w:r>
      <w:r>
        <w:rPr>
          <w:rFonts w:ascii="Arial" w:cs="Arial" w:eastAsia="Arial" w:hAnsi="Arial"/>
          <w:sz w:val="18"/>
          <w:szCs w:val="18"/>
          <w:color w:val="auto"/>
        </w:rPr>
        <w:t>). Such 2017 Incremental Term Loan Call Premium shall be due and payable within three (3) Business Days of the date of the effectiveness of such Repricing Event.</w:t>
      </w:r>
    </w:p>
    <w:p>
      <w:pPr>
        <w:spacing w:after="0" w:line="73" w:lineRule="exact"/>
        <w:rPr>
          <w:sz w:val="20"/>
          <w:szCs w:val="20"/>
          <w:color w:val="auto"/>
        </w:rPr>
      </w:pPr>
    </w:p>
    <w:p>
      <w:pPr>
        <w:ind w:right="100" w:firstLine="444"/>
        <w:spacing w:after="0" w:line="293" w:lineRule="auto"/>
        <w:tabs>
          <w:tab w:leader="none" w:pos="706" w:val="left"/>
        </w:tabs>
        <w:numPr>
          <w:ilvl w:val="1"/>
          <w:numId w:val="81"/>
        </w:numPr>
        <w:rPr>
          <w:rFonts w:ascii="Arial" w:cs="Arial" w:eastAsia="Arial" w:hAnsi="Arial"/>
          <w:sz w:val="16"/>
          <w:szCs w:val="16"/>
          <w:color w:val="auto"/>
        </w:rPr>
      </w:pPr>
      <w:r>
        <w:rPr>
          <w:rFonts w:ascii="Arial" w:cs="Arial" w:eastAsia="Arial" w:hAnsi="Arial"/>
          <w:sz w:val="16"/>
          <w:szCs w:val="16"/>
          <w:color w:val="auto"/>
        </w:rPr>
        <w:t>In the event that, on or prior to the date that is twelve months after the Second Restatement Effective Date, a Repricing Event occurs with respect to the Tranche B Term Loans, the Borrower will pay a premium (a “</w:t>
      </w:r>
      <w:r>
        <w:rPr>
          <w:rFonts w:ascii="Arial" w:cs="Arial" w:eastAsia="Arial" w:hAnsi="Arial"/>
          <w:sz w:val="16"/>
          <w:szCs w:val="16"/>
          <w:u w:val="single" w:color="auto"/>
          <w:color w:val="auto"/>
        </w:rPr>
        <w:t>Tranche B Term Loan Call Premium</w:t>
      </w:r>
      <w:r>
        <w:rPr>
          <w:rFonts w:ascii="Arial" w:cs="Arial" w:eastAsia="Arial" w:hAnsi="Arial"/>
          <w:sz w:val="16"/>
          <w:szCs w:val="16"/>
          <w:color w:val="auto"/>
        </w:rPr>
        <w:t xml:space="preserve">”), for the ratable account of each Lender that holds Tranche B Term Loans, in an amount equal to 1.00% of the aggregate principal amount of the Tranche B Term Loans subject to such Repricing Event (it being understood that any such Tranche B Term Loan Call Premium with respect to a Repricing Event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of “Repricing Event” shall be paid to each Non-Consenting Lender that is replaced in such Repricing Event pursuant to </w:t>
      </w:r>
      <w:r>
        <w:rPr>
          <w:rFonts w:ascii="Arial" w:cs="Arial" w:eastAsia="Arial" w:hAnsi="Arial"/>
          <w:sz w:val="16"/>
          <w:szCs w:val="16"/>
          <w:u w:val="single" w:color="auto"/>
          <w:color w:val="auto"/>
        </w:rPr>
        <w:t>Section 10.13</w:t>
      </w:r>
      <w:r>
        <w:rPr>
          <w:rFonts w:ascii="Arial" w:cs="Arial" w:eastAsia="Arial" w:hAnsi="Arial"/>
          <w:sz w:val="16"/>
          <w:szCs w:val="16"/>
          <w:color w:val="auto"/>
        </w:rPr>
        <w:t>). Such Tranche B Term Loan Call Premium shall be due and payable within three (3) Business Days of the date of the effectiveness of such Repricing Event.</w:t>
      </w:r>
    </w:p>
    <w:p>
      <w:pPr>
        <w:spacing w:after="0" w:line="56" w:lineRule="exact"/>
        <w:rPr>
          <w:rFonts w:ascii="Arial" w:cs="Arial" w:eastAsia="Arial" w:hAnsi="Arial"/>
          <w:sz w:val="16"/>
          <w:szCs w:val="16"/>
          <w:color w:val="auto"/>
        </w:rPr>
      </w:pPr>
    </w:p>
    <w:p>
      <w:pPr>
        <w:ind w:firstLine="444"/>
        <w:spacing w:after="0" w:line="284" w:lineRule="auto"/>
        <w:tabs>
          <w:tab w:leader="none" w:pos="756" w:val="left"/>
        </w:tabs>
        <w:numPr>
          <w:ilvl w:val="1"/>
          <w:numId w:val="81"/>
        </w:numPr>
        <w:rPr>
          <w:rFonts w:ascii="Arial" w:cs="Arial" w:eastAsia="Arial" w:hAnsi="Arial"/>
          <w:sz w:val="16"/>
          <w:szCs w:val="16"/>
          <w:color w:val="auto"/>
        </w:rPr>
      </w:pPr>
      <w:r>
        <w:rPr>
          <w:rFonts w:ascii="Arial" w:cs="Arial" w:eastAsia="Arial" w:hAnsi="Arial"/>
          <w:sz w:val="16"/>
          <w:szCs w:val="16"/>
          <w:color w:val="auto"/>
        </w:rPr>
        <w:t>In the event that, on or prior to the date that is twelve months after the Second Restatement Effective Date, a Repricing Event occurs with respect to the Extended 2017 Incremental Term Loans, the Borrower will pay a premium (an “</w:t>
      </w:r>
      <w:r>
        <w:rPr>
          <w:rFonts w:ascii="Arial" w:cs="Arial" w:eastAsia="Arial" w:hAnsi="Arial"/>
          <w:sz w:val="16"/>
          <w:szCs w:val="16"/>
          <w:u w:val="single" w:color="auto"/>
          <w:color w:val="auto"/>
        </w:rPr>
        <w:t>Extended 2017 Incremental Term Loan Call Premium</w:t>
      </w:r>
      <w:r>
        <w:rPr>
          <w:rFonts w:ascii="Arial" w:cs="Arial" w:eastAsia="Arial" w:hAnsi="Arial"/>
          <w:sz w:val="16"/>
          <w:szCs w:val="16"/>
          <w:color w:val="auto"/>
        </w:rPr>
        <w:t xml:space="preserve">”), for the ratable account of each Extended 2017 Incremental Term Lender, in an amount equal to 1.00% of the aggregate principal amount of the Extended 2017 Incremental Term Loans subject to such Repricing Event (it being understood that any such Extended 2017 Incremental Term Loan Call Premium with respect to a Repricing Event under clause (b) of the definition of Repricing Event shall be paid to each Non-Consenting Lender that is replaced in such Repricing Event pursuant to </w:t>
      </w:r>
      <w:r>
        <w:rPr>
          <w:rFonts w:ascii="Arial" w:cs="Arial" w:eastAsia="Arial" w:hAnsi="Arial"/>
          <w:sz w:val="16"/>
          <w:szCs w:val="16"/>
          <w:u w:val="single" w:color="auto"/>
          <w:color w:val="auto"/>
        </w:rPr>
        <w:t>Section 10.13</w:t>
      </w:r>
      <w:r>
        <w:rPr>
          <w:rFonts w:ascii="Arial" w:cs="Arial" w:eastAsia="Arial" w:hAnsi="Arial"/>
          <w:sz w:val="16"/>
          <w:szCs w:val="16"/>
          <w:color w:val="auto"/>
        </w:rPr>
        <w:t>). Such Extended 2017 Incremental Term Loan Call Premium shall be due and payable within three</w:t>
      </w:r>
    </w:p>
    <w:p>
      <w:pPr>
        <w:spacing w:after="0" w:line="4" w:lineRule="exact"/>
        <w:rPr>
          <w:rFonts w:ascii="Arial" w:cs="Arial" w:eastAsia="Arial" w:hAnsi="Arial"/>
          <w:sz w:val="16"/>
          <w:szCs w:val="16"/>
          <w:color w:val="auto"/>
        </w:rPr>
      </w:pPr>
    </w:p>
    <w:p>
      <w:pPr>
        <w:ind w:left="260" w:hanging="256"/>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Business Days of the date of the effectiveness of such Repricing Event.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Termination or Reduction of Commitments</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4" w:lineRule="auto"/>
        <w:tabs>
          <w:tab w:leader="none" w:pos="685"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Optional</w:t>
      </w:r>
      <w:r>
        <w:rPr>
          <w:rFonts w:ascii="Arial" w:cs="Arial" w:eastAsia="Arial" w:hAnsi="Arial"/>
          <w:sz w:val="16"/>
          <w:szCs w:val="16"/>
          <w:color w:val="auto"/>
        </w:rPr>
        <w:t xml:space="preserve">. The Borrower may, upon notice to the Administrative Agent, terminate the Revolving Credit Facility, the Letter of Credit Sublimit or the Swing Line Sublimit, or from time to time permanently reduce the Revolving Credit Facility, the Letter of Credit Sublimit or the Swing Line Sublimit;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notice shall be received by the Administrative Agent not later than 11:00 a.m. five Business Days prior to the date of termination or reduction, (ii) any such partial reduction shall be in an aggregate amount of $5,000,000 or any whole multiple of $1,000,000 in excess thereof and (iii) the Borrower shall not terminate or reduce (A) the Revolving Credit Facility if, after giving effect thereto and to any concurrent prepayments hereunder, the Total Revolving Credit Outstandings would exceed the Revolving Credit Facility, (B) the Letter of Credit Sublimit if, after giving effect thereto, the Outstanding Amount of L/C Obligations not fully Cash Collateralized hereunder would exceed the Letter of Credit Sublimit or</w:t>
      </w:r>
    </w:p>
    <w:p>
      <w:pPr>
        <w:spacing w:after="0" w:line="2" w:lineRule="exact"/>
        <w:rPr>
          <w:rFonts w:ascii="Arial" w:cs="Arial" w:eastAsia="Arial" w:hAnsi="Arial"/>
          <w:sz w:val="16"/>
          <w:szCs w:val="16"/>
          <w:color w:val="auto"/>
        </w:rPr>
      </w:pPr>
    </w:p>
    <w:p>
      <w:pPr>
        <w:ind w:right="100" w:firstLine="4"/>
        <w:spacing w:after="0" w:line="261" w:lineRule="auto"/>
        <w:tabs>
          <w:tab w:leader="none" w:pos="2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Swing Line Sublimit if, after giving effect thereto and to any concurrent prepayments hereunder, the Outstanding Amount of Swing Line Loans would exceed the Letter of Credit Sublimit.</w:t>
      </w:r>
    </w:p>
    <w:p>
      <w:pPr>
        <w:spacing w:after="0" w:line="75" w:lineRule="exact"/>
        <w:rPr>
          <w:rFonts w:ascii="Arial" w:cs="Arial" w:eastAsia="Arial" w:hAnsi="Arial"/>
          <w:sz w:val="18"/>
          <w:szCs w:val="18"/>
          <w:color w:val="auto"/>
        </w:rPr>
      </w:pPr>
    </w:p>
    <w:p>
      <w:pPr>
        <w:ind w:left="700" w:hanging="256"/>
        <w:spacing w:after="0"/>
        <w:tabs>
          <w:tab w:leader="none" w:pos="70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w:t>
      </w:r>
    </w:p>
    <w:p>
      <w:pPr>
        <w:spacing w:after="0" w:line="117" w:lineRule="exact"/>
        <w:rPr>
          <w:sz w:val="20"/>
          <w:szCs w:val="20"/>
          <w:color w:val="auto"/>
        </w:rPr>
      </w:pPr>
    </w:p>
    <w:p>
      <w:pPr>
        <w:ind w:right="700" w:firstLine="444"/>
        <w:spacing w:after="0" w:line="277" w:lineRule="auto"/>
        <w:tabs>
          <w:tab w:leader="none" w:pos="65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2017 Incremental Term Loan Commitments shall be automatically and permanently reduced to zero upon the making of the 2017 Incremental Term Loans on the First Amendment Effective Date.</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unused Term Commitments shall be automatically and permanently reduced to zero on the last day of the applicable Availability Period.</w:t>
      </w:r>
    </w:p>
    <w:p>
      <w:pPr>
        <w:spacing w:after="0" w:line="140" w:lineRule="exact"/>
        <w:rPr>
          <w:rFonts w:ascii="Arial" w:cs="Arial" w:eastAsia="Arial" w:hAnsi="Arial"/>
          <w:sz w:val="16"/>
          <w:szCs w:val="16"/>
          <w:color w:val="auto"/>
        </w:rPr>
      </w:pPr>
    </w:p>
    <w:p>
      <w:pPr>
        <w:ind w:right="120" w:firstLine="444"/>
        <w:spacing w:after="0" w:line="277" w:lineRule="auto"/>
        <w:tabs>
          <w:tab w:leader="none" w:pos="75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Revolving Credit Commitment of each Revolving Credit Lender shall automatically and permanently reduce to $0 on the Maturity Date of the Revolving Credit Facility.</w:t>
      </w:r>
    </w:p>
    <w:p>
      <w:pPr>
        <w:spacing w:after="0" w:line="62" w:lineRule="exact"/>
        <w:rPr>
          <w:rFonts w:ascii="Arial" w:cs="Arial" w:eastAsia="Arial" w:hAnsi="Arial"/>
          <w:sz w:val="18"/>
          <w:szCs w:val="18"/>
          <w:color w:val="auto"/>
        </w:rPr>
      </w:pPr>
    </w:p>
    <w:p>
      <w:pPr>
        <w:ind w:firstLine="444"/>
        <w:spacing w:after="0" w:line="264" w:lineRule="auto"/>
        <w:tabs>
          <w:tab w:leader="none" w:pos="746"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If after giving effect to any reduction or termination of Revolving Credit Commitments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the Letter of Credit Sublimit or the Swing Line Sublimit exceeds the Revolving Credit Facility at such time, the Letter of Credit Sublimit or the Swing Line Sublimit, as the case may be, shall be automatically reduced by the amount of such excess.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E-4-51</w:t>
      </w:r>
    </w:p>
    <w:p>
      <w:pPr>
        <w:sectPr>
          <w:pgSz w:w="11900" w:h="16838" w:orient="portrait"/>
          <w:cols w:equalWidth="0" w:num="1">
            <w:col w:w="11000"/>
          </w:cols>
          <w:pgMar w:left="440" w:top="274" w:right="459" w:bottom="1440" w:gutter="0" w:footer="0" w:header="0"/>
        </w:sectPr>
      </w:pPr>
    </w:p>
    <w:bookmarkStart w:id="77" w:name="page78"/>
    <w:bookmarkEnd w:id="77"/>
    <w:p>
      <w:pPr>
        <w:ind w:left="240" w:hanging="236"/>
        <w:spacing w:after="0"/>
        <w:tabs>
          <w:tab w:leader="none" w:pos="24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Application of Commitment Reductions; Payment of Fees</w:t>
      </w:r>
      <w:r>
        <w:rPr>
          <w:rFonts w:ascii="Arial" w:cs="Arial" w:eastAsia="Arial" w:hAnsi="Arial"/>
          <w:sz w:val="18"/>
          <w:szCs w:val="18"/>
          <w:color w:val="auto"/>
        </w:rPr>
        <w:t>.</w:t>
      </w:r>
    </w:p>
    <w:p>
      <w:pPr>
        <w:spacing w:after="0" w:line="117" w:lineRule="exact"/>
        <w:rPr>
          <w:sz w:val="20"/>
          <w:szCs w:val="20"/>
          <w:color w:val="auto"/>
        </w:rPr>
      </w:pPr>
    </w:p>
    <w:p>
      <w:pPr>
        <w:ind w:left="-440" w:firstLine="444"/>
        <w:spacing w:after="0" w:line="257" w:lineRule="auto"/>
        <w:tabs>
          <w:tab w:leader="none" w:pos="216"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Administrative Agent will promptly notify the Lenders of any termination or reduction of the Letter of Credit Sublimit, Swing Line Sublimit or the Revolving Credit Commitment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Upon any reduction of the Revolving Credit Commitments, the Revolving Credit Commitment of each Revolving Credit Lender shall be reduced by such Lender’s Applicable Revolving Credit Percentage of such reduction amount. All fees in respect of the Revolving Credit Facility accrued until the effective date of any termination of the Revolving Credit Facility shall be paid on the effective date of such termination.</w:t>
      </w:r>
    </w:p>
    <w:p>
      <w:pPr>
        <w:spacing w:after="0" w:line="80" w:lineRule="exact"/>
        <w:rPr>
          <w:rFonts w:ascii="Arial" w:cs="Arial" w:eastAsia="Arial" w:hAnsi="Arial"/>
          <w:sz w:val="18"/>
          <w:szCs w:val="18"/>
          <w:color w:val="auto"/>
        </w:rPr>
      </w:pPr>
    </w:p>
    <w:p>
      <w:pPr>
        <w:ind w:left="-440" w:right="200" w:firstLine="444"/>
        <w:spacing w:after="0" w:line="264" w:lineRule="auto"/>
        <w:tabs>
          <w:tab w:leader="none" w:pos="266"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Administrative Agent will promptly notify the Lenders of any termination or reduction of the unused portion of the aggregate Term Commitments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Upon any reduction of the unused portion of the aggregate Term Commitments, the Term Commitment of each Term Lender shall be reduced by such Lender’s ratable portion of such reduction amount.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Repayment of Loans</w:t>
      </w:r>
      <w:r>
        <w:rPr>
          <w:rFonts w:ascii="Arial" w:cs="Arial" w:eastAsia="Arial" w:hAnsi="Arial"/>
          <w:sz w:val="18"/>
          <w:szCs w:val="18"/>
          <w:color w:val="auto"/>
        </w:rPr>
        <w:t>.</w:t>
      </w:r>
    </w:p>
    <w:p>
      <w:pPr>
        <w:spacing w:after="0" w:line="117" w:lineRule="exact"/>
        <w:rPr>
          <w:sz w:val="20"/>
          <w:szCs w:val="20"/>
          <w:color w:val="auto"/>
        </w:rPr>
      </w:pPr>
    </w:p>
    <w:p>
      <w:pPr>
        <w:ind w:left="-440" w:right="140" w:firstLine="444"/>
        <w:spacing w:after="0" w:line="342" w:lineRule="auto"/>
        <w:tabs>
          <w:tab w:leader="none" w:pos="24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Revolving Credit Loans</w:t>
      </w:r>
      <w:r>
        <w:rPr>
          <w:rFonts w:ascii="Arial" w:cs="Arial" w:eastAsia="Arial" w:hAnsi="Arial"/>
          <w:sz w:val="16"/>
          <w:szCs w:val="16"/>
          <w:color w:val="auto"/>
        </w:rPr>
        <w:t>. The Borrower shall repay to the Administrative Agent for the ratable account of the applicable Revolving Credit Lenders on the Maturity Date for the Revolving Credit Facility the aggregate principal amount of all Revolving Credit Loans outstanding on such date.</w:t>
      </w:r>
    </w:p>
    <w:p>
      <w:pPr>
        <w:spacing w:after="0" w:line="15" w:lineRule="exact"/>
        <w:rPr>
          <w:rFonts w:ascii="Arial" w:cs="Arial" w:eastAsia="Arial" w:hAnsi="Arial"/>
          <w:sz w:val="16"/>
          <w:szCs w:val="16"/>
          <w:color w:val="auto"/>
        </w:rPr>
      </w:pPr>
    </w:p>
    <w:p>
      <w:pPr>
        <w:ind w:left="-440" w:right="160" w:firstLine="444"/>
        <w:spacing w:after="0" w:line="277"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 The Borrower shall repay each Swing Line Loan on the earlier to occur of (i) the date seven days after such Loan is made and (ii) the Maturity Date for the Revolving Credit Facility.</w:t>
      </w:r>
    </w:p>
    <w:p>
      <w:pPr>
        <w:spacing w:after="0" w:line="62" w:lineRule="exact"/>
        <w:rPr>
          <w:rFonts w:ascii="Arial" w:cs="Arial" w:eastAsia="Arial" w:hAnsi="Arial"/>
          <w:sz w:val="18"/>
          <w:szCs w:val="18"/>
          <w:color w:val="auto"/>
        </w:rPr>
      </w:pPr>
    </w:p>
    <w:p>
      <w:pPr>
        <w:ind w:left="-440" w:right="60" w:firstLine="444"/>
        <w:spacing w:after="0" w:line="264" w:lineRule="auto"/>
        <w:tabs>
          <w:tab w:leader="none" w:pos="24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Tranche B Term Loans</w:t>
      </w:r>
      <w:r>
        <w:rPr>
          <w:rFonts w:ascii="Arial" w:cs="Arial" w:eastAsia="Arial" w:hAnsi="Arial"/>
          <w:sz w:val="18"/>
          <w:szCs w:val="18"/>
          <w:color w:val="auto"/>
        </w:rPr>
        <w:t xml:space="preserve">. The Borrower shall repay to the Tranche B Term Lenders the aggregate principal amount of all Tranche B Term Loans outstanding on the following dates in an amount equal to the amount set forth opposite such date (which amounts shall be reduced as a result of the application of prepayments in accordance with the order of priority set forth in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200" w:lineRule="exact"/>
        <w:rPr>
          <w:sz w:val="20"/>
          <w:szCs w:val="20"/>
          <w:color w:val="auto"/>
        </w:rPr>
      </w:pPr>
    </w:p>
    <w:tbl>
      <w:tblPr>
        <w:tblLayout w:type="fixed"/>
        <w:tblInd w:w="1340" w:type="dxa"/>
        <w:tblCellMar>
          <w:top w:w="0" w:type="dxa"/>
          <w:left w:w="0" w:type="dxa"/>
          <w:bottom w:w="0" w:type="dxa"/>
          <w:right w:w="0" w:type="dxa"/>
        </w:tblCellMar>
      </w:tblPr>
      <w:tr>
        <w:trPr>
          <w:trHeight w:val="185"/>
        </w:trPr>
        <w:tc>
          <w:tcPr>
            <w:tcW w:w="4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Fiscal Quarter Ending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3"/>
              </w:rPr>
              <w:t>Repayment Amount</w:t>
            </w:r>
          </w:p>
        </w:tc>
      </w:tr>
      <w:tr>
        <w:trPr>
          <w:trHeight w:val="210"/>
        </w:trPr>
        <w:tc>
          <w:tcPr>
            <w:tcW w:w="3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30, 2016</w:t>
            </w:r>
          </w:p>
        </w:tc>
        <w:tc>
          <w:tcPr>
            <w:tcW w:w="24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December 31, 2016</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March 31, 2017</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2017</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September 30, 2017</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December 31, 2017</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March 31, 2018</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2018</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September 30, 2018</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December 31, 2018</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March 31, 2019</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2019</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September 30, 2019</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December 31, 2019</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March 31, 2020</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2020</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September 30, 2020</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December 31, 2020</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March 31, 2021</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2021</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September 30, 2021</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December 31, 2021</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March 31, 2022</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June 30, 2022</w:t>
            </w:r>
          </w:p>
        </w:tc>
        <w:tc>
          <w:tcPr>
            <w:tcW w:w="3420" w:type="dxa"/>
            <w:vAlign w:val="bottom"/>
          </w:tcPr>
          <w:p>
            <w:pPr>
              <w:jc w:val="center"/>
              <w:spacing w:after="0"/>
              <w:rPr>
                <w:sz w:val="20"/>
                <w:szCs w:val="20"/>
                <w:color w:val="auto"/>
              </w:rPr>
            </w:pPr>
            <w:r>
              <w:rPr>
                <w:rFonts w:ascii="Arial" w:cs="Arial" w:eastAsia="Arial" w:hAnsi="Arial"/>
                <w:sz w:val="18"/>
                <w:szCs w:val="18"/>
                <w:color w:val="auto"/>
                <w:w w:val="88"/>
              </w:rPr>
              <w:t>$1,437,500</w:t>
            </w:r>
          </w:p>
        </w:tc>
      </w:tr>
      <w:tr>
        <w:trPr>
          <w:trHeight w:val="216"/>
        </w:trPr>
        <w:tc>
          <w:tcPr>
            <w:tcW w:w="40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September 30, 2022</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$1,437,500</w:t>
            </w:r>
          </w:p>
        </w:tc>
      </w:tr>
      <w:tr>
        <w:trPr>
          <w:trHeight w:val="202"/>
        </w:trPr>
        <w:tc>
          <w:tcPr>
            <w:tcW w:w="406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1"/>
              </w:rPr>
              <w:t>Maturity Date with respect to the Tranche B Term</w:t>
            </w:r>
          </w:p>
        </w:tc>
        <w:tc>
          <w:tcPr>
            <w:tcW w:w="3420" w:type="dxa"/>
            <w:vAlign w:val="bottom"/>
          </w:tcPr>
          <w:p>
            <w:pPr>
              <w:jc w:val="center"/>
              <w:spacing w:after="0" w:line="201" w:lineRule="exact"/>
              <w:rPr>
                <w:sz w:val="20"/>
                <w:szCs w:val="20"/>
                <w:color w:val="auto"/>
              </w:rPr>
            </w:pPr>
            <w:r>
              <w:rPr>
                <w:rFonts w:ascii="Arial" w:cs="Arial" w:eastAsia="Arial" w:hAnsi="Arial"/>
                <w:sz w:val="18"/>
                <w:szCs w:val="18"/>
                <w:color w:val="auto"/>
                <w:w w:val="93"/>
              </w:rPr>
              <w:t>All outstanding principal amount of the</w:t>
            </w:r>
          </w:p>
        </w:tc>
      </w:tr>
      <w:tr>
        <w:trPr>
          <w:trHeight w:val="230"/>
        </w:trPr>
        <w:tc>
          <w:tcPr>
            <w:tcW w:w="4060" w:type="dxa"/>
            <w:vAlign w:val="bottom"/>
            <w:gridSpan w:val="2"/>
          </w:tcPr>
          <w:p>
            <w:pPr>
              <w:ind w:left="1780"/>
              <w:spacing w:after="0"/>
              <w:rPr>
                <w:sz w:val="20"/>
                <w:szCs w:val="20"/>
                <w:color w:val="auto"/>
              </w:rPr>
            </w:pPr>
            <w:r>
              <w:rPr>
                <w:rFonts w:ascii="Arial" w:cs="Arial" w:eastAsia="Arial" w:hAnsi="Arial"/>
                <w:sz w:val="18"/>
                <w:szCs w:val="18"/>
                <w:color w:val="auto"/>
              </w:rPr>
              <w:t>Loans</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Tranche B Term Loans</w:t>
            </w:r>
          </w:p>
        </w:tc>
      </w:tr>
      <w:tr>
        <w:trPr>
          <w:trHeight w:val="365"/>
        </w:trPr>
        <w:tc>
          <w:tcPr>
            <w:tcW w:w="4060" w:type="dxa"/>
            <w:vAlign w:val="bottom"/>
            <w:gridSpan w:val="2"/>
          </w:tcPr>
          <w:p>
            <w:pPr>
              <w:ind w:left="3480"/>
              <w:spacing w:after="0"/>
              <w:rPr>
                <w:sz w:val="20"/>
                <w:szCs w:val="20"/>
                <w:color w:val="auto"/>
              </w:rPr>
            </w:pPr>
            <w:r>
              <w:rPr>
                <w:rFonts w:ascii="Arial" w:cs="Arial" w:eastAsia="Arial" w:hAnsi="Arial"/>
                <w:sz w:val="18"/>
                <w:szCs w:val="18"/>
                <w:color w:val="auto"/>
              </w:rPr>
              <w:t>E-4-52</w:t>
            </w:r>
          </w:p>
        </w:tc>
        <w:tc>
          <w:tcPr>
            <w:tcW w:w="3420" w:type="dxa"/>
            <w:vAlign w:val="bottom"/>
          </w:tcPr>
          <w:p>
            <w:pPr>
              <w:spacing w:after="0"/>
              <w:rPr>
                <w:sz w:val="24"/>
                <w:szCs w:val="24"/>
                <w:color w:val="auto"/>
              </w:rPr>
            </w:pPr>
          </w:p>
        </w:tc>
      </w:tr>
    </w:tbl>
    <w:p>
      <w:pPr>
        <w:sectPr>
          <w:pgSz w:w="11900" w:h="16838" w:orient="portrait"/>
          <w:cols w:equalWidth="0" w:num="1">
            <w:col w:w="10580"/>
          </w:cols>
          <w:pgMar w:left="880" w:top="274" w:right="439" w:bottom="1440" w:gutter="0" w:footer="0" w:header="0"/>
        </w:sectPr>
      </w:pPr>
    </w:p>
    <w:bookmarkStart w:id="78" w:name="page79"/>
    <w:bookmarkEnd w:id="78"/>
    <w:p>
      <w:pPr>
        <w:ind w:left="-4" w:right="60" w:firstLine="444"/>
        <w:spacing w:after="0" w:line="269" w:lineRule="auto"/>
        <w:tabs>
          <w:tab w:leader="none" w:pos="692"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2017 Incremental Term Loans and Extended 2017 Incremental Term Loans</w:t>
      </w:r>
      <w:r>
        <w:rPr>
          <w:rFonts w:ascii="Arial" w:cs="Arial" w:eastAsia="Arial" w:hAnsi="Arial"/>
          <w:sz w:val="17"/>
          <w:szCs w:val="17"/>
          <w:color w:val="auto"/>
        </w:rPr>
        <w:t xml:space="preserve">. The Borrower shall repay an aggregate principal amount of the 2017 Incremental Term Loans and Extended 2017 Incremental Term Loans on (i) each March 31, June 30, September 30 and December 31, commencing with June 20, 2017, in an amount equal to $3,000,000 (which amount shall be reduced as a result of the application of prepayments in accordance with Section 2.05 of the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commencing on December 31, 2019 (the first payment date after the Second Restatement Effective Date), the amount required to be paid pursuant to this Section 2.07(d) shall be allocated on a pro rata basis between the aggregate principal amount of 2017 Incremental Term Loans outstanding and the aggregate principal amount of Extended 2017 Incremental Term Loans outstanding, (ii) the Maturity Date with respect to the 2017 Incremental Term Loans, in an amount equal to the then-unpaid principal amount of such 2017 Incremental Term Loans outstanding on such date and (iii) the Maturity Date with respect to the Extended 2017 Incremental Term Loans, in an amount equal to the then-unpaid principal amount of such Extended 2017 Incremental Term Loans outstanding on such date. Each of the 2017 Incremental Term Loans and the Extended 2017 Incremental Term Loans shall be subject to mandatory prepayment on the same basis as the Tranche B Term Loans.</w:t>
      </w:r>
    </w:p>
    <w:p>
      <w:pPr>
        <w:spacing w:after="0" w:line="183"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17" w:lineRule="exact"/>
        <w:rPr>
          <w:sz w:val="20"/>
          <w:szCs w:val="20"/>
          <w:color w:val="auto"/>
        </w:rPr>
      </w:pPr>
    </w:p>
    <w:p>
      <w:pPr>
        <w:ind w:left="-4" w:firstLine="444"/>
        <w:spacing w:after="0" w:line="255" w:lineRule="auto"/>
        <w:tabs>
          <w:tab w:leader="none" w:pos="682"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Subject to the provisions of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(i) each Eurodollar Rate Loan under a Facility shall bear interest on the outstanding principal amount thereof for each Interest Period at a rate per annum equal to the Eurodollar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such Facility; (ii) each Base Rate Loan under a Facility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such Facility; and (iii) each Swing Line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the Revolving Credit Facility.</w:t>
      </w:r>
    </w:p>
    <w:p>
      <w:pPr>
        <w:spacing w:after="0" w:line="85" w:lineRule="exact"/>
        <w:rPr>
          <w:rFonts w:ascii="Arial" w:cs="Arial" w:eastAsia="Arial" w:hAnsi="Arial"/>
          <w:sz w:val="18"/>
          <w:szCs w:val="18"/>
          <w:color w:val="auto"/>
        </w:rPr>
      </w:pPr>
    </w:p>
    <w:p>
      <w:pPr>
        <w:ind w:left="-4" w:right="20" w:firstLine="444"/>
        <w:spacing w:after="0" w:line="264" w:lineRule="auto"/>
        <w:tabs>
          <w:tab w:leader="none" w:pos="692"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73" w:lineRule="exact"/>
        <w:rPr>
          <w:sz w:val="20"/>
          <w:szCs w:val="20"/>
          <w:color w:val="auto"/>
        </w:rPr>
      </w:pPr>
    </w:p>
    <w:p>
      <w:pPr>
        <w:ind w:left="-4" w:right="460" w:firstLine="444"/>
        <w:spacing w:after="0" w:line="342" w:lineRule="auto"/>
        <w:tabs>
          <w:tab w:leader="none" w:pos="702" w:val="left"/>
        </w:tabs>
        <w:numPr>
          <w:ilvl w:val="1"/>
          <w:numId w:val="91"/>
        </w:numPr>
        <w:rPr>
          <w:rFonts w:ascii="Arial" w:cs="Arial" w:eastAsia="Arial" w:hAnsi="Arial"/>
          <w:sz w:val="16"/>
          <w:szCs w:val="16"/>
          <w:color w:val="auto"/>
        </w:rPr>
      </w:pPr>
      <w:r>
        <w:rPr>
          <w:rFonts w:ascii="Arial" w:cs="Arial" w:eastAsia="Arial" w:hAnsi="Arial"/>
          <w:sz w:val="16"/>
          <w:szCs w:val="16"/>
          <w:color w:val="auto"/>
        </w:rPr>
        <w:t>While any Event of Default exists and is continuing under Section 8.01(j), the Borrower shall pay interest on all outstanding Obligations hereunder at a fluctuating interest rate per annum at all times equal to the Default Rate to the fullest extent permitted by applicable Laws.</w:t>
      </w:r>
    </w:p>
    <w:p>
      <w:pPr>
        <w:spacing w:after="0" w:line="15" w:lineRule="exact"/>
        <w:rPr>
          <w:rFonts w:ascii="Arial" w:cs="Arial" w:eastAsia="Arial" w:hAnsi="Arial"/>
          <w:sz w:val="16"/>
          <w:szCs w:val="16"/>
          <w:color w:val="auto"/>
        </w:rPr>
      </w:pPr>
    </w:p>
    <w:p>
      <w:pPr>
        <w:ind w:left="756" w:hanging="316"/>
        <w:spacing w:after="0"/>
        <w:tabs>
          <w:tab w:leader="none" w:pos="756" w:val="left"/>
        </w:tabs>
        <w:numPr>
          <w:ilvl w:val="1"/>
          <w:numId w:val="91"/>
        </w:numPr>
        <w:rPr>
          <w:rFonts w:ascii="Arial" w:cs="Arial" w:eastAsia="Arial" w:hAnsi="Arial"/>
          <w:sz w:val="16"/>
          <w:szCs w:val="16"/>
          <w:color w:val="auto"/>
        </w:rPr>
      </w:pPr>
      <w:r>
        <w:rPr>
          <w:rFonts w:ascii="Arial" w:cs="Arial" w:eastAsia="Arial" w:hAnsi="Arial"/>
          <w:sz w:val="16"/>
          <w:szCs w:val="16"/>
          <w:color w:val="auto"/>
        </w:rPr>
        <w:t>Upon the request of the Required Lenders, while any Event of Default exists (other than to the extent set forth in Sections 2.08(b)(i) and (b)</w:t>
      </w:r>
    </w:p>
    <w:p>
      <w:pPr>
        <w:spacing w:after="0" w:line="46" w:lineRule="exact"/>
        <w:rPr>
          <w:rFonts w:ascii="Arial" w:cs="Arial" w:eastAsia="Arial" w:hAnsi="Arial"/>
          <w:sz w:val="16"/>
          <w:szCs w:val="16"/>
          <w:color w:val="auto"/>
        </w:rPr>
      </w:pPr>
    </w:p>
    <w:p>
      <w:pPr>
        <w:ind w:left="-4" w:firstLine="4"/>
        <w:spacing w:after="0" w:line="261" w:lineRule="auto"/>
        <w:tabs>
          <w:tab w:leader="none" w:pos="261" w:val="left"/>
        </w:tabs>
        <w:numPr>
          <w:ilvl w:val="0"/>
          <w:numId w:val="92"/>
        </w:numPr>
        <w:rPr>
          <w:rFonts w:ascii="Arial" w:cs="Arial" w:eastAsia="Arial" w:hAnsi="Arial"/>
          <w:sz w:val="18"/>
          <w:szCs w:val="18"/>
          <w:color w:val="auto"/>
        </w:rPr>
      </w:pPr>
      <w:r>
        <w:rPr>
          <w:rFonts w:ascii="Arial" w:cs="Arial" w:eastAsia="Arial" w:hAnsi="Arial"/>
          <w:sz w:val="18"/>
          <w:szCs w:val="18"/>
          <w:color w:val="auto"/>
        </w:rPr>
        <w:t>above), the Borrower shall pay interest on the principal amount of all outstanding Obligations hereunder at a fluctuating interest rate per annum at all times equal to the Default Rate to the fullest extent permitted by applicable Laws.</w:t>
      </w:r>
    </w:p>
    <w:p>
      <w:pPr>
        <w:spacing w:after="0" w:line="75" w:lineRule="exact"/>
        <w:rPr>
          <w:rFonts w:ascii="Arial" w:cs="Arial" w:eastAsia="Arial" w:hAnsi="Arial"/>
          <w:sz w:val="18"/>
          <w:szCs w:val="18"/>
          <w:color w:val="auto"/>
        </w:rPr>
      </w:pPr>
    </w:p>
    <w:p>
      <w:pPr>
        <w:ind w:left="-4" w:right="200" w:firstLine="444"/>
        <w:spacing w:after="0" w:line="264" w:lineRule="auto"/>
        <w:tabs>
          <w:tab w:leader="none" w:pos="742" w:val="left"/>
        </w:tabs>
        <w:numPr>
          <w:ilvl w:val="1"/>
          <w:numId w:val="92"/>
        </w:numPr>
        <w:rPr>
          <w:rFonts w:ascii="Arial" w:cs="Arial" w:eastAsia="Arial" w:hAnsi="Arial"/>
          <w:sz w:val="18"/>
          <w:szCs w:val="18"/>
          <w:color w:val="auto"/>
        </w:rPr>
      </w:pPr>
      <w:r>
        <w:rPr>
          <w:rFonts w:ascii="Arial" w:cs="Arial" w:eastAsia="Arial" w:hAnsi="Arial"/>
          <w:sz w:val="18"/>
          <w:szCs w:val="18"/>
          <w:color w:val="auto"/>
        </w:rPr>
        <w:t>While a Financial Covenant Event of Default exists, the Borrower shall pay interest on the principal amount of all outstanding Total Revolving Credit Obligations hereunder at a fluctuating interest rate per annum at all times equal to the Default Rate to the fullest extent permitted by applicable Laws.</w:t>
      </w:r>
    </w:p>
    <w:p>
      <w:pPr>
        <w:spacing w:after="0" w:line="73" w:lineRule="exact"/>
        <w:rPr>
          <w:rFonts w:ascii="Arial" w:cs="Arial" w:eastAsia="Arial" w:hAnsi="Arial"/>
          <w:sz w:val="18"/>
          <w:szCs w:val="18"/>
          <w:color w:val="auto"/>
        </w:rPr>
      </w:pPr>
    </w:p>
    <w:p>
      <w:pPr>
        <w:ind w:left="696" w:hanging="256"/>
        <w:spacing w:after="0"/>
        <w:tabs>
          <w:tab w:leader="none" w:pos="696" w:val="left"/>
        </w:tabs>
        <w:numPr>
          <w:ilvl w:val="1"/>
          <w:numId w:val="92"/>
        </w:numPr>
        <w:rPr>
          <w:rFonts w:ascii="Arial" w:cs="Arial" w:eastAsia="Arial" w:hAnsi="Arial"/>
          <w:sz w:val="17"/>
          <w:szCs w:val="17"/>
          <w:color w:val="auto"/>
        </w:rPr>
      </w:pPr>
      <w:r>
        <w:rPr>
          <w:rFonts w:ascii="Arial" w:cs="Arial" w:eastAsia="Arial" w:hAnsi="Arial"/>
          <w:sz w:val="17"/>
          <w:szCs w:val="17"/>
          <w:color w:val="auto"/>
        </w:rPr>
        <w:t>Accrued and unpaid interest on past due amounts (including interest on past due interest) shall be due and payable upon demand.</w:t>
      </w:r>
    </w:p>
    <w:p>
      <w:pPr>
        <w:spacing w:after="0" w:line="129" w:lineRule="exact"/>
        <w:rPr>
          <w:sz w:val="20"/>
          <w:szCs w:val="20"/>
          <w:color w:val="auto"/>
        </w:rPr>
      </w:pPr>
    </w:p>
    <w:p>
      <w:pPr>
        <w:ind w:left="-4" w:right="180" w:firstLine="444"/>
        <w:spacing w:after="0" w:line="264" w:lineRule="auto"/>
        <w:tabs>
          <w:tab w:leader="none" w:pos="682"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1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E-4-53</w:t>
      </w:r>
    </w:p>
    <w:p>
      <w:pPr>
        <w:sectPr>
          <w:pgSz w:w="11900" w:h="16838" w:orient="portrait"/>
          <w:cols w:equalWidth="0" w:num="1">
            <w:col w:w="10996"/>
          </w:cols>
          <w:pgMar w:left="444" w:top="274" w:right="459" w:bottom="1440" w:gutter="0" w:footer="0" w:header="0"/>
        </w:sectPr>
      </w:pPr>
    </w:p>
    <w:bookmarkStart w:id="79" w:name="page80"/>
    <w:bookmarkEnd w:id="7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2.09. </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In addition to certain fees described in </w:t>
      </w:r>
      <w:r>
        <w:rPr>
          <w:rFonts w:ascii="Arial" w:cs="Arial" w:eastAsia="Arial" w:hAnsi="Arial"/>
          <w:sz w:val="18"/>
          <w:szCs w:val="18"/>
          <w:u w:val="single" w:color="auto"/>
          <w:color w:val="auto"/>
        </w:rPr>
        <w:t>Sections 2.03(h)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w:t>
      </w:r>
    </w:p>
    <w:p>
      <w:pPr>
        <w:spacing w:after="0" w:line="117" w:lineRule="exact"/>
        <w:rPr>
          <w:sz w:val="20"/>
          <w:szCs w:val="20"/>
          <w:color w:val="auto"/>
        </w:rPr>
      </w:pPr>
    </w:p>
    <w:p>
      <w:pPr>
        <w:ind w:left="440" w:right="60" w:firstLine="428"/>
        <w:spacing w:after="0" w:line="269" w:lineRule="auto"/>
        <w:tabs>
          <w:tab w:leader="none" w:pos="1108"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The Borrower shall pay to the Administrative Agent for the account of each Revolving Credit Lender in accordance with its Applicable Revolving Credit Percentage, a commitment fee (the “</w:t>
      </w: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equal to the Applicable Fee Rate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actual daily amount by which the Revolving Credit Facility exceeds the </w:t>
      </w:r>
      <w:r>
        <w:rPr>
          <w:rFonts w:ascii="Arial" w:cs="Arial" w:eastAsia="Arial" w:hAnsi="Arial"/>
          <w:sz w:val="17"/>
          <w:szCs w:val="17"/>
          <w:u w:val="single" w:color="auto"/>
          <w:color w:val="auto"/>
        </w:rPr>
        <w:t>sum</w:t>
      </w:r>
      <w:r>
        <w:rPr>
          <w:rFonts w:ascii="Arial" w:cs="Arial" w:eastAsia="Arial" w:hAnsi="Arial"/>
          <w:sz w:val="17"/>
          <w:szCs w:val="17"/>
          <w:color w:val="auto"/>
        </w:rPr>
        <w:t xml:space="preserve"> of (i) the Outstanding Amount of Revolving Credit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the Outstanding Amount of L/C Obligations, subject to adjustment as provided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For the avoidance of doubt, the Outstanding Amount of Swing Line Loans shall not be counted towards or considered usage of the Aggregate Commitments for purposes of determining the Commitment Fee. The Commitment Fee shall accrue at all times during the relevant Availability Period, including at any time during which one or more of the conditions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is not met, and shall be due and payable quarterly in arrears on the first Business Day after the end of each March, June, September and December, commencing with the first such date to occur after the Closing Date, and on the last day of the Availability Period for the Revolving Credit Facility. The Commitment Fee shall be calculated quarterly in arrears, and if there is any change in the Applicable Fee Rate during any quarter, the actual daily amount shall be computed and multiplied by the Applicable Fee Rate separately for each period during such quarter that such Applicable Fee Rate was in effect.</w:t>
      </w:r>
    </w:p>
    <w:p>
      <w:pPr>
        <w:spacing w:after="0" w:line="74" w:lineRule="exact"/>
        <w:rPr>
          <w:rFonts w:ascii="Arial" w:cs="Arial" w:eastAsia="Arial" w:hAnsi="Arial"/>
          <w:sz w:val="17"/>
          <w:szCs w:val="17"/>
          <w:color w:val="auto"/>
        </w:rPr>
      </w:pPr>
    </w:p>
    <w:p>
      <w:pPr>
        <w:ind w:left="1120" w:hanging="252"/>
        <w:spacing w:after="0"/>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117" w:lineRule="exact"/>
        <w:rPr>
          <w:sz w:val="20"/>
          <w:szCs w:val="20"/>
          <w:color w:val="auto"/>
        </w:rPr>
      </w:pPr>
    </w:p>
    <w:p>
      <w:pPr>
        <w:ind w:left="440" w:right="200" w:firstLine="428"/>
        <w:spacing w:after="0" w:line="308" w:lineRule="auto"/>
        <w:tabs>
          <w:tab w:leader="none" w:pos="107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Borrower shall pay to the Arrangers and the Administrative Agent for their own respective accounts fees in the amounts and at the times specified in the Fee Letter. Such fees shall be fully earned when paid and shall not be refundable for any reason whatsoever.</w:t>
      </w:r>
    </w:p>
    <w:p>
      <w:pPr>
        <w:spacing w:after="0" w:line="38" w:lineRule="exact"/>
        <w:rPr>
          <w:rFonts w:ascii="Arial" w:cs="Arial" w:eastAsia="Arial" w:hAnsi="Arial"/>
          <w:sz w:val="17"/>
          <w:szCs w:val="17"/>
          <w:color w:val="auto"/>
        </w:rPr>
      </w:pPr>
    </w:p>
    <w:p>
      <w:pPr>
        <w:ind w:left="440" w:right="80" w:firstLine="428"/>
        <w:spacing w:after="0" w:line="277" w:lineRule="auto"/>
        <w:tabs>
          <w:tab w:leader="none" w:pos="112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Borrower shall pay to the Lenders such fees as shall have been separately agreed upon in writing in the amounts and at the times so specified. All such fees shall be fully earned when paid and shall not be refundable for any reason whatsoever.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Computation of Interest and Fees; Retroactive Adjustments of Applicable Rate</w:t>
      </w:r>
      <w:r>
        <w:rPr>
          <w:rFonts w:ascii="Arial" w:cs="Arial" w:eastAsia="Arial" w:hAnsi="Arial"/>
          <w:sz w:val="18"/>
          <w:szCs w:val="18"/>
          <w:color w:val="auto"/>
        </w:rPr>
        <w:t>.</w:t>
      </w:r>
    </w:p>
    <w:p>
      <w:pPr>
        <w:spacing w:after="0" w:line="117" w:lineRule="exact"/>
        <w:rPr>
          <w:sz w:val="20"/>
          <w:szCs w:val="20"/>
          <w:color w:val="auto"/>
        </w:rPr>
      </w:pPr>
    </w:p>
    <w:p>
      <w:pPr>
        <w:jc w:val="both"/>
        <w:ind w:firstLine="444"/>
        <w:spacing w:after="0" w:line="288" w:lineRule="auto"/>
        <w:tabs>
          <w:tab w:leader="none" w:pos="685" w:val="left"/>
        </w:tabs>
        <w:numPr>
          <w:ilvl w:val="0"/>
          <w:numId w:val="96"/>
        </w:numPr>
        <w:rPr>
          <w:rFonts w:ascii="Arial" w:cs="Arial" w:eastAsia="Arial" w:hAnsi="Arial"/>
          <w:sz w:val="16"/>
          <w:szCs w:val="16"/>
          <w:color w:val="auto"/>
        </w:rPr>
      </w:pPr>
      <w:r>
        <w:rPr>
          <w:rFonts w:ascii="Arial" w:cs="Arial" w:eastAsia="Arial" w:hAnsi="Arial"/>
          <w:sz w:val="16"/>
          <w:szCs w:val="16"/>
          <w:color w:val="auto"/>
        </w:rPr>
        <w:t>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 or</w:t>
      </w:r>
    </w:p>
    <w:p>
      <w:pPr>
        <w:ind w:right="120"/>
        <w:spacing w:after="0" w:line="265" w:lineRule="auto"/>
        <w:rPr>
          <w:rFonts w:ascii="Arial" w:cs="Arial" w:eastAsia="Arial" w:hAnsi="Arial"/>
          <w:sz w:val="16"/>
          <w:szCs w:val="16"/>
          <w:color w:val="auto"/>
        </w:rPr>
      </w:pPr>
      <w:r>
        <w:rPr>
          <w:rFonts w:ascii="Arial" w:cs="Arial" w:eastAsia="Arial" w:hAnsi="Arial"/>
          <w:sz w:val="17"/>
          <w:szCs w:val="17"/>
          <w:color w:val="auto"/>
        </w:rPr>
        <w:t xml:space="preserve">366-day year). Interest shall accrue on each Loan for the day on which the Loan is made, and shall not accrue on a Loan, or any portion thereof, for the day on which the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 made shall, subject to</w:t>
      </w:r>
    </w:p>
    <w:p>
      <w:pPr>
        <w:ind w:right="24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bear interest for one day. Each determination by the Administrative Agent of an interest rate or fee hereunder shall be conclusive and binding for all purposes, absent manifest error.</w:t>
      </w:r>
    </w:p>
    <w:p>
      <w:pPr>
        <w:spacing w:after="0" w:line="75" w:lineRule="exact"/>
        <w:rPr>
          <w:rFonts w:ascii="Arial" w:cs="Arial" w:eastAsia="Arial" w:hAnsi="Arial"/>
          <w:sz w:val="16"/>
          <w:szCs w:val="16"/>
          <w:color w:val="auto"/>
        </w:rPr>
      </w:pPr>
    </w:p>
    <w:p>
      <w:pPr>
        <w:ind w:right="40" w:firstLine="444"/>
        <w:spacing w:after="0" w:line="284" w:lineRule="auto"/>
        <w:tabs>
          <w:tab w:leader="none" w:pos="696"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as a result of any restatement of or other adjustment to the financial statements of the Borrower or for any other reason, the Borrower or the Lenders determine that (i) the Consolidated Leverage Ratio as calculated by the Borrower as of any applicable date was inaccurate and (ii) a proper calculation of the Consolidated Leverage Ratio would have resulted in higher pricing for such period, the Borrower shall immediately and retroactively be obligated to pay to the Administrative Agent for the account of the applicable Lenders or the applicable L/C Issuers,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This paragraph shall not limit the rights of the Administrative Agent, any Lender or any L/C Issuer, as the case may be, under</w:t>
      </w:r>
    </w:p>
    <w:p>
      <w:pPr>
        <w:spacing w:after="0" w:line="1" w:lineRule="exact"/>
        <w:rPr>
          <w:rFonts w:ascii="Arial" w:cs="Arial" w:eastAsia="Arial" w:hAnsi="Arial"/>
          <w:sz w:val="16"/>
          <w:szCs w:val="16"/>
          <w:color w:val="auto"/>
        </w:rPr>
      </w:pPr>
    </w:p>
    <w:p>
      <w:pPr>
        <w:ind w:right="74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2.03(c)(iii)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2.03(i)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or under </w:t>
      </w:r>
      <w:r>
        <w:rPr>
          <w:rFonts w:ascii="Arial" w:cs="Arial" w:eastAsia="Arial" w:hAnsi="Arial"/>
          <w:sz w:val="18"/>
          <w:szCs w:val="18"/>
          <w:u w:val="single" w:color="auto"/>
          <w:color w:val="auto"/>
        </w:rPr>
        <w:t>Article VIII</w:t>
      </w:r>
      <w:r>
        <w:rPr>
          <w:rFonts w:ascii="Arial" w:cs="Arial" w:eastAsia="Arial" w:hAnsi="Arial"/>
          <w:sz w:val="18"/>
          <w:szCs w:val="18"/>
          <w:color w:val="auto"/>
        </w:rPr>
        <w:t>. The Borrower’s obligations under this paragraph shall survive the termination of the Aggregate Commitments and the repayment of all other Obligations hereunder.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E-4-54</w:t>
      </w:r>
    </w:p>
    <w:p>
      <w:pPr>
        <w:sectPr>
          <w:pgSz w:w="11900" w:h="16838" w:orient="portrait"/>
          <w:cols w:equalWidth="0" w:num="1">
            <w:col w:w="11000"/>
          </w:cols>
          <w:pgMar w:left="440" w:top="274" w:right="459" w:bottom="1440" w:gutter="0" w:footer="0" w:header="0"/>
        </w:sectPr>
      </w:pPr>
    </w:p>
    <w:bookmarkStart w:id="80" w:name="page81"/>
    <w:bookmarkEnd w:id="80"/>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2.11. </w:t>
      </w:r>
      <w:r>
        <w:rPr>
          <w:rFonts w:ascii="Arial" w:cs="Arial" w:eastAsia="Arial" w:hAnsi="Arial"/>
          <w:sz w:val="18"/>
          <w:szCs w:val="18"/>
          <w:u w:val="single" w:color="auto"/>
          <w:color w:val="auto"/>
        </w:rPr>
        <w:t>Evidence of Debt</w:t>
      </w:r>
      <w:r>
        <w:rPr>
          <w:rFonts w:ascii="Arial" w:cs="Arial" w:eastAsia="Arial" w:hAnsi="Arial"/>
          <w:sz w:val="18"/>
          <w:szCs w:val="18"/>
          <w:color w:val="auto"/>
        </w:rPr>
        <w:t>.</w:t>
      </w:r>
    </w:p>
    <w:p>
      <w:pPr>
        <w:spacing w:after="0" w:line="117" w:lineRule="exact"/>
        <w:rPr>
          <w:sz w:val="20"/>
          <w:szCs w:val="20"/>
          <w:color w:val="auto"/>
        </w:rPr>
      </w:pPr>
    </w:p>
    <w:p>
      <w:pPr>
        <w:ind w:left="-20" w:right="40" w:firstLine="444"/>
        <w:spacing w:after="0" w:line="289" w:lineRule="auto"/>
        <w:tabs>
          <w:tab w:leader="none" w:pos="66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and maturity of its Loans and payments with respect thereto.</w:t>
      </w:r>
    </w:p>
    <w:p>
      <w:pPr>
        <w:spacing w:after="0" w:line="58" w:lineRule="exact"/>
        <w:rPr>
          <w:rFonts w:ascii="Arial" w:cs="Arial" w:eastAsia="Arial" w:hAnsi="Arial"/>
          <w:sz w:val="16"/>
          <w:szCs w:val="16"/>
          <w:color w:val="auto"/>
        </w:rPr>
      </w:pPr>
    </w:p>
    <w:p>
      <w:pPr>
        <w:ind w:left="-20" w:right="140" w:firstLine="444"/>
        <w:spacing w:after="0" w:line="302" w:lineRule="auto"/>
        <w:tabs>
          <w:tab w:leader="none" w:pos="676"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In addition to the accounts and records referred to in </w:t>
      </w:r>
      <w:r>
        <w:rPr>
          <w:rFonts w:ascii="Arial" w:cs="Arial" w:eastAsia="Arial" w:hAnsi="Arial"/>
          <w:sz w:val="16"/>
          <w:szCs w:val="16"/>
          <w:u w:val="single" w:color="auto"/>
          <w:color w:val="auto"/>
        </w:rPr>
        <w:t>Section 2.11(a)</w:t>
      </w:r>
      <w:r>
        <w:rPr>
          <w:rFonts w:ascii="Arial" w:cs="Arial" w:eastAsia="Arial" w:hAnsi="Arial"/>
          <w:sz w:val="16"/>
          <w:szCs w:val="16"/>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w:t>
      </w:r>
    </w:p>
    <w:p>
      <w:pPr>
        <w:spacing w:after="0" w:line="117" w:lineRule="exact"/>
        <w:rPr>
          <w:sz w:val="20"/>
          <w:szCs w:val="20"/>
          <w:color w:val="auto"/>
        </w:rPr>
      </w:pPr>
    </w:p>
    <w:p>
      <w:pPr>
        <w:ind w:left="-20" w:right="20" w:firstLine="444"/>
        <w:spacing w:after="0" w:line="270" w:lineRule="auto"/>
        <w:tabs>
          <w:tab w:leader="none" w:pos="665"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73" w:lineRule="exact"/>
        <w:rPr>
          <w:rFonts w:ascii="Arial" w:cs="Arial" w:eastAsia="Arial" w:hAnsi="Arial"/>
          <w:sz w:val="17"/>
          <w:szCs w:val="17"/>
          <w:color w:val="auto"/>
        </w:rPr>
      </w:pPr>
    </w:p>
    <w:p>
      <w:pPr>
        <w:ind w:left="-20" w:firstLine="444"/>
        <w:spacing w:after="0" w:line="285" w:lineRule="auto"/>
        <w:tabs>
          <w:tab w:leader="none" w:pos="676"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E-4-55</w:t>
      </w:r>
    </w:p>
    <w:p>
      <w:pPr>
        <w:sectPr>
          <w:pgSz w:w="11900" w:h="16838" w:orient="portrait"/>
          <w:cols w:equalWidth="0" w:num="1">
            <w:col w:w="10980"/>
          </w:cols>
          <w:pgMar w:left="460" w:top="274" w:right="459" w:bottom="1440" w:gutter="0" w:footer="0" w:header="0"/>
        </w:sectPr>
      </w:pPr>
    </w:p>
    <w:bookmarkStart w:id="81" w:name="page82"/>
    <w:bookmarkEnd w:id="81"/>
    <w:p>
      <w:pPr>
        <w:ind w:right="60" w:firstLine="444"/>
        <w:spacing w:after="0" w:line="270" w:lineRule="auto"/>
        <w:tabs>
          <w:tab w:leader="none" w:pos="706"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by Borrower; Presumptions by Administrative Agent</w:t>
      </w:r>
      <w:r>
        <w:rPr>
          <w:rFonts w:ascii="Arial" w:cs="Arial" w:eastAsia="Arial" w:hAnsi="Arial"/>
          <w:sz w:val="17"/>
          <w:szCs w:val="17"/>
          <w:color w:val="auto"/>
        </w:rPr>
        <w:t>. Unless the Administrative Agent shall have received notice from the Borrower prior to the time at which any payment is due to the Administrative Agent for the account of the Lenders or the L/C Issuers hereunder that the Borrower will not make such payment, the Administrative Agent may assume that the Borrower has made such payment on such date in accordance herewith and may, in reliance upon such assumption, distribute to the Appropriate Lenders or the applicable L/C Issuer, as the case may be, the amount due. In such event, if the Borrower has not in fact made such payment, then each of the Appropriate Lenders or the applicable L/C Issuer, as the case may be, severally agrees to repay to the Administrative Agent forthwith on demand the amount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74"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 xml:space="preserve">A notice of the Administrative Agent to any Lender or the Borrower with respect to any amount owing under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shall be conclusive, absent manifest error.</w:t>
      </w:r>
    </w:p>
    <w:p>
      <w:pPr>
        <w:spacing w:after="0" w:line="62" w:lineRule="exact"/>
        <w:rPr>
          <w:sz w:val="20"/>
          <w:szCs w:val="20"/>
          <w:color w:val="auto"/>
        </w:rPr>
      </w:pPr>
    </w:p>
    <w:p>
      <w:pPr>
        <w:jc w:val="both"/>
        <w:ind w:right="280" w:firstLine="444"/>
        <w:spacing w:after="0" w:line="302" w:lineRule="auto"/>
        <w:tabs>
          <w:tab w:leader="none" w:pos="685"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Failure to Satisfy Conditions Precedent</w:t>
      </w:r>
      <w:r>
        <w:rPr>
          <w:rFonts w:ascii="Arial" w:cs="Arial" w:eastAsia="Arial" w:hAnsi="Arial"/>
          <w:sz w:val="16"/>
          <w:szCs w:val="16"/>
          <w:color w:val="auto"/>
        </w:rPr>
        <w:t xml:space="preserve">. If any Lender makes available to the Administrative Agent funds for any Loan to be made by such Lender as provided in the foregoing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such funds are not made available to the Borrower by the Administrative Agent because the conditions to the applicable Credit Extension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not satisfied or waived in accordance with the terms hereof, the Administrative Agent shall return such funds (in like funds as received from such Lender) to such Lender, without interest.</w:t>
      </w:r>
    </w:p>
    <w:p>
      <w:pPr>
        <w:spacing w:after="0" w:line="46" w:lineRule="exact"/>
        <w:rPr>
          <w:rFonts w:ascii="Arial" w:cs="Arial" w:eastAsia="Arial" w:hAnsi="Arial"/>
          <w:sz w:val="16"/>
          <w:szCs w:val="16"/>
          <w:color w:val="auto"/>
        </w:rPr>
      </w:pPr>
    </w:p>
    <w:p>
      <w:pPr>
        <w:ind w:right="160" w:firstLine="444"/>
        <w:spacing w:after="0" w:line="276" w:lineRule="auto"/>
        <w:tabs>
          <w:tab w:leader="none" w:pos="695"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Obligations of Lenders Several</w:t>
      </w:r>
      <w:r>
        <w:rPr>
          <w:rFonts w:ascii="Arial" w:cs="Arial" w:eastAsia="Arial" w:hAnsi="Arial"/>
          <w:sz w:val="17"/>
          <w:szCs w:val="17"/>
          <w:color w:val="auto"/>
        </w:rPr>
        <w:t xml:space="preserve">. The obligations of the Lenders hereunder to make Loans and to make Term Loans and Revolving Credit Loans, to fund participations in Letters of Credit and Swing Line Loans and to make payments pursuant to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are several and not joint. The failure of any Lender to make any Loan, to fund any such participation or to make any payment under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7"/>
          <w:szCs w:val="17"/>
          <w:u w:val="single" w:color="auto"/>
          <w:color w:val="auto"/>
        </w:rPr>
        <w:t>Section 10.04(c)</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right="120" w:firstLine="444"/>
        <w:spacing w:after="0" w:line="342" w:lineRule="auto"/>
        <w:tabs>
          <w:tab w:leader="none" w:pos="685"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5" w:lineRule="exact"/>
        <w:rPr>
          <w:rFonts w:ascii="Arial" w:cs="Arial" w:eastAsia="Arial" w:hAnsi="Arial"/>
          <w:sz w:val="16"/>
          <w:szCs w:val="16"/>
          <w:color w:val="auto"/>
        </w:rPr>
      </w:pPr>
    </w:p>
    <w:p>
      <w:pPr>
        <w:jc w:val="both"/>
        <w:ind w:firstLine="444"/>
        <w:spacing w:after="0" w:line="257" w:lineRule="auto"/>
        <w:tabs>
          <w:tab w:leader="none" w:pos="66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Insufficient Funds</w:t>
      </w:r>
      <w:r>
        <w:rPr>
          <w:rFonts w:ascii="Arial" w:cs="Arial" w:eastAsia="Arial" w:hAnsi="Arial"/>
          <w:sz w:val="18"/>
          <w:szCs w:val="18"/>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toward payment of interest and fees then due hereunder, ratably among the parties entitled thereto in accordance with the amounts of interest and fees then due to such parties, and (ii) </w:t>
      </w:r>
      <w:r>
        <w:rPr>
          <w:rFonts w:ascii="Arial" w:cs="Arial" w:eastAsia="Arial" w:hAnsi="Arial"/>
          <w:sz w:val="18"/>
          <w:szCs w:val="18"/>
          <w:u w:val="single" w:color="auto"/>
          <w:color w:val="auto"/>
        </w:rPr>
        <w:t>second</w:t>
      </w:r>
      <w:r>
        <w:rPr>
          <w:rFonts w:ascii="Arial" w:cs="Arial" w:eastAsia="Arial" w:hAnsi="Arial"/>
          <w:sz w:val="18"/>
          <w:szCs w:val="18"/>
          <w:color w:val="auto"/>
        </w:rPr>
        <w:t>, toward payment of principal and L/C Borrowings then due hereunder, ratably among the parties entitled thereto in accordance with the amounts of principal and L/C Borrowings then due to such parties.</w:t>
      </w:r>
    </w:p>
    <w:p>
      <w:pPr>
        <w:spacing w:after="0" w:line="188" w:lineRule="exact"/>
        <w:rPr>
          <w:sz w:val="20"/>
          <w:szCs w:val="20"/>
          <w:color w:val="auto"/>
        </w:rPr>
      </w:pPr>
    </w:p>
    <w:p>
      <w:pPr>
        <w:ind w:right="40" w:firstLine="441"/>
        <w:spacing w:after="0" w:line="253"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Sharing of Payments by Lenders</w:t>
      </w:r>
      <w:r>
        <w:rPr>
          <w:rFonts w:ascii="Arial" w:cs="Arial" w:eastAsia="Arial" w:hAnsi="Arial"/>
          <w:sz w:val="18"/>
          <w:szCs w:val="18"/>
          <w:color w:val="auto"/>
        </w:rPr>
        <w:t>. If any Lender shall, by exercising any right of setoff or counterclaim or otherwise, obtain payment in respect of (a) Obligations due and payable to such Lender hereunder and under the other Loan Documents at such time in excess of its ratable share (according to the proportion of (i) the amount of such Obligations due and payable to such Lender at such time to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owing (but not due and payable) to all Lenders hereunder and under the other Loan Parties at such time) of payment on account of the Obligations owing (but not due and payable) to all Lenders hereunder and under the other Loan Documents at such time obtained by all of the Lenders at such time then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E-4-56</w:t>
      </w:r>
    </w:p>
    <w:p>
      <w:pPr>
        <w:sectPr>
          <w:pgSz w:w="11900" w:h="16838" w:orient="portrait"/>
          <w:cols w:equalWidth="0" w:num="1">
            <w:col w:w="11000"/>
          </w:cols>
          <w:pgMar w:left="440" w:top="274" w:right="459" w:bottom="1440" w:gutter="0" w:footer="0" w:header="0"/>
        </w:sectPr>
      </w:pPr>
    </w:p>
    <w:bookmarkStart w:id="82" w:name="page83"/>
    <w:bookmarkEnd w:id="82"/>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63" w:lineRule="exact"/>
        <w:rPr>
          <w:sz w:val="20"/>
          <w:szCs w:val="20"/>
          <w:color w:val="auto"/>
        </w:rPr>
      </w:pPr>
    </w:p>
    <w:p>
      <w:pPr>
        <w:ind w:left="440" w:right="200" w:firstLine="428"/>
        <w:spacing w:after="0" w:line="342" w:lineRule="auto"/>
        <w:tabs>
          <w:tab w:leader="none" w:pos="107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5" w:lineRule="exact"/>
        <w:rPr>
          <w:rFonts w:ascii="Arial" w:cs="Arial" w:eastAsia="Arial" w:hAnsi="Arial"/>
          <w:sz w:val="16"/>
          <w:szCs w:val="16"/>
          <w:color w:val="auto"/>
        </w:rPr>
      </w:pPr>
    </w:p>
    <w:p>
      <w:pPr>
        <w:ind w:left="440" w:firstLine="428"/>
        <w:spacing w:after="0" w:line="276" w:lineRule="auto"/>
        <w:tabs>
          <w:tab w:leader="none" w:pos="112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the provisions of this Section shall not be construed to apply to (x) any payment made by or on behalf of the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7"/>
          <w:szCs w:val="17"/>
          <w:u w:val="single" w:color="auto"/>
          <w:color w:val="auto"/>
        </w:rPr>
        <w:t>Section 2.16</w:t>
      </w:r>
      <w:r>
        <w:rPr>
          <w:rFonts w:ascii="Arial" w:cs="Arial" w:eastAsia="Arial" w:hAnsi="Arial"/>
          <w:sz w:val="17"/>
          <w:szCs w:val="17"/>
          <w:color w:val="auto"/>
        </w:rPr>
        <w:t>, or (z) any payment obtained by a Lender as consideration for the assignment of or sale of a participation in any of its Loans or subparticipations in L/C Obligations or Swing Line Loans to any assignee or participant, other than an assignment to the Borrower or any Affiliate thereof (as to which the provisions of this Section shall apply).</w:t>
      </w:r>
    </w:p>
    <w:p>
      <w:pPr>
        <w:spacing w:after="0" w:line="173" w:lineRule="exact"/>
        <w:rPr>
          <w:sz w:val="20"/>
          <w:szCs w:val="20"/>
          <w:color w:val="auto"/>
        </w:rPr>
      </w:pPr>
    </w:p>
    <w:p>
      <w:pPr>
        <w:ind w:right="420" w:firstLine="441"/>
        <w:spacing w:after="0" w:line="286" w:lineRule="auto"/>
        <w:rPr>
          <w:sz w:val="20"/>
          <w:szCs w:val="20"/>
          <w:color w:val="auto"/>
        </w:rPr>
      </w:pPr>
      <w:r>
        <w:rPr>
          <w:rFonts w:ascii="Arial" w:cs="Arial" w:eastAsia="Arial" w:hAnsi="Arial"/>
          <w:sz w:val="17"/>
          <w:szCs w:val="17"/>
          <w:color w:val="auto"/>
        </w:rPr>
        <w:t>The Borrower consents to the foregoing and agrees, to the extent it may effectively do so under applicable Laws,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17" w:lineRule="exact"/>
        <w:rPr>
          <w:sz w:val="20"/>
          <w:szCs w:val="20"/>
          <w:color w:val="auto"/>
        </w:rPr>
      </w:pPr>
    </w:p>
    <w:p>
      <w:pPr>
        <w:ind w:right="240" w:firstLine="444"/>
        <w:spacing w:after="0" w:line="277" w:lineRule="auto"/>
        <w:tabs>
          <w:tab w:leader="none" w:pos="685"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Laws:</w:t>
      </w:r>
    </w:p>
    <w:p>
      <w:pPr>
        <w:spacing w:after="0" w:line="62" w:lineRule="exact"/>
        <w:rPr>
          <w:rFonts w:ascii="Arial" w:cs="Arial" w:eastAsia="Arial" w:hAnsi="Arial"/>
          <w:sz w:val="18"/>
          <w:szCs w:val="18"/>
          <w:color w:val="auto"/>
        </w:rPr>
      </w:pPr>
    </w:p>
    <w:p>
      <w:pPr>
        <w:ind w:left="440" w:right="200" w:firstLine="428"/>
        <w:spacing w:after="0" w:line="277" w:lineRule="auto"/>
        <w:tabs>
          <w:tab w:leader="none" w:pos="1078"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in the definition of “Required Lender.”</w:t>
      </w:r>
    </w:p>
    <w:p>
      <w:pPr>
        <w:spacing w:after="0" w:line="62" w:lineRule="exact"/>
        <w:rPr>
          <w:rFonts w:ascii="Arial" w:cs="Arial" w:eastAsia="Arial" w:hAnsi="Arial"/>
          <w:sz w:val="18"/>
          <w:szCs w:val="18"/>
          <w:color w:val="auto"/>
        </w:rPr>
      </w:pPr>
    </w:p>
    <w:p>
      <w:pPr>
        <w:ind w:left="440" w:right="40" w:firstLine="428"/>
        <w:spacing w:after="0" w:line="268" w:lineRule="auto"/>
        <w:tabs>
          <w:tab w:leader="none" w:pos="1128"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or otherwise) or received by the Administrative Agent from a Defaulting Lender pursuant to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the payment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of any amounts owing by such Defaulting Lender to the L/C Issuers or Swing Line Lender hereunder;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Cash Collateralize each L/C Issuer’s Fronting Exposure with respect to such Defaulting Lender in accordance with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if so determined by the Administrative Agent and the Borrower, to be held in a deposit account and released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order to (x) satisfy such Defaulting Lender’s potential future funding obligations with respect to Loans under this Agreement and (y) Cash Collateralize each L/C Issuer’s future Fronting Exposure with respect to such Defaulting Lender with respect to future Letters of Credit issued under this Agreement, in accordance with </w:t>
      </w:r>
      <w:r>
        <w:rPr>
          <w:rFonts w:ascii="Arial" w:cs="Arial" w:eastAsia="Arial" w:hAnsi="Arial"/>
          <w:sz w:val="17"/>
          <w:szCs w:val="17"/>
          <w:u w:val="single" w:color="auto"/>
          <w:color w:val="auto"/>
        </w:rPr>
        <w:t>Section 2.16; sixth</w:t>
      </w:r>
      <w:r>
        <w:rPr>
          <w:rFonts w:ascii="Arial" w:cs="Arial" w:eastAsia="Arial" w:hAnsi="Arial"/>
          <w:sz w:val="17"/>
          <w:szCs w:val="17"/>
          <w:color w:val="auto"/>
        </w:rPr>
        <w:t xml:space="preserve">, to the payment of any amounts owing to the Lenders, the L/C Issuers or Swing Line Lender as a result of any judgment of a court of competent jurisdiction obtained by any Lender, any L/C Issuer or the Swing Line Lender against such Defaulting Lender as a result of such Defaulting Lender’s breach of its obligations under this Agreement; </w:t>
      </w:r>
      <w:r>
        <w:rPr>
          <w:rFonts w:ascii="Arial" w:cs="Arial" w:eastAsia="Arial" w:hAnsi="Arial"/>
          <w:sz w:val="17"/>
          <w:szCs w:val="17"/>
          <w:u w:val="single" w:color="auto"/>
          <w:color w:val="auto"/>
        </w:rPr>
        <w:t>seventh</w:t>
      </w:r>
      <w:r>
        <w:rPr>
          <w:rFonts w:ascii="Arial" w:cs="Arial" w:eastAsia="Arial" w:hAnsi="Arial"/>
          <w:sz w:val="17"/>
          <w:szCs w:val="17"/>
          <w:color w:val="auto"/>
        </w:rPr>
        <w:t>, so long as no Default or Event of Default exists, to the payment of any amounts owing to the Borrower as a result of any judgment of a court of competent jurisdiction obtained by the Borrower against such Defaulting Lender as a result of such Defaulting Lender’s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E-4-57</w:t>
      </w:r>
    </w:p>
    <w:p>
      <w:pPr>
        <w:sectPr>
          <w:pgSz w:w="11900" w:h="16838" w:orient="portrait"/>
          <w:cols w:equalWidth="0" w:num="1">
            <w:col w:w="11020"/>
          </w:cols>
          <w:pgMar w:left="440" w:top="274" w:right="439" w:bottom="1440" w:gutter="0" w:footer="0" w:header="0"/>
        </w:sectPr>
      </w:pPr>
    </w:p>
    <w:bookmarkStart w:id="83" w:name="page84"/>
    <w:bookmarkEnd w:id="83"/>
    <w:p>
      <w:pPr>
        <w:ind w:left="420"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breach of its obligations under this Agreement; and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payment is a payment of the principal amount of any Loans or L/C Borrowings in respect of which such Defaulting Lender has not fully funded its appropriate share, such payment shall be applied solely to pay the Loans of, and L/C Obligations owed to, all Non-Defaulting Lenders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prior to being applied to the payment of any Loans of, or L/C Obligations owed to, such Defaulting Lender until such time as all Loans and funded and unfunded participations in L/C Obligations and Swing Line Loans are held by the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Commitments hereunder without 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2.15(a)(ii)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89" w:lineRule="exact"/>
        <w:rPr>
          <w:sz w:val="20"/>
          <w:szCs w:val="20"/>
          <w:color w:val="auto"/>
        </w:rPr>
      </w:pPr>
    </w:p>
    <w:p>
      <w:pPr>
        <w:ind w:left="1160" w:hanging="312"/>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117" w:lineRule="exact"/>
        <w:rPr>
          <w:sz w:val="20"/>
          <w:szCs w:val="20"/>
          <w:color w:val="auto"/>
        </w:rPr>
      </w:pPr>
    </w:p>
    <w:p>
      <w:pPr>
        <w:ind w:left="420" w:right="160" w:firstLine="428"/>
        <w:spacing w:after="0" w:line="264" w:lineRule="auto"/>
        <w:tabs>
          <w:tab w:leader="none" w:pos="11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Defaulting Lender shall be entitled to receive any fee payable under Section 2.09(a) for any period during which that Lender is a Defaulting Lender (and the Borrower shall not be required to pay any such fee that otherwise would have been required to have been paid to that Defaulting Lender).</w:t>
      </w:r>
    </w:p>
    <w:p>
      <w:pPr>
        <w:spacing w:after="0" w:line="73" w:lineRule="exact"/>
        <w:rPr>
          <w:rFonts w:ascii="Arial" w:cs="Arial" w:eastAsia="Arial" w:hAnsi="Arial"/>
          <w:sz w:val="18"/>
          <w:szCs w:val="18"/>
          <w:color w:val="auto"/>
        </w:rPr>
      </w:pPr>
    </w:p>
    <w:p>
      <w:pPr>
        <w:ind w:left="420" w:right="80" w:firstLine="428"/>
        <w:spacing w:after="0" w:line="264" w:lineRule="auto"/>
        <w:tabs>
          <w:tab w:leader="none" w:pos="11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Section 2.16.</w:t>
      </w:r>
    </w:p>
    <w:p>
      <w:pPr>
        <w:spacing w:after="0" w:line="73" w:lineRule="exact"/>
        <w:rPr>
          <w:rFonts w:ascii="Arial" w:cs="Arial" w:eastAsia="Arial" w:hAnsi="Arial"/>
          <w:sz w:val="18"/>
          <w:szCs w:val="18"/>
          <w:color w:val="auto"/>
        </w:rPr>
      </w:pPr>
    </w:p>
    <w:p>
      <w:pPr>
        <w:ind w:left="420" w:right="80" w:firstLine="428"/>
        <w:spacing w:after="0" w:line="273" w:lineRule="auto"/>
        <w:tabs>
          <w:tab w:leader="none" w:pos="112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With respect to any fee payable under Section 2.09(a) or any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L/C Obligations or Swing Line Loans that has been reallocated to such Non-Defaulting Lender pursuant to clause (iv) below, (y) pay to each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70" w:lineRule="exact"/>
        <w:rPr>
          <w:sz w:val="20"/>
          <w:szCs w:val="20"/>
          <w:color w:val="auto"/>
        </w:rPr>
      </w:pPr>
    </w:p>
    <w:p>
      <w:pPr>
        <w:ind w:left="420" w:firstLine="428"/>
        <w:spacing w:after="0" w:line="270" w:lineRule="auto"/>
        <w:tabs>
          <w:tab w:leader="none" w:pos="1148"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Reallocation of Applicable Percentages to Reduce Fronting Exposure</w:t>
      </w:r>
      <w:r>
        <w:rPr>
          <w:rFonts w:ascii="Arial" w:cs="Arial" w:eastAsia="Arial" w:hAnsi="Arial"/>
          <w:sz w:val="17"/>
          <w:szCs w:val="17"/>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(x) the conditions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Revolving Credit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73" w:lineRule="exact"/>
        <w:rPr>
          <w:rFonts w:ascii="Arial" w:cs="Arial" w:eastAsia="Arial" w:hAnsi="Arial"/>
          <w:sz w:val="17"/>
          <w:szCs w:val="17"/>
          <w:color w:val="auto"/>
        </w:rPr>
      </w:pPr>
    </w:p>
    <w:p>
      <w:pPr>
        <w:jc w:val="both"/>
        <w:ind w:left="420" w:right="180" w:firstLine="428"/>
        <w:spacing w:after="0" w:line="259" w:lineRule="auto"/>
        <w:tabs>
          <w:tab w:leader="none" w:pos="1098"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Borrower shall, without prejudice to any right or remedy available to it hereunder or under applicable Laws, (x)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prepay Swing Line Loans in an amount equal to the Swing Line Lenders’ Fronting Exposure and (y)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Cash Collateralize the L/C Issuers’ Fronting Exposure in accordance with the procedures set forth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20" w:right="40" w:firstLine="444"/>
        <w:spacing w:after="0" w:line="257" w:lineRule="auto"/>
        <w:tabs>
          <w:tab w:leader="none" w:pos="67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If the Borrower, the Administrative Agent, Swing Line Lender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E-4-58</w:t>
      </w:r>
    </w:p>
    <w:p>
      <w:pPr>
        <w:sectPr>
          <w:pgSz w:w="11900" w:h="16838" w:orient="portrait"/>
          <w:cols w:equalWidth="0" w:num="1">
            <w:col w:w="11000"/>
          </w:cols>
          <w:pgMar w:left="460" w:top="274" w:right="439" w:bottom="1440" w:gutter="0" w:footer="0" w:header="0"/>
        </w:sectPr>
      </w:pPr>
    </w:p>
    <w:bookmarkStart w:id="84" w:name="page85"/>
    <w:bookmarkEnd w:id="84"/>
    <w:p>
      <w:pPr>
        <w:ind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participations in Letters of Credit and Swing Line Loans to be held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the Lenders in accordance with their Applicable Percentages (without giving effect to </w:t>
      </w:r>
      <w:r>
        <w:rPr>
          <w:rFonts w:ascii="Arial" w:cs="Arial" w:eastAsia="Arial" w:hAnsi="Arial"/>
          <w:sz w:val="16"/>
          <w:szCs w:val="16"/>
          <w:u w:val="single" w:color="auto"/>
          <w:color w:val="auto"/>
        </w:rPr>
        <w:t>Section 2.15(a)(iv)),</w:t>
      </w:r>
      <w:r>
        <w:rPr>
          <w:rFonts w:ascii="Arial" w:cs="Arial" w:eastAsia="Arial" w:hAnsi="Arial"/>
          <w:sz w:val="16"/>
          <w:szCs w:val="16"/>
          <w:color w:val="auto"/>
        </w:rPr>
        <w:t xml:space="preserve">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Cash Collateral</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7" w:lineRule="auto"/>
        <w:tabs>
          <w:tab w:leader="none" w:pos="685"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Certain Credit Support Events</w:t>
      </w:r>
      <w:r>
        <w:rPr>
          <w:rFonts w:ascii="Arial" w:cs="Arial" w:eastAsia="Arial" w:hAnsi="Arial"/>
          <w:sz w:val="16"/>
          <w:szCs w:val="16"/>
          <w:color w:val="auto"/>
        </w:rPr>
        <w:t xml:space="preserve">. If (i) an L/C Issuer has honored any full or partial drawing request under any Letter of Credit and such drawing has resulted in an L/C Borrowing, (ii) as of the Letter of Credit Expiration Date, any L/C Obligation for any reason remains outstanding, (iii) the Borrower shall be required to provide Cash Collateral pursuant to </w:t>
      </w:r>
      <w:r>
        <w:rPr>
          <w:rFonts w:ascii="Arial" w:cs="Arial" w:eastAsia="Arial" w:hAnsi="Arial"/>
          <w:sz w:val="16"/>
          <w:szCs w:val="16"/>
          <w:u w:val="single" w:color="auto"/>
          <w:color w:val="auto"/>
        </w:rPr>
        <w:t>Section 8.02(c)</w:t>
      </w:r>
      <w:r>
        <w:rPr>
          <w:rFonts w:ascii="Arial" w:cs="Arial" w:eastAsia="Arial" w:hAnsi="Arial"/>
          <w:sz w:val="16"/>
          <w:szCs w:val="16"/>
          <w:color w:val="auto"/>
        </w:rPr>
        <w:t xml:space="preserve"> or (iv) there shall exist a Defaulting Lender, the Borrower shall immediately (in the case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or within one Business Day (in all other cases), following any request by the Administrative Agent or an L/C Issuer, provide Cash Collateral in an amount not less than the applicable Minimum Collateral Amount (determined in the case of Cash Collateral provided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after giving effect to </w:t>
      </w:r>
      <w:r>
        <w:rPr>
          <w:rFonts w:ascii="Arial" w:cs="Arial" w:eastAsia="Arial" w:hAnsi="Arial"/>
          <w:sz w:val="16"/>
          <w:szCs w:val="16"/>
          <w:u w:val="single" w:color="auto"/>
          <w:color w:val="auto"/>
        </w:rPr>
        <w:t>Section 2.15(a)(iv)</w:t>
      </w:r>
      <w:r>
        <w:rPr>
          <w:rFonts w:ascii="Arial" w:cs="Arial" w:eastAsia="Arial" w:hAnsi="Arial"/>
          <w:sz w:val="16"/>
          <w:szCs w:val="16"/>
          <w:color w:val="auto"/>
        </w:rPr>
        <w:t xml:space="preserve"> and any Cash Collateral provided by the Defaulting Lender). If at any time the Administrative Agent determines that any funds held as Cash Collateral are subject to any right or claim of any Person other than the Administrative Agent or that the total amount of such funds is less than the aggregate Outstanding Amount of all L/C Obligations, the Borrower will, forthwith upon demand by the Administrative Agent, pay to the Administrative Agent, as additional funds to be deposited as Cash Collateral, an amount equal to the excess of (x) such aggregate Outstanding Amount over (y) the total amount of funds, if any, then held as Cash Collateral that the Administrative Agent determines to be free and clear of any such right and claim. Upon the drawing of any Letter of Credit for which funds are on deposit as Cash Collateral, such funds shall be applied, to the extent permitted under applicable Laws, to reimburse the applicable L/C Issuer.</w:t>
      </w:r>
    </w:p>
    <w:p>
      <w:pPr>
        <w:spacing w:after="0" w:line="60" w:lineRule="exact"/>
        <w:rPr>
          <w:rFonts w:ascii="Arial" w:cs="Arial" w:eastAsia="Arial" w:hAnsi="Arial"/>
          <w:sz w:val="16"/>
          <w:szCs w:val="16"/>
          <w:color w:val="auto"/>
        </w:rPr>
      </w:pPr>
    </w:p>
    <w:p>
      <w:pPr>
        <w:ind w:right="20" w:firstLine="444"/>
        <w:spacing w:after="0" w:line="288" w:lineRule="auto"/>
        <w:tabs>
          <w:tab w:leader="none" w:pos="695"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The Borrower,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Section 2.16(c)</w:t>
      </w:r>
      <w:r>
        <w:rPr>
          <w:rFonts w:ascii="Arial" w:cs="Arial" w:eastAsia="Arial" w:hAnsi="Arial"/>
          <w:sz w:val="16"/>
          <w:szCs w:val="16"/>
          <w:color w:val="auto"/>
        </w:rPr>
        <w:t>. If at any time the Administrative Agent determines that Cash Collateral is subject to any right or claim of any Person other than the Administrative Agent or the applicable L/C Issuer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Truist Bank. The Borrower shall pay on demand therefor from time to time all customary account opening, activity and other administrative fees and charges in connection with the maintenance and disbursement of Cash Collateral.</w:t>
      </w:r>
    </w:p>
    <w:p>
      <w:pPr>
        <w:spacing w:after="0" w:line="61" w:lineRule="exact"/>
        <w:rPr>
          <w:rFonts w:ascii="Arial" w:cs="Arial" w:eastAsia="Arial" w:hAnsi="Arial"/>
          <w:sz w:val="16"/>
          <w:szCs w:val="16"/>
          <w:color w:val="auto"/>
        </w:rPr>
      </w:pPr>
    </w:p>
    <w:p>
      <w:pPr>
        <w:jc w:val="both"/>
        <w:ind w:right="20" w:firstLine="444"/>
        <w:spacing w:after="0" w:line="257" w:lineRule="auto"/>
        <w:tabs>
          <w:tab w:leader="none" w:pos="68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any of this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8.02</w:t>
      </w:r>
      <w:r>
        <w:rPr>
          <w:rFonts w:ascii="Arial" w:cs="Arial" w:eastAsia="Arial" w:hAnsi="Arial"/>
          <w:sz w:val="18"/>
          <w:szCs w:val="18"/>
          <w:color w:val="auto"/>
        </w:rPr>
        <w:t xml:space="preserve"> 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80" w:lineRule="exact"/>
        <w:rPr>
          <w:rFonts w:ascii="Arial" w:cs="Arial" w:eastAsia="Arial" w:hAnsi="Arial"/>
          <w:sz w:val="18"/>
          <w:szCs w:val="18"/>
          <w:color w:val="auto"/>
        </w:rPr>
      </w:pPr>
    </w:p>
    <w:p>
      <w:pPr>
        <w:ind w:firstLine="444"/>
        <w:spacing w:after="0" w:line="291" w:lineRule="auto"/>
        <w:tabs>
          <w:tab w:leader="none" w:pos="695"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Section 10.06(b)(vi)</w:t>
      </w:r>
      <w:r>
        <w:rPr>
          <w:rFonts w:ascii="Arial" w:cs="Arial" w:eastAsia="Arial" w:hAnsi="Arial"/>
          <w:sz w:val="16"/>
          <w:szCs w:val="16"/>
          <w:color w:val="auto"/>
        </w:rPr>
        <w:t xml:space="preserve">)) or (ii) the determination by the Administrative Agent and the applicable L/C Issuer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applicable L/C Issuer may agree that Cash Collateral shall not be released but instead held to support future anticipated Fronting Exposure or other obligations.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E-4-59</w:t>
      </w:r>
    </w:p>
    <w:p>
      <w:pPr>
        <w:sectPr>
          <w:pgSz w:w="11900" w:h="16838" w:orient="portrait"/>
          <w:cols w:equalWidth="0" w:num="1">
            <w:col w:w="10980"/>
          </w:cols>
          <w:pgMar w:left="440" w:top="274" w:right="479" w:bottom="1440" w:gutter="0" w:footer="0" w:header="0"/>
        </w:sectPr>
      </w:pPr>
    </w:p>
    <w:bookmarkStart w:id="85" w:name="page86"/>
    <w:bookmarkEnd w:id="85"/>
    <w:p>
      <w:pPr>
        <w:jc w:val="center"/>
        <w:ind w:right="-1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TAXES, YIELD PROTECTION AND ILLEGALITY</w:t>
      </w:r>
    </w:p>
    <w:p>
      <w:pPr>
        <w:spacing w:after="0" w:line="211"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676" w:hanging="236"/>
        <w:spacing w:after="0"/>
        <w:tabs>
          <w:tab w:leader="none" w:pos="67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117" w:lineRule="exact"/>
        <w:rPr>
          <w:sz w:val="20"/>
          <w:szCs w:val="20"/>
          <w:color w:val="auto"/>
        </w:rPr>
      </w:pPr>
    </w:p>
    <w:p>
      <w:pPr>
        <w:ind w:left="-4" w:right="80" w:firstLine="444"/>
        <w:spacing w:after="0" w:line="257" w:lineRule="auto"/>
        <w:tabs>
          <w:tab w:leader="none" w:pos="65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any Loan Party hereunder or under any Loan Document shall be made without deduction or withholding for any Taxes, except as required by applicable Laws. If any applicable Law (as determined in the good faith discretion of the Administrative Agent) requires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w:t>
      </w:r>
    </w:p>
    <w:p>
      <w:pPr>
        <w:spacing w:after="0" w:line="80" w:lineRule="exact"/>
        <w:rPr>
          <w:rFonts w:ascii="Arial" w:cs="Arial" w:eastAsia="Arial" w:hAnsi="Arial"/>
          <w:sz w:val="18"/>
          <w:szCs w:val="18"/>
          <w:color w:val="auto"/>
        </w:rPr>
      </w:pPr>
    </w:p>
    <w:p>
      <w:pPr>
        <w:ind w:left="-4" w:firstLine="444"/>
        <w:spacing w:after="0" w:line="288" w:lineRule="auto"/>
        <w:tabs>
          <w:tab w:leader="none" w:pos="702"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below,</w:t>
      </w:r>
    </w:p>
    <w:p>
      <w:pPr>
        <w:ind w:left="-4" w:right="80" w:firstLine="4"/>
        <w:spacing w:after="0" w:line="253" w:lineRule="auto"/>
        <w:tabs>
          <w:tab w:leader="none" w:pos="28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and withholdings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83" w:lineRule="exact"/>
        <w:rPr>
          <w:rFonts w:ascii="Arial" w:cs="Arial" w:eastAsia="Arial" w:hAnsi="Arial"/>
          <w:sz w:val="18"/>
          <w:szCs w:val="18"/>
          <w:color w:val="auto"/>
        </w:rPr>
      </w:pPr>
    </w:p>
    <w:p>
      <w:pPr>
        <w:ind w:left="-4" w:right="100" w:firstLine="444"/>
        <w:spacing w:after="0" w:line="290" w:lineRule="auto"/>
        <w:tabs>
          <w:tab w:leader="none" w:pos="75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and withholdings applicable to additional sums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the applicable Recipient receives an amount equal to the sum it would have received had no such withholding or deduction been made.</w:t>
      </w:r>
    </w:p>
    <w:p>
      <w:pPr>
        <w:spacing w:after="0" w:line="58" w:lineRule="exact"/>
        <w:rPr>
          <w:sz w:val="20"/>
          <w:szCs w:val="20"/>
          <w:color w:val="auto"/>
        </w:rPr>
      </w:pPr>
    </w:p>
    <w:p>
      <w:pPr>
        <w:ind w:left="-4" w:right="120" w:firstLine="444"/>
        <w:spacing w:after="0" w:line="264" w:lineRule="auto"/>
        <w:tabs>
          <w:tab w:leader="none" w:pos="692"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above, the Borrower shall timely pay to the relevant Governmental Authority in accordance with applicable Laws, or at the option of the Administrative Agent timely reimburse it for the payment of, any Other Taxes.</w:t>
      </w:r>
    </w:p>
    <w:p>
      <w:pPr>
        <w:spacing w:after="0" w:line="73" w:lineRule="exact"/>
        <w:rPr>
          <w:rFonts w:ascii="Arial" w:cs="Arial" w:eastAsia="Arial" w:hAnsi="Arial"/>
          <w:sz w:val="18"/>
          <w:szCs w:val="18"/>
          <w:color w:val="auto"/>
        </w:rPr>
      </w:pPr>
    </w:p>
    <w:p>
      <w:pPr>
        <w:ind w:left="676" w:hanging="236"/>
        <w:spacing w:after="0"/>
        <w:tabs>
          <w:tab w:leader="none" w:pos="676"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117" w:lineRule="exact"/>
        <w:rPr>
          <w:sz w:val="20"/>
          <w:szCs w:val="20"/>
          <w:color w:val="auto"/>
        </w:rPr>
      </w:pPr>
    </w:p>
    <w:p>
      <w:pPr>
        <w:ind w:left="-4" w:firstLine="444"/>
        <w:spacing w:after="0" w:line="270" w:lineRule="auto"/>
        <w:tabs>
          <w:tab w:leader="none" w:pos="65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The Borrower shall, and does hereby, indemnify each Recipient, and shall make payment in respect thereof within 10 days after demand therefor,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an L/C Issuer (with a copy to the Administrative Agent, or by the Administrative Agent on its own behalf or on behalf of a Lender or an L/C Issuer, shall be conclusive absent manifest error. The Borrower shall, and does hereby, indemnify the Administrative Agent, and shall make payment in respect thereof within 10 days after demand therefor, for any amount which a Lender or an L/C Issuer for any reason fails to pay indefeasibly to the Administrative Agent as required pursuant to </w:t>
      </w:r>
      <w:r>
        <w:rPr>
          <w:rFonts w:ascii="Arial" w:cs="Arial" w:eastAsia="Arial" w:hAnsi="Arial"/>
          <w:sz w:val="17"/>
          <w:szCs w:val="17"/>
          <w:u w:val="single" w:color="auto"/>
          <w:color w:val="auto"/>
        </w:rPr>
        <w:t>Section 3.01(c)(ii)</w:t>
      </w:r>
      <w:r>
        <w:rPr>
          <w:rFonts w:ascii="Arial" w:cs="Arial" w:eastAsia="Arial" w:hAnsi="Arial"/>
          <w:sz w:val="17"/>
          <w:szCs w:val="17"/>
          <w:color w:val="auto"/>
        </w:rPr>
        <w:t xml:space="preserve"> below.</w:t>
      </w:r>
    </w:p>
    <w:p>
      <w:pPr>
        <w:spacing w:after="0" w:line="11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E-4-60</w:t>
      </w:r>
    </w:p>
    <w:p>
      <w:pPr>
        <w:sectPr>
          <w:pgSz w:w="11900" w:h="16838" w:orient="portrait"/>
          <w:cols w:equalWidth="0" w:num="1">
            <w:col w:w="10996"/>
          </w:cols>
          <w:pgMar w:left="444" w:top="274" w:right="459" w:bottom="1440" w:gutter="0" w:footer="0" w:header="0"/>
        </w:sectPr>
      </w:pPr>
    </w:p>
    <w:bookmarkStart w:id="86" w:name="page87"/>
    <w:bookmarkEnd w:id="86"/>
    <w:p>
      <w:pPr>
        <w:ind w:left="-20" w:right="100" w:firstLine="444"/>
        <w:spacing w:after="0" w:line="287" w:lineRule="auto"/>
        <w:tabs>
          <w:tab w:leader="none" w:pos="686" w:val="left"/>
        </w:tabs>
        <w:numPr>
          <w:ilvl w:val="0"/>
          <w:numId w:val="1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Lender and each L/C Issuer shall, and does hereby, severally indemnify, and shall make payment in respect thereof within 10 days after demand therefor, (x) the Administrative Agent against any Indemnified Taxes attributable to such Lender or such L/C Issuer (but only to the extent that the Borrower has not already indemnified the Administrative Agent for such Indemnified Taxes and without limiting the obligation of the Borrower to do so), (y) the Administrative Agent and the Borrower, as applicable, against any Taxes attributable to such Lender’s failure to comply with the provisions of </w:t>
      </w:r>
      <w:r>
        <w:rPr>
          <w:rFonts w:ascii="Arial" w:cs="Arial" w:eastAsia="Arial" w:hAnsi="Arial"/>
          <w:sz w:val="16"/>
          <w:szCs w:val="16"/>
          <w:u w:val="single" w:color="auto"/>
          <w:color w:val="auto"/>
        </w:rPr>
        <w:t>Section 10.06(d)</w:t>
      </w:r>
      <w:r>
        <w:rPr>
          <w:rFonts w:ascii="Arial" w:cs="Arial" w:eastAsia="Arial" w:hAnsi="Arial"/>
          <w:sz w:val="16"/>
          <w:szCs w:val="16"/>
          <w:color w:val="auto"/>
        </w:rPr>
        <w:t xml:space="preserve"> relating to the maintenance of a Participant Register and (z) the Administrative Agent and the Borrower, as applicable, against any Excluded Taxes attributable to such Lender or such L/C Issuer, in each case, that are payable or paid by the Administrative Agent or the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w:t>
      </w:r>
      <w:r>
        <w:rPr>
          <w:rFonts w:ascii="Arial" w:cs="Arial" w:eastAsia="Arial" w:hAnsi="Arial"/>
          <w:sz w:val="16"/>
          <w:szCs w:val="16"/>
          <w:u w:val="single" w:color="auto"/>
          <w:color w:val="auto"/>
        </w:rPr>
        <w:t>clause (ii)</w:t>
      </w:r>
      <w:r>
        <w:rPr>
          <w:rFonts w:ascii="Arial" w:cs="Arial" w:eastAsia="Arial" w:hAnsi="Arial"/>
          <w:sz w:val="16"/>
          <w:szCs w:val="16"/>
          <w:color w:val="auto"/>
        </w:rPr>
        <w:t>.</w:t>
      </w:r>
    </w:p>
    <w:p>
      <w:pPr>
        <w:spacing w:after="0" w:line="65" w:lineRule="exact"/>
        <w:rPr>
          <w:sz w:val="20"/>
          <w:szCs w:val="20"/>
          <w:color w:val="auto"/>
        </w:rPr>
      </w:pPr>
    </w:p>
    <w:p>
      <w:pPr>
        <w:ind w:left="-20" w:right="20" w:firstLine="444"/>
        <w:spacing w:after="0" w:line="257" w:lineRule="auto"/>
        <w:tabs>
          <w:tab w:leader="none" w:pos="675"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 or the Administrative Agent, as the case may be, after any payment of Taxes by the Borrower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80" w:lineRule="exact"/>
        <w:rPr>
          <w:rFonts w:ascii="Arial" w:cs="Arial" w:eastAsia="Arial" w:hAnsi="Arial"/>
          <w:sz w:val="18"/>
          <w:szCs w:val="18"/>
          <w:color w:val="auto"/>
        </w:rPr>
      </w:pPr>
    </w:p>
    <w:p>
      <w:pPr>
        <w:ind w:left="660" w:hanging="236"/>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117" w:lineRule="exact"/>
        <w:rPr>
          <w:sz w:val="20"/>
          <w:szCs w:val="20"/>
          <w:color w:val="auto"/>
        </w:rPr>
      </w:pPr>
    </w:p>
    <w:p>
      <w:pPr>
        <w:ind w:left="-20" w:firstLine="444"/>
        <w:spacing w:after="0" w:line="270" w:lineRule="auto"/>
        <w:tabs>
          <w:tab w:leader="none" w:pos="63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 3.01(e)(ii)(A)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69" w:lineRule="exact"/>
        <w:rPr>
          <w:rFonts w:ascii="Arial" w:cs="Arial" w:eastAsia="Arial" w:hAnsi="Arial"/>
          <w:sz w:val="17"/>
          <w:szCs w:val="17"/>
          <w:color w:val="auto"/>
        </w:rPr>
      </w:pPr>
    </w:p>
    <w:p>
      <w:pPr>
        <w:ind w:left="680" w:hanging="256"/>
        <w:spacing w:after="0"/>
        <w:tabs>
          <w:tab w:leader="none" w:pos="6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117" w:lineRule="exact"/>
        <w:rPr>
          <w:rFonts w:ascii="Arial" w:cs="Arial" w:eastAsia="Arial" w:hAnsi="Arial"/>
          <w:sz w:val="18"/>
          <w:szCs w:val="18"/>
          <w:color w:val="auto"/>
        </w:rPr>
      </w:pPr>
    </w:p>
    <w:p>
      <w:pPr>
        <w:ind w:left="420" w:right="380" w:firstLine="428"/>
        <w:spacing w:after="0" w:line="312" w:lineRule="auto"/>
        <w:tabs>
          <w:tab w:leader="none" w:pos="113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E-4-61</w:t>
      </w:r>
    </w:p>
    <w:p>
      <w:pPr>
        <w:sectPr>
          <w:pgSz w:w="11900" w:h="16838" w:orient="portrait"/>
          <w:cols w:equalWidth="0" w:num="1">
            <w:col w:w="10980"/>
          </w:cols>
          <w:pgMar w:left="460" w:top="274" w:right="459" w:bottom="1440" w:gutter="0" w:footer="0" w:header="0"/>
        </w:sectPr>
      </w:pPr>
    </w:p>
    <w:bookmarkStart w:id="87" w:name="page88"/>
    <w:bookmarkEnd w:id="87"/>
    <w:p>
      <w:pPr>
        <w:ind w:right="440" w:firstLine="428"/>
        <w:spacing w:after="0" w:line="259" w:lineRule="auto"/>
        <w:tabs>
          <w:tab w:leader="none" w:pos="708"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8" w:lineRule="exact"/>
        <w:rPr>
          <w:rFonts w:ascii="Arial" w:cs="Arial" w:eastAsia="Arial" w:hAnsi="Arial"/>
          <w:sz w:val="18"/>
          <w:szCs w:val="18"/>
          <w:color w:val="auto"/>
        </w:rPr>
      </w:pPr>
    </w:p>
    <w:p>
      <w:pPr>
        <w:jc w:val="both"/>
        <w:ind w:left="560" w:right="20" w:firstLine="397"/>
        <w:spacing w:after="0" w:line="297" w:lineRule="auto"/>
        <w:tabs>
          <w:tab w:leader="none" w:pos="1216" w:val="left"/>
        </w:tabs>
        <w:numPr>
          <w:ilvl w:val="2"/>
          <w:numId w:val="116"/>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50" w:lineRule="exact"/>
        <w:rPr>
          <w:rFonts w:ascii="Arial" w:cs="Arial" w:eastAsia="Arial" w:hAnsi="Arial"/>
          <w:sz w:val="16"/>
          <w:szCs w:val="16"/>
          <w:color w:val="auto"/>
        </w:rPr>
      </w:pPr>
    </w:p>
    <w:p>
      <w:pPr>
        <w:ind w:left="1220" w:hanging="263"/>
        <w:spacing w:after="0"/>
        <w:tabs>
          <w:tab w:leader="none" w:pos="1220" w:val="left"/>
        </w:tabs>
        <w:numPr>
          <w:ilvl w:val="2"/>
          <w:numId w:val="116"/>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117" w:lineRule="exact"/>
        <w:rPr>
          <w:rFonts w:ascii="Arial" w:cs="Arial" w:eastAsia="Arial" w:hAnsi="Arial"/>
          <w:sz w:val="18"/>
          <w:szCs w:val="18"/>
          <w:color w:val="auto"/>
        </w:rPr>
      </w:pPr>
    </w:p>
    <w:p>
      <w:pPr>
        <w:ind w:left="1220" w:hanging="263"/>
        <w:spacing w:after="0"/>
        <w:tabs>
          <w:tab w:leader="none" w:pos="1220" w:val="left"/>
        </w:tabs>
        <w:numPr>
          <w:ilvl w:val="2"/>
          <w:numId w:val="116"/>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Code,</w:t>
      </w:r>
    </w:p>
    <w:p>
      <w:pPr>
        <w:spacing w:after="0" w:line="46" w:lineRule="exact"/>
        <w:rPr>
          <w:rFonts w:ascii="Arial" w:cs="Arial" w:eastAsia="Arial" w:hAnsi="Arial"/>
          <w:sz w:val="16"/>
          <w:szCs w:val="16"/>
          <w:color w:val="auto"/>
        </w:rPr>
      </w:pPr>
    </w:p>
    <w:p>
      <w:pPr>
        <w:ind w:left="560" w:right="100" w:hanging="4"/>
        <w:spacing w:after="0" w:line="254" w:lineRule="auto"/>
        <w:tabs>
          <w:tab w:leader="none" w:pos="81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a certificate substantially in the form of </w:t>
      </w:r>
      <w:r>
        <w:rPr>
          <w:rFonts w:ascii="Arial" w:cs="Arial" w:eastAsia="Arial" w:hAnsi="Arial"/>
          <w:sz w:val="18"/>
          <w:szCs w:val="18"/>
          <w:u w:val="single" w:color="auto"/>
          <w:color w:val="auto"/>
        </w:rPr>
        <w:t>Exhibit E-1</w:t>
      </w:r>
      <w:r>
        <w:rPr>
          <w:rFonts w:ascii="Arial" w:cs="Arial" w:eastAsia="Arial" w:hAnsi="Arial"/>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executed originals of IRS Form W-8BEN or W-8BEN-E, as applicable; or</w:t>
      </w:r>
    </w:p>
    <w:p>
      <w:pPr>
        <w:spacing w:after="0" w:line="81" w:lineRule="exact"/>
        <w:rPr>
          <w:rFonts w:ascii="Arial" w:cs="Arial" w:eastAsia="Arial" w:hAnsi="Arial"/>
          <w:sz w:val="18"/>
          <w:szCs w:val="18"/>
          <w:color w:val="auto"/>
        </w:rPr>
      </w:pPr>
    </w:p>
    <w:p>
      <w:pPr>
        <w:ind w:left="560" w:right="60" w:firstLine="397"/>
        <w:spacing w:after="0" w:line="255" w:lineRule="auto"/>
        <w:tabs>
          <w:tab w:leader="none" w:pos="1216" w:val="left"/>
        </w:tabs>
        <w:numPr>
          <w:ilvl w:val="2"/>
          <w:numId w:val="117"/>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originals of IRS Form W-8IMY, accompanied by IRS Form W-8ECI, IRS Form W-8BEN or W-8BEN-E, as applicable, a U.S. Tax Compliance Certificate substantially in the form of </w:t>
      </w:r>
      <w:r>
        <w:rPr>
          <w:rFonts w:ascii="Arial" w:cs="Arial" w:eastAsia="Arial" w:hAnsi="Arial"/>
          <w:sz w:val="18"/>
          <w:szCs w:val="18"/>
          <w:u w:val="single" w:color="auto"/>
          <w:color w:val="auto"/>
        </w:rPr>
        <w:t>Exhibit E-2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E-3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E-4</w:t>
      </w:r>
      <w:r>
        <w:rPr>
          <w:rFonts w:ascii="Arial" w:cs="Arial" w:eastAsia="Arial" w:hAnsi="Arial"/>
          <w:sz w:val="18"/>
          <w:szCs w:val="18"/>
          <w:color w:val="auto"/>
        </w:rPr>
        <w:t xml:space="preserve"> on behalf of each such direct and indirect partner;</w:t>
      </w:r>
    </w:p>
    <w:p>
      <w:pPr>
        <w:spacing w:after="0" w:line="85" w:lineRule="exact"/>
        <w:rPr>
          <w:rFonts w:ascii="Arial" w:cs="Arial" w:eastAsia="Arial" w:hAnsi="Arial"/>
          <w:sz w:val="18"/>
          <w:szCs w:val="18"/>
          <w:color w:val="auto"/>
        </w:rPr>
      </w:pPr>
    </w:p>
    <w:p>
      <w:pPr>
        <w:ind w:right="60" w:firstLine="428"/>
        <w:spacing w:after="0" w:line="255" w:lineRule="auto"/>
        <w:tabs>
          <w:tab w:leader="none" w:pos="70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85" w:lineRule="exact"/>
        <w:rPr>
          <w:rFonts w:ascii="Arial" w:cs="Arial" w:eastAsia="Arial" w:hAnsi="Arial"/>
          <w:sz w:val="18"/>
          <w:szCs w:val="18"/>
          <w:color w:val="auto"/>
        </w:rPr>
      </w:pPr>
    </w:p>
    <w:p>
      <w:pPr>
        <w:ind w:firstLine="428"/>
        <w:spacing w:after="0" w:line="290" w:lineRule="auto"/>
        <w:tabs>
          <w:tab w:leader="none" w:pos="71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6"/>
          <w:szCs w:val="16"/>
          <w:u w:val="single" w:color="auto"/>
          <w:color w:val="auto"/>
        </w:rPr>
        <w:t>clause (D)</w:t>
      </w:r>
      <w:r>
        <w:rPr>
          <w:rFonts w:ascii="Arial" w:cs="Arial" w:eastAsia="Arial" w:hAnsi="Arial"/>
          <w:sz w:val="16"/>
          <w:szCs w:val="16"/>
          <w:color w:val="auto"/>
        </w:rPr>
        <w:t>, “FATCA” shall include any amendments made to FATCA after the date of this Agreement.</w:t>
      </w:r>
    </w:p>
    <w:p>
      <w:pPr>
        <w:spacing w:after="0" w:line="58" w:lineRule="exact"/>
        <w:rPr>
          <w:sz w:val="20"/>
          <w:szCs w:val="20"/>
          <w:color w:val="auto"/>
        </w:rPr>
      </w:pPr>
    </w:p>
    <w:p>
      <w:pPr>
        <w:jc w:val="both"/>
        <w:ind w:right="80" w:firstLine="428"/>
        <w:spacing w:after="0" w:line="264" w:lineRule="auto"/>
        <w:tabs>
          <w:tab w:leader="none" w:pos="73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E-4-62</w:t>
      </w:r>
    </w:p>
    <w:p>
      <w:pPr>
        <w:sectPr>
          <w:pgSz w:w="11900" w:h="16838" w:orient="portrait"/>
          <w:cols w:equalWidth="0" w:num="1">
            <w:col w:w="10560"/>
          </w:cols>
          <w:pgMar w:left="880" w:top="274" w:right="459" w:bottom="1440" w:gutter="0" w:footer="0" w:header="0"/>
        </w:sectPr>
      </w:pPr>
    </w:p>
    <w:bookmarkStart w:id="88" w:name="page89"/>
    <w:bookmarkEnd w:id="88"/>
    <w:p>
      <w:pPr>
        <w:ind w:right="40" w:firstLine="444"/>
        <w:spacing w:after="0" w:line="286" w:lineRule="auto"/>
        <w:tabs>
          <w:tab w:leader="none" w:pos="665"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Treatment of Certain Refunds</w:t>
      </w:r>
      <w:r>
        <w:rPr>
          <w:rFonts w:ascii="Arial" w:cs="Arial" w:eastAsia="Arial" w:hAnsi="Arial"/>
          <w:sz w:val="16"/>
          <w:szCs w:val="16"/>
          <w:color w:val="auto"/>
        </w:rPr>
        <w:t xml:space="preserve">. Unless required by applicable Laws, at no time shall the Administrative Agent have any obligation to file for or otherwise pursue on behalf of a Lender or an L/C Issuer, or have any obligation to pay to any Lender or an L/C Issuer, any refund of Taxes withheld or deducted from funds paid for the account of such Lender or such L/C Issuer, as the case may be. If any Recipient determines, in its sole discretion exercised in good faith, that it has received a refund of any Taxes as to which it has been indemnified by the Borrower or with respect to which the Borrower has 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shall pay to the Borrower an amount equal to such refund (but only to the extent of indemnity payments made, or additional amounts paid, by the Borrower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Recipient, agrees to repay the amount paid over to the Borrower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Borrower pursuant to this subsection the payment of which would place the Recipient in a less favorable net after-Tax position than such Recipient would have been in if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Borrower or any other Person.</w:t>
      </w:r>
    </w:p>
    <w:p>
      <w:pPr>
        <w:spacing w:after="0" w:line="60" w:lineRule="exact"/>
        <w:rPr>
          <w:rFonts w:ascii="Arial" w:cs="Arial" w:eastAsia="Arial" w:hAnsi="Arial"/>
          <w:sz w:val="16"/>
          <w:szCs w:val="16"/>
          <w:color w:val="auto"/>
        </w:rPr>
      </w:pPr>
    </w:p>
    <w:p>
      <w:pPr>
        <w:ind w:right="400" w:firstLine="444"/>
        <w:spacing w:after="0" w:line="264"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181"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Illegality</w:t>
      </w:r>
      <w:r>
        <w:rPr>
          <w:rFonts w:ascii="Arial" w:cs="Arial" w:eastAsia="Arial" w:hAnsi="Arial"/>
          <w:sz w:val="16"/>
          <w:szCs w:val="16"/>
          <w:color w:val="auto"/>
        </w:rPr>
        <w:t>. If any Lender determines that any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 Rate Loans or to convert Base Rate Loans to Eurodollar Rate Loans shall be suspended, and (ii)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73"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3.03. </w:t>
      </w:r>
      <w:r>
        <w:rPr>
          <w:rFonts w:ascii="Arial" w:cs="Arial" w:eastAsia="Arial" w:hAnsi="Arial"/>
          <w:sz w:val="16"/>
          <w:szCs w:val="16"/>
          <w:u w:val="single" w:color="auto"/>
          <w:color w:val="auto"/>
        </w:rPr>
        <w:t>Inability to Determine Rates</w:t>
      </w:r>
      <w:r>
        <w:rPr>
          <w:rFonts w:ascii="Arial" w:cs="Arial" w:eastAsia="Arial" w:hAnsi="Arial"/>
          <w:sz w:val="16"/>
          <w:szCs w:val="16"/>
          <w:color w:val="auto"/>
        </w:rPr>
        <w:t xml:space="preserve">. If in connection with any request for a Eurodollar Rate Loan or a conversion to or continuation thereof, (a) the Administrative Agent determines that (i) Dollar deposits are not being offered to banks in the London interbank eurodollar market for the applicable amount and Interest Period of such Eurodollar Rate Loan, or (ii) adequate and reasonable means do not exist for determining the Eurodollar Rate for any requested Interest Period with respect to a proposed Eurodollar Rate Loan or in connection with an existing or proposed Base Rate Loan (in each case with respect to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Impacted Loans</w:t>
      </w:r>
      <w:r>
        <w:rPr>
          <w:rFonts w:ascii="Arial" w:cs="Arial" w:eastAsia="Arial" w:hAnsi="Arial"/>
          <w:sz w:val="16"/>
          <w:szCs w:val="16"/>
          <w:color w:val="auto"/>
        </w:rPr>
        <w:t>”), or (b) the Administrative Agent or the Required Lenders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E-4-63</w:t>
      </w:r>
    </w:p>
    <w:p>
      <w:pPr>
        <w:sectPr>
          <w:pgSz w:w="11900" w:h="16838" w:orient="portrait"/>
          <w:cols w:equalWidth="0" w:num="1">
            <w:col w:w="11000"/>
          </w:cols>
          <w:pgMar w:left="440" w:top="274" w:right="459" w:bottom="1440" w:gutter="0" w:footer="0" w:header="0"/>
        </w:sectPr>
      </w:pPr>
    </w:p>
    <w:bookmarkStart w:id="89" w:name="page90"/>
    <w:bookmarkEnd w:id="89"/>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89"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 xml:space="preserve">Notwithstanding the foregoing, if the Administrative Agent has made the determination described in </w:t>
      </w:r>
      <w:r>
        <w:rPr>
          <w:rFonts w:ascii="Arial" w:cs="Arial" w:eastAsia="Arial" w:hAnsi="Arial"/>
          <w:sz w:val="16"/>
          <w:szCs w:val="16"/>
          <w:u w:val="single" w:color="auto"/>
          <w:color w:val="auto"/>
        </w:rPr>
        <w:t>clause (a)(i)</w:t>
      </w:r>
      <w:r>
        <w:rPr>
          <w:rFonts w:ascii="Arial" w:cs="Arial" w:eastAsia="Arial" w:hAnsi="Arial"/>
          <w:sz w:val="16"/>
          <w:szCs w:val="16"/>
          <w:color w:val="auto"/>
        </w:rPr>
        <w:t xml:space="preserve"> of this section,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first sentence of this section, (2) the Administrative Agent or the Required Lenders notify the Administrative Agent and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Increased Costs; Reserves on Eurodollar Rate Loans</w:t>
      </w:r>
      <w:r>
        <w:rPr>
          <w:rFonts w:ascii="Arial" w:cs="Arial" w:eastAsia="Arial" w:hAnsi="Arial"/>
          <w:sz w:val="18"/>
          <w:szCs w:val="18"/>
          <w:color w:val="auto"/>
        </w:rPr>
        <w:t>.</w:t>
      </w:r>
    </w:p>
    <w:p>
      <w:pPr>
        <w:spacing w:after="0" w:line="117" w:lineRule="exact"/>
        <w:rPr>
          <w:sz w:val="20"/>
          <w:szCs w:val="20"/>
          <w:color w:val="auto"/>
        </w:rPr>
      </w:pPr>
    </w:p>
    <w:p>
      <w:pPr>
        <w:ind w:left="680" w:hanging="236"/>
        <w:spacing w:after="0"/>
        <w:tabs>
          <w:tab w:leader="none" w:pos="6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440" w:right="100" w:firstLine="428"/>
        <w:spacing w:after="0" w:line="264" w:lineRule="auto"/>
        <w:tabs>
          <w:tab w:leader="none" w:pos="107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xml:space="preserve"> or any L/C Issuer;</w:t>
      </w:r>
    </w:p>
    <w:p>
      <w:pPr>
        <w:spacing w:after="0" w:line="73" w:lineRule="exact"/>
        <w:rPr>
          <w:rFonts w:ascii="Arial" w:cs="Arial" w:eastAsia="Arial" w:hAnsi="Arial"/>
          <w:sz w:val="18"/>
          <w:szCs w:val="18"/>
          <w:color w:val="auto"/>
        </w:rPr>
      </w:pPr>
    </w:p>
    <w:p>
      <w:pPr>
        <w:ind w:left="440" w:right="80" w:firstLine="428"/>
        <w:spacing w:after="0" w:line="264" w:lineRule="auto"/>
        <w:tabs>
          <w:tab w:leader="none" w:pos="112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subject any Recipient to any Taxes (other than (A) Indemnified Taxes, (B) Taxes described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73" w:lineRule="exact"/>
        <w:rPr>
          <w:rFonts w:ascii="Arial" w:cs="Arial" w:eastAsia="Arial" w:hAnsi="Arial"/>
          <w:sz w:val="18"/>
          <w:szCs w:val="18"/>
          <w:color w:val="auto"/>
        </w:rPr>
      </w:pPr>
    </w:p>
    <w:p>
      <w:pPr>
        <w:ind w:left="440" w:right="120" w:firstLine="428"/>
        <w:spacing w:after="0" w:line="277" w:lineRule="auto"/>
        <w:tabs>
          <w:tab w:leader="none" w:pos="117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impose on any Lender or any L/C Issuer or the London interbank market any other condition, cost or expense affecting this Agreement or Eurodollar Rate Loans made by such Lender or any Letter of Credit or participation therein;</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and the result of any of the foregoing shall be to increase the cost to such Lender of making, converting to, continuing or maintaining any Loan the interest on which is determined by reference to the Eurodollar Rate (or, in the case of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above,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Borrower will pay to such Lender or such L/C Issuer, as the case may be, such additional amount or amounts as will compensate such Lender or such L/C Issuer, as the case may be, for such additional costs incurred or reduction suffered.</w:t>
      </w:r>
    </w:p>
    <w:p>
      <w:pPr>
        <w:spacing w:after="0" w:line="70" w:lineRule="exact"/>
        <w:rPr>
          <w:sz w:val="20"/>
          <w:szCs w:val="20"/>
          <w:color w:val="auto"/>
        </w:rPr>
      </w:pPr>
    </w:p>
    <w:p>
      <w:pPr>
        <w:ind w:right="140" w:firstLine="444"/>
        <w:spacing w:after="0" w:line="257" w:lineRule="auto"/>
        <w:tabs>
          <w:tab w:leader="none" w:pos="695"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 Line Loans held by, such Lender, or the Letters of Credit issued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E-4-64</w:t>
      </w:r>
    </w:p>
    <w:p>
      <w:pPr>
        <w:sectPr>
          <w:pgSz w:w="11900" w:h="16838" w:orient="portrait"/>
          <w:cols w:equalWidth="0" w:num="1">
            <w:col w:w="11020"/>
          </w:cols>
          <w:pgMar w:left="440" w:top="274" w:right="439" w:bottom="1440" w:gutter="0" w:footer="0" w:header="0"/>
        </w:sectPr>
      </w:pPr>
    </w:p>
    <w:bookmarkStart w:id="90" w:name="page91"/>
    <w:bookmarkEnd w:id="90"/>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or liquidity), then from time to time the Borrower will pay to such Lender or such L/C Issuer, as the case may be, such additional amount or amounts as will compensate such Lender or such L/C Issuer or such Lender’s or such L/C Issuer’s holding company for any such reduction suffered.</w:t>
      </w:r>
    </w:p>
    <w:p>
      <w:pPr>
        <w:spacing w:after="0" w:line="80" w:lineRule="exact"/>
        <w:rPr>
          <w:sz w:val="20"/>
          <w:szCs w:val="20"/>
          <w:color w:val="auto"/>
        </w:rPr>
      </w:pPr>
    </w:p>
    <w:p>
      <w:pPr>
        <w:ind w:right="100" w:firstLine="444"/>
        <w:spacing w:after="0" w:line="259" w:lineRule="auto"/>
        <w:tabs>
          <w:tab w:leader="none" w:pos="685"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xml:space="preserve">. A certificate of a Lender or an L/C Issuer setting forth the amount or amounts necessary to compensate such Lender or such L/C Issuer or its holding company, as the case may be, as specified in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and delivered to the Borrower shall be conclusive absent manifest error. The Borrower shall pay such Lender or such L/C Issuer, as the case may be, the amount shown as due on any such certificate within 10 days after receipt thereof.</w:t>
      </w:r>
    </w:p>
    <w:p>
      <w:pPr>
        <w:spacing w:after="0" w:line="78" w:lineRule="exact"/>
        <w:rPr>
          <w:rFonts w:ascii="Arial" w:cs="Arial" w:eastAsia="Arial" w:hAnsi="Arial"/>
          <w:sz w:val="18"/>
          <w:szCs w:val="18"/>
          <w:color w:val="auto"/>
        </w:rPr>
      </w:pPr>
    </w:p>
    <w:p>
      <w:pPr>
        <w:ind w:right="20" w:firstLine="444"/>
        <w:spacing w:after="0" w:line="272" w:lineRule="auto"/>
        <w:tabs>
          <w:tab w:leader="none" w:pos="695"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Delay in Requests</w:t>
      </w:r>
      <w:r>
        <w:rPr>
          <w:rFonts w:ascii="Arial" w:cs="Arial" w:eastAsia="Arial" w:hAnsi="Arial"/>
          <w:sz w:val="17"/>
          <w:szCs w:val="17"/>
          <w:color w:val="auto"/>
        </w:rPr>
        <w:t xml:space="preserve">. Failure or delay on the part of any Lender or any L/C Issuer to demand compensation pursuant to the foregoing provisions of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shall not constitute a waiver of such Lender’s or such L/C Issuer’s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or an L/C Issuer pursuant to the foregoing provisions of this Section for any increased costs incurred or reductions suffered more than nine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69" w:lineRule="exact"/>
        <w:rPr>
          <w:rFonts w:ascii="Arial" w:cs="Arial" w:eastAsia="Arial" w:hAnsi="Arial"/>
          <w:sz w:val="17"/>
          <w:szCs w:val="17"/>
          <w:color w:val="auto"/>
        </w:rPr>
      </w:pPr>
    </w:p>
    <w:p>
      <w:pPr>
        <w:ind w:right="40" w:firstLine="444"/>
        <w:spacing w:after="0" w:line="272" w:lineRule="auto"/>
        <w:tabs>
          <w:tab w:leader="none" w:pos="685"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Reserves on Eurodollar Rate Loans</w:t>
      </w:r>
      <w:r>
        <w:rPr>
          <w:rFonts w:ascii="Arial" w:cs="Arial" w:eastAsia="Arial" w:hAnsi="Arial"/>
          <w:sz w:val="17"/>
          <w:szCs w:val="17"/>
          <w:color w:val="auto"/>
        </w:rPr>
        <w:t>. The Borrower shall pay to each Lender, as long as such Lender shall be required to maintain reserves with respect to liabilities or assets consisting of or including Eurocurrency funds or deposits (currently known as “</w:t>
      </w:r>
      <w:r>
        <w:rPr>
          <w:rFonts w:ascii="Arial" w:cs="Arial" w:eastAsia="Arial" w:hAnsi="Arial"/>
          <w:sz w:val="17"/>
          <w:szCs w:val="17"/>
          <w:u w:val="single" w:color="auto"/>
          <w:color w:val="auto"/>
        </w:rPr>
        <w:t>Eurocurrency liabilities</w:t>
      </w:r>
      <w:r>
        <w:rPr>
          <w:rFonts w:ascii="Arial" w:cs="Arial" w:eastAsia="Arial" w:hAnsi="Arial"/>
          <w:sz w:val="17"/>
          <w:szCs w:val="17"/>
          <w:color w:val="auto"/>
        </w:rPr>
        <w:t xml:space="preserve">”),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78" w:lineRule="exact"/>
        <w:rPr>
          <w:sz w:val="20"/>
          <w:szCs w:val="20"/>
          <w:color w:val="auto"/>
        </w:rPr>
      </w:pPr>
    </w:p>
    <w:p>
      <w:pPr>
        <w:ind w:right="380" w:firstLine="441"/>
        <w:spacing w:after="0" w:line="308" w:lineRule="auto"/>
        <w:rPr>
          <w:sz w:val="20"/>
          <w:szCs w:val="20"/>
          <w:color w:val="auto"/>
        </w:rPr>
      </w:pPr>
      <w:r>
        <w:rPr>
          <w:rFonts w:ascii="Arial" w:cs="Arial" w:eastAsia="Arial" w:hAnsi="Arial"/>
          <w:sz w:val="17"/>
          <w:szCs w:val="17"/>
          <w:color w:val="auto"/>
        </w:rPr>
        <w:t xml:space="preserve">3.05. </w:t>
      </w:r>
      <w:r>
        <w:rPr>
          <w:rFonts w:ascii="Arial" w:cs="Arial" w:eastAsia="Arial" w:hAnsi="Arial"/>
          <w:sz w:val="17"/>
          <w:szCs w:val="17"/>
          <w:u w:val="single" w:color="auto"/>
          <w:color w:val="auto"/>
        </w:rPr>
        <w:t>Compensation for Losses</w:t>
      </w:r>
      <w:r>
        <w:rPr>
          <w:rFonts w:ascii="Arial" w:cs="Arial" w:eastAsia="Arial" w:hAnsi="Arial"/>
          <w:sz w:val="17"/>
          <w:szCs w:val="17"/>
          <w:color w:val="auto"/>
        </w:rPr>
        <w:t>. Upon demand of any Lender (with a copy to the Administrative Agent) from time to time, the Borrower shall promptly compensate such Lender for and hold such Lender harmless from any loss, cost or expense incurred by it as a result of:</w:t>
      </w:r>
    </w:p>
    <w:p>
      <w:pPr>
        <w:spacing w:after="0" w:line="38" w:lineRule="exact"/>
        <w:rPr>
          <w:sz w:val="20"/>
          <w:szCs w:val="20"/>
          <w:color w:val="auto"/>
        </w:rPr>
      </w:pPr>
    </w:p>
    <w:p>
      <w:pPr>
        <w:ind w:left="440" w:right="280" w:firstLine="428"/>
        <w:spacing w:after="0" w:line="277" w:lineRule="auto"/>
        <w:tabs>
          <w:tab w:leader="none" w:pos="110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62" w:lineRule="exact"/>
        <w:rPr>
          <w:rFonts w:ascii="Arial" w:cs="Arial" w:eastAsia="Arial" w:hAnsi="Arial"/>
          <w:sz w:val="18"/>
          <w:szCs w:val="18"/>
          <w:color w:val="auto"/>
        </w:rPr>
      </w:pPr>
    </w:p>
    <w:p>
      <w:pPr>
        <w:ind w:left="440" w:right="260" w:firstLine="428"/>
        <w:spacing w:after="0" w:line="277" w:lineRule="auto"/>
        <w:tabs>
          <w:tab w:leader="none" w:pos="111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62" w:lineRule="exact"/>
        <w:rPr>
          <w:rFonts w:ascii="Arial" w:cs="Arial" w:eastAsia="Arial" w:hAnsi="Arial"/>
          <w:sz w:val="18"/>
          <w:szCs w:val="18"/>
          <w:color w:val="auto"/>
        </w:rPr>
      </w:pPr>
    </w:p>
    <w:p>
      <w:pPr>
        <w:ind w:left="440" w:right="260" w:firstLine="428"/>
        <w:spacing w:after="0" w:line="277" w:lineRule="auto"/>
        <w:tabs>
          <w:tab w:leader="none" w:pos="110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assignment of a Eurodollar Rate Loan on a day other than the last day of the Interest Period therefor as a result of a request by the Borrower pursuant to Section 10.13;</w:t>
      </w:r>
    </w:p>
    <w:p>
      <w:pPr>
        <w:spacing w:after="0" w:line="6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181"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 xml:space="preserve">For purposes of calculating amounts payable by the Borrower to the Lenders under this </w:t>
      </w:r>
      <w:r>
        <w:rPr>
          <w:rFonts w:ascii="Arial" w:cs="Arial" w:eastAsia="Arial" w:hAnsi="Arial"/>
          <w:sz w:val="16"/>
          <w:szCs w:val="16"/>
          <w:u w:val="single" w:color="auto"/>
          <w:color w:val="auto"/>
        </w:rPr>
        <w:t>Section 3.05</w:t>
      </w:r>
      <w:r>
        <w:rPr>
          <w:rFonts w:ascii="Arial" w:cs="Arial" w:eastAsia="Arial" w:hAnsi="Arial"/>
          <w:sz w:val="16"/>
          <w:szCs w:val="16"/>
          <w:color w:val="auto"/>
        </w:rPr>
        <w:t>, each Lender shall be deemed to have funded each Eurodollar Rate Loan made by it at the Eurodollar Rate for such Loan by a matching deposit or other borrowing in the London interbank eurodollar market for a comparable amount and for a comparable period, whether or not such Eurodollar Rate Loan was in fact so funded.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E-4-65</w:t>
      </w:r>
    </w:p>
    <w:p>
      <w:pPr>
        <w:sectPr>
          <w:pgSz w:w="11900" w:h="16838" w:orient="portrait"/>
          <w:cols w:equalWidth="0" w:num="1">
            <w:col w:w="11020"/>
          </w:cols>
          <w:pgMar w:left="440" w:top="274" w:right="439" w:bottom="1440" w:gutter="0" w:footer="0" w:header="0"/>
        </w:sectPr>
      </w:pPr>
    </w:p>
    <w:bookmarkStart w:id="91" w:name="page92"/>
    <w:bookmarkEnd w:id="9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3.06.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6" w:lineRule="auto"/>
        <w:tabs>
          <w:tab w:leader="none" w:pos="685"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Each Lender may fund any Borrowing through any Lending Office,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exercise of this option shall not affect the obligation of the Borrower to repay the Borrowing in accordance with the terms of this Agreement.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requires the Borrower to pay any Indemnified Taxes or additional amounts to any Lender, any L/C Issuer, or any Governmental Authority for the account of any Lender or any L/C Issuer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or if any Lender gives a notice pursuant to</w:t>
      </w:r>
    </w:p>
    <w:p>
      <w:pPr>
        <w:spacing w:after="0" w:line="1" w:lineRule="exact"/>
        <w:rPr>
          <w:rFonts w:ascii="Arial" w:cs="Arial" w:eastAsia="Arial" w:hAnsi="Arial"/>
          <w:sz w:val="16"/>
          <w:szCs w:val="16"/>
          <w:color w:val="auto"/>
        </w:rPr>
      </w:pPr>
    </w:p>
    <w:p>
      <w:pPr>
        <w:ind w:right="40"/>
        <w:spacing w:after="0" w:line="269" w:lineRule="auto"/>
        <w:rPr>
          <w:rFonts w:ascii="Arial" w:cs="Arial" w:eastAsia="Arial" w:hAnsi="Arial"/>
          <w:sz w:val="16"/>
          <w:szCs w:val="16"/>
          <w:color w:val="auto"/>
        </w:rPr>
      </w:pP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then at the request of the Borrower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as the case may be, in the future, or eliminate the need for the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and (ii) in each case, would not subject such Lender or such L/C Issuer, as the case may be, to any unreimbursed cost or expense and would not otherwise be disadvantageous to such Lender or such L/C Issuer, as the case may be. The Borrower hereby agrees to pay all reasonable costs and expenses incurred by any Lender or any L/C Issuer in connection with any such designation or assignment.</w:t>
      </w:r>
    </w:p>
    <w:p>
      <w:pPr>
        <w:spacing w:after="0" w:line="72" w:lineRule="exact"/>
        <w:rPr>
          <w:rFonts w:ascii="Arial" w:cs="Arial" w:eastAsia="Arial" w:hAnsi="Arial"/>
          <w:sz w:val="16"/>
          <w:szCs w:val="16"/>
          <w:color w:val="auto"/>
        </w:rPr>
      </w:pPr>
    </w:p>
    <w:p>
      <w:pPr>
        <w:ind w:firstLine="444"/>
        <w:spacing w:after="0" w:line="259" w:lineRule="auto"/>
        <w:tabs>
          <w:tab w:leader="none" w:pos="695"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8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of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Commitments, repayment of all other Obligations hereunder, and resignation of the Administrative Agent.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PRECEDENT TO CLOSING AND BORROWING</w:t>
      </w:r>
    </w:p>
    <w:p>
      <w:pPr>
        <w:spacing w:after="0" w:line="21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Conditions of Closing and Initial Borrowing</w:t>
      </w:r>
      <w:r>
        <w:rPr>
          <w:rFonts w:ascii="Arial" w:cs="Arial" w:eastAsia="Arial" w:hAnsi="Arial"/>
          <w:sz w:val="18"/>
          <w:szCs w:val="18"/>
          <w:color w:val="auto"/>
        </w:rPr>
        <w:t>. The effectiveness of this Agreement and the obligation of each Lender and each L/C Issuer to make its Loans on the Closing Date are subject to satisfaction of the following conditions precedent:</w:t>
      </w:r>
    </w:p>
    <w:p>
      <w:pPr>
        <w:spacing w:after="0" w:line="62" w:lineRule="exact"/>
        <w:rPr>
          <w:sz w:val="20"/>
          <w:szCs w:val="20"/>
          <w:color w:val="auto"/>
        </w:rPr>
      </w:pPr>
    </w:p>
    <w:p>
      <w:pPr>
        <w:ind w:left="440" w:firstLine="428"/>
        <w:spacing w:after="0" w:line="259" w:lineRule="auto"/>
        <w:tabs>
          <w:tab w:leader="none" w:pos="110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78" w:lineRule="exact"/>
        <w:rPr>
          <w:rFonts w:ascii="Arial" w:cs="Arial" w:eastAsia="Arial" w:hAnsi="Arial"/>
          <w:sz w:val="18"/>
          <w:szCs w:val="18"/>
          <w:color w:val="auto"/>
        </w:rPr>
      </w:pPr>
    </w:p>
    <w:p>
      <w:pPr>
        <w:ind w:left="1620" w:hanging="223"/>
        <w:spacing w:after="0"/>
        <w:tabs>
          <w:tab w:leader="none" w:pos="1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executed counterparts of this Agreement and the Guaranty;</w:t>
      </w:r>
    </w:p>
    <w:p>
      <w:pPr>
        <w:spacing w:after="0" w:line="117" w:lineRule="exact"/>
        <w:rPr>
          <w:rFonts w:ascii="Arial" w:cs="Arial" w:eastAsia="Arial" w:hAnsi="Arial"/>
          <w:sz w:val="18"/>
          <w:szCs w:val="18"/>
          <w:color w:val="auto"/>
        </w:rPr>
      </w:pPr>
    </w:p>
    <w:p>
      <w:pPr>
        <w:ind w:left="1000" w:right="140" w:firstLine="397"/>
        <w:spacing w:after="0" w:line="308" w:lineRule="auto"/>
        <w:tabs>
          <w:tab w:leader="none" w:pos="1666" w:val="left"/>
        </w:tabs>
        <w:numPr>
          <w:ilvl w:val="1"/>
          <w:numId w:val="126"/>
        </w:numPr>
        <w:rPr>
          <w:rFonts w:ascii="Arial" w:cs="Arial" w:eastAsia="Arial" w:hAnsi="Arial"/>
          <w:sz w:val="17"/>
          <w:szCs w:val="17"/>
          <w:color w:val="auto"/>
        </w:rPr>
      </w:pPr>
      <w:r>
        <w:rPr>
          <w:rFonts w:ascii="Arial" w:cs="Arial" w:eastAsia="Arial" w:hAnsi="Arial"/>
          <w:sz w:val="17"/>
          <w:szCs w:val="17"/>
          <w:color w:val="auto"/>
        </w:rPr>
        <w:t>(A) a Revolving Credit Note executed by the Borrower in favor of each Revolving Credit Lender requesting a Revolving Credit Note, and (B) a Term Note executed by the Borrower in favor of each Term Lender requesting a Term Note;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E-4-66</w:t>
      </w:r>
    </w:p>
    <w:p>
      <w:pPr>
        <w:sectPr>
          <w:pgSz w:w="11900" w:h="16838" w:orient="portrait"/>
          <w:cols w:equalWidth="0" w:num="1">
            <w:col w:w="11000"/>
          </w:cols>
          <w:pgMar w:left="440" w:top="274" w:right="459" w:bottom="1440" w:gutter="0" w:footer="0" w:header="0"/>
        </w:sectPr>
      </w:pPr>
    </w:p>
    <w:bookmarkStart w:id="92" w:name="page93"/>
    <w:bookmarkEnd w:id="92"/>
    <w:p>
      <w:pPr>
        <w:ind w:right="380" w:firstLine="397"/>
        <w:spacing w:after="0" w:line="342" w:lineRule="auto"/>
        <w:tabs>
          <w:tab w:leader="none" w:pos="716" w:val="left"/>
        </w:tabs>
        <w:numPr>
          <w:ilvl w:val="0"/>
          <w:numId w:val="1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security agreement (together with each other security agreement and security agreement supplement delivered pursuant to </w:t>
      </w:r>
      <w:r>
        <w:rPr>
          <w:rFonts w:ascii="Arial" w:cs="Arial" w:eastAsia="Arial" w:hAnsi="Arial"/>
          <w:sz w:val="16"/>
          <w:szCs w:val="16"/>
          <w:u w:val="single" w:color="auto"/>
          <w:color w:val="auto"/>
        </w:rPr>
        <w:t>Section 6.12</w:t>
      </w:r>
      <w:r>
        <w:rPr>
          <w:rFonts w:ascii="Arial" w:cs="Arial" w:eastAsia="Arial" w:hAnsi="Arial"/>
          <w:sz w:val="16"/>
          <w:szCs w:val="16"/>
          <w:color w:val="auto"/>
        </w:rPr>
        <w:t>, in each case as amended,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 duly executed by each Loan Party, together with:</w:t>
      </w:r>
    </w:p>
    <w:p>
      <w:pPr>
        <w:spacing w:after="0" w:line="15" w:lineRule="exact"/>
        <w:rPr>
          <w:rFonts w:ascii="Arial" w:cs="Arial" w:eastAsia="Arial" w:hAnsi="Arial"/>
          <w:sz w:val="16"/>
          <w:szCs w:val="16"/>
          <w:color w:val="auto"/>
        </w:rPr>
      </w:pPr>
    </w:p>
    <w:p>
      <w:pPr>
        <w:ind w:left="440" w:right="60" w:firstLine="380"/>
        <w:spacing w:after="0" w:line="308" w:lineRule="auto"/>
        <w:tabs>
          <w:tab w:leader="none" w:pos="1118" w:val="left"/>
        </w:tabs>
        <w:numPr>
          <w:ilvl w:val="1"/>
          <w:numId w:val="127"/>
        </w:numPr>
        <w:rPr>
          <w:rFonts w:ascii="Arial" w:cs="Arial" w:eastAsia="Arial" w:hAnsi="Arial"/>
          <w:sz w:val="17"/>
          <w:szCs w:val="17"/>
          <w:color w:val="auto"/>
        </w:rPr>
      </w:pPr>
      <w:r>
        <w:rPr>
          <w:rFonts w:ascii="Arial" w:cs="Arial" w:eastAsia="Arial" w:hAnsi="Arial"/>
          <w:sz w:val="17"/>
          <w:szCs w:val="17"/>
          <w:color w:val="auto"/>
        </w:rPr>
        <w:t>certificates and instruments representing the Collateral consisting of Certificated Securities or Instruments (each such term as defined in the UCC) accompanied by undated stock powers, allonges or instruments of transfer executed in blank;</w:t>
      </w:r>
    </w:p>
    <w:p>
      <w:pPr>
        <w:spacing w:after="0" w:line="38" w:lineRule="exact"/>
        <w:rPr>
          <w:rFonts w:ascii="Arial" w:cs="Arial" w:eastAsia="Arial" w:hAnsi="Arial"/>
          <w:sz w:val="17"/>
          <w:szCs w:val="17"/>
          <w:color w:val="auto"/>
        </w:rPr>
      </w:pPr>
    </w:p>
    <w:p>
      <w:pPr>
        <w:ind w:left="440" w:right="120" w:firstLine="380"/>
        <w:spacing w:after="0" w:line="264" w:lineRule="auto"/>
        <w:tabs>
          <w:tab w:leader="none" w:pos="110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proper UCC financing statements in form appropriate for filing under the Uniform Commercial Code of all jurisdictions that the Administrative Agent may deem necessary or desirable in order to perfect the Liens created under the Security Agreement, covering the Collateral described in the Security Agreement;</w:t>
      </w:r>
    </w:p>
    <w:p>
      <w:pPr>
        <w:spacing w:after="0" w:line="73" w:lineRule="exact"/>
        <w:rPr>
          <w:rFonts w:ascii="Arial" w:cs="Arial" w:eastAsia="Arial" w:hAnsi="Arial"/>
          <w:sz w:val="18"/>
          <w:szCs w:val="18"/>
          <w:color w:val="auto"/>
        </w:rPr>
      </w:pPr>
    </w:p>
    <w:p>
      <w:pPr>
        <w:ind w:left="440" w:right="40" w:firstLine="380"/>
        <w:spacing w:after="0" w:line="293" w:lineRule="auto"/>
        <w:tabs>
          <w:tab w:leader="none" w:pos="1108" w:val="left"/>
        </w:tabs>
        <w:numPr>
          <w:ilvl w:val="1"/>
          <w:numId w:val="127"/>
        </w:numPr>
        <w:rPr>
          <w:rFonts w:ascii="Arial" w:cs="Arial" w:eastAsia="Arial" w:hAnsi="Arial"/>
          <w:sz w:val="16"/>
          <w:szCs w:val="16"/>
          <w:color w:val="auto"/>
        </w:rPr>
      </w:pPr>
      <w:r>
        <w:rPr>
          <w:rFonts w:ascii="Arial" w:cs="Arial" w:eastAsia="Arial" w:hAnsi="Arial"/>
          <w:sz w:val="16"/>
          <w:szCs w:val="16"/>
          <w:color w:val="auto"/>
        </w:rPr>
        <w:t xml:space="preserve">certified copies of UCC, United States Patent and Trademark Office and United States Copyright Office, tax and judgment lien searches, or equivalent reports or searches, each of a recent date listing all effective financing statements, lien notices or comparable documents (together with copies of such financing statements and documents) that name any Loan Party as debtor and that are filed in those state and county jurisdictions in which any Loan Party is organized or maintains its principal place of business and such other searches that the Administrative Agent deems necessary or appropriate, none of which encumber the Collateral covered or intended to be covered by the Collateral Documents (other than Liens permitted under </w:t>
      </w:r>
      <w:r>
        <w:rPr>
          <w:rFonts w:ascii="Arial" w:cs="Arial" w:eastAsia="Arial" w:hAnsi="Arial"/>
          <w:sz w:val="16"/>
          <w:szCs w:val="16"/>
          <w:u w:val="single" w:color="auto"/>
          <w:color w:val="auto"/>
        </w:rPr>
        <w:t>Section 7.01</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40" w:right="80" w:firstLine="380"/>
        <w:spacing w:after="0" w:line="277" w:lineRule="auto"/>
        <w:tabs>
          <w:tab w:leader="none" w:pos="111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Deposit Account Control Agreements and the Securities Account Control Agreement, in each case as referred to in the Security Agreement and duly executed by the appropriate parties; and</w:t>
      </w:r>
    </w:p>
    <w:p>
      <w:pPr>
        <w:spacing w:after="0" w:line="62" w:lineRule="exact"/>
        <w:rPr>
          <w:rFonts w:ascii="Arial" w:cs="Arial" w:eastAsia="Arial" w:hAnsi="Arial"/>
          <w:sz w:val="18"/>
          <w:szCs w:val="18"/>
          <w:color w:val="auto"/>
        </w:rPr>
      </w:pPr>
    </w:p>
    <w:p>
      <w:pPr>
        <w:ind w:left="440" w:right="60" w:firstLine="380"/>
        <w:spacing w:after="0" w:line="259" w:lineRule="auto"/>
        <w:tabs>
          <w:tab w:leader="none" w:pos="109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evidence that all other actions, recordings and filings that the Administrative Agent may deem necessary or desirable in order to perfect or protect the Liens created under the Security Agreement has been taken (including receipt of duly executed payoff letters, UCC-3 termination statements, evidence and endorsement of insurance policies and landlords’ and bailees’ waiver and consent agreements);</w:t>
      </w:r>
    </w:p>
    <w:p>
      <w:pPr>
        <w:spacing w:after="0" w:line="78" w:lineRule="exact"/>
        <w:rPr>
          <w:rFonts w:ascii="Arial" w:cs="Arial" w:eastAsia="Arial" w:hAnsi="Arial"/>
          <w:sz w:val="18"/>
          <w:szCs w:val="18"/>
          <w:color w:val="auto"/>
        </w:rPr>
      </w:pPr>
    </w:p>
    <w:p>
      <w:pPr>
        <w:ind w:right="20" w:firstLine="397"/>
        <w:spacing w:after="0" w:line="276" w:lineRule="auto"/>
        <w:tabs>
          <w:tab w:leader="none" w:pos="70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a Copyright Security Agreement, Patent Security Agreement and Trademark Security Agreement (collectively, and together with each other intellectual property security agreement delivered pursuant to </w:t>
      </w:r>
      <w:r>
        <w:rPr>
          <w:rFonts w:ascii="Arial" w:cs="Arial" w:eastAsia="Arial" w:hAnsi="Arial"/>
          <w:sz w:val="17"/>
          <w:szCs w:val="17"/>
          <w:u w:val="single" w:color="auto"/>
          <w:color w:val="auto"/>
        </w:rPr>
        <w:t>Section 6.12</w:t>
      </w:r>
      <w:r>
        <w:rPr>
          <w:rFonts w:ascii="Arial" w:cs="Arial" w:eastAsia="Arial" w:hAnsi="Arial"/>
          <w:sz w:val="17"/>
          <w:szCs w:val="17"/>
          <w:color w:val="auto"/>
        </w:rPr>
        <w:t>, in each case as amended, the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Security Agreements</w:t>
      </w:r>
      <w:r>
        <w:rPr>
          <w:rFonts w:ascii="Arial" w:cs="Arial" w:eastAsia="Arial" w:hAnsi="Arial"/>
          <w:sz w:val="17"/>
          <w:szCs w:val="17"/>
          <w:color w:val="auto"/>
        </w:rPr>
        <w:t>” and each, individually, an “</w:t>
      </w:r>
      <w:r>
        <w:rPr>
          <w:rFonts w:ascii="Arial" w:cs="Arial" w:eastAsia="Arial" w:hAnsi="Arial"/>
          <w:sz w:val="17"/>
          <w:szCs w:val="17"/>
          <w:u w:val="single" w:color="auto"/>
          <w:color w:val="auto"/>
        </w:rPr>
        <w:t>Intellectual Property Security Agreement</w:t>
      </w:r>
      <w:r>
        <w:rPr>
          <w:rFonts w:ascii="Arial" w:cs="Arial" w:eastAsia="Arial" w:hAnsi="Arial"/>
          <w:sz w:val="17"/>
          <w:szCs w:val="17"/>
          <w:color w:val="auto"/>
        </w:rPr>
        <w:t>”), duly executed by each Loan Party, together with evidence that all action that the Administrative Agent may deem necessary or desirable in order to perfect the Liens created under the Intellectual Property Security Agreement has been taken;</w:t>
      </w:r>
    </w:p>
    <w:p>
      <w:pPr>
        <w:spacing w:after="0" w:line="64" w:lineRule="exact"/>
        <w:rPr>
          <w:rFonts w:ascii="Arial" w:cs="Arial" w:eastAsia="Arial" w:hAnsi="Arial"/>
          <w:sz w:val="17"/>
          <w:szCs w:val="17"/>
          <w:color w:val="auto"/>
        </w:rPr>
      </w:pPr>
    </w:p>
    <w:p>
      <w:pPr>
        <w:ind w:right="40" w:firstLine="397"/>
        <w:spacing w:after="0" w:line="259" w:lineRule="auto"/>
        <w:tabs>
          <w:tab w:leader="none" w:pos="65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such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or is to be a party;</w:t>
      </w:r>
    </w:p>
    <w:p>
      <w:pPr>
        <w:spacing w:after="0" w:line="78" w:lineRule="exact"/>
        <w:rPr>
          <w:rFonts w:ascii="Arial" w:cs="Arial" w:eastAsia="Arial" w:hAnsi="Arial"/>
          <w:sz w:val="18"/>
          <w:szCs w:val="18"/>
          <w:color w:val="auto"/>
        </w:rPr>
      </w:pPr>
    </w:p>
    <w:p>
      <w:pPr>
        <w:ind w:firstLine="397"/>
        <w:spacing w:after="0" w:line="279" w:lineRule="auto"/>
        <w:tabs>
          <w:tab w:leader="none" w:pos="70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such documents and certifications as the Administrative Agent may reasonably require to evidence that each Loan Party is duly organized or formed, and that the Borrower and each other Loan Party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63" w:lineRule="exact"/>
        <w:rPr>
          <w:rFonts w:ascii="Arial" w:cs="Arial" w:eastAsia="Arial" w:hAnsi="Arial"/>
          <w:sz w:val="17"/>
          <w:szCs w:val="17"/>
          <w:color w:val="auto"/>
        </w:rPr>
      </w:pPr>
    </w:p>
    <w:p>
      <w:pPr>
        <w:ind w:right="140" w:firstLine="397"/>
        <w:spacing w:after="0" w:line="259" w:lineRule="auto"/>
        <w:tabs>
          <w:tab w:leader="none" w:pos="75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favorable opinion of (A) Husch Blackwell LLP, counsel to the Loan Parties, and (B) appropriate local counsel to the Loan Parties (which counsel shall be reasonably satisfactory to the Administrative Agent), in each case addressed to the Administrative Agent, each L/C Issuer and each Lender, as to such matters concerning the Loan Parties and the Loan Documents as the Administrative Agent may reasonably request;</w:t>
      </w:r>
    </w:p>
    <w:p>
      <w:pPr>
        <w:spacing w:after="0" w:line="11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E-4-67</w:t>
      </w:r>
    </w:p>
    <w:p>
      <w:pPr>
        <w:sectPr>
          <w:pgSz w:w="11900" w:h="16838" w:orient="portrait"/>
          <w:cols w:equalWidth="0" w:num="1">
            <w:col w:w="10000"/>
          </w:cols>
          <w:pgMar w:left="1440" w:top="274" w:right="459" w:bottom="1440" w:gutter="0" w:footer="0" w:header="0"/>
        </w:sectPr>
      </w:pPr>
    </w:p>
    <w:bookmarkStart w:id="93" w:name="page94"/>
    <w:bookmarkEnd w:id="93"/>
    <w:p>
      <w:pPr>
        <w:ind w:firstLine="397"/>
        <w:spacing w:after="0" w:line="270" w:lineRule="auto"/>
        <w:tabs>
          <w:tab w:leader="none" w:pos="806" w:val="left"/>
        </w:tabs>
        <w:numPr>
          <w:ilvl w:val="0"/>
          <w:numId w:val="1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certificate signed by a Responsible Officer of the Borrower (A) certifying that (1) each of the representations and warranties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hereof, in each other Loan Document and in any document furnished at any time under or in connection herewith or therewith, shall be true and correct in all material respects (or, if any such representation or warranty is by its terms qualified by concepts of materiality or reference to Material Adverse Effect, such representation or warranty shall be true and correct in all respects) on and as of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the Company and its Subsidiaries, the only such representations and warranties the accuracy of which shall be a condition to the availability of the Loans on the Closing Date shall be the Specified Representations; (2) each of the Specified Purchase Agreement Representations shall be true and correct to the extent provided in, and subject to, </w:t>
      </w:r>
      <w:r>
        <w:rPr>
          <w:rFonts w:ascii="Arial" w:cs="Arial" w:eastAsia="Arial" w:hAnsi="Arial"/>
          <w:sz w:val="17"/>
          <w:szCs w:val="17"/>
          <w:u w:val="single" w:color="auto"/>
          <w:color w:val="auto"/>
        </w:rPr>
        <w:t>Section 7.02(a)</w:t>
      </w:r>
      <w:r>
        <w:rPr>
          <w:rFonts w:ascii="Arial" w:cs="Arial" w:eastAsia="Arial" w:hAnsi="Arial"/>
          <w:sz w:val="17"/>
          <w:szCs w:val="17"/>
          <w:color w:val="auto"/>
        </w:rPr>
        <w:t xml:space="preserve"> of the Closing Date Acquisition Agreement; and (3) since May 31, 2015, there shall not have been any Company Material Adverse Effect, nor shall any event or events have occurred that, individually or in the aggregate, with or without the lapse of time, would reasonably be expected to result in a Company Material Adverse Effect and (B) either</w:t>
      </w:r>
    </w:p>
    <w:p>
      <w:pPr>
        <w:spacing w:after="0" w:line="69" w:lineRule="exact"/>
        <w:rPr>
          <w:rFonts w:ascii="Arial" w:cs="Arial" w:eastAsia="Arial" w:hAnsi="Arial"/>
          <w:sz w:val="17"/>
          <w:szCs w:val="17"/>
          <w:color w:val="auto"/>
        </w:rPr>
      </w:pPr>
    </w:p>
    <w:p>
      <w:pPr>
        <w:jc w:val="both"/>
        <w:ind w:left="440" w:right="120" w:firstLine="380"/>
        <w:spacing w:after="0" w:line="312" w:lineRule="auto"/>
        <w:tabs>
          <w:tab w:leader="none" w:pos="1078" w:val="left"/>
        </w:tabs>
        <w:numPr>
          <w:ilvl w:val="1"/>
          <w:numId w:val="128"/>
        </w:numPr>
        <w:rPr>
          <w:rFonts w:ascii="Arial" w:cs="Arial" w:eastAsia="Arial" w:hAnsi="Arial"/>
          <w:sz w:val="16"/>
          <w:szCs w:val="16"/>
          <w:color w:val="auto"/>
        </w:rPr>
      </w:pPr>
      <w:r>
        <w:rPr>
          <w:rFonts w:ascii="Arial" w:cs="Arial" w:eastAsia="Arial" w:hAnsi="Arial"/>
          <w:sz w:val="16"/>
          <w:szCs w:val="16"/>
          <w:color w:val="auto"/>
        </w:rPr>
        <w:t>attaching copies of all consents, licenses and approvals required in connection with the consummation by such Loan Party of the Transaction and the execution, delivery and performance by such Loan Party and the validity against such Loan Party of the Loan Documents to which it is a party, and such consents, licenses and approvals shall be in full force and effect, or</w:t>
      </w:r>
    </w:p>
    <w:p>
      <w:pPr>
        <w:spacing w:after="0" w:line="38" w:lineRule="exact"/>
        <w:rPr>
          <w:rFonts w:ascii="Arial" w:cs="Arial" w:eastAsia="Arial" w:hAnsi="Arial"/>
          <w:sz w:val="16"/>
          <w:szCs w:val="16"/>
          <w:color w:val="auto"/>
        </w:rPr>
      </w:pPr>
    </w:p>
    <w:p>
      <w:pPr>
        <w:ind w:left="1080" w:hanging="260"/>
        <w:spacing w:after="0"/>
        <w:tabs>
          <w:tab w:leader="none" w:pos="10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stating that no such consents, licenses or approvals are so required;</w:t>
      </w:r>
    </w:p>
    <w:p>
      <w:pPr>
        <w:spacing w:after="0" w:line="117" w:lineRule="exact"/>
        <w:rPr>
          <w:rFonts w:ascii="Arial" w:cs="Arial" w:eastAsia="Arial" w:hAnsi="Arial"/>
          <w:sz w:val="18"/>
          <w:szCs w:val="18"/>
          <w:color w:val="auto"/>
        </w:rPr>
      </w:pPr>
    </w:p>
    <w:p>
      <w:pPr>
        <w:jc w:val="both"/>
        <w:ind w:right="80" w:firstLine="397"/>
        <w:spacing w:after="0" w:line="302" w:lineRule="auto"/>
        <w:tabs>
          <w:tab w:leader="none" w:pos="70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unaudited consolidated balance sheets and related consolidated statements of income and cash flows for the fiscal quarter ended June 30, 2015 and each fiscal quarter ended after June 30, 2015 and at least 45 days prior to the Closing Date (if any) of (A) the Borrower and its Subsidiaries, on a consolidated basis (collectively, the “</w:t>
      </w:r>
      <w:r>
        <w:rPr>
          <w:rFonts w:ascii="Arial" w:cs="Arial" w:eastAsia="Arial" w:hAnsi="Arial"/>
          <w:sz w:val="16"/>
          <w:szCs w:val="16"/>
          <w:u w:val="single" w:color="auto"/>
          <w:color w:val="auto"/>
        </w:rPr>
        <w:t>Borrower Interim Financial Statements</w:t>
      </w:r>
      <w:r>
        <w:rPr>
          <w:rFonts w:ascii="Arial" w:cs="Arial" w:eastAsia="Arial" w:hAnsi="Arial"/>
          <w:sz w:val="16"/>
          <w:szCs w:val="16"/>
          <w:color w:val="auto"/>
        </w:rPr>
        <w:t>”) and (B) the Company and its Subsidiaries, on a consolidated basis (the “</w:t>
      </w:r>
      <w:r>
        <w:rPr>
          <w:rFonts w:ascii="Arial" w:cs="Arial" w:eastAsia="Arial" w:hAnsi="Arial"/>
          <w:sz w:val="16"/>
          <w:szCs w:val="16"/>
          <w:u w:val="single" w:color="auto"/>
          <w:color w:val="auto"/>
        </w:rPr>
        <w:t>Company Interim Financial Statements</w:t>
      </w:r>
      <w:r>
        <w:rPr>
          <w:rFonts w:ascii="Arial" w:cs="Arial" w:eastAsia="Arial" w:hAnsi="Arial"/>
          <w:sz w:val="16"/>
          <w:szCs w:val="16"/>
          <w:color w:val="auto"/>
        </w:rPr>
        <w:t>”) and the Audited Financial Statements;</w:t>
      </w:r>
    </w:p>
    <w:p>
      <w:pPr>
        <w:spacing w:after="0" w:line="46" w:lineRule="exact"/>
        <w:rPr>
          <w:rFonts w:ascii="Arial" w:cs="Arial" w:eastAsia="Arial" w:hAnsi="Arial"/>
          <w:sz w:val="16"/>
          <w:szCs w:val="16"/>
          <w:color w:val="auto"/>
        </w:rPr>
      </w:pPr>
    </w:p>
    <w:p>
      <w:pPr>
        <w:ind w:firstLine="397"/>
        <w:spacing w:after="0" w:line="293" w:lineRule="auto"/>
        <w:tabs>
          <w:tab w:leader="none" w:pos="65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consolidated balance sheet as of the last day of the most recent fiscal quarter ended June 30, 2015 and related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forma </w:t>
      </w:r>
      <w:r>
        <w:rPr>
          <w:rFonts w:ascii="Arial" w:cs="Arial" w:eastAsia="Arial" w:hAnsi="Arial"/>
          <w:sz w:val="16"/>
          <w:szCs w:val="16"/>
          <w:color w:val="auto"/>
        </w:rPr>
        <w:t>consolidated statements of income and cash flows of the Borrower and its Subsidiaries as of and for the most recent four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period ended June 30, 2015, prepared (after giving effect to the Transactions and the incurrence and repayment of Indebtedness related thereto) as if all of the Transactions occurring on the Closing Date had occurred as of the last day of such four-quarter period (in the case of such balance sheet) or at the beginning of such period (in the case of such other financial statements), in each case calculated in accordance with GAAP and Regulation S-X of the Securities Act of 1933 (the “</w:t>
      </w:r>
      <w:r>
        <w:rPr>
          <w:rFonts w:ascii="Arial" w:cs="Arial" w:eastAsia="Arial" w:hAnsi="Arial"/>
          <w:sz w:val="16"/>
          <w:szCs w:val="16"/>
          <w:u w:val="single" w:color="auto"/>
          <w:color w:val="auto"/>
        </w:rPr>
        <w:t>Borrower Pro Forma Financial Statements</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jc w:val="both"/>
        <w:ind w:right="40" w:firstLine="397"/>
        <w:spacing w:after="0" w:line="259" w:lineRule="auto"/>
        <w:tabs>
          <w:tab w:leader="none" w:pos="70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then most recent five-year forecasts prepared by management of the Borrower (after giving effect to the Transactions and the incurrence and repayment of Indebtedness related thereto) of consolidated balance sheets and statements of income or operations and cash flows of the Borrower and its Subsidiaries on a quarterly basis for the first year following the Closing Date and on an annual basis thereafter;</w:t>
      </w:r>
    </w:p>
    <w:p>
      <w:pPr>
        <w:spacing w:after="0" w:line="78" w:lineRule="exact"/>
        <w:rPr>
          <w:rFonts w:ascii="Arial" w:cs="Arial" w:eastAsia="Arial" w:hAnsi="Arial"/>
          <w:sz w:val="18"/>
          <w:szCs w:val="18"/>
          <w:color w:val="auto"/>
        </w:rPr>
      </w:pPr>
    </w:p>
    <w:p>
      <w:pPr>
        <w:ind w:right="100" w:firstLine="397"/>
        <w:spacing w:after="0" w:line="276" w:lineRule="auto"/>
        <w:tabs>
          <w:tab w:leader="none" w:pos="75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a certificate of a Financial Officer of the Borrower attesting (A) to the Solvency of the Borrower and its Subsidiaries on a consolidated basis (after giving effect to the Transactions and the incurrence and repayment of Indebtedness related thereto) and (B) that the Borrower Pro Forma Financial Statements and forecasts required under this </w:t>
      </w:r>
      <w:r>
        <w:rPr>
          <w:rFonts w:ascii="Arial" w:cs="Arial" w:eastAsia="Arial" w:hAnsi="Arial"/>
          <w:sz w:val="17"/>
          <w:szCs w:val="17"/>
          <w:u w:val="single" w:color="auto"/>
          <w:color w:val="auto"/>
        </w:rPr>
        <w:t>Section 4.01(a)</w:t>
      </w:r>
      <w:r>
        <w:rPr>
          <w:rFonts w:ascii="Arial" w:cs="Arial" w:eastAsia="Arial" w:hAnsi="Arial"/>
          <w:sz w:val="17"/>
          <w:szCs w:val="17"/>
          <w:color w:val="auto"/>
        </w:rPr>
        <w:t xml:space="preserve"> accurately present the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position of the Borrower and its Subsidiaries in accordance with GAAP and Regulation S-X of the Securities Act of 1933 (and in any event after giving effect to the Transactions and the incurrence and repayment of Indebtedness related thereto);</w:t>
      </w:r>
    </w:p>
    <w:p>
      <w:pPr>
        <w:spacing w:after="0" w:line="105"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E-4-68</w:t>
      </w:r>
    </w:p>
    <w:p>
      <w:pPr>
        <w:sectPr>
          <w:pgSz w:w="11900" w:h="16838" w:orient="portrait"/>
          <w:cols w:equalWidth="0" w:num="1">
            <w:col w:w="10000"/>
          </w:cols>
          <w:pgMar w:left="1440" w:top="274" w:right="459" w:bottom="1440" w:gutter="0" w:footer="0" w:header="0"/>
        </w:sectPr>
      </w:pPr>
    </w:p>
    <w:bookmarkStart w:id="94" w:name="page95"/>
    <w:bookmarkEnd w:id="94"/>
    <w:p>
      <w:pPr>
        <w:ind w:left="560" w:firstLine="397"/>
        <w:spacing w:after="0" w:line="312" w:lineRule="auto"/>
        <w:tabs>
          <w:tab w:leader="none" w:pos="1366" w:val="left"/>
        </w:tabs>
        <w:numPr>
          <w:ilvl w:val="0"/>
          <w:numId w:val="1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evidence (including customary payoff letters) that all Existing Indebtedness has been, or concurrently with the funding of the Loans will be, repaid in full, all commitments thereunder have been, or concurrently with the funding of the Loans will be, terminated, and all Liens securing obligations thereunder have been, or substantially concurrently with the funding of the Loans will be, released;</w:t>
      </w:r>
    </w:p>
    <w:p>
      <w:pPr>
        <w:spacing w:after="0" w:line="38" w:lineRule="exact"/>
        <w:rPr>
          <w:rFonts w:ascii="Arial" w:cs="Arial" w:eastAsia="Arial" w:hAnsi="Arial"/>
          <w:sz w:val="16"/>
          <w:szCs w:val="16"/>
          <w:color w:val="auto"/>
        </w:rPr>
      </w:pPr>
    </w:p>
    <w:p>
      <w:pPr>
        <w:ind w:left="1360" w:hanging="403"/>
        <w:spacing w:after="0"/>
        <w:tabs>
          <w:tab w:leader="none" w:pos="13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the Borrower selects the Eurodollar Rate for the Borrowing on the Closing Date, a Funding Indemnity Letter;</w:t>
      </w:r>
    </w:p>
    <w:p>
      <w:pPr>
        <w:spacing w:after="0" w:line="117" w:lineRule="exact"/>
        <w:rPr>
          <w:rFonts w:ascii="Arial" w:cs="Arial" w:eastAsia="Arial" w:hAnsi="Arial"/>
          <w:sz w:val="18"/>
          <w:szCs w:val="18"/>
          <w:color w:val="auto"/>
        </w:rPr>
      </w:pPr>
    </w:p>
    <w:p>
      <w:pPr>
        <w:ind w:left="1300" w:hanging="343"/>
        <w:spacing w:after="0"/>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Committed Loan Notice in accordance with the requirements hereof; and</w:t>
      </w:r>
    </w:p>
    <w:p>
      <w:pPr>
        <w:spacing w:after="0" w:line="117" w:lineRule="exact"/>
        <w:rPr>
          <w:rFonts w:ascii="Arial" w:cs="Arial" w:eastAsia="Arial" w:hAnsi="Arial"/>
          <w:sz w:val="18"/>
          <w:szCs w:val="18"/>
          <w:color w:val="auto"/>
        </w:rPr>
      </w:pPr>
    </w:p>
    <w:p>
      <w:pPr>
        <w:ind w:left="560" w:right="300" w:firstLine="397"/>
        <w:spacing w:after="0" w:line="277" w:lineRule="auto"/>
        <w:tabs>
          <w:tab w:leader="none" w:pos="135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executed funds flow statement with respect to all Loans to be advanced on the Closing Date and all other Transactions to occur on the Closing Date.</w:t>
      </w:r>
    </w:p>
    <w:p>
      <w:pPr>
        <w:spacing w:after="0" w:line="62" w:lineRule="exact"/>
        <w:rPr>
          <w:sz w:val="20"/>
          <w:szCs w:val="20"/>
          <w:color w:val="auto"/>
        </w:rPr>
      </w:pPr>
    </w:p>
    <w:p>
      <w:pPr>
        <w:ind w:right="140" w:firstLine="423"/>
        <w:spacing w:after="0" w:line="270" w:lineRule="auto"/>
        <w:rPr>
          <w:sz w:val="20"/>
          <w:szCs w:val="20"/>
          <w:color w:val="auto"/>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to the extent that any security interests in any Collateral or any deliverable related to the perfection of a security interest in any Collateral (other than (1) grants of security interests in Collateral subject to the Uniform Commercial Code (and the equivalent law or statute in the relevant foreign jurisdictions) that may be perfected by the filing of Uniform Commercial Code financing statements (and the equivalents thereof in any relevant foreign jurisdiction), (2) the delivery of stock certificates (or the equivalent thereof) evidencing certificated stock (or other Equity Interests) that is part of the Collateral and (3) the filing of Intellectual Property Security Agreements with the United States Patent and Trademark Office or the United States Copyright Office, as applicable) is not or cannot be perfected on the Closing Date after the Borrower’s use of commercially reasonable efforts to do so, the perfection of security interests therein shall not constitute a condition precedent to the availability of the Loans on the Closing Date, but shall be required to be completed after the Closing Date pursuant to </w:t>
      </w:r>
      <w:r>
        <w:rPr>
          <w:rFonts w:ascii="Arial" w:cs="Arial" w:eastAsia="Arial" w:hAnsi="Arial"/>
          <w:sz w:val="17"/>
          <w:szCs w:val="17"/>
          <w:u w:val="single" w:color="auto"/>
          <w:color w:val="auto"/>
        </w:rPr>
        <w:t>Section 6.17</w:t>
      </w:r>
      <w:r>
        <w:rPr>
          <w:rFonts w:ascii="Arial" w:cs="Arial" w:eastAsia="Arial" w:hAnsi="Arial"/>
          <w:sz w:val="17"/>
          <w:szCs w:val="17"/>
          <w:color w:val="auto"/>
        </w:rPr>
        <w:t>.</w:t>
      </w:r>
    </w:p>
    <w:p>
      <w:pPr>
        <w:spacing w:after="0" w:line="74" w:lineRule="exact"/>
        <w:rPr>
          <w:sz w:val="20"/>
          <w:szCs w:val="20"/>
          <w:color w:val="auto"/>
        </w:rPr>
      </w:pPr>
    </w:p>
    <w:p>
      <w:pPr>
        <w:ind w:right="160" w:firstLine="428"/>
        <w:spacing w:after="0" w:line="312" w:lineRule="auto"/>
        <w:tabs>
          <w:tab w:leader="none" w:pos="67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Borrower and each of the other Loan Parties shall have provided to the Administrative Agent and the Lenders the documentation and other information requested by the Administrative Agent or any Lender at least three (3) Business Days prior to the Closing Date in order to comply with requirements of the PATRIOT Act, applicable “know your customer” and anti-money laundering rules and regulations;</w:t>
      </w:r>
    </w:p>
    <w:p>
      <w:pPr>
        <w:spacing w:after="0" w:line="38" w:lineRule="exact"/>
        <w:rPr>
          <w:rFonts w:ascii="Arial" w:cs="Arial" w:eastAsia="Arial" w:hAnsi="Arial"/>
          <w:sz w:val="16"/>
          <w:szCs w:val="16"/>
          <w:color w:val="auto"/>
        </w:rPr>
      </w:pPr>
    </w:p>
    <w:p>
      <w:pPr>
        <w:ind w:firstLine="428"/>
        <w:spacing w:after="0" w:line="255" w:lineRule="auto"/>
        <w:tabs>
          <w:tab w:leader="none" w:pos="66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The Borrower shall have paid (i) all fees required to be paid to the Administrative Agent and the Arrangers on or before the Closing Date (including, without limitation, all fees, charges and disbursements of counsel to the Administrative Agent (directly to such counsel if requested by the Administrative Agent),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estimate shall not thereafter preclude a final settling of accounts between the Borrower and the Administrative Agent) and (ii) all fees required to be paid to the Lenders on or before the Closing Date;</w:t>
      </w:r>
    </w:p>
    <w:p>
      <w:pPr>
        <w:spacing w:after="0" w:line="85" w:lineRule="exact"/>
        <w:rPr>
          <w:rFonts w:ascii="Arial" w:cs="Arial" w:eastAsia="Arial" w:hAnsi="Arial"/>
          <w:sz w:val="18"/>
          <w:szCs w:val="18"/>
          <w:color w:val="auto"/>
        </w:rPr>
      </w:pPr>
    </w:p>
    <w:p>
      <w:pPr>
        <w:ind w:right="120" w:firstLine="428"/>
        <w:spacing w:after="0" w:line="308" w:lineRule="auto"/>
        <w:tabs>
          <w:tab w:leader="none" w:pos="67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 The Related Documents shall each be in full force and effect and the Arrangers shall have received a true, correct and fully executed copy of each of the Related Documents (certified by a Responsible Officer of the Borrower to be true, correct and complete);</w:t>
      </w:r>
    </w:p>
    <w:p>
      <w:pPr>
        <w:spacing w:after="0" w:line="38" w:lineRule="exact"/>
        <w:rPr>
          <w:sz w:val="20"/>
          <w:szCs w:val="20"/>
          <w:color w:val="auto"/>
        </w:rPr>
      </w:pPr>
    </w:p>
    <w:p>
      <w:pPr>
        <w:ind w:right="80" w:firstLine="428"/>
        <w:spacing w:after="0" w:line="257" w:lineRule="auto"/>
        <w:tabs>
          <w:tab w:leader="none" w:pos="68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Closing Date Acquisition shall have been consummated in accordance with the terms of the Closing Date Acquisition Agreement (without giving effect to any amendment, modification, consent or waiver (including, without limitation, any updates to the exhibits, annexes and schedules thereto) that is materially adverse to the interests of the Lenders (in their capacity as such), either individually or in the aggregate, without the prior written consent of the Administrative Agent and the Lenders) and in compliance with applicable Laws and regulatory and required third party approvals;</w:t>
      </w:r>
    </w:p>
    <w:p>
      <w:pPr>
        <w:spacing w:after="0" w:line="80" w:lineRule="exact"/>
        <w:rPr>
          <w:sz w:val="20"/>
          <w:szCs w:val="20"/>
          <w:color w:val="auto"/>
        </w:rPr>
      </w:pPr>
    </w:p>
    <w:p>
      <w:pPr>
        <w:ind w:right="80" w:firstLine="428"/>
        <w:spacing w:after="0" w:line="297" w:lineRule="auto"/>
        <w:tabs>
          <w:tab w:leader="none" w:pos="66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Each of 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hereof, in each other Loan Document and in any other document furnished at any time under or in connection herewith or therewith, shall be true and correct in all material respects (or, if any such representation or warranty is by its terms qualified by concepts of materiality or reference to Material Adverse Effect, such representation or warranty shall be true and correct in all respects);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the Company and its Subsidiaries, the only such representations and warranties the accuracy of which shall be a condition to the availability of the Loans on the Closing Date shall be the Specified Representations;</w:t>
      </w:r>
    </w:p>
    <w:p>
      <w:pPr>
        <w:spacing w:after="0" w:line="9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E-4-69</w:t>
      </w:r>
    </w:p>
    <w:p>
      <w:pPr>
        <w:sectPr>
          <w:pgSz w:w="11900" w:h="16838" w:orient="portrait"/>
          <w:cols w:equalWidth="0" w:num="1">
            <w:col w:w="10560"/>
          </w:cols>
          <w:pgMar w:left="880" w:top="274" w:right="459" w:bottom="1440" w:gutter="0" w:footer="0" w:header="0"/>
        </w:sectPr>
      </w:pPr>
    </w:p>
    <w:bookmarkStart w:id="95" w:name="page96"/>
    <w:bookmarkEnd w:id="95"/>
    <w:p>
      <w:pPr>
        <w:ind w:left="1100" w:hanging="232"/>
        <w:spacing w:after="0"/>
        <w:tabs>
          <w:tab w:leader="none" w:pos="11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of the Specified Closing Date Acquisition Agreement Representations shall be true and correct;</w:t>
      </w:r>
    </w:p>
    <w:p>
      <w:pPr>
        <w:spacing w:after="0" w:line="117" w:lineRule="exact"/>
        <w:rPr>
          <w:rFonts w:ascii="Arial" w:cs="Arial" w:eastAsia="Arial" w:hAnsi="Arial"/>
          <w:sz w:val="18"/>
          <w:szCs w:val="18"/>
          <w:color w:val="auto"/>
        </w:rPr>
      </w:pPr>
    </w:p>
    <w:p>
      <w:pPr>
        <w:ind w:left="440" w:right="100" w:firstLine="428"/>
        <w:spacing w:after="0" w:line="264" w:lineRule="auto"/>
        <w:tabs>
          <w:tab w:leader="none" w:pos="111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Since May 31, 2015, there shall not have been any Company Material Adverse Effect, nor shall any event or events have occurred that, individually or in the aggregate, with or without the lapse of time, would reasonably be expected to result in a Company Material Adverse Effect; and</w:t>
      </w:r>
    </w:p>
    <w:p>
      <w:pPr>
        <w:spacing w:after="0" w:line="73" w:lineRule="exact"/>
        <w:rPr>
          <w:rFonts w:ascii="Arial" w:cs="Arial" w:eastAsia="Arial" w:hAnsi="Arial"/>
          <w:sz w:val="18"/>
          <w:szCs w:val="18"/>
          <w:color w:val="auto"/>
        </w:rPr>
      </w:pPr>
    </w:p>
    <w:p>
      <w:pPr>
        <w:ind w:left="440" w:right="500" w:firstLine="428"/>
        <w:spacing w:after="0" w:line="277" w:lineRule="auto"/>
        <w:tabs>
          <w:tab w:leader="none" w:pos="111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detailed calculation, in form satisfactory to the Administrative Agent, of the Consolidated Net Leverage Ratio and Consolidated Secured Leverage Ratio, in each case, on a Pro Forma Basis after giving effect to the Transactions.</w:t>
      </w:r>
    </w:p>
    <w:p>
      <w:pPr>
        <w:spacing w:after="0" w:line="170"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 xml:space="preserve">Without limiting the generality of the provisions of the last paragraph of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4.01</w:t>
      </w:r>
      <w:r>
        <w:rPr>
          <w:rFonts w:ascii="Arial" w:cs="Arial" w:eastAsia="Arial" w:hAnsi="Arial"/>
          <w:sz w:val="16"/>
          <w:szCs w:val="16"/>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54"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Conditions to All Credit Extensions</w:t>
      </w:r>
      <w:r>
        <w:rPr>
          <w:rFonts w:ascii="Arial" w:cs="Arial" w:eastAsia="Arial" w:hAnsi="Arial"/>
          <w:sz w:val="18"/>
          <w:szCs w:val="18"/>
          <w:color w:val="auto"/>
        </w:rPr>
        <w:t>. The obligation of each Lender to honor any Request for Credit Extension (other than a Committed Loan Notice requesting only a conversion of Loans to the other Type, or a continuation of Eurodollar Rate Loans) is subject to the following conditions precedent:</w:t>
      </w:r>
    </w:p>
    <w:p>
      <w:pPr>
        <w:spacing w:after="0" w:line="73" w:lineRule="exact"/>
        <w:rPr>
          <w:sz w:val="20"/>
          <w:szCs w:val="20"/>
          <w:color w:val="auto"/>
        </w:rPr>
      </w:pPr>
    </w:p>
    <w:p>
      <w:pPr>
        <w:ind w:left="440" w:right="40" w:firstLine="428"/>
        <w:spacing w:after="0" w:line="290" w:lineRule="auto"/>
        <w:tabs>
          <w:tab w:leader="none" w:pos="110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Except with respect to Credit Extensions on the Closing Date, the representations and warranties of the Borrower and each other Loan Party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any other Loan Document, or which are contained in any document furnished at any time under or in connection herewith or therewith, shall be true and correct in all material respects (or, with respect to representations and warranties modified by a materiality or Material Adverse Effect standard, in all respects) on and as of the date of such Credit Extension, except to the extent that such representations and warranties specifically refer to an earlier date, in which case they shall be true and correct in all material respects (or, with respect to representations and warranties modified by a materiality or Material Adverse Effect standard, in all respects) as of such earlier date, and except that for purposes of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1120" w:hanging="252"/>
        <w:spacing w:after="0"/>
        <w:tabs>
          <w:tab w:leader="none" w:pos="11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117" w:lineRule="exact"/>
        <w:rPr>
          <w:rFonts w:ascii="Arial" w:cs="Arial" w:eastAsia="Arial" w:hAnsi="Arial"/>
          <w:sz w:val="18"/>
          <w:szCs w:val="18"/>
          <w:color w:val="auto"/>
        </w:rPr>
      </w:pPr>
    </w:p>
    <w:p>
      <w:pPr>
        <w:ind w:left="440" w:right="740" w:firstLine="428"/>
        <w:spacing w:after="0" w:line="277" w:lineRule="auto"/>
        <w:tabs>
          <w:tab w:leader="none" w:pos="110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Issuers or the Swing Line Lender shall have received a Request for Credit Extension in accordance with the requirements hereof.</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Each Request for Credit Extension (other than a Committed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E-4-70</w:t>
      </w:r>
    </w:p>
    <w:p>
      <w:pPr>
        <w:sectPr>
          <w:pgSz w:w="11900" w:h="16838" w:orient="portrait"/>
          <w:cols w:equalWidth="0" w:num="1">
            <w:col w:w="11020"/>
          </w:cols>
          <w:pgMar w:left="440" w:top="274" w:right="4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Borrower represents and warrants to the Administrative Agent, the L/C Issuers and the Lenders that:</w:t>
      </w:r>
    </w:p>
    <w:p>
      <w:pPr>
        <w:spacing w:after="0" w:line="117"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u w:val="single" w:color="auto"/>
          <w:color w:val="auto"/>
        </w:rPr>
        <w:t>Corporate Existence; Subsidiaries; Foreign Qualification</w:t>
      </w:r>
      <w:r>
        <w:rPr>
          <w:rFonts w:ascii="Arial" w:cs="Arial" w:eastAsia="Arial" w:hAnsi="Arial"/>
          <w:sz w:val="16"/>
          <w:szCs w:val="16"/>
          <w:color w:val="auto"/>
        </w:rPr>
        <w:t xml:space="preserve">. Each Loan Party and each of its Subsidiaries is duly incorporated or organized (as the case may be), validly existing and in good standing (or comparable concept in the applicable jurisdiction) under the laws of its state or jurisdiction of incorporation or organization, and is duly qualified and authorized to do business and is in good standing (or comparable concept in the applicable jurisdiction) as a foreign entity in the jurisdictions set forth opposite its name on </w:t>
      </w:r>
      <w:r>
        <w:rPr>
          <w:rFonts w:ascii="Arial" w:cs="Arial" w:eastAsia="Arial" w:hAnsi="Arial"/>
          <w:sz w:val="16"/>
          <w:szCs w:val="16"/>
          <w:u w:val="single" w:color="auto"/>
          <w:color w:val="auto"/>
        </w:rPr>
        <w:t>Schedule 5.01</w:t>
      </w:r>
      <w:r>
        <w:rPr>
          <w:rFonts w:ascii="Arial" w:cs="Arial" w:eastAsia="Arial" w:hAnsi="Arial"/>
          <w:sz w:val="16"/>
          <w:szCs w:val="16"/>
          <w:color w:val="auto"/>
        </w:rPr>
        <w:t xml:space="preserve"> hereto, which are all of the states or jurisdictions where the character of its property or its business activities makes such qualification necessary, except where a failure to so qualify, either individually or in the aggregate, would not reasonably be expected to have a Material Adverse Effect. Each Foreign Subsidiary is validly existing under the laws of its jurisdiction of organization. </w:t>
      </w:r>
      <w:r>
        <w:rPr>
          <w:rFonts w:ascii="Arial" w:cs="Arial" w:eastAsia="Arial" w:hAnsi="Arial"/>
          <w:sz w:val="16"/>
          <w:szCs w:val="16"/>
          <w:u w:val="single" w:color="auto"/>
          <w:color w:val="auto"/>
        </w:rPr>
        <w:t>Schedule 5.01</w:t>
      </w:r>
      <w:r>
        <w:rPr>
          <w:rFonts w:ascii="Arial" w:cs="Arial" w:eastAsia="Arial" w:hAnsi="Arial"/>
          <w:sz w:val="16"/>
          <w:szCs w:val="16"/>
          <w:color w:val="auto"/>
        </w:rPr>
        <w:t xml:space="preserve"> hereto sets forth, as of the Closing Date, each Subsidiary of each Loan Party (and whether such Subsidiary is an Inactive Subsidiary, Immaterial Subsidiary, Foreign Subsidiary or Loan Party), its state (or jurisdiction) of formation, its registered office or similar concept if a foreign organization, its relationship to such Loan Party, including the percentage of each class of stock or other Equity Interest owned, directly or indirectly, by a Loan Party, each Person that owns the stock or other Equity Interest of each Loan Party, the location of its chief executive office and its principal place of business. The Borrower, directly or indirectly, owns all of the Equity Interests of each of its Subsidiaries (excluding directors’ qualifying shares and, in the case of Foreign Subsidiaries, other nominal amounts of shares held by a Person other than a Loan Party).</w:t>
      </w:r>
    </w:p>
    <w:p>
      <w:pPr>
        <w:spacing w:after="0" w:line="169"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Corporate Authority</w:t>
      </w:r>
      <w:r>
        <w:rPr>
          <w:rFonts w:ascii="Arial" w:cs="Arial" w:eastAsia="Arial" w:hAnsi="Arial"/>
          <w:sz w:val="16"/>
          <w:szCs w:val="16"/>
          <w:color w:val="auto"/>
        </w:rPr>
        <w:t xml:space="preserve">. Each Loan Party has the right and power and is duly authorized and empowered to enter into, execute and deliver the Loan Documents to which it is a party and to perform and observe the provisions of the Loan Documents. Each Loan Party has duly executed and delivered the Loan Documents to which it is a party. The Loan Documents to which each Loan Party is a party have been duly authorized and approved by Loan Party’s board of directors or other governing body, as applicable, and are the valid and binding obligations of such Loan Party, enforceable against such Loan Party in accordance with their respective terms. The execution, delivery and performance of the Loan Documents do not conflict with, result in a breach in any of the provisions of, constitute a default under, or result in the creation of a Lien (other than Liens permitted under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hereof) upon any assets or property of any Loan Party under the provisions of, (a) such Loan Party’s Organization Documents, (b) any material agreement to which any Loan Party is a party, (c) any order, injunction, writ or decree of any Governmental Authority or (d) any Law, except with respect to any conflict, breach, default or violation referred to in </w:t>
      </w:r>
      <w:r>
        <w:rPr>
          <w:rFonts w:ascii="Arial" w:cs="Arial" w:eastAsia="Arial" w:hAnsi="Arial"/>
          <w:sz w:val="16"/>
          <w:szCs w:val="16"/>
          <w:u w:val="single" w:color="auto"/>
          <w:color w:val="auto"/>
        </w:rPr>
        <w:t>clauses (d)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above, solely to the extent that such conflicts, breaches, defaults or violations, either individually or in the aggregate, would not reasonably be expected to have a Material Adverse Effect.</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 Each Loan Party and each of their Subsidiaries:</w:t>
      </w:r>
    </w:p>
    <w:p>
      <w:pPr>
        <w:spacing w:after="0" w:line="117" w:lineRule="exact"/>
        <w:rPr>
          <w:sz w:val="20"/>
          <w:szCs w:val="20"/>
          <w:color w:val="auto"/>
        </w:rPr>
      </w:pPr>
    </w:p>
    <w:p>
      <w:pPr>
        <w:ind w:left="440" w:right="20" w:firstLine="428"/>
        <w:spacing w:after="0" w:line="264" w:lineRule="auto"/>
        <w:tabs>
          <w:tab w:leader="none" w:pos="110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holds permits, certificates, licenses, orders, registrations, franchises, authorizations, and other approvals from any Governmental Authority necessary for the conduct of its business and is in compliance with all applicable laws relating thereto, except where the failure to do so, either individually or in the aggregate, would not have a Material Adverse Effect;</w:t>
      </w:r>
    </w:p>
    <w:p>
      <w:pPr>
        <w:spacing w:after="0" w:line="73" w:lineRule="exact"/>
        <w:rPr>
          <w:rFonts w:ascii="Arial" w:cs="Arial" w:eastAsia="Arial" w:hAnsi="Arial"/>
          <w:sz w:val="18"/>
          <w:szCs w:val="18"/>
          <w:color w:val="auto"/>
        </w:rPr>
      </w:pPr>
    </w:p>
    <w:p>
      <w:pPr>
        <w:ind w:left="440" w:right="220" w:firstLine="428"/>
        <w:spacing w:after="0" w:line="264" w:lineRule="auto"/>
        <w:tabs>
          <w:tab w:leader="none" w:pos="111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is in compliance with all federal, state, local, or foreign applicable statutes, rules, regulations, and orders including, without limitation, those relating to environmental protection, occupational safety and health, and equal employment practices, except where the failure to be in compliance, either individually or in the aggregate, would not have a Material Adverse Effect;</w:t>
      </w:r>
    </w:p>
    <w:p>
      <w:pPr>
        <w:spacing w:after="0" w:line="73" w:lineRule="exact"/>
        <w:rPr>
          <w:rFonts w:ascii="Arial" w:cs="Arial" w:eastAsia="Arial" w:hAnsi="Arial"/>
          <w:sz w:val="18"/>
          <w:szCs w:val="18"/>
          <w:color w:val="auto"/>
        </w:rPr>
      </w:pPr>
    </w:p>
    <w:p>
      <w:pPr>
        <w:ind w:left="440" w:right="420" w:firstLine="428"/>
        <w:spacing w:after="0" w:line="308" w:lineRule="auto"/>
        <w:tabs>
          <w:tab w:leader="none" w:pos="110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is not in violation of or in default under any agreement to which it is a party or by which its assets are subject or bound, except with respect to any violation or default that, either individually or in the aggregate, would not have a Material Adverse Effect; and</w:t>
      </w:r>
    </w:p>
    <w:p>
      <w:pPr>
        <w:spacing w:after="0" w:line="38" w:lineRule="exact"/>
        <w:rPr>
          <w:rFonts w:ascii="Arial" w:cs="Arial" w:eastAsia="Arial" w:hAnsi="Arial"/>
          <w:sz w:val="17"/>
          <w:szCs w:val="17"/>
          <w:color w:val="auto"/>
        </w:rPr>
      </w:pPr>
    </w:p>
    <w:p>
      <w:pPr>
        <w:ind w:left="1120" w:hanging="252"/>
        <w:spacing w:after="0"/>
        <w:tabs>
          <w:tab w:leader="none" w:pos="11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is in material compliance with all applicable Bank Secrecy Act (“</w:t>
      </w:r>
      <w:r>
        <w:rPr>
          <w:rFonts w:ascii="Arial" w:cs="Arial" w:eastAsia="Arial" w:hAnsi="Arial"/>
          <w:sz w:val="18"/>
          <w:szCs w:val="18"/>
          <w:u w:val="single" w:color="auto"/>
          <w:color w:val="auto"/>
        </w:rPr>
        <w:t>BSA</w:t>
      </w:r>
      <w:r>
        <w:rPr>
          <w:rFonts w:ascii="Arial" w:cs="Arial" w:eastAsia="Arial" w:hAnsi="Arial"/>
          <w:sz w:val="18"/>
          <w:szCs w:val="18"/>
          <w:color w:val="auto"/>
        </w:rPr>
        <w:t>”) and anti-money laundering laws and regulations.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E-4-71</w:t>
      </w:r>
    </w:p>
    <w:p>
      <w:pPr>
        <w:sectPr>
          <w:pgSz w:w="11900" w:h="16838" w:orient="portrait"/>
          <w:cols w:equalWidth="0" w:num="1">
            <w:col w:w="11020"/>
          </w:cols>
          <w:pgMar w:left="440" w:top="274" w:right="439" w:bottom="1440" w:gutter="0" w:footer="0" w:header="0"/>
        </w:sectPr>
      </w:pPr>
    </w:p>
    <w:bookmarkStart w:id="97" w:name="page98"/>
    <w:bookmarkEnd w:id="97"/>
    <w:p>
      <w:pPr>
        <w:ind w:right="100" w:firstLine="44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5.04. </w:t>
      </w:r>
      <w:r>
        <w:rPr>
          <w:rFonts w:ascii="Arial" w:cs="Arial" w:eastAsia="Arial" w:hAnsi="Arial"/>
          <w:sz w:val="16"/>
          <w:szCs w:val="16"/>
          <w:u w:val="single" w:color="auto"/>
          <w:color w:val="auto"/>
        </w:rPr>
        <w:t>Litigation and Administrative Proceedings</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Schedule 5.04</w:t>
      </w:r>
      <w:r>
        <w:rPr>
          <w:rFonts w:ascii="Arial" w:cs="Arial" w:eastAsia="Arial" w:hAnsi="Arial"/>
          <w:sz w:val="16"/>
          <w:szCs w:val="16"/>
          <w:color w:val="auto"/>
        </w:rPr>
        <w:t xml:space="preserve"> hereto, there are (a) no lawsuits, actions, investigations, examinations or other proceedings pending or threatened in writing against any Loan Party or any of their Subsidiaries, or in respect of which any Loan Party or any of their Subsidiaries may have any liability, in any court or before or by any Governmental Authority, arbitration board or other tribunal,</w:t>
      </w:r>
    </w:p>
    <w:p>
      <w:pPr>
        <w:ind w:right="60" w:firstLine="4"/>
        <w:spacing w:after="0" w:line="253" w:lineRule="auto"/>
        <w:tabs>
          <w:tab w:leader="none" w:pos="2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no orders, writs, injunctions, judgments, or decrees of any court or Governmental Authority to which any Loan Party or any of their Subsidiaries is a party or by which the property or assets of any Loan Party or any of their Subsidiaries are bound, and (c) no grievances, disputes, or controversies outstanding with any union or other organization of the employees of any Loan Party or any of their Subsidiaries, or threats of work stoppage, strike, or pending demands for collective bargaining, that, as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if violated or determined adversely, either individually or in the aggregate, would have a Material Adverse Effect.</w:t>
      </w:r>
    </w:p>
    <w:p>
      <w:pPr>
        <w:spacing w:after="0" w:line="191"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u w:val="single" w:color="auto"/>
          <w:color w:val="auto"/>
        </w:rPr>
        <w:t>Title to Assets</w:t>
      </w:r>
      <w:r>
        <w:rPr>
          <w:rFonts w:ascii="Arial" w:cs="Arial" w:eastAsia="Arial" w:hAnsi="Arial"/>
          <w:sz w:val="18"/>
          <w:szCs w:val="18"/>
          <w:color w:val="auto"/>
        </w:rPr>
        <w:t xml:space="preserve">. Each Loan Party and each of their Subsidiaries has good title to and ownership of all material property it purports to own, which property is free and clear of all Liens, except those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hereof. As of the Closing Date, the Loan Parties and their Subsidiaries own the real property listed on </w:t>
      </w:r>
      <w:r>
        <w:rPr>
          <w:rFonts w:ascii="Arial" w:cs="Arial" w:eastAsia="Arial" w:hAnsi="Arial"/>
          <w:sz w:val="18"/>
          <w:szCs w:val="18"/>
          <w:u w:val="single" w:color="auto"/>
          <w:color w:val="auto"/>
        </w:rPr>
        <w:t>Schedule 5.05</w:t>
      </w:r>
      <w:r>
        <w:rPr>
          <w:rFonts w:ascii="Arial" w:cs="Arial" w:eastAsia="Arial" w:hAnsi="Arial"/>
          <w:sz w:val="18"/>
          <w:szCs w:val="18"/>
          <w:color w:val="auto"/>
        </w:rPr>
        <w:t xml:space="preserve"> hereto.</w:t>
      </w:r>
    </w:p>
    <w:p>
      <w:pPr>
        <w:spacing w:after="0" w:line="181"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 xml:space="preserve">5.06. </w:t>
      </w:r>
      <w:r>
        <w:rPr>
          <w:rFonts w:ascii="Arial" w:cs="Arial" w:eastAsia="Arial" w:hAnsi="Arial"/>
          <w:sz w:val="18"/>
          <w:szCs w:val="18"/>
          <w:u w:val="single" w:color="auto"/>
          <w:color w:val="auto"/>
        </w:rPr>
        <w:t>Liens and Security Interests</w:t>
      </w:r>
      <w:r>
        <w:rPr>
          <w:rFonts w:ascii="Arial" w:cs="Arial" w:eastAsia="Arial" w:hAnsi="Arial"/>
          <w:sz w:val="18"/>
          <w:szCs w:val="18"/>
          <w:color w:val="auto"/>
        </w:rPr>
        <w:t xml:space="preserve">. On and after the Closing Date, except for Liens permitted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hereof, (a) there is and will be no financing statements or similar notice of Lien outstanding covering any personal property of any Loan Party or any Subsidiary thereof; (b) there is and will be no mortgage or deed or hypothec outstanding covering any real property of any Loan Party or any Subsidiary thereof; and (c) no real or personal property of any Loan Party or any Subsidiary thereof is subject to any Lien of any kind. The Administrative Agent has a valid and enforceable and, subject to the last paragraph of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perfected first-priority Lien on the Collateral (subject to the priority of any Liens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No Loan Party or any Subsidiary thereof has entered into any contract or agreement (other than a contract or agreement entered into in connection with the purchase or lease of fixed assets that prohibits Liens on such fixed assets) that exists on or after the Closing Date that would prohibit the Administrative Agent or the Lenders from acquiring a Lien on, or a collateral assignment of, any of the property or assets of any Loan Party or any Subsidiary thereof.</w:t>
      </w:r>
    </w:p>
    <w:p>
      <w:pPr>
        <w:spacing w:after="0" w:line="197"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 xml:space="preserve">5.07. </w:t>
      </w:r>
      <w:r>
        <w:rPr>
          <w:rFonts w:ascii="Arial" w:cs="Arial" w:eastAsia="Arial" w:hAnsi="Arial"/>
          <w:sz w:val="17"/>
          <w:szCs w:val="17"/>
          <w:u w:val="single" w:color="auto"/>
          <w:color w:val="auto"/>
        </w:rPr>
        <w:t>Tax Returns</w:t>
      </w:r>
      <w:r>
        <w:rPr>
          <w:rFonts w:ascii="Arial" w:cs="Arial" w:eastAsia="Arial" w:hAnsi="Arial"/>
          <w:sz w:val="17"/>
          <w:szCs w:val="17"/>
          <w:color w:val="auto"/>
        </w:rPr>
        <w:t>. All federal, state, provincial and local tax returns and other reports required by law to be filed in respect of the income, business, properties and employees of each Loan Party and each of their Subsidiaries have been filed and all taxes, assessments, fees and other governmental charges that are due and payable have been paid, except as otherwise permitted herein. The provision for taxes on the books of each Loan Party and each Subsidiary thereof is adequate for all years not closed by applicable statutes and for the current fiscal year.</w:t>
      </w:r>
    </w:p>
    <w:p>
      <w:pPr>
        <w:spacing w:after="0" w:line="171"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 xml:space="preserve">5.08. </w:t>
      </w:r>
      <w:r>
        <w:rPr>
          <w:rFonts w:ascii="Arial" w:cs="Arial" w:eastAsia="Arial" w:hAnsi="Arial"/>
          <w:sz w:val="17"/>
          <w:szCs w:val="17"/>
          <w:u w:val="single" w:color="auto"/>
          <w:color w:val="auto"/>
        </w:rPr>
        <w:t>Environmental Laws</w:t>
      </w:r>
      <w:r>
        <w:rPr>
          <w:rFonts w:ascii="Arial" w:cs="Arial" w:eastAsia="Arial" w:hAnsi="Arial"/>
          <w:sz w:val="17"/>
          <w:szCs w:val="17"/>
          <w:color w:val="auto"/>
        </w:rPr>
        <w:t xml:space="preserve">. Except where non-compliance, individually or in the aggregate, would not reasonably be expected to have a Material Adverse Effect, each Loan Party and each Subsidiary is in compliance with all applicable Environmental Laws, including, without limitation, all Environmental Laws in all jurisdictions in which any Loan Party or any Subsidiary thereof owns or operates, or has owned or operated, a facility or site, arranges or has arranged for disposal or treatment of hazardous substances, solid waste or other wastes, accepts or has accepted for transport any hazardous substances, solid waste or other wastes or holds or has held any interest in real property or otherwise. No material litigation or proceeding arising under, relating to or in connection with any Environmental Law or Environmental Permit is pending or, to the knowledge of each Loan Party and each Subsidiary thereof, threatened, against any Loan Party or any Subsidiary thereof, any real property in which any Loan Party or any Subsidiary thereof holds or has held an interest or any past or present operation of any Loan Party or any Subsidiary thereof. No release, threatened release or disposal of hazardous waste, solid waste or other wastes is occurring, or has occurred (other than those that are currently being remediated in accordance with Environmental Laws), on, under or to any real property in which any Loan Party or any Subsidiary thereof holds any interest or performs any of its operations, in material violation of or which result in material liability under any Environmental Law. As used in this </w:t>
      </w:r>
      <w:r>
        <w:rPr>
          <w:rFonts w:ascii="Arial" w:cs="Arial" w:eastAsia="Arial" w:hAnsi="Arial"/>
          <w:sz w:val="17"/>
          <w:szCs w:val="17"/>
          <w:u w:val="single" w:color="auto"/>
          <w:color w:val="auto"/>
        </w:rPr>
        <w:t>Section 5.08</w:t>
      </w:r>
      <w:r>
        <w:rPr>
          <w:rFonts w:ascii="Arial" w:cs="Arial" w:eastAsia="Arial" w:hAnsi="Arial"/>
          <w:sz w:val="17"/>
          <w:szCs w:val="17"/>
          <w:color w:val="auto"/>
        </w:rPr>
        <w:t>, “litigation or proceeding” means any demand, claim, notice, suit, suit in equity, action, administrative action, investigation or inquiry whether brought by any Governmental Authority or private Person, or otherwise.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5.09. </w:t>
      </w:r>
      <w:r>
        <w:rPr>
          <w:rFonts w:ascii="Arial" w:cs="Arial" w:eastAsia="Arial" w:hAnsi="Arial"/>
          <w:sz w:val="17"/>
          <w:szCs w:val="17"/>
          <w:u w:val="single" w:color="auto"/>
          <w:color w:val="auto"/>
        </w:rPr>
        <w:t>Locations</w:t>
      </w:r>
      <w:r>
        <w:rPr>
          <w:rFonts w:ascii="Arial" w:cs="Arial" w:eastAsia="Arial" w:hAnsi="Arial"/>
          <w:sz w:val="17"/>
          <w:szCs w:val="17"/>
          <w:color w:val="auto"/>
        </w:rPr>
        <w:t>. As of the Closing Date, the Loan Parties have places of business or maintain their accounts, inventory and equipment at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locations (including third party locations) set forth on </w:t>
      </w: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hereto, and each Loan Party’s chief executive office is set forth on </w:t>
      </w:r>
      <w:r>
        <w:rPr>
          <w:rFonts w:ascii="Arial" w:cs="Arial" w:eastAsia="Arial" w:hAnsi="Arial"/>
          <w:sz w:val="16"/>
          <w:szCs w:val="16"/>
          <w:u w:val="single" w:color="auto"/>
          <w:color w:val="auto"/>
        </w:rPr>
        <w:t>Schedule 5.09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hereto. </w:t>
      </w: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hereto further specifies whether each location, as of the Closing Date, (a) is owned by the Loan Parties, or (b) is leased by a Loan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Party from a third party, and, if leased by a Loan Party from a third party, if a landlord’s waiver has been requested. As of the Closing Date,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Schedule 5.09</w:t>
      </w:r>
      <w:r>
        <w:rPr>
          <w:rFonts w:ascii="Arial" w:cs="Arial" w:eastAsia="Arial" w:hAnsi="Arial"/>
          <w:sz w:val="16"/>
          <w:szCs w:val="16"/>
          <w:color w:val="auto"/>
        </w:rPr>
        <w:t xml:space="preserve"> hereto correctly identifies the name and address of each third party location where a material portion of the assets of the Loan Parties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located.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E-4-72</w:t>
      </w:r>
    </w:p>
    <w:p>
      <w:pPr>
        <w:sectPr>
          <w:pgSz w:w="11900" w:h="16838" w:orient="portrait"/>
          <w:cols w:equalWidth="0" w:num="1">
            <w:col w:w="11020"/>
          </w:cols>
          <w:pgMar w:left="440" w:top="274" w:right="439" w:bottom="1440" w:gutter="0" w:footer="0" w:header="0"/>
        </w:sectPr>
      </w:pPr>
    </w:p>
    <w:bookmarkStart w:id="98" w:name="page99"/>
    <w:bookmarkEnd w:id="98"/>
    <w:p>
      <w:pPr>
        <w:ind w:right="2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5.10. </w:t>
      </w:r>
      <w:r>
        <w:rPr>
          <w:rFonts w:ascii="Arial" w:cs="Arial" w:eastAsia="Arial" w:hAnsi="Arial"/>
          <w:sz w:val="18"/>
          <w:szCs w:val="18"/>
          <w:u w:val="single" w:color="auto"/>
          <w:color w:val="auto"/>
        </w:rPr>
        <w:t>Continued Business</w:t>
      </w:r>
      <w:r>
        <w:rPr>
          <w:rFonts w:ascii="Arial" w:cs="Arial" w:eastAsia="Arial" w:hAnsi="Arial"/>
          <w:sz w:val="18"/>
          <w:szCs w:val="18"/>
          <w:color w:val="auto"/>
        </w:rPr>
        <w:t>. There exists no actual, pending, or, to each Loan Party’s and each of their Subsidiaries’ knowledge, any threatened termination, cancellation or limitation of, or any modification or change in the business relationship of any Loan Party or any Subsidiary thereof and any customer or supplier, or any group of customers or suppliers, whose purchases or supplies, individually or in the aggregate, are material to the business of any Loan Party or any Subsidiary, and there exists no present condition or state of facts or circumstances that would prevent a Loan Party or a Subsidiary from conducting such business or the transactions contemplated by this Agreement in substantially the same manner in which it was previously conducted.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Employee Benefits Plans</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2" w:lineRule="auto"/>
        <w:tabs>
          <w:tab w:leader="none" w:pos="685"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US Employee Benefit Plans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5.11</w:t>
      </w:r>
      <w:r>
        <w:rPr>
          <w:rFonts w:ascii="Arial" w:cs="Arial" w:eastAsia="Arial" w:hAnsi="Arial"/>
          <w:sz w:val="16"/>
          <w:szCs w:val="16"/>
          <w:color w:val="auto"/>
        </w:rPr>
        <w:t xml:space="preserve"> hereto identifies each Plan as of the Closing Date. No ERISA Event has occurred or is expected to occur with respect to a Plan. Full payment has been made of all amounts that the Borrower and each ERISA Affiliate is required, under applicable Laws or under the governing documents, to have paid as a contribution to or a benefit under each Plan. The liability of the Borrower and each ERISA Affiliate with respect to each Plan has been fully funded based upon reasonable and proper actuarial assumptions, has been fully insured, or has been fully reserved for on its financial statements. No changes have occurred or are expected to occur that would cause a material increase in the cost of providing benefits under any Plan. With respect to each Plan that is intended to be qualified under Code Section 401(a), (a) the Plan and any associated trust operationally comply with the applicable requirements of Code Section 401(a); (b) the Plan and any associated trust have been amended to comply with all such requirements as currently in effect, other than those requirements for which a retroactive amendment can be made within the “remedial amendment period” available under Code Section 401(b) (as extended under Treasury Regulations and other Treasury pronouncements upon which taxpayers may rely); (c) the Plan and any associated trust have received a favorable determination letter or opinion letter from the IRS stating that the Plan qualifies under Code Section 401(a), that the associated trust qualifies under Code Section 501(a) and, if applicable, that any cash or deferred arrangement under the Plan qualifies under Code Section 401(k), unless the Plan was first adopted at a time for which the above-described “remedial amendment period” has not yet expired; (d) the Plan currently satisfies the requirements of Code Section 410(b), subject to any retroactive amendment that may be made within the above-described “remedial amendment period”; and (e) no contribution made to the Plan is subject to an excise tax under Code Section 4972. With respect to any Pension Plan, the “accumulated benefit obligation” of the Borrower or any ERISA Affiliate with respect to the Pension Plan (as determined in accordance with Statement of Accounting Standards No. 87, “Employers’ Accounting for Pensions”) does not exceed the fair market value of Pension Plan assets. Neither the Borrower nor any ERISA Affiliate has engaged in a transaction that could be subject to</w:t>
      </w:r>
    </w:p>
    <w:p>
      <w:pPr>
        <w:spacing w:after="0" w:line="12" w:lineRule="exact"/>
        <w:rPr>
          <w:rFonts w:ascii="Arial" w:cs="Arial" w:eastAsia="Arial" w:hAnsi="Arial"/>
          <w:sz w:val="16"/>
          <w:szCs w:val="16"/>
          <w:color w:val="auto"/>
        </w:rPr>
      </w:pPr>
    </w:p>
    <w:p>
      <w:pPr>
        <w:ind w:right="620"/>
        <w:spacing w:after="0" w:line="273" w:lineRule="auto"/>
        <w:rPr>
          <w:rFonts w:ascii="Arial" w:cs="Arial" w:eastAsia="Arial" w:hAnsi="Arial"/>
          <w:sz w:val="16"/>
          <w:szCs w:val="16"/>
          <w:color w:val="auto"/>
        </w:rPr>
      </w:pPr>
      <w:r>
        <w:rPr>
          <w:rFonts w:ascii="Arial" w:cs="Arial" w:eastAsia="Arial" w:hAnsi="Arial"/>
          <w:sz w:val="17"/>
          <w:szCs w:val="17"/>
          <w:color w:val="auto"/>
        </w:rPr>
        <w:t>Section 4069 or Section 4212(c) of ERISA. Except as could not reasonably be expected to result in a Material Adverse Effect, (i) each Plan is in compliance with applicable provisions of ERISA, the Code, and other applicable Laws, (ii) there are no pending or, to the best knowledge of the Borrower, threatened claims, actions or lawsuits, or action by any Governmental Authority, with respect to any Plan and (iii) there has been no prohibited transaction or violation of the fiduciary responsibility rules with respect to any Plan.</w:t>
      </w:r>
    </w:p>
    <w:p>
      <w:pPr>
        <w:spacing w:after="0" w:line="68" w:lineRule="exact"/>
        <w:rPr>
          <w:rFonts w:ascii="Arial" w:cs="Arial" w:eastAsia="Arial" w:hAnsi="Arial"/>
          <w:sz w:val="16"/>
          <w:szCs w:val="16"/>
          <w:color w:val="auto"/>
        </w:rPr>
      </w:pPr>
    </w:p>
    <w:p>
      <w:pPr>
        <w:ind w:right="40" w:firstLine="444"/>
        <w:spacing w:after="0" w:line="268" w:lineRule="auto"/>
        <w:tabs>
          <w:tab w:leader="none" w:pos="695" w:val="left"/>
        </w:tabs>
        <w:numPr>
          <w:ilvl w:val="0"/>
          <w:numId w:val="137"/>
        </w:numPr>
        <w:rPr>
          <w:rFonts w:ascii="Arial" w:cs="Arial" w:eastAsia="Arial" w:hAnsi="Arial"/>
          <w:sz w:val="17"/>
          <w:szCs w:val="17"/>
          <w:color w:val="auto"/>
        </w:rPr>
      </w:pPr>
      <w:r>
        <w:rPr>
          <w:rFonts w:ascii="Arial" w:cs="Arial" w:eastAsia="Arial" w:hAnsi="Arial"/>
          <w:sz w:val="17"/>
          <w:szCs w:val="17"/>
          <w:u w:val="single" w:color="auto"/>
          <w:color w:val="auto"/>
        </w:rPr>
        <w:t>Foreign Pension Plan and Benefit Plans</w:t>
      </w:r>
      <w:r>
        <w:rPr>
          <w:rFonts w:ascii="Arial" w:cs="Arial" w:eastAsia="Arial" w:hAnsi="Arial"/>
          <w:sz w:val="17"/>
          <w:szCs w:val="17"/>
          <w:color w:val="auto"/>
        </w:rPr>
        <w:t xml:space="preserve">. As of the Closing Date, </w:t>
      </w:r>
      <w:r>
        <w:rPr>
          <w:rFonts w:ascii="Arial" w:cs="Arial" w:eastAsia="Arial" w:hAnsi="Arial"/>
          <w:sz w:val="17"/>
          <w:szCs w:val="17"/>
          <w:u w:val="single" w:color="auto"/>
          <w:color w:val="auto"/>
        </w:rPr>
        <w:t>Schedule 5.11</w:t>
      </w:r>
      <w:r>
        <w:rPr>
          <w:rFonts w:ascii="Arial" w:cs="Arial" w:eastAsia="Arial" w:hAnsi="Arial"/>
          <w:sz w:val="17"/>
          <w:szCs w:val="17"/>
          <w:color w:val="auto"/>
        </w:rPr>
        <w:t xml:space="preserve"> hereto lists all Foreign Benefit Plans and Foreign Pension Plans currently maintained or contributed to by a Loan Party, any Subsidiary thereof or any Foreign Subsidiaries. The Foreign Pension Plans are duly registered under all applicable Laws which require registration and are approved for tax purposes by the relevant tax authorities in the jurisdiction in which such Foreign Pension Plans are registered. Each Loan Party, Subsidiary thereof and any appropriate Foreign Subsidiaries have complied with and performed all of its obligations under and in respect of the Foreign Pension Plans and Foreign Benefit Plans under the terms thereof, any funding agreements and all applicable laws (including any fiduciary, funding, investment and administration obligations) except to the extent as, either individually or in the aggregate, would not reasonably be expected to have a Material Adverse Effect. All employer and employee payments, contributions or premiums to be remitted, paid to or in respect of each Foreign Pension Plan or Foreign Benefit Plan have been paid in a timely fashion in accordance with the terms thereof, any funding agreement and all applicable laws except to the extent the failure to do so, either individually or in the aggregate, would not reasonably be expected to have a Material Adverse Effect. There are no outstanding actions or suits concerning the assets of the Foreign Pension Plans or the Foreign Benefit Plans. Each of the Foreign Pension Plans is fully funded on an ongoing basis (using actuarial methods and assumptions as of the date of the valuations last filed with the applicable Governmental Authorities and that are consistent with generally accepted actuarial principles).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E-4-73</w:t>
      </w:r>
    </w:p>
    <w:p>
      <w:pPr>
        <w:sectPr>
          <w:pgSz w:w="11900" w:h="16838" w:orient="portrait"/>
          <w:cols w:equalWidth="0" w:num="1">
            <w:col w:w="11020"/>
          </w:cols>
          <w:pgMar w:left="440" w:top="274" w:right="439" w:bottom="1440" w:gutter="0" w:footer="0" w:header="0"/>
        </w:sectPr>
      </w:pPr>
    </w:p>
    <w:bookmarkStart w:id="99" w:name="page100"/>
    <w:bookmarkEnd w:id="99"/>
    <w:p>
      <w:pPr>
        <w:ind w:right="4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5.12. </w:t>
      </w:r>
      <w:r>
        <w:rPr>
          <w:rFonts w:ascii="Arial" w:cs="Arial" w:eastAsia="Arial" w:hAnsi="Arial"/>
          <w:sz w:val="18"/>
          <w:szCs w:val="18"/>
          <w:u w:val="single" w:color="auto"/>
          <w:color w:val="auto"/>
        </w:rPr>
        <w:t>Consents or Approvals</w:t>
      </w:r>
      <w:r>
        <w:rPr>
          <w:rFonts w:ascii="Arial" w:cs="Arial" w:eastAsia="Arial" w:hAnsi="Arial"/>
          <w:sz w:val="18"/>
          <w:szCs w:val="18"/>
          <w:color w:val="auto"/>
        </w:rPr>
        <w:t>. No consent, approval or authorization of, or filing, registration or qualification with, any Governmental Authority or any other Person is required to be obtained or completed by any Loan Party in connection with the execution, delivery or performance of any of the Loan Documents, that has not already been obtained or completed.</w:t>
      </w:r>
    </w:p>
    <w:p>
      <w:pPr>
        <w:spacing w:after="0" w:line="18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Solvency</w:t>
      </w:r>
      <w:r>
        <w:rPr>
          <w:rFonts w:ascii="Arial" w:cs="Arial" w:eastAsia="Arial" w:hAnsi="Arial"/>
          <w:sz w:val="18"/>
          <w:szCs w:val="18"/>
          <w:color w:val="auto"/>
        </w:rPr>
        <w:t>. The Borrower has received consideration that is the reasonable equivalent value of the obligations and liabilities that the Borrower has incurred to Administrative Agent and the Lenders. As of the Second Restatement Effective Date, each Loan Party is, individually and collectively with its Subsidiaries on a consolidated basis, Solvent.</w:t>
      </w:r>
    </w:p>
    <w:p>
      <w:pPr>
        <w:spacing w:after="0" w:line="181" w:lineRule="exact"/>
        <w:rPr>
          <w:sz w:val="20"/>
          <w:szCs w:val="20"/>
          <w:color w:val="auto"/>
        </w:rPr>
      </w:pPr>
    </w:p>
    <w:p>
      <w:pPr>
        <w:ind w:right="200" w:firstLine="441"/>
        <w:spacing w:after="0" w:line="289"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Financial Statements; No Material Adverse Effect</w:t>
      </w:r>
      <w:r>
        <w:rPr>
          <w:rFonts w:ascii="Arial" w:cs="Arial" w:eastAsia="Arial" w:hAnsi="Arial"/>
          <w:sz w:val="16"/>
          <w:szCs w:val="16"/>
          <w:color w:val="auto"/>
        </w:rPr>
        <w:t>. The Audited Financial Statements, the Borrower Interim Financial Statements and the Company Interim Financial Statements, furnished to the Administrative Agent and the Lenders, are true and complete, have been prepared in accordance with GAAP, and fairly present the financial condition of the Borrower and its Subsidiaries and the Company and its Subsidiaries, as applicable, as of the dates of such financial statements and the results of their operations for the periods then ending. Since the dates of such Borrower Interim Financial Statements, there has been no material adverse change in the Borrower’s or any of its Subsidiary’s financial condition, properties or business or any change in any Borrower’s or any of its Subsidiary’s accounting procedures. Since the dates of such Company Interim Financial Statements, there has been no material adverse change in the Company’s or any of its Subsidiary’s financial condition, properties or business or any change in any Company’s or any of its Subsidiary’s accounting procedures. Since December 31, 2014, there has been no event or circumstance either individually or in the aggregate that has had or would reasonably be expected to have a Material Adverse Effect.</w:t>
      </w:r>
    </w:p>
    <w:p>
      <w:pPr>
        <w:spacing w:after="0" w:line="167"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Regulations</w:t>
      </w:r>
      <w:r>
        <w:rPr>
          <w:rFonts w:ascii="Arial" w:cs="Arial" w:eastAsia="Arial" w:hAnsi="Arial"/>
          <w:sz w:val="16"/>
          <w:szCs w:val="16"/>
          <w:color w:val="auto"/>
        </w:rPr>
        <w:t xml:space="preserve">. No Loan Party or Subsidiary thereof is engaged principally or as one of its important activities, in the business of extending credit for the purpose of purchasing or carrying any “margin stock” (within the meaning of Regulation U of the Board of Governors of the Federal Reserve System of the United States). Neither the granting of the Loans (or any conversion thereof) nor the use of the proceeds of the Loans will violate, or be inconsistent with, the provisions of Regulation T, U or X or any other Regulation of such Board of Governors. Following the application of the proceeds of the Loans, not more than 25% of the value of the assets (either of the Borrower only or of the Borrower and its Subsidiaries on a consolidated basis) subject to the provisions of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or subject to any restriction contained in any agreement or instrument between the Borrower and any Lender or Affiliate of a Lender relating to Indebtedness within the scope of </w:t>
      </w:r>
      <w:r>
        <w:rPr>
          <w:rFonts w:ascii="Arial" w:cs="Arial" w:eastAsia="Arial" w:hAnsi="Arial"/>
          <w:sz w:val="16"/>
          <w:szCs w:val="16"/>
          <w:u w:val="single" w:color="auto"/>
          <w:color w:val="auto"/>
        </w:rPr>
        <w:t>Section 8.01(e)</w:t>
      </w:r>
      <w:r>
        <w:rPr>
          <w:rFonts w:ascii="Arial" w:cs="Arial" w:eastAsia="Arial" w:hAnsi="Arial"/>
          <w:sz w:val="16"/>
          <w:szCs w:val="16"/>
          <w:color w:val="auto"/>
        </w:rPr>
        <w:t xml:space="preserve"> will be margin stock.</w:t>
      </w:r>
    </w:p>
    <w:p>
      <w:pPr>
        <w:spacing w:after="0" w:line="167" w:lineRule="exact"/>
        <w:rPr>
          <w:sz w:val="20"/>
          <w:szCs w:val="20"/>
          <w:color w:val="auto"/>
        </w:rPr>
      </w:pPr>
    </w:p>
    <w:p>
      <w:pPr>
        <w:ind w:right="80" w:firstLine="441"/>
        <w:spacing w:after="0" w:line="290"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Material Agreements</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Schedule 5.16</w:t>
      </w:r>
      <w:r>
        <w:rPr>
          <w:rFonts w:ascii="Arial" w:cs="Arial" w:eastAsia="Arial" w:hAnsi="Arial"/>
          <w:sz w:val="16"/>
          <w:szCs w:val="16"/>
          <w:color w:val="auto"/>
        </w:rPr>
        <w:t xml:space="preserve"> hereto, as of the Closing Date, no Loan Party or Subsidiary thereof is a party to any (a) debt instrument (excluding the Loan Documents); (b) lease (capital, operating or otherwise), whether as lessee or lessor thereunder; (c) contract, commitment, agreement, or other arrangement involving the purchase or sale of any inventory by it, or the license of any right to or by it; (d) contract, commitment, agreement, or other arrangement with any of its “Affiliates” (as such term is defined in the Securities Exchange Act of 1934, as amended) other than a Loan Party or a Subsidiary thereof; (e) management or employment contract or contract for personal services with any of its Affiliates that is not otherwise terminable at will or on less than ninety (90) days’ notice without liability; (f) collective bargaining agreement; or (g) other contract, agreement, understanding, or arrangement with a third party; that, as to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(g)</w:t>
      </w:r>
      <w:r>
        <w:rPr>
          <w:rFonts w:ascii="Arial" w:cs="Arial" w:eastAsia="Arial" w:hAnsi="Arial"/>
          <w:sz w:val="16"/>
          <w:szCs w:val="16"/>
          <w:color w:val="auto"/>
        </w:rPr>
        <w:t>, above, if violated, breached, or terminated for any reason, either individually or in the aggregate, would have or would be reasonably expected to have a Material Adverse Effect.</w:t>
      </w:r>
    </w:p>
    <w:p>
      <w:pPr>
        <w:spacing w:after="0" w:line="166"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Each Loan Party and each Subsidiary thereof owns, or has the right to use, all of the material patents, patent applications, industrial designs, designs, trademarks, service marks, copyrights, trade secrets, software and rights with respect to the foregoing necessary for the conduct of its business without any known conflict with the rights of others. </w:t>
      </w:r>
      <w:r>
        <w:rPr>
          <w:rFonts w:ascii="Arial" w:cs="Arial" w:eastAsia="Arial" w:hAnsi="Arial"/>
          <w:sz w:val="18"/>
          <w:szCs w:val="18"/>
          <w:u w:val="single" w:color="auto"/>
          <w:color w:val="auto"/>
        </w:rPr>
        <w:t>Schedule 5.17</w:t>
      </w:r>
      <w:r>
        <w:rPr>
          <w:rFonts w:ascii="Arial" w:cs="Arial" w:eastAsia="Arial" w:hAnsi="Arial"/>
          <w:sz w:val="18"/>
          <w:szCs w:val="18"/>
          <w:color w:val="auto"/>
        </w:rPr>
        <w:t xml:space="preserve"> hereto sets forth all patents, trademarks, registered copyrights, service marks, and material license agreements owned by each Loan Party or Subsidiary or to which a Loan Party or Subsidiary is a party as of the Amendment and Restatement Effective Date.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E-4-74</w:t>
      </w:r>
    </w:p>
    <w:p>
      <w:pPr>
        <w:sectPr>
          <w:pgSz w:w="11900" w:h="16838" w:orient="portrait"/>
          <w:cols w:equalWidth="0" w:num="1">
            <w:col w:w="11020"/>
          </w:cols>
          <w:pgMar w:left="440" w:top="274" w:right="439" w:bottom="1440" w:gutter="0" w:footer="0" w:header="0"/>
        </w:sectPr>
      </w:pPr>
    </w:p>
    <w:bookmarkStart w:id="100" w:name="page101"/>
    <w:bookmarkEnd w:id="100"/>
    <w:p>
      <w:pPr>
        <w:ind w:right="18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5.18.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Each Loan Party and each Subsidiary thereof maintains with financially sound and reputable insurers (or is self-insured) insurance with coverage and limits as required by Law and as is customary with Persons engaged in the same businesses as the Loan Parties and their Subsidiaries. </w:t>
      </w:r>
      <w:r>
        <w:rPr>
          <w:rFonts w:ascii="Arial" w:cs="Arial" w:eastAsia="Arial" w:hAnsi="Arial"/>
          <w:sz w:val="18"/>
          <w:szCs w:val="18"/>
          <w:u w:val="single" w:color="auto"/>
          <w:color w:val="auto"/>
        </w:rPr>
        <w:t>Schedule 5.18</w:t>
      </w:r>
      <w:r>
        <w:rPr>
          <w:rFonts w:ascii="Arial" w:cs="Arial" w:eastAsia="Arial" w:hAnsi="Arial"/>
          <w:sz w:val="18"/>
          <w:szCs w:val="18"/>
          <w:color w:val="auto"/>
        </w:rPr>
        <w:t xml:space="preserve"> hereto sets forth all insurance carried by the Loan Parties and their Subsidiaries on the Closing Date, setting forth in detail the amount and type of such insurance as of the Closing Date.</w:t>
      </w:r>
    </w:p>
    <w:p>
      <w:pPr>
        <w:spacing w:after="0" w:line="18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Casualty, Etc</w:t>
      </w:r>
      <w:r>
        <w:rPr>
          <w:rFonts w:ascii="Arial" w:cs="Arial" w:eastAsia="Arial" w:hAnsi="Arial"/>
          <w:sz w:val="18"/>
          <w:szCs w:val="18"/>
          <w:color w:val="auto"/>
        </w:rPr>
        <w:t>. Neither the businesses nor the properties of any Loan Party or any Subsidiary thereof are affected by any fire, explosion, accident, strike, lockout or other labor dispute, drought, storm, hail, earthquake, embargo, act of God or of the public enemy or other casualty (whether or not covered by insurance), condemnation or eminent domain proceeding that, either individually or in the aggregate, would reasonably be expected to have a Material Adverse Effect.</w:t>
      </w:r>
    </w:p>
    <w:p>
      <w:pPr>
        <w:spacing w:after="0" w:line="187"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Labor Matters</w:t>
      </w:r>
      <w:r>
        <w:rPr>
          <w:rFonts w:ascii="Arial" w:cs="Arial" w:eastAsia="Arial" w:hAnsi="Arial"/>
          <w:sz w:val="18"/>
          <w:szCs w:val="18"/>
          <w:color w:val="auto"/>
        </w:rPr>
        <w:t>. There are no collective bargaining agreements or Multiemployer Plans covering the employees of the Borrower or any of its Subsidiaries as of the Closing Date and neither the Borrower nor any Subsidiary has suffered any strikes, walkouts, work stoppages or other material labor difficulty within the last five years.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OFAC; Anti-Money Laundering; FCPA</w:t>
      </w:r>
      <w:r>
        <w:rPr>
          <w:rFonts w:ascii="Arial" w:cs="Arial" w:eastAsia="Arial" w:hAnsi="Arial"/>
          <w:sz w:val="18"/>
          <w:szCs w:val="18"/>
          <w:color w:val="auto"/>
        </w:rPr>
        <w:t>.</w:t>
      </w:r>
    </w:p>
    <w:p>
      <w:pPr>
        <w:spacing w:after="0" w:line="117" w:lineRule="exact"/>
        <w:rPr>
          <w:sz w:val="20"/>
          <w:szCs w:val="20"/>
          <w:color w:val="auto"/>
        </w:rPr>
      </w:pPr>
    </w:p>
    <w:p>
      <w:pPr>
        <w:ind w:right="60" w:firstLine="444"/>
        <w:spacing w:after="0" w:line="291" w:lineRule="auto"/>
        <w:tabs>
          <w:tab w:leader="none" w:pos="68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No Loan Party, nor any of their Subsidiaries, nor, to the knowledge of any Loan Party, any Related Party, (i) is currently the subject of any Sanctions, (ii) is located, organized or residing in any Designated Jurisdiction or (iii) is or has been (within the previous five (5) years) engaged in any transaction with any Person who is now or was then the subject of Sanctions or who is located, organized or residing in any Designated Jurisdiction. No Loan or Letter of Credit, nor the proceeds from any Loan or Letter of Credit, has been used, directly or indirectly, to lend, contribute, provide or has otherwise made available to fund any activity or business in any Designated Jurisdiction or to fund any activity or business of any Person located, organized or residing in any Designated Jurisdiction or who is the subject of any Sanctions, or in any other manner that will result in any violation by any Person (including any Lender, the Arrangers, the Administrative Agent, any L/C Issuer or the Swing Line Lender) of Sanctions.</w:t>
      </w:r>
    </w:p>
    <w:p>
      <w:pPr>
        <w:spacing w:after="0" w:line="59" w:lineRule="exact"/>
        <w:rPr>
          <w:rFonts w:ascii="Arial" w:cs="Arial" w:eastAsia="Arial" w:hAnsi="Arial"/>
          <w:sz w:val="16"/>
          <w:szCs w:val="16"/>
          <w:color w:val="auto"/>
        </w:rPr>
      </w:pPr>
    </w:p>
    <w:p>
      <w:pPr>
        <w:ind w:right="40" w:firstLine="444"/>
        <w:spacing w:after="0" w:line="255" w:lineRule="auto"/>
        <w:tabs>
          <w:tab w:leader="none" w:pos="69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the Borrower’s knowledge after making due inquiry, no Loan Party or Subsidiary (i) is under investigation by any Governmental Authority for, or has been charged with, or convicted of, money laundering or terrorist-related activities under any applicable Laws, including, without limitation, the PATRIOT Act (collectively, “</w:t>
      </w:r>
      <w:r>
        <w:rPr>
          <w:rFonts w:ascii="Arial" w:cs="Arial" w:eastAsia="Arial" w:hAnsi="Arial"/>
          <w:sz w:val="18"/>
          <w:szCs w:val="18"/>
          <w:u w:val="single" w:color="auto"/>
          <w:color w:val="auto"/>
        </w:rPr>
        <w:t>AML / Terrorist Laws</w:t>
      </w:r>
      <w:r>
        <w:rPr>
          <w:rFonts w:ascii="Arial" w:cs="Arial" w:eastAsia="Arial" w:hAnsi="Arial"/>
          <w:sz w:val="18"/>
          <w:szCs w:val="18"/>
          <w:color w:val="auto"/>
        </w:rPr>
        <w:t>”), (ii) has been assessed civil penalties under any AML / Terrorist Laws or (iii) has had any of its funds seized or forfeited in an action under any AML / Terrorist Laws. Each Loan Party has taken reasonable measures appropriate to the circumstances (in any event as required by applicable Laws) to seek to ensure that such Loan Party and each of its Subsidiaries is in compliance with all AML / Terrorist Laws applicable to it.</w:t>
      </w:r>
    </w:p>
    <w:p>
      <w:pPr>
        <w:spacing w:after="0" w:line="85" w:lineRule="exact"/>
        <w:rPr>
          <w:rFonts w:ascii="Arial" w:cs="Arial" w:eastAsia="Arial" w:hAnsi="Arial"/>
          <w:sz w:val="18"/>
          <w:szCs w:val="18"/>
          <w:color w:val="auto"/>
        </w:rPr>
      </w:pPr>
    </w:p>
    <w:p>
      <w:pPr>
        <w:ind w:right="200" w:firstLine="444"/>
        <w:spacing w:after="0" w:line="276" w:lineRule="auto"/>
        <w:tabs>
          <w:tab w:leader="none" w:pos="68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None of the Borrower or any of its Subsidiaries (or, to the knowledge of the Borrower, any director, officer, agent, employee, Affiliate of, or other person associated with or acting on behalf of the Borrower or any of their respective Subsidiaries)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or (iv) made any bribe, rebate, payoff, influence payment, kickback or other unlawful payment.</w:t>
      </w:r>
    </w:p>
    <w:p>
      <w:pPr>
        <w:spacing w:after="0" w:line="173"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 xml:space="preserve">5.22. </w:t>
      </w:r>
      <w:r>
        <w:rPr>
          <w:rFonts w:ascii="Arial" w:cs="Arial" w:eastAsia="Arial" w:hAnsi="Arial"/>
          <w:sz w:val="17"/>
          <w:szCs w:val="17"/>
          <w:u w:val="single" w:color="auto"/>
          <w:color w:val="auto"/>
        </w:rPr>
        <w:t>Certain Treasury Regulation Matters</w:t>
      </w:r>
      <w:r>
        <w:rPr>
          <w:rFonts w:ascii="Arial" w:cs="Arial" w:eastAsia="Arial" w:hAnsi="Arial"/>
          <w:sz w:val="17"/>
          <w:szCs w:val="17"/>
          <w:color w:val="auto"/>
        </w:rPr>
        <w:t>. The Borrower does not intend to treat the Loans and related transactions as being a “reportable” transaction (within the meaning of Treasury Regulation 1.6011-4). The Borrower acknowledges that the Administrative Agent and one or more of the Lenders may treat its Loans as part of a transaction that is subject to Treasury Regulation Section 301.6112-1 to the extent that the Borrower’s application of the proceeds of the Loans requires the same and the Administrative Agent and such Lender or Lenders, as applicable, may, in connection therewith, maintain such lists and other records as they may determine is required by such Treasury Regulation.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E-4-75</w:t>
      </w:r>
    </w:p>
    <w:p>
      <w:pPr>
        <w:sectPr>
          <w:pgSz w:w="11900" w:h="16838" w:orient="portrait"/>
          <w:cols w:equalWidth="0" w:num="1">
            <w:col w:w="11000"/>
          </w:cols>
          <w:pgMar w:left="440" w:top="274" w:right="459" w:bottom="1440" w:gutter="0" w:footer="0" w:header="0"/>
        </w:sectPr>
      </w:pPr>
    </w:p>
    <w:bookmarkStart w:id="101" w:name="page102"/>
    <w:bookmarkEnd w:id="101"/>
    <w:p>
      <w:pPr>
        <w:ind w:right="36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5.23. </w:t>
      </w:r>
      <w:r>
        <w:rPr>
          <w:rFonts w:ascii="Arial" w:cs="Arial" w:eastAsia="Arial" w:hAnsi="Arial"/>
          <w:sz w:val="18"/>
          <w:szCs w:val="18"/>
          <w:u w:val="single" w:color="auto"/>
          <w:color w:val="auto"/>
        </w:rPr>
        <w:t>Deposit Accounts; Securities Accounts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5.23</w:t>
      </w:r>
      <w:r>
        <w:rPr>
          <w:rFonts w:ascii="Arial" w:cs="Arial" w:eastAsia="Arial" w:hAnsi="Arial"/>
          <w:sz w:val="18"/>
          <w:szCs w:val="18"/>
          <w:color w:val="auto"/>
        </w:rPr>
        <w:t xml:space="preserve"> hereto lists all banks and other financial institutions at which any Loan Party maintains deposit, securities or other accounts as of the Closing Date, and </w:t>
      </w:r>
      <w:r>
        <w:rPr>
          <w:rFonts w:ascii="Arial" w:cs="Arial" w:eastAsia="Arial" w:hAnsi="Arial"/>
          <w:sz w:val="18"/>
          <w:szCs w:val="18"/>
          <w:u w:val="single" w:color="auto"/>
          <w:color w:val="auto"/>
        </w:rPr>
        <w:t>Schedule 5.23</w:t>
      </w:r>
      <w:r>
        <w:rPr>
          <w:rFonts w:ascii="Arial" w:cs="Arial" w:eastAsia="Arial" w:hAnsi="Arial"/>
          <w:sz w:val="18"/>
          <w:szCs w:val="18"/>
          <w:color w:val="auto"/>
        </w:rPr>
        <w:t xml:space="preserve"> hereto correctly identifies the name, address and telephone number of each depository, the name in which the account is held, a description of the purpose of the account, and the complete account number therefor.</w:t>
      </w:r>
    </w:p>
    <w:p>
      <w:pPr>
        <w:spacing w:after="0" w:line="18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5.24. </w:t>
      </w:r>
      <w:r>
        <w:rPr>
          <w:rFonts w:ascii="Arial" w:cs="Arial" w:eastAsia="Arial" w:hAnsi="Arial"/>
          <w:sz w:val="16"/>
          <w:szCs w:val="16"/>
          <w:u w:val="single" w:color="auto"/>
          <w:color w:val="auto"/>
        </w:rPr>
        <w:t>Accurate and Complete Statements</w:t>
      </w:r>
      <w:r>
        <w:rPr>
          <w:rFonts w:ascii="Arial" w:cs="Arial" w:eastAsia="Arial" w:hAnsi="Arial"/>
          <w:sz w:val="16"/>
          <w:szCs w:val="16"/>
          <w:color w:val="auto"/>
        </w:rPr>
        <w:t xml:space="preserve">. No report, financial statement, certificate or other information furnished by or on behalf of any Loan Party or any Subsidiary to the Administrative Agent or any Lender in connection with the transactions contemplated hereby and the negotiation of this Agreement or delivered hereunder or any other Loan Document (as modified or supplemented by other information so furnished), when taken as a whole, contains any material misstatement of a material fact or omits to state any material fact necessary to make the statements therein (when taken as a whole), in the light of the circumstances under which they were made, not materially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 representation is made with respect to general economic or industry information and (b) with respect to projected and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information, the Borrower represents only that such information was prepared in good faith based upon assumptions reasonably believed by the Borrower to be reasonable at the time of preparation; it being understood that such projections may vary from actual results and that such variances may be material.</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 xml:space="preserve">5.26. </w:t>
      </w:r>
      <w:r>
        <w:rPr>
          <w:rFonts w:ascii="Arial" w:cs="Arial" w:eastAsia="Arial" w:hAnsi="Arial"/>
          <w:sz w:val="18"/>
          <w:szCs w:val="18"/>
          <w:u w:val="single" w:color="auto"/>
          <w:color w:val="auto"/>
        </w:rPr>
        <w:t>Investment Company</w:t>
      </w:r>
      <w:r>
        <w:rPr>
          <w:rFonts w:ascii="Arial" w:cs="Arial" w:eastAsia="Arial" w:hAnsi="Arial"/>
          <w:sz w:val="18"/>
          <w:szCs w:val="18"/>
          <w:color w:val="auto"/>
        </w:rPr>
        <w:t>. No Loan Party or Subsidiary thereof is an “investment company” or a company “controlled” by an “investment company” within the meaning of the Investment Company Act of 1940, as amended.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5.27. </w:t>
      </w:r>
      <w:r>
        <w:rPr>
          <w:rFonts w:ascii="Arial" w:cs="Arial" w:eastAsia="Arial" w:hAnsi="Arial"/>
          <w:sz w:val="18"/>
          <w:szCs w:val="18"/>
          <w:u w:val="single" w:color="auto"/>
          <w:color w:val="auto"/>
        </w:rPr>
        <w:t>Defaults</w:t>
      </w:r>
      <w:r>
        <w:rPr>
          <w:rFonts w:ascii="Arial" w:cs="Arial" w:eastAsia="Arial" w:hAnsi="Arial"/>
          <w:sz w:val="18"/>
          <w:szCs w:val="18"/>
          <w:color w:val="auto"/>
        </w:rPr>
        <w:t>. No Default exists hereunder, nor will any begin to exist immediately after the execution and delivery hereof.</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5.28. </w:t>
      </w:r>
      <w:r>
        <w:rPr>
          <w:rFonts w:ascii="Arial" w:cs="Arial" w:eastAsia="Arial" w:hAnsi="Arial"/>
          <w:sz w:val="18"/>
          <w:szCs w:val="18"/>
          <w:u w:val="single" w:color="auto"/>
          <w:color w:val="auto"/>
        </w:rPr>
        <w:t>Senior Debt Status</w:t>
      </w:r>
      <w:r>
        <w:rPr>
          <w:rFonts w:ascii="Arial" w:cs="Arial" w:eastAsia="Arial" w:hAnsi="Arial"/>
          <w:sz w:val="18"/>
          <w:szCs w:val="18"/>
          <w:color w:val="auto"/>
        </w:rPr>
        <w:t xml:space="preserve">. The Obligations (a)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material senior Indebtedness of Borrower and its Subsidiaries and (b) are designated as “Senior Indebtedness,” “Designated Senior Debt” or such similar term under all instruments and documents relating to all Subordinated Indebtedness and all senior unsecured Indebtedness of such Person.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11" w:lineRule="exact"/>
        <w:rPr>
          <w:sz w:val="20"/>
          <w:szCs w:val="20"/>
          <w:color w:val="auto"/>
        </w:rPr>
      </w:pPr>
    </w:p>
    <w:p>
      <w:pPr>
        <w:jc w:val="both"/>
        <w:ind w:right="200" w:firstLine="441"/>
        <w:spacing w:after="0" w:line="264" w:lineRule="auto"/>
        <w:rPr>
          <w:sz w:val="20"/>
          <w:szCs w:val="20"/>
          <w:color w:val="auto"/>
        </w:rPr>
      </w:pPr>
      <w:r>
        <w:rPr>
          <w:rFonts w:ascii="Arial" w:cs="Arial" w:eastAsia="Arial" w:hAnsi="Arial"/>
          <w:sz w:val="18"/>
          <w:szCs w:val="18"/>
          <w:color w:val="auto"/>
        </w:rPr>
        <w:t xml:space="preserve">So long as any Lender shall have any Commitment hereunder, any Loan or other Obligation hereunder shall remain unpaid or unsatisfied (other than contingent indemnification obligations not then due) or any Letter of Credit shall remain outstanding, the Borrower shall, and shall (except in the case of the covenants set forth in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6.11</w:t>
      </w:r>
      <w:r>
        <w:rPr>
          <w:rFonts w:ascii="Arial" w:cs="Arial" w:eastAsia="Arial" w:hAnsi="Arial"/>
          <w:sz w:val="18"/>
          <w:szCs w:val="18"/>
          <w:color w:val="auto"/>
        </w:rPr>
        <w:t>) cause each Subsidiary to:</w:t>
      </w:r>
    </w:p>
    <w:p>
      <w:pPr>
        <w:spacing w:after="0" w:line="18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Deliver to the Administrative Agent and each Lender, in form and detail satisfactory to the Administrative Agent and the Required Lenders:</w:t>
      </w:r>
    </w:p>
    <w:p>
      <w:pPr>
        <w:spacing w:after="0" w:line="62" w:lineRule="exact"/>
        <w:rPr>
          <w:sz w:val="20"/>
          <w:szCs w:val="20"/>
          <w:color w:val="auto"/>
        </w:rPr>
      </w:pPr>
    </w:p>
    <w:p>
      <w:pPr>
        <w:ind w:left="440" w:right="220" w:firstLine="428"/>
        <w:spacing w:after="0" w:line="279" w:lineRule="auto"/>
        <w:tabs>
          <w:tab w:leader="none" w:pos="110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within ninety-five (95) days after the end of each fiscal year of the Borrower (commencing with the fiscal year ending December 31, 2015), an annual audit report of the Borrower and its Subsidiaries for that year prepared on a consolidated basis, in accordance with GAAP, and certified by an unqualified opinion of an independent public accountant satisfactory to the Administrative Agent, which report shall include balance sheets and statements of income (loss), stockholders’ equity and cash-flow for that period;</w:t>
      </w:r>
    </w:p>
    <w:p>
      <w:pPr>
        <w:spacing w:after="0" w:line="63" w:lineRule="exact"/>
        <w:rPr>
          <w:rFonts w:ascii="Arial" w:cs="Arial" w:eastAsia="Arial" w:hAnsi="Arial"/>
          <w:sz w:val="17"/>
          <w:szCs w:val="17"/>
          <w:color w:val="auto"/>
        </w:rPr>
      </w:pPr>
    </w:p>
    <w:p>
      <w:pPr>
        <w:ind w:left="440" w:right="20" w:firstLine="428"/>
        <w:spacing w:after="0" w:line="276" w:lineRule="auto"/>
        <w:tabs>
          <w:tab w:leader="none" w:pos="111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within fifty (50) days after the end of each of the first three fiscal quarter periods of each fiscal year of the Borrower (commencing with the fiscal quarter ending September 30, 2015), balance sheets of the Borrower and its Subsidiaries as of the end of such period and statements of income (loss), stockholders’ equity and cash flow for the quarter and fiscal year to date periods, setting forth in comparative form the figures for the corresponding fiscal quarter of the previous fiscal year and the corresponding portion of the previous fiscal year, all prepared on a consolidated basis, in accordance with GAAP, and certified by a Responsible Officer of the Borrower;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E-4-76</w:t>
      </w:r>
    </w:p>
    <w:p>
      <w:pPr>
        <w:sectPr>
          <w:pgSz w:w="11900" w:h="16838" w:orient="portrait"/>
          <w:cols w:equalWidth="0" w:num="1">
            <w:col w:w="11020"/>
          </w:cols>
          <w:pgMar w:left="440" w:top="274" w:right="439" w:bottom="1440" w:gutter="0" w:footer="0" w:header="0"/>
        </w:sectPr>
      </w:pPr>
    </w:p>
    <w:bookmarkStart w:id="102" w:name="page103"/>
    <w:bookmarkEnd w:id="102"/>
    <w:p>
      <w:pPr>
        <w:jc w:val="both"/>
        <w:ind w:left="440" w:right="80" w:firstLine="428"/>
        <w:spacing w:after="0" w:line="259" w:lineRule="auto"/>
        <w:tabs>
          <w:tab w:leader="none" w:pos="1108"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forty-five (45) days after the end of each fiscal year of the Borrower, an annual business plan and budget of the Borrower and its Subsidiaries on a consolidated basis, including forecasts prepared by management of the Borrower, of consolidated balance sheets and statements of income or operations and cash flows of the Borrower and its Subsidiaries on a quarterly basis for the immediately following fiscal year (including the fiscal year in which the Maturity Date occurs).</w:t>
      </w:r>
    </w:p>
    <w:p>
      <w:pPr>
        <w:spacing w:after="0" w:line="187"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6.02(d)</w:t>
      </w:r>
      <w:r>
        <w:rPr>
          <w:rFonts w:ascii="Arial" w:cs="Arial" w:eastAsia="Arial" w:hAnsi="Arial"/>
          <w:sz w:val="18"/>
          <w:szCs w:val="18"/>
          <w:color w:val="auto"/>
        </w:rPr>
        <w:t xml:space="preserve">, the Borrower shall not be separately required to furnish such information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but the foregoing shall not be in derogation of the obligation of the Borrower to furnish the information and materials described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at the times specified therein.</w:t>
      </w:r>
    </w:p>
    <w:p>
      <w:pPr>
        <w:spacing w:after="0" w:line="18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Deliver to the Administrative Agent and each Lender, in form and detail satisfactory to the Administrative Agent and the Required Lenders:</w:t>
      </w:r>
    </w:p>
    <w:p>
      <w:pPr>
        <w:spacing w:after="0" w:line="62" w:lineRule="exact"/>
        <w:rPr>
          <w:sz w:val="20"/>
          <w:szCs w:val="20"/>
          <w:color w:val="auto"/>
        </w:rPr>
      </w:pPr>
    </w:p>
    <w:p>
      <w:pPr>
        <w:ind w:left="440" w:right="220" w:firstLine="428"/>
        <w:spacing w:after="0" w:line="264" w:lineRule="auto"/>
        <w:tabs>
          <w:tab w:leader="none" w:pos="110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(commencing with the delivery of the financial statements for the fiscal year ended December 31, 2015), a certificate of its independent certified public accountants certifying such financial statements;</w:t>
      </w:r>
    </w:p>
    <w:p>
      <w:pPr>
        <w:spacing w:after="0" w:line="73" w:lineRule="exact"/>
        <w:rPr>
          <w:rFonts w:ascii="Arial" w:cs="Arial" w:eastAsia="Arial" w:hAnsi="Arial"/>
          <w:sz w:val="18"/>
          <w:szCs w:val="18"/>
          <w:color w:val="auto"/>
        </w:rPr>
      </w:pPr>
    </w:p>
    <w:p>
      <w:pPr>
        <w:ind w:left="440" w:right="200" w:firstLine="428"/>
        <w:spacing w:after="0" w:line="286" w:lineRule="auto"/>
        <w:tabs>
          <w:tab w:leader="none" w:pos="1118"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concurrently with the delivery of the financial statements referred to in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(commencing with the delivery of the financial statements for the fiscal quarter ended September 30, 2015), a duly completed Compliance Certificate signed by a Financial Officer of the Borrower (which delivery may, unless the Administrative Agent, or a Lender requests executed originals, be by electronic communication including fax or email and shall be deemed to be an original authentic counterpart thereof for all purposes), which Compliance Certificate shall</w:t>
      </w:r>
    </w:p>
    <w:p>
      <w:pPr>
        <w:spacing w:after="0" w:line="1" w:lineRule="exact"/>
        <w:rPr>
          <w:rFonts w:ascii="Arial" w:cs="Arial" w:eastAsia="Arial" w:hAnsi="Arial"/>
          <w:sz w:val="16"/>
          <w:szCs w:val="16"/>
          <w:color w:val="auto"/>
        </w:rPr>
      </w:pPr>
    </w:p>
    <w:p>
      <w:pPr>
        <w:ind w:left="440" w:firstLine="4"/>
        <w:spacing w:after="0" w:line="288" w:lineRule="auto"/>
        <w:tabs>
          <w:tab w:leader="none" w:pos="69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provide that no Default exists or, if a Default exists, specifying the nature and extent thereof; (y) set forth (i) any change in the identity of any of the Immaterial Subsidiaries or Inactive Subsidiaries during such period and (ii) a detailed calculation of the Consolidated Leverage Ratio, the Consolidated Net Leverage Ratio, the Consolidated Secured Leverage Ratio and the amount available for Investments and Restricted Payments under </w:t>
      </w:r>
      <w:r>
        <w:rPr>
          <w:rFonts w:ascii="Arial" w:cs="Arial" w:eastAsia="Arial" w:hAnsi="Arial"/>
          <w:sz w:val="16"/>
          <w:szCs w:val="16"/>
          <w:u w:val="single" w:color="auto"/>
          <w:color w:val="auto"/>
        </w:rPr>
        <w:t>Sections 7.03(a)(xiv)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7.06(d)</w:t>
      </w:r>
      <w:r>
        <w:rPr>
          <w:rFonts w:ascii="Arial" w:cs="Arial" w:eastAsia="Arial" w:hAnsi="Arial"/>
          <w:sz w:val="16"/>
          <w:szCs w:val="16"/>
          <w:color w:val="auto"/>
        </w:rPr>
        <w:t xml:space="preserve">, in each case as of the last day of such period, and solely with respect to the delivery concurrently with the financial statements referred to in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a calculation of Excess Cash Flow for such fiscal year); and (z) set forth all patents, trademarks, registered copyrights, service marks, and material license agreements owned by each Loan Party or Subsidiary or to which a Loan Party or Subsidiary is a party and which is not set forth on </w:t>
      </w:r>
      <w:r>
        <w:rPr>
          <w:rFonts w:ascii="Arial" w:cs="Arial" w:eastAsia="Arial" w:hAnsi="Arial"/>
          <w:sz w:val="16"/>
          <w:szCs w:val="16"/>
          <w:u w:val="single" w:color="auto"/>
          <w:color w:val="auto"/>
        </w:rPr>
        <w:t>Schedule 5.17</w:t>
      </w:r>
      <w:r>
        <w:rPr>
          <w:rFonts w:ascii="Arial" w:cs="Arial" w:eastAsia="Arial" w:hAnsi="Arial"/>
          <w:sz w:val="16"/>
          <w:szCs w:val="16"/>
          <w:color w:val="auto"/>
        </w:rPr>
        <w:t xml:space="preserve"> hereto or on any previously delivered Compliance Certificate;</w:t>
      </w:r>
    </w:p>
    <w:p>
      <w:pPr>
        <w:spacing w:after="0" w:line="60" w:lineRule="exact"/>
        <w:rPr>
          <w:rFonts w:ascii="Arial" w:cs="Arial" w:eastAsia="Arial" w:hAnsi="Arial"/>
          <w:sz w:val="16"/>
          <w:szCs w:val="16"/>
          <w:color w:val="auto"/>
        </w:rPr>
      </w:pPr>
    </w:p>
    <w:p>
      <w:pPr>
        <w:ind w:left="440" w:right="180" w:firstLine="428"/>
        <w:spacing w:after="0" w:line="264" w:lineRule="auto"/>
        <w:tabs>
          <w:tab w:leader="none" w:pos="1108" w:val="left"/>
        </w:tabs>
        <w:numPr>
          <w:ilvl w:val="1"/>
          <w:numId w:val="142"/>
        </w:numPr>
        <w:rPr>
          <w:rFonts w:ascii="Arial" w:cs="Arial" w:eastAsia="Arial" w:hAnsi="Arial"/>
          <w:sz w:val="18"/>
          <w:szCs w:val="18"/>
          <w:color w:val="auto"/>
        </w:rPr>
      </w:pPr>
      <w:r>
        <w:rPr>
          <w:rFonts w:ascii="Arial" w:cs="Arial" w:eastAsia="Arial" w:hAnsi="Arial"/>
          <w:sz w:val="18"/>
          <w:szCs w:val="18"/>
          <w:color w:val="auto"/>
        </w:rPr>
        <w:t>promptly after the same are available, copies of any detailed audit reports or management letters submitted to the board of directors (or the audit committee of the board of directors) of the Borrower by independent accountants in connection with any audit of the Borrower or any Subsidiary;</w:t>
      </w:r>
    </w:p>
    <w:p>
      <w:pPr>
        <w:spacing w:after="0" w:line="73" w:lineRule="exact"/>
        <w:rPr>
          <w:rFonts w:ascii="Arial" w:cs="Arial" w:eastAsia="Arial" w:hAnsi="Arial"/>
          <w:sz w:val="18"/>
          <w:szCs w:val="18"/>
          <w:color w:val="auto"/>
        </w:rPr>
      </w:pPr>
    </w:p>
    <w:p>
      <w:pPr>
        <w:ind w:left="440" w:right="60" w:firstLine="428"/>
        <w:spacing w:after="0" w:line="273" w:lineRule="auto"/>
        <w:tabs>
          <w:tab w:leader="none" w:pos="1118" w:val="left"/>
        </w:tabs>
        <w:numPr>
          <w:ilvl w:val="1"/>
          <w:numId w:val="142"/>
        </w:numPr>
        <w:rPr>
          <w:rFonts w:ascii="Arial" w:cs="Arial" w:eastAsia="Arial" w:hAnsi="Arial"/>
          <w:sz w:val="17"/>
          <w:szCs w:val="17"/>
          <w:color w:val="auto"/>
        </w:rPr>
      </w:pPr>
      <w:r>
        <w:rPr>
          <w:rFonts w:ascii="Arial" w:cs="Arial" w:eastAsia="Arial" w:hAnsi="Arial"/>
          <w:sz w:val="17"/>
          <w:szCs w:val="17"/>
          <w:color w:val="auto"/>
        </w:rPr>
        <w:t>promptly after the same are available, copies of all notices, reports, definitive proxy or other statements and other documents (other than any routine ministerial notices, reports or other documents) sent by the Borrower to its shareholders, to the holders of any of its debentures or bonds or the trustee of any indenture securing the same or pursuant to which they are issued, or sent by the Borrower (in final form) to any securities exchange or over the counter authority or system, or to the SEC or any similar federal agency having regulatory jurisdiction over the issuance of the Borrower’s securities, including, without limitation, a transcript and summary (in form and substance satisfactory to the Administrative Agent) of any earnings calls or similar calls with respect to the Borrower;</w:t>
      </w:r>
    </w:p>
    <w:p>
      <w:pPr>
        <w:spacing w:after="0" w:line="70" w:lineRule="exact"/>
        <w:rPr>
          <w:rFonts w:ascii="Arial" w:cs="Arial" w:eastAsia="Arial" w:hAnsi="Arial"/>
          <w:sz w:val="17"/>
          <w:szCs w:val="17"/>
          <w:color w:val="auto"/>
        </w:rPr>
      </w:pPr>
    </w:p>
    <w:p>
      <w:pPr>
        <w:ind w:left="440" w:right="400" w:firstLine="428"/>
        <w:spacing w:after="0" w:line="279" w:lineRule="auto"/>
        <w:tabs>
          <w:tab w:leader="none" w:pos="1108" w:val="left"/>
        </w:tabs>
        <w:numPr>
          <w:ilvl w:val="1"/>
          <w:numId w:val="142"/>
        </w:numPr>
        <w:rPr>
          <w:rFonts w:ascii="Arial" w:cs="Arial" w:eastAsia="Arial" w:hAnsi="Arial"/>
          <w:sz w:val="17"/>
          <w:szCs w:val="17"/>
          <w:color w:val="auto"/>
        </w:rPr>
      </w:pPr>
      <w:r>
        <w:rPr>
          <w:rFonts w:ascii="Arial" w:cs="Arial" w:eastAsia="Arial" w:hAnsi="Arial"/>
          <w:sz w:val="17"/>
          <w:szCs w:val="17"/>
          <w:color w:val="auto"/>
        </w:rPr>
        <w:t xml:space="preserve">promptly after the furnishing thereof, copies of any statement or report (other than any routine ministerial statements or reports) furnished to any holder of debt securities, including, without limitation, any holders of Indebtedness governed by any Material Indebtedness Agreement, of any Loan Party or of any of its Subsidiaries pursuant to the terms of any indenture, loan or credit or similar agreement and not otherwise required to be furnished to the Lenders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or any other clause of this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E-4-77</w:t>
      </w:r>
    </w:p>
    <w:p>
      <w:pPr>
        <w:sectPr>
          <w:pgSz w:w="11900" w:h="16838" w:orient="portrait"/>
          <w:cols w:equalWidth="0" w:num="1">
            <w:col w:w="11000"/>
          </w:cols>
          <w:pgMar w:left="440" w:top="274" w:right="459" w:bottom="1440" w:gutter="0" w:footer="0" w:header="0"/>
        </w:sectPr>
      </w:pPr>
    </w:p>
    <w:bookmarkStart w:id="103" w:name="page104"/>
    <w:bookmarkEnd w:id="103"/>
    <w:p>
      <w:pPr>
        <w:ind w:right="60" w:firstLine="428"/>
        <w:spacing w:after="0" w:line="264" w:lineRule="auto"/>
        <w:tabs>
          <w:tab w:leader="none" w:pos="648"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30 days of the written request of the Administrative Agent, a report summarizing the insurance coverage (specifying type, amount and carrier) in effect for each Loan Party and its Subsidiaries and containing such additional information as the Administrative Agent, or any Lender through the Administrative Agent, may reasonably specify;</w:t>
      </w:r>
    </w:p>
    <w:p>
      <w:pPr>
        <w:spacing w:after="0" w:line="73" w:lineRule="exact"/>
        <w:rPr>
          <w:rFonts w:ascii="Arial" w:cs="Arial" w:eastAsia="Arial" w:hAnsi="Arial"/>
          <w:sz w:val="18"/>
          <w:szCs w:val="18"/>
          <w:color w:val="auto"/>
        </w:rPr>
      </w:pPr>
    </w:p>
    <w:p>
      <w:pPr>
        <w:ind w:right="140" w:firstLine="428"/>
        <w:spacing w:after="0" w:line="259" w:lineRule="auto"/>
        <w:tabs>
          <w:tab w:leader="none" w:pos="67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promptly, and in any event within five Business Days after receipt thereof by any Loan Party or any Subsidiary thereof, copies of each notice or other correspondence received from the SEC (or comparable agency in any applicable non-U.S. jurisdiction) concerning any investigation or possible investigation or other material inquiry by such agency regarding financial or other operational results of any Loan Party or any Subsidiary thereof;</w:t>
      </w:r>
    </w:p>
    <w:p>
      <w:pPr>
        <w:spacing w:after="0" w:line="78" w:lineRule="exact"/>
        <w:rPr>
          <w:rFonts w:ascii="Arial" w:cs="Arial" w:eastAsia="Arial" w:hAnsi="Arial"/>
          <w:sz w:val="18"/>
          <w:szCs w:val="18"/>
          <w:color w:val="auto"/>
        </w:rPr>
      </w:pPr>
    </w:p>
    <w:p>
      <w:pPr>
        <w:ind w:right="20" w:firstLine="428"/>
        <w:spacing w:after="0" w:line="279" w:lineRule="auto"/>
        <w:tabs>
          <w:tab w:leader="none" w:pos="67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not later than five Business Days after receipt thereof by any Loan Party or any Subsidiary thereof, copies of all material notices, requests and other documents (including amendments, waivers and other modifications) so received under or pursuant to any Related Document or any Material Indebtedness Agreement and, from time to time upon request by the Administrative Agent, such information and reports regarding any Related Document or any Material Indebtedness Agreement as the Administrative Agent may reasonably request;</w:t>
      </w:r>
    </w:p>
    <w:p>
      <w:pPr>
        <w:spacing w:after="0" w:line="63" w:lineRule="exact"/>
        <w:rPr>
          <w:rFonts w:ascii="Arial" w:cs="Arial" w:eastAsia="Arial" w:hAnsi="Arial"/>
          <w:sz w:val="17"/>
          <w:szCs w:val="17"/>
          <w:color w:val="auto"/>
        </w:rPr>
      </w:pPr>
    </w:p>
    <w:p>
      <w:pPr>
        <w:ind w:right="40" w:firstLine="428"/>
        <w:spacing w:after="0" w:line="302" w:lineRule="auto"/>
        <w:tabs>
          <w:tab w:leader="none" w:pos="63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promptly after the assertion or occurrence thereof, notice of any action or proceeding against or of any noncompliance by any Loan Party or any of its Subsidiaries under or with any Environmental Law or Environmental Permit that would (i) either individually or in the aggregate, reasonably be expected to have a Material Adverse Effect or (ii) cause any property described in the Mortgages to be subject to any restrictions on ownership, occupancy, use or transferability under any Environmental Law (other than Liens permitted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firstLine="428"/>
        <w:spacing w:after="0" w:line="290" w:lineRule="auto"/>
        <w:tabs>
          <w:tab w:leader="none" w:pos="638"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as soon as available, but in any event within 30 days after the end of each fiscal year of the Borrower, (i) a report supplementing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5.05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5.09</w:t>
      </w:r>
      <w:r>
        <w:rPr>
          <w:rFonts w:ascii="Arial" w:cs="Arial" w:eastAsia="Arial" w:hAnsi="Arial"/>
          <w:sz w:val="16"/>
          <w:szCs w:val="16"/>
          <w:color w:val="auto"/>
        </w:rPr>
        <w:t xml:space="preserve">, including an identification of all owned and leased real property disposed of by any Loan Party or any Subsidiary thereof during such fiscal year, a list and description (including the street address, county or other relevant jurisdiction, state, record owner, book value thereof and, in the case of leases of property, lessor, lessee, expiration date and annual rental cost thereof) of all real property acquired or leased during such fiscal year and a description of such other changes in the information included in such Schedules as may be necessary for such Schedules to be accurate and complete and (ii) a report supplementing </w:t>
      </w:r>
      <w:r>
        <w:rPr>
          <w:rFonts w:ascii="Arial" w:cs="Arial" w:eastAsia="Arial" w:hAnsi="Arial"/>
          <w:sz w:val="16"/>
          <w:szCs w:val="16"/>
          <w:u w:val="single" w:color="auto"/>
          <w:color w:val="auto"/>
        </w:rPr>
        <w:t>Schedules 5.01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5.17</w:t>
      </w:r>
      <w:r>
        <w:rPr>
          <w:rFonts w:ascii="Arial" w:cs="Arial" w:eastAsia="Arial" w:hAnsi="Arial"/>
          <w:sz w:val="16"/>
          <w:szCs w:val="16"/>
          <w:color w:val="auto"/>
        </w:rPr>
        <w:t xml:space="preserve"> containing a description of all changes in the information included in such Schedules as may be necessary for such Schedules to be accurate and complete, each such report to be signed by a Responsible Officer of the Borrower and to be in a form reasonably satisfactory to the Administrative Agent;</w:t>
      </w:r>
    </w:p>
    <w:p>
      <w:pPr>
        <w:spacing w:after="0" w:line="58" w:lineRule="exact"/>
        <w:rPr>
          <w:rFonts w:ascii="Arial" w:cs="Arial" w:eastAsia="Arial" w:hAnsi="Arial"/>
          <w:sz w:val="16"/>
          <w:szCs w:val="16"/>
          <w:color w:val="auto"/>
        </w:rPr>
      </w:pPr>
    </w:p>
    <w:p>
      <w:pPr>
        <w:ind w:right="20" w:firstLine="428"/>
        <w:spacing w:after="0" w:line="255" w:lineRule="auto"/>
        <w:tabs>
          <w:tab w:leader="none" w:pos="67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promptly after any Loan Party or any Subsidiary thereof obtains knowledge that any Loan Party or any Subsidiary thereof or any Person which owns, directly or indirectly, any Equity Interest of any Loan Party or any Subsidiary thereof, or any other holder at any time of any direct or indirect equitable, legal or beneficial interest therein is in violation or breach of any of </w:t>
      </w:r>
      <w:r>
        <w:rPr>
          <w:rFonts w:ascii="Arial" w:cs="Arial" w:eastAsia="Arial" w:hAnsi="Arial"/>
          <w:sz w:val="18"/>
          <w:szCs w:val="18"/>
          <w:u w:val="single" w:color="auto"/>
          <w:color w:val="auto"/>
        </w:rPr>
        <w:t>Sections 6.08(b)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7.10</w:t>
      </w:r>
      <w:r>
        <w:rPr>
          <w:rFonts w:ascii="Arial" w:cs="Arial" w:eastAsia="Arial" w:hAnsi="Arial"/>
          <w:sz w:val="18"/>
          <w:szCs w:val="18"/>
          <w:color w:val="auto"/>
        </w:rPr>
        <w:t>, such Loan Party or Subsidiary will deliver reasonably prompt notice to the Administrative Agent and the Lenders of such violation. Upon the request of any Lender, such Loan Party or Subsidiary, as applicable, will provide any information such Lender believes is reasonably necessary to be delivered to comply with the PATRIOT Act;</w:t>
      </w:r>
    </w:p>
    <w:p>
      <w:pPr>
        <w:spacing w:after="0" w:line="85" w:lineRule="exact"/>
        <w:rPr>
          <w:rFonts w:ascii="Arial" w:cs="Arial" w:eastAsia="Arial" w:hAnsi="Arial"/>
          <w:sz w:val="18"/>
          <w:szCs w:val="18"/>
          <w:color w:val="auto"/>
        </w:rPr>
      </w:pPr>
    </w:p>
    <w:p>
      <w:pPr>
        <w:ind w:left="640" w:hanging="212"/>
        <w:spacing w:after="0"/>
        <w:tabs>
          <w:tab w:leader="none" w:pos="6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60" w:firstLine="428"/>
        <w:spacing w:after="0" w:line="259" w:lineRule="auto"/>
        <w:tabs>
          <w:tab w:leader="none" w:pos="7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within ten days of the written request of the Administrative Agent or any Lender, such other information about the financial condition, properties and operations of the Borrower or any of its Subsidiaries as may from time to time be reasonably requested, which information shall be submitted in form and detail satisfactory to the Administrative Agent and the Lenders and certified by a Responsible Officer of the Borrower or such Subsidiary, as case may be, in question; and</w:t>
      </w:r>
    </w:p>
    <w:p>
      <w:pPr>
        <w:spacing w:after="0" w:line="78" w:lineRule="exact"/>
        <w:rPr>
          <w:rFonts w:ascii="Arial" w:cs="Arial" w:eastAsia="Arial" w:hAnsi="Arial"/>
          <w:sz w:val="18"/>
          <w:szCs w:val="18"/>
          <w:color w:val="auto"/>
        </w:rPr>
      </w:pPr>
    </w:p>
    <w:p>
      <w:pPr>
        <w:ind w:right="80" w:firstLine="428"/>
        <w:spacing w:after="0" w:line="286" w:lineRule="auto"/>
        <w:tabs>
          <w:tab w:leader="none" w:pos="67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concurrently with the making of an Investment pursuant to </w:t>
      </w:r>
      <w:r>
        <w:rPr>
          <w:rFonts w:ascii="Arial" w:cs="Arial" w:eastAsia="Arial" w:hAnsi="Arial"/>
          <w:sz w:val="17"/>
          <w:szCs w:val="17"/>
          <w:u w:val="single" w:color="auto"/>
          <w:color w:val="auto"/>
        </w:rPr>
        <w:t>Section 7.03(a)(xiv)</w:t>
      </w:r>
      <w:r>
        <w:rPr>
          <w:rFonts w:ascii="Arial" w:cs="Arial" w:eastAsia="Arial" w:hAnsi="Arial"/>
          <w:sz w:val="17"/>
          <w:szCs w:val="17"/>
          <w:color w:val="auto"/>
        </w:rPr>
        <w:t xml:space="preserve"> or a Restricted Payment pursuant to </w:t>
      </w:r>
      <w:r>
        <w:rPr>
          <w:rFonts w:ascii="Arial" w:cs="Arial" w:eastAsia="Arial" w:hAnsi="Arial"/>
          <w:sz w:val="17"/>
          <w:szCs w:val="17"/>
          <w:u w:val="single" w:color="auto"/>
          <w:color w:val="auto"/>
        </w:rPr>
        <w:t>Section 7.06(d)</w:t>
      </w:r>
      <w:r>
        <w:rPr>
          <w:rFonts w:ascii="Arial" w:cs="Arial" w:eastAsia="Arial" w:hAnsi="Arial"/>
          <w:sz w:val="17"/>
          <w:szCs w:val="17"/>
          <w:color w:val="auto"/>
        </w:rPr>
        <w:t>, as the case may be, a certificate executed by a Financial Officer of the Borrower in form and substance reasonably satisfactory to the Administrative Agent setting forth (i) the Cumulative Retained Excess Cash Flow Amount, the cumulative initial amount of Investments</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E-4-78</w:t>
      </w:r>
    </w:p>
    <w:p>
      <w:pPr>
        <w:sectPr>
          <w:pgSz w:w="11900" w:h="16838" w:orient="portrait"/>
          <w:cols w:equalWidth="0" w:num="1">
            <w:col w:w="10580"/>
          </w:cols>
          <w:pgMar w:left="880" w:top="274" w:right="439" w:bottom="1440" w:gutter="0" w:footer="0" w:header="0"/>
        </w:sectPr>
      </w:pPr>
    </w:p>
    <w:bookmarkStart w:id="104" w:name="page105"/>
    <w:bookmarkEnd w:id="104"/>
    <w:p>
      <w:pPr>
        <w:ind w:left="440"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made to date pursuant to </w:t>
      </w:r>
      <w:r>
        <w:rPr>
          <w:rFonts w:ascii="Arial" w:cs="Arial" w:eastAsia="Arial" w:hAnsi="Arial"/>
          <w:sz w:val="18"/>
          <w:szCs w:val="18"/>
          <w:u w:val="single" w:color="auto"/>
          <w:color w:val="auto"/>
        </w:rPr>
        <w:t>Section 7.03(a)(xiv)</w:t>
      </w:r>
      <w:r>
        <w:rPr>
          <w:rFonts w:ascii="Arial" w:cs="Arial" w:eastAsia="Arial" w:hAnsi="Arial"/>
          <w:sz w:val="18"/>
          <w:szCs w:val="18"/>
          <w:color w:val="auto"/>
        </w:rPr>
        <w:t xml:space="preserve">, the cumulative amount of Restricted Payments made to date pursuant to </w:t>
      </w:r>
      <w:r>
        <w:rPr>
          <w:rFonts w:ascii="Arial" w:cs="Arial" w:eastAsia="Arial" w:hAnsi="Arial"/>
          <w:sz w:val="18"/>
          <w:szCs w:val="18"/>
          <w:u w:val="single" w:color="auto"/>
          <w:color w:val="auto"/>
        </w:rPr>
        <w:t>Section 7.06(d)</w:t>
      </w:r>
      <w:r>
        <w:rPr>
          <w:rFonts w:ascii="Arial" w:cs="Arial" w:eastAsia="Arial" w:hAnsi="Arial"/>
          <w:sz w:val="18"/>
          <w:szCs w:val="18"/>
          <w:color w:val="auto"/>
        </w:rPr>
        <w:t xml:space="preserve"> and the remaining amount available for Investments and Restricted Payments under </w:t>
      </w:r>
      <w:r>
        <w:rPr>
          <w:rFonts w:ascii="Arial" w:cs="Arial" w:eastAsia="Arial" w:hAnsi="Arial"/>
          <w:sz w:val="18"/>
          <w:szCs w:val="18"/>
          <w:u w:val="single" w:color="auto"/>
          <w:color w:val="auto"/>
        </w:rPr>
        <w:t>Sections 7.03(a)(xiv)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7.06(d)</w:t>
      </w:r>
      <w:r>
        <w:rPr>
          <w:rFonts w:ascii="Arial" w:cs="Arial" w:eastAsia="Arial" w:hAnsi="Arial"/>
          <w:sz w:val="18"/>
          <w:szCs w:val="18"/>
          <w:color w:val="auto"/>
        </w:rPr>
        <w:t xml:space="preserve"> and (ii) the Consolidated Net Leverage Ratio (calculated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after giving effect to such Investment or Restricted Payment and any Indebtedness incurred or repaid in connection therewith).</w:t>
      </w:r>
    </w:p>
    <w:p>
      <w:pPr>
        <w:spacing w:after="0" w:line="18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6.02(d)</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10.02</w:t>
      </w:r>
      <w:r>
        <w:rPr>
          <w:rFonts w:ascii="Arial" w:cs="Arial" w:eastAsia="Arial" w:hAnsi="Arial"/>
          <w:sz w:val="17"/>
          <w:szCs w:val="17"/>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deliver paper copies of such documents to the Administrative Agent or any Lender upon its request to the Borrower to deliver such paper copies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78"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The Borrower hereby acknowledges that (a) the Administrative Agent and/or one or more of the Arrangers will make available to the Lenders and the L/C Issuers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IntraLinks, SyndTrak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w:t>
      </w:r>
      <w:r>
        <w:rPr>
          <w:rFonts w:ascii="Arial" w:cs="Arial" w:eastAsia="Arial" w:hAnsi="Arial"/>
          <w:sz w:val="16"/>
          <w:szCs w:val="16"/>
          <w:color w:val="auto"/>
        </w:rPr>
        <w:t xml:space="preserve"> </w:t>
      </w:r>
      <w:r>
        <w:rPr>
          <w:rFonts w:ascii="Arial" w:cs="Arial" w:eastAsia="Arial" w:hAnsi="Arial"/>
          <w:sz w:val="16"/>
          <w:szCs w:val="16"/>
          <w:u w:val="single" w:color="auto"/>
          <w:color w:val="auto"/>
        </w:rPr>
        <w:t>Lender</w:t>
      </w:r>
      <w:r>
        <w:rPr>
          <w:rFonts w:ascii="Arial" w:cs="Arial" w:eastAsia="Arial" w:hAnsi="Arial"/>
          <w:sz w:val="16"/>
          <w:szCs w:val="16"/>
          <w:color w:val="auto"/>
        </w:rPr>
        <w:t>”) may have personnel who do not wish to receive material nonpublic information (for purposes of the United States Federal and state securities laws)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(w) all such Borrower Materials that are to be made available to Public Lenders shall be clearly and conspicuously marked “PUBLIC” which, at a minimum, means that the word “PUBLIC” shall appear prominently on the first page thereof; (x) by marking Borrower Materials “PUBLIC,” the Borrower shall be deemed to have authorized the Administrative Agent, the Arrangers, the L/C Issuers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10.07</w:t>
      </w:r>
      <w:r>
        <w:rPr>
          <w:rFonts w:ascii="Arial" w:cs="Arial" w:eastAsia="Arial" w:hAnsi="Arial"/>
          <w:sz w:val="16"/>
          <w:szCs w:val="16"/>
          <w:color w:val="auto"/>
        </w:rPr>
        <w:t>);</w:t>
      </w:r>
    </w:p>
    <w:p>
      <w:pPr>
        <w:spacing w:after="0" w:line="4" w:lineRule="exact"/>
        <w:rPr>
          <w:sz w:val="20"/>
          <w:szCs w:val="20"/>
          <w:color w:val="auto"/>
        </w:rPr>
      </w:pPr>
    </w:p>
    <w:p>
      <w:pPr>
        <w:ind w:right="260" w:firstLine="4"/>
        <w:spacing w:after="0" w:line="255" w:lineRule="auto"/>
        <w:tabs>
          <w:tab w:leader="none" w:pos="2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19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Notices</w:t>
      </w:r>
      <w:r>
        <w:rPr>
          <w:rFonts w:ascii="Arial" w:cs="Arial" w:eastAsia="Arial" w:hAnsi="Arial"/>
          <w:sz w:val="18"/>
          <w:szCs w:val="18"/>
          <w:color w:val="auto"/>
        </w:rPr>
        <w:t>. Promptly, after a Responsible Officer of the Borrower or any of its Subsidiaries has knowledge thereof, notify the Administrative Agent and each Lender:</w:t>
      </w:r>
    </w:p>
    <w:p>
      <w:pPr>
        <w:spacing w:after="0" w:line="62" w:lineRule="exact"/>
        <w:rPr>
          <w:sz w:val="20"/>
          <w:szCs w:val="20"/>
          <w:color w:val="auto"/>
        </w:rPr>
      </w:pPr>
    </w:p>
    <w:p>
      <w:pPr>
        <w:ind w:left="1120" w:hanging="252"/>
        <w:spacing w:after="0"/>
        <w:tabs>
          <w:tab w:leader="none" w:pos="11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whenever a Default may occur hereunder;</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of any matter that has resulted, or, either individually or in the aggregate, would reasonably be expected to result, in a Material Adverse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102" w:lineRule="exact"/>
        <w:rPr>
          <w:rFonts w:ascii="Arial" w:cs="Arial" w:eastAsia="Arial" w:hAnsi="Arial"/>
          <w:sz w:val="16"/>
          <w:szCs w:val="16"/>
          <w:color w:val="auto"/>
        </w:rPr>
      </w:pPr>
    </w:p>
    <w:p>
      <w:pPr>
        <w:ind w:left="1120" w:hanging="252"/>
        <w:spacing w:after="0"/>
        <w:tabs>
          <w:tab w:leader="none" w:pos="11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of the occurrence of any ERISA Event;</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of any material change in accounting policies or financial reporting practices by any Loan Party or any Subsidiary thereof;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E-4-79</w:t>
      </w:r>
    </w:p>
    <w:p>
      <w:pPr>
        <w:sectPr>
          <w:pgSz w:w="11900" w:h="16838" w:orient="portrait"/>
          <w:cols w:equalWidth="0" w:num="1">
            <w:col w:w="11000"/>
          </w:cols>
          <w:pgMar w:left="440" w:top="274" w:right="459" w:bottom="1440" w:gutter="0" w:footer="0" w:header="0"/>
        </w:sectPr>
      </w:pPr>
    </w:p>
    <w:bookmarkStart w:id="105" w:name="page106"/>
    <w:bookmarkEnd w:id="105"/>
    <w:p>
      <w:pPr>
        <w:ind w:left="440" w:firstLine="428"/>
        <w:spacing w:after="0" w:line="259" w:lineRule="auto"/>
        <w:tabs>
          <w:tab w:leader="none" w:pos="1108"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of the (i) occurrence of any Disposition of property or assets for which the Borrower is required to make a mandatory prepayment pursuant to </w:t>
      </w:r>
      <w:r>
        <w:rPr>
          <w:rFonts w:ascii="Arial" w:cs="Arial" w:eastAsia="Arial" w:hAnsi="Arial"/>
          <w:sz w:val="18"/>
          <w:szCs w:val="18"/>
          <w:u w:val="single" w:color="auto"/>
          <w:color w:val="auto"/>
        </w:rPr>
        <w:t>Section 2.05(b)(ii)</w:t>
      </w:r>
      <w:r>
        <w:rPr>
          <w:rFonts w:ascii="Arial" w:cs="Arial" w:eastAsia="Arial" w:hAnsi="Arial"/>
          <w:sz w:val="18"/>
          <w:szCs w:val="18"/>
          <w:color w:val="auto"/>
        </w:rPr>
        <w:t xml:space="preserve">, (ii) incurrence or issuance of any Indebtedness for which the Borrower is required to make a mandatory prepayment pursuant to </w:t>
      </w:r>
      <w:r>
        <w:rPr>
          <w:rFonts w:ascii="Arial" w:cs="Arial" w:eastAsia="Arial" w:hAnsi="Arial"/>
          <w:sz w:val="18"/>
          <w:szCs w:val="18"/>
          <w:u w:val="single" w:color="auto"/>
          <w:color w:val="auto"/>
        </w:rPr>
        <w:t>Section 2.05(b)(iii)</w:t>
      </w:r>
      <w:r>
        <w:rPr>
          <w:rFonts w:ascii="Arial" w:cs="Arial" w:eastAsia="Arial" w:hAnsi="Arial"/>
          <w:sz w:val="18"/>
          <w:szCs w:val="18"/>
          <w:color w:val="auto"/>
        </w:rPr>
        <w:t xml:space="preserve">, and (iii) receipt of any Extraordinary Receipt for which the Borrower is required to make a mandatory prepayment pursuant to </w:t>
      </w:r>
      <w:r>
        <w:rPr>
          <w:rFonts w:ascii="Arial" w:cs="Arial" w:eastAsia="Arial" w:hAnsi="Arial"/>
          <w:sz w:val="18"/>
          <w:szCs w:val="18"/>
          <w:u w:val="single" w:color="auto"/>
          <w:color w:val="auto"/>
        </w:rPr>
        <w:t>Section 2.05(b)(iv)</w:t>
      </w:r>
      <w:r>
        <w:rPr>
          <w:rFonts w:ascii="Arial" w:cs="Arial" w:eastAsia="Arial" w:hAnsi="Arial"/>
          <w:sz w:val="18"/>
          <w:szCs w:val="18"/>
          <w:color w:val="auto"/>
        </w:rPr>
        <w:t>; and</w:t>
      </w:r>
    </w:p>
    <w:p>
      <w:pPr>
        <w:spacing w:after="0" w:line="78" w:lineRule="exact"/>
        <w:rPr>
          <w:rFonts w:ascii="Arial" w:cs="Arial" w:eastAsia="Arial" w:hAnsi="Arial"/>
          <w:sz w:val="18"/>
          <w:szCs w:val="18"/>
          <w:color w:val="auto"/>
        </w:rPr>
      </w:pPr>
    </w:p>
    <w:p>
      <w:pPr>
        <w:ind w:left="1100" w:hanging="232"/>
        <w:spacing w:after="0"/>
        <w:tabs>
          <w:tab w:leader="none" w:pos="11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of any announcement by Moody’s or S&amp;P of any change or possible change in any Debt Rating.</w:t>
      </w:r>
    </w:p>
    <w:p>
      <w:pPr>
        <w:spacing w:after="0" w:line="225"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 xml:space="preserve">Each notice pursuant to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6.03(f)</w:t>
      </w:r>
      <w:r>
        <w:rPr>
          <w:rFonts w:ascii="Arial" w:cs="Arial" w:eastAsia="Arial" w:hAnsi="Arial"/>
          <w:sz w:val="18"/>
          <w:szCs w:val="18"/>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shall describe with particularity any and all provisions of this Agreement and any other Loan Document that have been breached.</w:t>
      </w:r>
    </w:p>
    <w:p>
      <w:pPr>
        <w:spacing w:after="0" w:line="187"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 xml:space="preserve">6.04. </w:t>
      </w:r>
      <w:r>
        <w:rPr>
          <w:rFonts w:ascii="Arial" w:cs="Arial" w:eastAsia="Arial" w:hAnsi="Arial"/>
          <w:sz w:val="16"/>
          <w:szCs w:val="16"/>
          <w:u w:val="single" w:color="auto"/>
          <w:color w:val="auto"/>
        </w:rPr>
        <w:t>Payment of Taxes and Other Obligations</w:t>
      </w:r>
      <w:r>
        <w:rPr>
          <w:rFonts w:ascii="Arial" w:cs="Arial" w:eastAsia="Arial" w:hAnsi="Arial"/>
          <w:sz w:val="16"/>
          <w:szCs w:val="16"/>
          <w:color w:val="auto"/>
        </w:rPr>
        <w:t>. Pay in full (a) prior in each case to the date when penalties would attach, all material Taxes, assessments and governmental charges and levies (except only those so long as and to the extent that the same shall be contested in good faith by appropriate and timely proceedings and for which adequate provisions have been established in accordance with GAAP) for which it may be or become liable or to which any or all of its properties may be or become subject; (b) in the case of the Borrower and Domestic Subsidiaries, all of its material wage obligations to its employees in compliance with the Fair Labor Standards Act (29 U.S.C. §§ 206-207) or any comparable provisions, and, in the case of the Foreign Subsidiaries, those obligations under foreign laws with respect to employee source deductions, obligations and employer obligations to its employees; and (c) except where failure to pay such obligations, either individually or in the aggregate, would not reasonably be expected to have a Material Adverse Effect, all of its other obligations calling for the payment of money (except only those so long as and to the extent that the same shall be contested in good faith and for which adequate provisions have been established in accordance with GAAP) before such payment becomes overdue.</w:t>
      </w:r>
    </w:p>
    <w:p>
      <w:pPr>
        <w:spacing w:after="0" w:line="167"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 xml:space="preserve">6.05. </w:t>
      </w:r>
      <w:r>
        <w:rPr>
          <w:rFonts w:ascii="Arial" w:cs="Arial" w:eastAsia="Arial" w:hAnsi="Arial"/>
          <w:sz w:val="17"/>
          <w:szCs w:val="17"/>
          <w:u w:val="single" w:color="auto"/>
          <w:color w:val="auto"/>
        </w:rPr>
        <w:t>Preservation of Existence, Etc</w:t>
      </w:r>
      <w:r>
        <w:rPr>
          <w:rFonts w:ascii="Arial" w:cs="Arial" w:eastAsia="Arial" w:hAnsi="Arial"/>
          <w:sz w:val="17"/>
          <w:szCs w:val="17"/>
          <w:color w:val="auto"/>
        </w:rPr>
        <w:t xml:space="preserve">. Other than any Inactive Subsidiary or Immaterial Subsidiary (a) preserve, renew and maintain in full force and effect its legal existence and good standing under the Laws of the jurisdiction of its organization except in a transaction permitted by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7.05</w:t>
      </w:r>
      <w:r>
        <w:rPr>
          <w:rFonts w:ascii="Arial" w:cs="Arial" w:eastAsia="Arial" w:hAnsi="Arial"/>
          <w:sz w:val="17"/>
          <w:szCs w:val="17"/>
          <w:color w:val="auto"/>
        </w:rPr>
        <w:t>; (b) take all reasonable action to maintain all rights, privileges, permits, licenses and franchises necessary or desirable in the normal conduct of its business, except to the extent that failure to do so, either individually or in the aggregate, would not reasonably be expected to have a Material Adverse Effect; and (c) preserve or renew all of its registered patents, trademarks, trade names and service marks, the non-preservation of which, either individually or in the aggregate, would reasonably be expected to have a Material Adverse Effect.</w:t>
      </w:r>
    </w:p>
    <w:p>
      <w:pPr>
        <w:spacing w:after="0" w:line="178"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 xml:space="preserve">6.06. </w:t>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 Except where the failure to do so, either individually or in the aggregate, would not reasonably be expected to have a Material Adverse Effect, (a) maintain, preserve and protect all of its material properties and equipment necessary in the operation of its business in good working order and condition, ordinary wear and tear excepted, (b) make all necessary repairs thereto and renewals and replacements thereof and (c) use the standard of care typical in the industry in the operation and maintenance of its facilities.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269" w:lineRule="auto"/>
        <w:tabs>
          <w:tab w:leader="none" w:pos="685" w:val="left"/>
        </w:tabs>
        <w:numPr>
          <w:ilvl w:val="0"/>
          <w:numId w:val="147"/>
        </w:numPr>
        <w:rPr>
          <w:rFonts w:ascii="Arial" w:cs="Arial" w:eastAsia="Arial" w:hAnsi="Arial"/>
          <w:sz w:val="17"/>
          <w:szCs w:val="17"/>
          <w:color w:val="auto"/>
        </w:rPr>
      </w:pPr>
      <w:r>
        <w:rPr>
          <w:rFonts w:ascii="Arial" w:cs="Arial" w:eastAsia="Arial" w:hAnsi="Arial"/>
          <w:sz w:val="17"/>
          <w:szCs w:val="17"/>
          <w:color w:val="auto"/>
        </w:rPr>
        <w:t>Maintain insurance upon its inventory, equipment and other personal and real property in such form, written by such companies, in such amounts, for such periods, and against such risks as customarily insured against by Persons engaged in the same or similar business and as required by applicable Laws and the Collateral Documents, with provisions for, with respect to Loan Parties, payment of all losses thereunder to the Administrative Agent and such Loan Parties as their interests may appear (with lender’s loss payable, mortgagee, and additional insured endorsements, as appropriate, in favor of the Administrative Agent). Any such policies of insurance shall provide for no fewer than thirty (30) days’ prior written notice of cancellation to the Administrative Agent and the Lenders. The Administrative Agent is hereby authorized to act as attorney-in-fact for the Loan Parties in (after the occurrence and during the continuation of an Event of Default) obtaining, adjusting, settling and canceling such insurance and indorsing any drafts. Within ten (10) Business Days of the Administrative Agent’s written request, the Borrower shall furnish to the Administrative Agent such information about the insurance of the Loan Parties and the Subsidiaries thereof (including, without limitation, copies of insurance policies of the Loan Parties and the Subsidiaries) as the Administrative Agent may from time to time reasonably request, which information shall be prepared in form and detail satisfactory to the Administrative Agent and certified by a Responsible Officer.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E-4-80</w:t>
      </w:r>
    </w:p>
    <w:p>
      <w:pPr>
        <w:sectPr>
          <w:pgSz w:w="11900" w:h="16838" w:orient="portrait"/>
          <w:cols w:equalWidth="0" w:num="1">
            <w:col w:w="11020"/>
          </w:cols>
          <w:pgMar w:left="440" w:top="274" w:right="439" w:bottom="1440" w:gutter="0" w:footer="0" w:header="0"/>
        </w:sectPr>
      </w:pPr>
    </w:p>
    <w:bookmarkStart w:id="106" w:name="page107"/>
    <w:bookmarkEnd w:id="106"/>
    <w:p>
      <w:pPr>
        <w:ind w:right="20" w:firstLine="444"/>
        <w:spacing w:after="0" w:line="273" w:lineRule="auto"/>
        <w:tabs>
          <w:tab w:leader="none" w:pos="696" w:val="left"/>
        </w:tabs>
        <w:numPr>
          <w:ilvl w:val="0"/>
          <w:numId w:val="1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portion of any Mortgaged Property is at any time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the Borrower shall, or shall cause each Loan Party to (i) maintain, or cause to be maintained, with a financially sound and reputable insurer, flood insurance in an amount and otherwise sufficient to comply with all applicable rules and regulations promulgated pursuant to applicable flood insurance Laws and (ii) deliver to the Administrative Agent evidence of such compliance in form and substance reasonably acceptable to the Administrative Agent.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59" w:lineRule="auto"/>
        <w:tabs>
          <w:tab w:leader="none" w:pos="68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Comply in all material respects with the requirements of all Laws (including, without limitation, ERISA)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78" w:lineRule="exact"/>
        <w:rPr>
          <w:rFonts w:ascii="Arial" w:cs="Arial" w:eastAsia="Arial" w:hAnsi="Arial"/>
          <w:sz w:val="18"/>
          <w:szCs w:val="18"/>
          <w:color w:val="auto"/>
        </w:rPr>
      </w:pPr>
    </w:p>
    <w:p>
      <w:pPr>
        <w:ind w:right="280" w:firstLine="444"/>
        <w:spacing w:after="0" w:line="277" w:lineRule="auto"/>
        <w:tabs>
          <w:tab w:leader="none" w:pos="69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Conduct its businesses in compliance with applicable Anti-Corruption Laws and maintain policies and procedures designed to promote and achieve compliance with such laws.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6.09. </w:t>
      </w:r>
      <w:r>
        <w:rPr>
          <w:rFonts w:ascii="Arial" w:cs="Arial" w:eastAsia="Arial" w:hAnsi="Arial"/>
          <w:sz w:val="18"/>
          <w:szCs w:val="18"/>
          <w:u w:val="single" w:color="auto"/>
          <w:color w:val="auto"/>
        </w:rPr>
        <w:t>Books and Records</w:t>
      </w:r>
      <w:r>
        <w:rPr>
          <w:rFonts w:ascii="Arial" w:cs="Arial" w:eastAsia="Arial" w:hAnsi="Arial"/>
          <w:sz w:val="18"/>
          <w:szCs w:val="18"/>
          <w:color w:val="auto"/>
        </w:rPr>
        <w:t>.</w:t>
      </w:r>
    </w:p>
    <w:p>
      <w:pPr>
        <w:spacing w:after="0" w:line="117" w:lineRule="exact"/>
        <w:rPr>
          <w:sz w:val="20"/>
          <w:szCs w:val="20"/>
          <w:color w:val="auto"/>
        </w:rPr>
      </w:pPr>
    </w:p>
    <w:p>
      <w:pPr>
        <w:ind w:right="320" w:firstLine="444"/>
        <w:spacing w:after="0" w:line="308" w:lineRule="auto"/>
        <w:tabs>
          <w:tab w:leader="none" w:pos="68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Maintain proper books of record and account, in which full, true and correct entries in conformity with GAAP consistently applied shall be made of all financial transactions and matters involving the assets and business of the Borrower or such Subsidiary, as the case may be.</w:t>
      </w:r>
    </w:p>
    <w:p>
      <w:pPr>
        <w:spacing w:after="0" w:line="38" w:lineRule="exact"/>
        <w:rPr>
          <w:rFonts w:ascii="Arial" w:cs="Arial" w:eastAsia="Arial" w:hAnsi="Arial"/>
          <w:sz w:val="17"/>
          <w:szCs w:val="17"/>
          <w:color w:val="auto"/>
        </w:rPr>
      </w:pPr>
    </w:p>
    <w:p>
      <w:pPr>
        <w:ind w:right="340" w:firstLine="444"/>
        <w:spacing w:after="0" w:line="277" w:lineRule="auto"/>
        <w:tabs>
          <w:tab w:leader="none" w:pos="69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Maintain such books of record and account in material conformity with all applicable requirements of any Governmental Authority having regulatory jurisdiction over the Borrower or such Subsidiary, as the case may be.</w:t>
      </w:r>
    </w:p>
    <w:p>
      <w:pPr>
        <w:spacing w:after="0" w:line="170"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Inspection Rights</w:t>
      </w:r>
      <w:r>
        <w:rPr>
          <w:rFonts w:ascii="Arial" w:cs="Arial" w:eastAsia="Arial" w:hAnsi="Arial"/>
          <w:sz w:val="16"/>
          <w:szCs w:val="16"/>
          <w:color w:val="auto"/>
        </w:rPr>
        <w:t xml:space="preserve">. At any time during normal business hours, allow the Administrative Agent and the Lenders by or through any of the Administrative Agent’s officers, agents, employees, attorneys or accountants to (a) examine, inspect and make extracts from any Loan Party’s or any Subsidiary’s books, corporate, financial and operating records and other records, including, without limitation, the tax returns of such Loan Party or such Subsidiary and make copies thereof or abstracts therefrom, and to discuss its affairs, finances and accounts with its directors, officers, and independent public accountants, (b) arrange for verification of any Loan Party’s or any Subsidiary’s accounts, under reasonable procedures, directly with account debtors or by other methods, and (c) examine and inspect any Loan Party’s or Subsidiary’s properties, inventory and equipment, wherever located, in each case, at the expense of the Borrower and upon reasonable advance notice to such Loan Party or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an Event of Default does not exist, such examinations and inspections shall be limited to not more than two times per any calendar year and (ii) if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69"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Use of Proceeds</w:t>
      </w:r>
      <w:r>
        <w:rPr>
          <w:rFonts w:ascii="Arial" w:cs="Arial" w:eastAsia="Arial" w:hAnsi="Arial"/>
          <w:sz w:val="17"/>
          <w:szCs w:val="17"/>
          <w:color w:val="auto"/>
        </w:rPr>
        <w:t xml:space="preserve">. Use the proceeds of (a) the Tranche B Term Loans solely for the repayment in full of 100% of the principal amount of Original Term Loans, (b) the 2017 Incremental Term Loans solely for (i) providing a portion of the amount necessary to retire in full the New Notes (as defined in this Agreement immediately prior to the First Amendment Effective Date) outstanding on the First Amendment Effective Date, (ii) the repayment of outstanding Revolving Credit Loans and (iii) paying expenses incurred in connection with the First Amendment and (c) to the extent any portion of the Loans is remaining after giving effect to the items specified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and the Revolving Credit Loans, for working capital and other general corporate purposes of the Borrower and its Subsidiaries.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E-4-81</w:t>
      </w:r>
    </w:p>
    <w:p>
      <w:pPr>
        <w:sectPr>
          <w:pgSz w:w="11900" w:h="16838" w:orient="portrait"/>
          <w:cols w:equalWidth="0" w:num="1">
            <w:col w:w="11020"/>
          </w:cols>
          <w:pgMar w:left="440" w:top="274" w:right="439" w:bottom="1440" w:gutter="0" w:footer="0" w:header="0"/>
        </w:sectPr>
      </w:pPr>
    </w:p>
    <w:bookmarkStart w:id="107" w:name="page108"/>
    <w:bookmarkEnd w:id="107"/>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6.12. </w:t>
      </w:r>
      <w:r>
        <w:rPr>
          <w:rFonts w:ascii="Arial" w:cs="Arial" w:eastAsia="Arial" w:hAnsi="Arial"/>
          <w:sz w:val="18"/>
          <w:szCs w:val="18"/>
          <w:u w:val="single" w:color="auto"/>
          <w:color w:val="auto"/>
        </w:rPr>
        <w:t>Covenant to Guarantee Obligations and Give Security</w:t>
      </w:r>
      <w:r>
        <w:rPr>
          <w:rFonts w:ascii="Arial" w:cs="Arial" w:eastAsia="Arial" w:hAnsi="Arial"/>
          <w:sz w:val="18"/>
          <w:szCs w:val="18"/>
          <w:color w:val="auto"/>
        </w:rPr>
        <w:t>.</w:t>
      </w:r>
    </w:p>
    <w:p>
      <w:pPr>
        <w:spacing w:after="0" w:line="117" w:lineRule="exact"/>
        <w:rPr>
          <w:sz w:val="20"/>
          <w:szCs w:val="20"/>
          <w:color w:val="auto"/>
        </w:rPr>
      </w:pPr>
    </w:p>
    <w:p>
      <w:pPr>
        <w:ind w:left="-20" w:right="20" w:firstLine="444"/>
        <w:spacing w:after="0" w:line="272" w:lineRule="auto"/>
        <w:tabs>
          <w:tab w:leader="none" w:pos="665"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Guaranties and Security Documents</w:t>
      </w:r>
      <w:r>
        <w:rPr>
          <w:rFonts w:ascii="Arial" w:cs="Arial" w:eastAsia="Arial" w:hAnsi="Arial"/>
          <w:sz w:val="17"/>
          <w:szCs w:val="17"/>
          <w:color w:val="auto"/>
        </w:rPr>
        <w:t xml:space="preserve">. Each Domestic Subsidiary (other than any Inactive Subsidiary or an Immaterial Subsidiary) created, acquired or held subsequent to the Closing Date, and each Domestic Subsidiary that at any time ceases to be an Inactive Subsidiary or an Immaterial Subsidiary (including by virtue of </w:t>
      </w:r>
      <w:r>
        <w:rPr>
          <w:rFonts w:ascii="Arial" w:cs="Arial" w:eastAsia="Arial" w:hAnsi="Arial"/>
          <w:sz w:val="17"/>
          <w:szCs w:val="17"/>
          <w:u w:val="single" w:color="auto"/>
          <w:color w:val="auto"/>
        </w:rPr>
        <w:t>clause (g)</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6.12</w:t>
      </w:r>
      <w:r>
        <w:rPr>
          <w:rFonts w:ascii="Arial" w:cs="Arial" w:eastAsia="Arial" w:hAnsi="Arial"/>
          <w:sz w:val="17"/>
          <w:szCs w:val="17"/>
          <w:color w:val="auto"/>
        </w:rPr>
        <w:t>), shall within thirty (30) days (or such longer period as the Administrative Agent shall approve in its sole discretion) after such creation, acquisition, holding or cessation execute and deliver to the Administrative Agent, for the benefit of the Lenders, a Guaranty (or guaranty supplement) and the appropriate Collateral Documents, such agreements to be in form and substance acceptable to the Administrative Agent, along with any such other supporting documentation, corporate governance and authorization documents, and an opinion of counsel as may be deemed necessary or advisable by the Administrative Agent.</w:t>
      </w:r>
    </w:p>
    <w:p>
      <w:pPr>
        <w:spacing w:after="0" w:line="69" w:lineRule="exact"/>
        <w:rPr>
          <w:rFonts w:ascii="Arial" w:cs="Arial" w:eastAsia="Arial" w:hAnsi="Arial"/>
          <w:sz w:val="17"/>
          <w:szCs w:val="17"/>
          <w:color w:val="auto"/>
        </w:rPr>
      </w:pPr>
    </w:p>
    <w:p>
      <w:pPr>
        <w:ind w:left="-20" w:right="180" w:firstLine="444"/>
        <w:spacing w:after="0" w:line="290" w:lineRule="auto"/>
        <w:tabs>
          <w:tab w:leader="none" w:pos="675"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Pledge of Equity Interests</w:t>
      </w:r>
      <w:r>
        <w:rPr>
          <w:rFonts w:ascii="Arial" w:cs="Arial" w:eastAsia="Arial" w:hAnsi="Arial"/>
          <w:sz w:val="16"/>
          <w:szCs w:val="16"/>
          <w:color w:val="auto"/>
        </w:rPr>
        <w:t xml:space="preserve">. With respect to the creation or acquisition of a Subsidiary, the appropriate Loan Party shall within thirty (30) days (or such longer period as the Administrative Agent shall approve in its sole discretion) after such creation or acquisition execute a Security Agreement (or a Security Joinder Agreement) and, in connection therewith, pledge all of its Equity Interests in such Subsidiary to the Administrative Agent as security for the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Foreign Subsidiary shall be required to pledge any of its Equity Interests in any other Foreign Subsidiary, (ii) the Borrower or any Domestic Subsidiary shall not be required to pledge more than sixty-five percent (65%) of the voting Equity Interests of any first-tier Foreign Subsidiary, and (iii) such pledge shall be legally available and shall not result in materially adverse tax consequences on such Loan Party. The Borrower shall deliver to the Administrative Agent the share certificates (or other evidence of equity) evidencing any of the Equity Interests pledged pursuant to this </w:t>
      </w:r>
      <w:r>
        <w:rPr>
          <w:rFonts w:ascii="Arial" w:cs="Arial" w:eastAsia="Arial" w:hAnsi="Arial"/>
          <w:sz w:val="16"/>
          <w:szCs w:val="16"/>
          <w:u w:val="single" w:color="auto"/>
          <w:color w:val="auto"/>
        </w:rPr>
        <w:t>Section 6.12(b)</w:t>
      </w:r>
      <w:r>
        <w:rPr>
          <w:rFonts w:ascii="Arial" w:cs="Arial" w:eastAsia="Arial" w:hAnsi="Arial"/>
          <w:sz w:val="16"/>
          <w:szCs w:val="16"/>
          <w:color w:val="auto"/>
        </w:rPr>
        <w:t xml:space="preserve"> if such Equity Interests are certificated or so evidenced.</w:t>
      </w:r>
    </w:p>
    <w:p>
      <w:pPr>
        <w:spacing w:after="0" w:line="58" w:lineRule="exact"/>
        <w:rPr>
          <w:rFonts w:ascii="Arial" w:cs="Arial" w:eastAsia="Arial" w:hAnsi="Arial"/>
          <w:sz w:val="16"/>
          <w:szCs w:val="16"/>
          <w:color w:val="auto"/>
        </w:rPr>
      </w:pPr>
    </w:p>
    <w:p>
      <w:pPr>
        <w:ind w:left="-20" w:right="20" w:firstLine="444"/>
        <w:spacing w:after="0" w:line="257" w:lineRule="auto"/>
        <w:tabs>
          <w:tab w:leader="none" w:pos="665"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Perfection or Registration of Interest in Foreign Equity Interests</w:t>
      </w:r>
      <w:r>
        <w:rPr>
          <w:rFonts w:ascii="Arial" w:cs="Arial" w:eastAsia="Arial" w:hAnsi="Arial"/>
          <w:sz w:val="18"/>
          <w:szCs w:val="18"/>
          <w:color w:val="auto"/>
        </w:rPr>
        <w:t>. With respect to any foreign Equity Interests pledged to the Administrative Agent by the Borrower or any Domestic Subsidiary, on or after the Closing Date, the Administrative Agent shall at all times, in the reasonable discretion of the Administrative Agent or the Required Lenders, have the right to require the perfection, at Borrowers’ cost, payable upon request therefor (including, without limitation, any foreign counsel, or foreign notary, filing, registration or similar, fees, costs or expenses), of the security interest in such Equity Interests in the respective foreign jurisdiction.</w:t>
      </w:r>
    </w:p>
    <w:p>
      <w:pPr>
        <w:spacing w:after="0" w:line="80" w:lineRule="exact"/>
        <w:rPr>
          <w:rFonts w:ascii="Arial" w:cs="Arial" w:eastAsia="Arial" w:hAnsi="Arial"/>
          <w:sz w:val="18"/>
          <w:szCs w:val="18"/>
          <w:color w:val="auto"/>
        </w:rPr>
      </w:pPr>
    </w:p>
    <w:p>
      <w:pPr>
        <w:ind w:left="-20" w:right="120" w:firstLine="444"/>
        <w:spacing w:after="0" w:line="264" w:lineRule="auto"/>
        <w:tabs>
          <w:tab w:leader="none" w:pos="675"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Pledged Intercompany Notes</w:t>
      </w:r>
      <w:r>
        <w:rPr>
          <w:rFonts w:ascii="Arial" w:cs="Arial" w:eastAsia="Arial" w:hAnsi="Arial"/>
          <w:sz w:val="18"/>
          <w:szCs w:val="18"/>
          <w:color w:val="auto"/>
        </w:rPr>
        <w:t>. With respect to the creation or acquisition by a Loan Party of a Pledged Intercompany Note, the appropriate Loan Party shall pledge to the Administrative Agent, as security for the Obligations, such Pledged Intercompany Note. Such Loan Party shall promptly deliver to the Administrative Agent such Pledged Intercompany Note and an accompanying allonge.</w:t>
      </w:r>
    </w:p>
    <w:p>
      <w:pPr>
        <w:spacing w:after="0" w:line="73" w:lineRule="exact"/>
        <w:rPr>
          <w:rFonts w:ascii="Arial" w:cs="Arial" w:eastAsia="Arial" w:hAnsi="Arial"/>
          <w:sz w:val="18"/>
          <w:szCs w:val="18"/>
          <w:color w:val="auto"/>
        </w:rPr>
      </w:pPr>
    </w:p>
    <w:p>
      <w:pPr>
        <w:ind w:left="660" w:hanging="236"/>
        <w:spacing w:after="0"/>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Collateral Generally</w:t>
      </w:r>
      <w:r>
        <w:rPr>
          <w:rFonts w:ascii="Arial" w:cs="Arial" w:eastAsia="Arial" w:hAnsi="Arial"/>
          <w:sz w:val="18"/>
          <w:szCs w:val="18"/>
          <w:color w:val="auto"/>
        </w:rPr>
        <w:t>. The Borrower shall:</w:t>
      </w:r>
    </w:p>
    <w:p>
      <w:pPr>
        <w:spacing w:after="0" w:line="117" w:lineRule="exact"/>
        <w:rPr>
          <w:rFonts w:ascii="Arial" w:cs="Arial" w:eastAsia="Arial" w:hAnsi="Arial"/>
          <w:sz w:val="18"/>
          <w:szCs w:val="18"/>
          <w:color w:val="auto"/>
        </w:rPr>
      </w:pPr>
    </w:p>
    <w:p>
      <w:pPr>
        <w:ind w:left="420" w:right="240" w:firstLine="428"/>
        <w:spacing w:after="0" w:line="259" w:lineRule="auto"/>
        <w:tabs>
          <w:tab w:leader="none" w:pos="105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promptly furnish to the Administrative Agent or any Lender upon request (x) additional statements and information with respect to the Collateral, and all writings and information relating to or evidencing any of the Borrower’s or any Subsidiary’s accounts (including, without limitation, computer printouts or typewritten reports listing the mailing addresses of all present account debtors), and (y) any other writings and information as the Administrative Agent or such Lender may reasonably request;</w:t>
      </w:r>
    </w:p>
    <w:p>
      <w:pPr>
        <w:spacing w:after="0" w:line="78" w:lineRule="exact"/>
        <w:rPr>
          <w:rFonts w:ascii="Arial" w:cs="Arial" w:eastAsia="Arial" w:hAnsi="Arial"/>
          <w:sz w:val="18"/>
          <w:szCs w:val="18"/>
          <w:color w:val="auto"/>
        </w:rPr>
      </w:pPr>
    </w:p>
    <w:p>
      <w:pPr>
        <w:ind w:left="420" w:right="260" w:firstLine="428"/>
        <w:spacing w:after="0" w:line="277" w:lineRule="auto"/>
        <w:tabs>
          <w:tab w:leader="none" w:pos="110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promptly notify the Administrative Agent in writing upon the creation of any accounts with respect to which the account debtor is the United States or any other Governmental Authority, or any business that is located in a foreign country;</w:t>
      </w:r>
    </w:p>
    <w:p>
      <w:pPr>
        <w:spacing w:after="0" w:line="62" w:lineRule="exact"/>
        <w:rPr>
          <w:rFonts w:ascii="Arial" w:cs="Arial" w:eastAsia="Arial" w:hAnsi="Arial"/>
          <w:sz w:val="18"/>
          <w:szCs w:val="18"/>
          <w:color w:val="auto"/>
        </w:rPr>
      </w:pPr>
    </w:p>
    <w:p>
      <w:pPr>
        <w:ind w:left="420" w:firstLine="428"/>
        <w:spacing w:after="0" w:line="259" w:lineRule="auto"/>
        <w:tabs>
          <w:tab w:leader="none" w:pos="115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promptly notify the Administrative Agent in writing upon the creation by any Loan Party of a deposit account or securities account not listed on </w:t>
      </w:r>
      <w:r>
        <w:rPr>
          <w:rFonts w:ascii="Arial" w:cs="Arial" w:eastAsia="Arial" w:hAnsi="Arial"/>
          <w:sz w:val="18"/>
          <w:szCs w:val="18"/>
          <w:u w:val="single" w:color="auto"/>
          <w:color w:val="auto"/>
        </w:rPr>
        <w:t>Schedule 5.23</w:t>
      </w:r>
      <w:r>
        <w:rPr>
          <w:rFonts w:ascii="Arial" w:cs="Arial" w:eastAsia="Arial" w:hAnsi="Arial"/>
          <w:sz w:val="18"/>
          <w:szCs w:val="18"/>
          <w:color w:val="auto"/>
        </w:rPr>
        <w:t xml:space="preserve"> hereto and, if such deposit account is owned by the Borrower or another Loan Party and is not an Excluded Account, promptly provide for the execution of a Deposit Account Control Agreement or Securities Account Control Agreement, as applicable, with respect thereto, if required by the Administrative Agent or the Required Lenders;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E-4-82</w:t>
      </w:r>
    </w:p>
    <w:p>
      <w:pPr>
        <w:sectPr>
          <w:pgSz w:w="11900" w:h="16838" w:orient="portrait"/>
          <w:cols w:equalWidth="0" w:num="1">
            <w:col w:w="11000"/>
          </w:cols>
          <w:pgMar w:left="460" w:top="274" w:right="439" w:bottom="1440" w:gutter="0" w:footer="0" w:header="0"/>
        </w:sectPr>
      </w:pPr>
    </w:p>
    <w:bookmarkStart w:id="108" w:name="page109"/>
    <w:bookmarkEnd w:id="108"/>
    <w:p>
      <w:pPr>
        <w:ind w:left="440" w:right="200" w:firstLine="428"/>
        <w:spacing w:after="0" w:line="259" w:lineRule="auto"/>
        <w:tabs>
          <w:tab w:leader="none" w:pos="1168"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promptly notify the Administrative Agent in writing whenever a material amount of assets of a Loan Party is located at a location of a third party (other than another Loan Party) that is not listed on </w:t>
      </w:r>
      <w:r>
        <w:rPr>
          <w:rFonts w:ascii="Arial" w:cs="Arial" w:eastAsia="Arial" w:hAnsi="Arial"/>
          <w:sz w:val="18"/>
          <w:szCs w:val="18"/>
          <w:u w:val="single" w:color="auto"/>
          <w:color w:val="auto"/>
        </w:rPr>
        <w:t>Schedule 5.09</w:t>
      </w:r>
      <w:r>
        <w:rPr>
          <w:rFonts w:ascii="Arial" w:cs="Arial" w:eastAsia="Arial" w:hAnsi="Arial"/>
          <w:sz w:val="18"/>
          <w:szCs w:val="18"/>
          <w:color w:val="auto"/>
        </w:rPr>
        <w:t xml:space="preserve"> hereto and use commercially reasonable efforts to cause to be executed any bailee’s waiver, processor’s waiver, consignee’s waiver or similar document or notice that may be required by the Administrative Agent or the Required Lenders;</w:t>
      </w:r>
    </w:p>
    <w:p>
      <w:pPr>
        <w:spacing w:after="0" w:line="78" w:lineRule="exact"/>
        <w:rPr>
          <w:rFonts w:ascii="Arial" w:cs="Arial" w:eastAsia="Arial" w:hAnsi="Arial"/>
          <w:sz w:val="18"/>
          <w:szCs w:val="18"/>
          <w:color w:val="auto"/>
        </w:rPr>
      </w:pPr>
    </w:p>
    <w:p>
      <w:pPr>
        <w:ind w:left="440" w:right="40" w:firstLine="428"/>
        <w:spacing w:after="0" w:line="264" w:lineRule="auto"/>
        <w:tabs>
          <w:tab w:leader="none" w:pos="111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promptly notify the Administrative Agent and the Lenders in writing of any information that the Borrower or any of its Subsidiaries has or may receive with respect to the Collateral that would reasonably be expected to materially and adversely affect the value thereof or the rights of the Administrative Agent and the Lenders with respect thereto;</w:t>
      </w:r>
    </w:p>
    <w:p>
      <w:pPr>
        <w:spacing w:after="0" w:line="73" w:lineRule="exact"/>
        <w:rPr>
          <w:rFonts w:ascii="Arial" w:cs="Arial" w:eastAsia="Arial" w:hAnsi="Arial"/>
          <w:sz w:val="18"/>
          <w:szCs w:val="18"/>
          <w:color w:val="auto"/>
        </w:rPr>
      </w:pPr>
    </w:p>
    <w:p>
      <w:pPr>
        <w:ind w:left="440" w:right="40" w:firstLine="428"/>
        <w:spacing w:after="0" w:line="273" w:lineRule="auto"/>
        <w:tabs>
          <w:tab w:leader="none" w:pos="116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promptly deliver to the Administrative Agent, to hold as security for the Obligations, within ten Business Days after the written request of the Administrative Agent, all certificated investment property owned by a Loan Party, in suitable form for transfer by delivery, or accompanied by duly executed instruments of transfer or assignment in blank, all in form and substance satisfactory to the Administrative Agent, or in the event such investment property is in the possession of a securities intermediary or credited to a securities account (other than an Excluded Account), execute with the related securities intermediary an investment property control agreement over such securities account in favor of the Administrative Agent in form and substance satisfactory to the Administrative Agent;</w:t>
      </w:r>
    </w:p>
    <w:p>
      <w:pPr>
        <w:spacing w:after="0" w:line="70" w:lineRule="exact"/>
        <w:rPr>
          <w:rFonts w:ascii="Arial" w:cs="Arial" w:eastAsia="Arial" w:hAnsi="Arial"/>
          <w:sz w:val="17"/>
          <w:szCs w:val="17"/>
          <w:color w:val="auto"/>
        </w:rPr>
      </w:pPr>
    </w:p>
    <w:p>
      <w:pPr>
        <w:ind w:left="440" w:right="140" w:firstLine="428"/>
        <w:spacing w:after="0" w:line="264" w:lineRule="auto"/>
        <w:tabs>
          <w:tab w:leader="none" w:pos="121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promptly provide to the Administrative Agent a list of any patents, trademarks or copyrights that have been federally registered by the Borrower or any other Loan Party since the last list so delivered, and provide for the execution of an appropriate Intellectual Property Security Agreement; and</w:t>
      </w:r>
    </w:p>
    <w:p>
      <w:pPr>
        <w:spacing w:after="0" w:line="73" w:lineRule="exact"/>
        <w:rPr>
          <w:rFonts w:ascii="Arial" w:cs="Arial" w:eastAsia="Arial" w:hAnsi="Arial"/>
          <w:sz w:val="18"/>
          <w:szCs w:val="18"/>
          <w:color w:val="auto"/>
        </w:rPr>
      </w:pPr>
    </w:p>
    <w:p>
      <w:pPr>
        <w:ind w:left="440" w:right="140" w:firstLine="428"/>
        <w:spacing w:after="0" w:line="279" w:lineRule="auto"/>
        <w:tabs>
          <w:tab w:leader="none" w:pos="126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upon the reasonable request of the Administrative Agent, promptly take such action and promptly make, execute, and deliver all such additional and further items, deeds, assurances, instruments and any other writings as the Administrative Agent may from time to time deem necessary or appropriate, including, without limitation, chattel paper, to carry into effect the intention of this Agreement, or so as to completely vest in and ensure to the Administrative Agent and the Lenders their respective rights hereunder and in or to the Collateral.</w:t>
      </w:r>
    </w:p>
    <w:p>
      <w:pPr>
        <w:spacing w:after="0" w:line="171"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The Borrower hereby authorizes the Administrative Agent to file UCC financing statements (or similar notice filings applicable in foreign jurisdictions) with respect to the Collateral. If certificates of title or applications for title are issued or outstanding with respect to any of the inventory or equipment of any Loan Party, the Borrower shall (or cause such applicable Loan Party to), upon request of the Administrative Agent, (i) execute and deliver to the Administrative Agent a short form security agreement, in form and substance satisfactory to the Administrative Agent, and (ii) deliver such certificate or application to the Administrative Agent and cause the interest of the Administrative Agent to be properly noted thereon. The Borrower hereby authorizes the Administrative Agent or its respective designated agent (but without obligation by the Administrative Agent to do so) to incur expenses with respect to the foregoing (whether prior to, upon, or subsequent to any Default), and the Borrower shall promptly repay, reimburse, and indemnify the Administrative Agent and the Lenders for any and all such expenses.</w:t>
      </w:r>
    </w:p>
    <w:p>
      <w:pPr>
        <w:spacing w:after="0" w:line="71" w:lineRule="exact"/>
        <w:rPr>
          <w:sz w:val="20"/>
          <w:szCs w:val="20"/>
          <w:color w:val="auto"/>
        </w:rPr>
      </w:pPr>
    </w:p>
    <w:p>
      <w:pPr>
        <w:ind w:firstLine="444"/>
        <w:spacing w:after="0" w:line="269" w:lineRule="auto"/>
        <w:tabs>
          <w:tab w:leader="none" w:pos="665"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Property Acquired Subsequent to the Closing Date and Right to Take Additional Collateral</w:t>
      </w:r>
      <w:r>
        <w:rPr>
          <w:rFonts w:ascii="Arial" w:cs="Arial" w:eastAsia="Arial" w:hAnsi="Arial"/>
          <w:sz w:val="17"/>
          <w:szCs w:val="17"/>
          <w:color w:val="auto"/>
        </w:rPr>
        <w:t>. The Borrower shall provide the Administrative Agent with prompt written notice with respect to any Material Real Property or material personal property (other than accounts, inventory, equipment and general intangibles and other property acquired in the ordinary course of business) acquired (including, in the case of Material Real Property, leased) by any Loan Party subsequent to the Closing Date. In addition to any other right that the Administrative Agent and the Lenders may have pursuant to this Agreement or otherwise, upon written request of the Administrative Agent, whenever made, the Borrower shall, and shall cause each Loan Party to, grant to the Administrative Agent, for the benefit of the Lenders, as additional security for the Obligations, a perfected first-priority Lien on any Material Real Property or personal property of each Loan Party (other than for leased equipment or equipment subject to a purchase money security interest in which the lessor or purchase money lender of such equipment holds a first priority security interest, in which case, the Administrative Agent shall have the right to obtain a security interest junior only to such lessor or purchase money lender), including, without limitation, such property acquired subsequent to the Closing Date, in which the Administrative Agent does not have a perfected first priority Lien. The Borrower agrees, (i) in the case of Material Real Property, to provide all Real Estate Requirements with respect to</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E-4-83</w:t>
      </w:r>
    </w:p>
    <w:p>
      <w:pPr>
        <w:sectPr>
          <w:pgSz w:w="11900" w:h="16838" w:orient="portrait"/>
          <w:cols w:equalWidth="0" w:num="1">
            <w:col w:w="11020"/>
          </w:cols>
          <w:pgMar w:left="440" w:top="274" w:right="439" w:bottom="1440" w:gutter="0" w:footer="0" w:header="0"/>
        </w:sectPr>
      </w:pPr>
    </w:p>
    <w:bookmarkStart w:id="109" w:name="page110"/>
    <w:bookmarkEnd w:id="109"/>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Material Real Property within 60 days (or such later time as may be specified by the Administrative Agent in its sole discretion), and (ii) in all other cases, within ten days after the date of a written request by the Administrative Agent, to secure all of the Obligations by delivering to the Administrative Agent security agreements, intellectual property security agreements, pledge agreements, mortgages (or deeds of trust, if applicable) or other documents, instruments or agreements or such thereof as the Administrative Agent may require. The Borrower shall pay all recordation, legal and other expenses in connection therewith.</w:t>
      </w:r>
    </w:p>
    <w:p>
      <w:pPr>
        <w:spacing w:after="0" w:line="80" w:lineRule="exact"/>
        <w:rPr>
          <w:sz w:val="20"/>
          <w:szCs w:val="20"/>
          <w:color w:val="auto"/>
        </w:rPr>
      </w:pPr>
    </w:p>
    <w:p>
      <w:pPr>
        <w:ind w:left="700" w:hanging="256"/>
        <w:spacing w:after="0"/>
        <w:tabs>
          <w:tab w:leader="none" w:pos="700" w:val="left"/>
        </w:tabs>
        <w:numPr>
          <w:ilvl w:val="1"/>
          <w:numId w:val="154"/>
        </w:numPr>
        <w:rPr>
          <w:rFonts w:ascii="Arial" w:cs="Arial" w:eastAsia="Arial" w:hAnsi="Arial"/>
          <w:sz w:val="17"/>
          <w:szCs w:val="17"/>
          <w:color w:val="auto"/>
        </w:rPr>
      </w:pPr>
      <w:r>
        <w:rPr>
          <w:rFonts w:ascii="Arial" w:cs="Arial" w:eastAsia="Arial" w:hAnsi="Arial"/>
          <w:sz w:val="17"/>
          <w:szCs w:val="17"/>
          <w:u w:val="single" w:color="auto"/>
          <w:color w:val="auto"/>
        </w:rPr>
        <w:t>Designation of Immaterial Subsidiaries</w:t>
      </w:r>
      <w:r>
        <w:rPr>
          <w:rFonts w:ascii="Arial" w:cs="Arial" w:eastAsia="Arial" w:hAnsi="Arial"/>
          <w:sz w:val="17"/>
          <w:szCs w:val="17"/>
          <w:color w:val="auto"/>
        </w:rPr>
        <w:t>. In the event that the Immaterial Subsidiaries and Inactive Subsidiaries, when taken as a whole,</w:t>
      </w:r>
    </w:p>
    <w:p>
      <w:pPr>
        <w:spacing w:after="0" w:line="34" w:lineRule="exact"/>
        <w:rPr>
          <w:rFonts w:ascii="Arial" w:cs="Arial" w:eastAsia="Arial" w:hAnsi="Arial"/>
          <w:sz w:val="17"/>
          <w:szCs w:val="17"/>
          <w:color w:val="auto"/>
        </w:rPr>
      </w:pPr>
    </w:p>
    <w:p>
      <w:pPr>
        <w:ind w:left="220" w:hanging="216"/>
        <w:spacing w:after="0"/>
        <w:tabs>
          <w:tab w:leader="none" w:pos="2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contribute more than 5% of the Consolidated EBITDA of the Borrower and its Subsidiaries, taken as a whole, during the most recently-ended four</w:t>
      </w:r>
    </w:p>
    <w:p>
      <w:pPr>
        <w:spacing w:after="0" w:line="32" w:lineRule="exact"/>
        <w:rPr>
          <w:rFonts w:ascii="Arial" w:cs="Arial" w:eastAsia="Arial" w:hAnsi="Arial"/>
          <w:sz w:val="16"/>
          <w:szCs w:val="16"/>
          <w:color w:val="auto"/>
        </w:rPr>
      </w:pPr>
    </w:p>
    <w:p>
      <w:pPr>
        <w:ind w:right="20"/>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fiscal quarter period (taken as a single period) or (ii) as of any applicable date of determination have assets that in the aggregate constitute more than 5% aggregate net book value of the assets of the Borrower and its Subsidiaries, taken as a whole, the Borrower shall promptly designate one or more Immaterial Subsidiaries or Inactive Subsidiaries to be Loan Parties hereunder (at which time such Subsidiaries shall cease to be Immaterial Subsidiaries or Inactive Subsidiaries, as applicable) such that the resulting EBITDA attributable to, and net book value of the assets held by, the remaining Immaterial Subsidiaries and Inactive Subsidiaries, when taken as a whole, shall be less than the required percentages set forth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clause (g)</w:t>
      </w:r>
      <w:r>
        <w:rPr>
          <w:rFonts w:ascii="Arial" w:cs="Arial" w:eastAsia="Arial" w:hAnsi="Arial"/>
          <w:sz w:val="17"/>
          <w:szCs w:val="17"/>
          <w:color w:val="auto"/>
        </w:rPr>
        <w:t>. Notwithstanding anything contained herein to the contrary and for the avoidance of doubt, no Subsidiary shall constitute either an Immaterial Subsidiary or Inactive Subsidiary if such Subsidiary guarantees or provides a Lien on its assets or otherwise provide credit support with respect to any other Indebtedness of any Loan Party.</w:t>
      </w:r>
    </w:p>
    <w:p>
      <w:pPr>
        <w:spacing w:after="0" w:line="76" w:lineRule="exact"/>
        <w:rPr>
          <w:rFonts w:ascii="Arial" w:cs="Arial" w:eastAsia="Arial" w:hAnsi="Arial"/>
          <w:sz w:val="16"/>
          <w:szCs w:val="16"/>
          <w:color w:val="auto"/>
        </w:rPr>
      </w:pPr>
    </w:p>
    <w:p>
      <w:pPr>
        <w:ind w:right="60" w:firstLine="444"/>
        <w:spacing w:after="0" w:line="297" w:lineRule="auto"/>
        <w:tabs>
          <w:tab w:leader="none" w:pos="695"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Designation of Material Real Property</w:t>
      </w:r>
      <w:r>
        <w:rPr>
          <w:rFonts w:ascii="Arial" w:cs="Arial" w:eastAsia="Arial" w:hAnsi="Arial"/>
          <w:sz w:val="16"/>
          <w:szCs w:val="16"/>
          <w:color w:val="auto"/>
        </w:rPr>
        <w:t>. In the event that the aggregate fair market value of (i) the real property owned in fee simple by the Loan Parties that is not subject to a Mortgage and (ii) the leasehold real property of the Loan Parties that is not subject to a Mortgage exceeds $30,000,000, the Borrower shall promptly designate one or more of such owned or leased real property locations to be Material Real Property (at which time such real property shall constitute Material Real Property for all purposes hereunder and under the other Loan Documents). Notwithstanding the foregoing, in no event shall real property with a fair market value of less than $4,000,000 be required to be subject to a Mortgage.</w:t>
      </w:r>
    </w:p>
    <w:p>
      <w:pPr>
        <w:spacing w:after="0" w:line="158"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Notwithstanding the foregoing, no Loan Party shall be required to pledge or grant a Lien on any Excluded Assets (as defined in the Security Agreement).</w:t>
      </w:r>
    </w:p>
    <w:p>
      <w:pPr>
        <w:spacing w:after="0" w:line="170"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Compliance with Environmental Laws</w:t>
      </w:r>
      <w:r>
        <w:rPr>
          <w:rFonts w:ascii="Arial" w:cs="Arial" w:eastAsia="Arial" w:hAnsi="Arial"/>
          <w:sz w:val="17"/>
          <w:szCs w:val="17"/>
          <w:color w:val="auto"/>
        </w:rPr>
        <w:t xml:space="preserve">. Except where non-compliance, either individually or in the aggregate, would not reasonably be expected to have a Material Adverse Effect, comply in all respects with any and all applicable Environmental Laws and Environmental Permits including, without limitation, all Environmental Laws in jurisdictions in which such Person owns or operates a facility or site, arranges for disposal or treatment of hazardous substances, solid waste or other wastes, accepts for transport any hazardous substances, solid waste or other wastes or holds any interest in real property or otherwise. The Borrower and its Subsidiaries shall furnish to the Administrative Agent and the Lenders, promptly after receipt thereof, a copy of any notice the Borrower or such Subsidiary may receive from any Governmental Authority or private Person, or otherwise, that any material litigation or proceeding pertaining to any environmental, health or safety matter has been filed or is threatened against the Borrower or such Subsidiary, any real property in which the Borrower or such Subsidiary holds any interest or any past or present operation of the Borrower or such Subsidiary. Neither the Borrower nor any of its Subsidiaries shall allow the material release or material disposal of hazardous waste, solid waste or other wastes on, under or to any real property in which the Borrower or any of its Subsidiaries holds any ownership interest or performs any of its operations, in violation of or which result in material liability under any Environmental Law. As used in this </w:t>
      </w:r>
      <w:r>
        <w:rPr>
          <w:rFonts w:ascii="Arial" w:cs="Arial" w:eastAsia="Arial" w:hAnsi="Arial"/>
          <w:sz w:val="17"/>
          <w:szCs w:val="17"/>
          <w:u w:val="single" w:color="auto"/>
          <w:color w:val="auto"/>
        </w:rPr>
        <w:t>Section 6.13</w:t>
      </w:r>
      <w:r>
        <w:rPr>
          <w:rFonts w:ascii="Arial" w:cs="Arial" w:eastAsia="Arial" w:hAnsi="Arial"/>
          <w:sz w:val="17"/>
          <w:szCs w:val="17"/>
          <w:color w:val="auto"/>
        </w:rPr>
        <w:t>, “</w:t>
      </w:r>
      <w:r>
        <w:rPr>
          <w:rFonts w:ascii="Arial" w:cs="Arial" w:eastAsia="Arial" w:hAnsi="Arial"/>
          <w:sz w:val="17"/>
          <w:szCs w:val="17"/>
          <w:u w:val="single" w:color="auto"/>
          <w:color w:val="auto"/>
        </w:rPr>
        <w:t>litigation or proceeding</w:t>
      </w:r>
      <w:r>
        <w:rPr>
          <w:rFonts w:ascii="Arial" w:cs="Arial" w:eastAsia="Arial" w:hAnsi="Arial"/>
          <w:sz w:val="17"/>
          <w:szCs w:val="17"/>
          <w:color w:val="auto"/>
        </w:rPr>
        <w:t>” means any demand, claim, notice, suit, suit in equity action, administrative action, investigation or inquiry whether brought by any Governmental Authority or private Person, or otherwise.</w:t>
      </w:r>
    </w:p>
    <w:p>
      <w:pPr>
        <w:spacing w:after="0" w:line="18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Regarding Collateral</w:t>
      </w:r>
      <w:r>
        <w:rPr>
          <w:rFonts w:ascii="Arial" w:cs="Arial" w:eastAsia="Arial" w:hAnsi="Arial"/>
          <w:sz w:val="18"/>
          <w:szCs w:val="18"/>
          <w:color w:val="auto"/>
        </w:rPr>
        <w:t>. Provide the Administrative Agent and the Lenders with at least thirty (30) days’ prior written notice before any change its legal name, organizational structure or its state, province or other jurisdiction of organization. The Borrower shall promptly notify the Administrative Agent of (a) any change in any location where a material portion of any Loan Party’s assets are maintained, and any new locations where any material portion of any Loan Party’s assets are to be maintained; (b) any change in the location of the office where any Loan Party’s records pertaining to its accounts are kept; (c) the location of any new places of business and the changing or closing of any of its existing places of business; and (d) any change in the location of any Loan Party’s chief executive office.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E-4-84</w:t>
      </w:r>
    </w:p>
    <w:p>
      <w:pPr>
        <w:sectPr>
          <w:pgSz w:w="11900" w:h="16838" w:orient="portrait"/>
          <w:cols w:equalWidth="0" w:num="1">
            <w:col w:w="11000"/>
          </w:cols>
          <w:pgMar w:left="440" w:top="274" w:right="459" w:bottom="1440" w:gutter="0" w:footer="0" w:header="0"/>
        </w:sectPr>
      </w:pPr>
    </w:p>
    <w:bookmarkStart w:id="110" w:name="page111"/>
    <w:bookmarkEnd w:id="11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6.15. </w:t>
      </w:r>
      <w:r>
        <w:rPr>
          <w:rFonts w:ascii="Arial" w:cs="Arial" w:eastAsia="Arial" w:hAnsi="Arial"/>
          <w:sz w:val="18"/>
          <w:szCs w:val="18"/>
          <w:u w:val="single" w:color="auto"/>
          <w:color w:val="auto"/>
        </w:rPr>
        <w:t>Maintenance of Debt Ratings</w:t>
      </w:r>
      <w:r>
        <w:rPr>
          <w:rFonts w:ascii="Arial" w:cs="Arial" w:eastAsia="Arial" w:hAnsi="Arial"/>
          <w:sz w:val="18"/>
          <w:szCs w:val="18"/>
          <w:color w:val="auto"/>
        </w:rPr>
        <w:t>. Use commercially reasonable efforts to maintain Debt Ratings from both Moody’s and S&amp;P.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117" w:lineRule="exact"/>
        <w:rPr>
          <w:sz w:val="20"/>
          <w:szCs w:val="20"/>
          <w:color w:val="auto"/>
        </w:rPr>
      </w:pPr>
    </w:p>
    <w:p>
      <w:pPr>
        <w:ind w:right="100" w:firstLine="444"/>
        <w:spacing w:after="0" w:line="257" w:lineRule="auto"/>
        <w:tabs>
          <w:tab w:leader="none" w:pos="68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Promptly upon request by the Administrative Agent or the Required Lenders through the Administrative Agent, (i) correct any material defect or error that may be discovered in any Loan Document or in the execution, acknowledgment, filing or recordation thereof, and (ii) do, execute, acknowledge, deliver, record, re-record, file, re-file, register and re-register any and all such further acts, deeds, certificates, assurances and other instruments as the Administrative Agent, or the Required Lenders through the Administrative Agent, may reasonably require from time to time in order to carry out more effectively the purposes of the Loan Documents.</w:t>
      </w:r>
    </w:p>
    <w:p>
      <w:pPr>
        <w:spacing w:after="0" w:line="80" w:lineRule="exact"/>
        <w:rPr>
          <w:rFonts w:ascii="Arial" w:cs="Arial" w:eastAsia="Arial" w:hAnsi="Arial"/>
          <w:sz w:val="18"/>
          <w:szCs w:val="18"/>
          <w:color w:val="auto"/>
        </w:rPr>
      </w:pPr>
    </w:p>
    <w:p>
      <w:pPr>
        <w:ind w:right="100" w:firstLine="444"/>
        <w:spacing w:after="0" w:line="273" w:lineRule="auto"/>
        <w:tabs>
          <w:tab w:leader="none" w:pos="696"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If deemed appropriate by the Administrative Agent, the Administrative Agent is hereby authorized to file new UCC financing statements (or similar notice filings applicable in foreign jurisdictions) describing the Collateral and otherwise in form and substance sufficient for recordation wherever necessary or appropriate, as determined in the Administrative Agent’s sole discretion, to perfect or continue perfected the security interest of the Administrative Agent in the Collateral. The Borrower shall pay all filing and recording fees and taxes in connection with the filing or recordation of such UCC financing statements (or similar notice filings applicable in foreign jurisdictions) and security interests and shall promptly reimburse the Administrative Agent therefor if the Administrative Agent pays the same.</w:t>
      </w:r>
    </w:p>
    <w:p>
      <w:pPr>
        <w:spacing w:after="0" w:line="178"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Post-Closing Matters</w:t>
      </w:r>
      <w:r>
        <w:rPr>
          <w:rFonts w:ascii="Arial" w:cs="Arial" w:eastAsia="Arial" w:hAnsi="Arial"/>
          <w:sz w:val="18"/>
          <w:szCs w:val="18"/>
          <w:color w:val="auto"/>
        </w:rPr>
        <w:t xml:space="preserve">. Execute and deliver the documents and complete the tasks set forth on </w:t>
      </w:r>
      <w:r>
        <w:rPr>
          <w:rFonts w:ascii="Arial" w:cs="Arial" w:eastAsia="Arial" w:hAnsi="Arial"/>
          <w:sz w:val="18"/>
          <w:szCs w:val="18"/>
          <w:u w:val="single" w:color="auto"/>
          <w:color w:val="auto"/>
        </w:rPr>
        <w:t>Schedule 6.17</w:t>
      </w:r>
      <w:r>
        <w:rPr>
          <w:rFonts w:ascii="Arial" w:cs="Arial" w:eastAsia="Arial" w:hAnsi="Arial"/>
          <w:sz w:val="18"/>
          <w:szCs w:val="18"/>
          <w:color w:val="auto"/>
        </w:rPr>
        <w:t>, in each case within the time limits specified on such schedule.</w:t>
      </w:r>
    </w:p>
    <w:p>
      <w:pPr>
        <w:spacing w:after="0" w:line="170"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On or prior to the date that is 14 days after the First Amendment Effective Date (as such date may be extended by the Administrative Agent in its sole discretion), the Borrower shall deliver to the Administrative Agent an amendment to that certain Open-End Mortgage, Assignment of Leases and Rents, Security Agreement and Fixture Filing, dated as of April 18, 2016 by and between Lacey Manufacturing Company, LLC and the Administrative Agent, revising the maximum aggregate principal amount secured by such Mortgage in form and substance reasonably satisfactory to the Administrative Agent (the “</w:t>
      </w:r>
      <w:r>
        <w:rPr>
          <w:rFonts w:ascii="Arial" w:cs="Arial" w:eastAsia="Arial" w:hAnsi="Arial"/>
          <w:sz w:val="17"/>
          <w:szCs w:val="17"/>
          <w:u w:val="single" w:color="auto"/>
          <w:color w:val="auto"/>
        </w:rPr>
        <w:t>Mortgage Amendment</w:t>
      </w:r>
      <w:r>
        <w:rPr>
          <w:rFonts w:ascii="Arial" w:cs="Arial" w:eastAsia="Arial" w:hAnsi="Arial"/>
          <w:sz w:val="17"/>
          <w:szCs w:val="17"/>
          <w:color w:val="auto"/>
        </w:rPr>
        <w:t>”). Upon receipt of the recorded Mortgage Amendment, the Borrower will use commercially reasonable efforts (including payment of all reasonable fees associated therewith) to promptly deliver to the Administrative Agent a date-down endorsement of the applicable Mortgage Policy, in form and substance reasonably satisfactory to the Administrative Agent.</w:t>
      </w:r>
    </w:p>
    <w:p>
      <w:pPr>
        <w:spacing w:after="0" w:line="178"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Lender Meeting</w:t>
      </w:r>
      <w:r>
        <w:rPr>
          <w:rFonts w:ascii="Arial" w:cs="Arial" w:eastAsia="Arial" w:hAnsi="Arial"/>
          <w:sz w:val="18"/>
          <w:szCs w:val="18"/>
          <w:color w:val="auto"/>
        </w:rPr>
        <w:t>. Within 95 days after the close of each fiscal year of the Borrower, at the request of the Administrative Agent or the Required Lenders, hold a meeting (at a mutually agreeable location and time) with all Lenders who choose to attend such meeting or conference call at which meeting or conference call shall be reviewed the financial results of the previous fiscal year and the financial condition of the Borrower and its Subsidiaries and the budgets presented for the current fiscal year of the Borrower and its Subsidiaries.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pacing w:after="0" w:line="21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So long as any Lender shall have any Commitment hereunder, any Loan or other Obligation hereunder shall remain unpaid or unsatisfied (other than contingent indemnification obligations not then due) or any Letter of Credit shall remain outstanding, the Borrower shall not, nor shall it permit any Subsidiary to:</w:t>
      </w:r>
    </w:p>
    <w:p>
      <w:pPr>
        <w:spacing w:after="0" w:line="181"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Liens</w:t>
      </w:r>
      <w:r>
        <w:rPr>
          <w:rFonts w:ascii="Arial" w:cs="Arial" w:eastAsia="Arial" w:hAnsi="Arial"/>
          <w:sz w:val="18"/>
          <w:szCs w:val="18"/>
          <w:color w:val="auto"/>
        </w:rPr>
        <w:t xml:space="preserve">. Create, incur, assume or suffer to exist (upon the happening of a contingency or otherwise) any Lien upon any of its property or assets, whether now owned or hereafter acquired;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shall not apply to the following:</w:t>
      </w:r>
    </w:p>
    <w:p>
      <w:pPr>
        <w:spacing w:after="0" w:line="62" w:lineRule="exact"/>
        <w:rPr>
          <w:sz w:val="20"/>
          <w:szCs w:val="20"/>
          <w:color w:val="auto"/>
        </w:rPr>
      </w:pPr>
    </w:p>
    <w:p>
      <w:pPr>
        <w:ind w:left="440" w:right="60" w:firstLine="428"/>
        <w:spacing w:after="0" w:line="277" w:lineRule="auto"/>
        <w:tabs>
          <w:tab w:leader="none" w:pos="110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Liens for Taxes not yet due or that are being actively contested in good faith by appropriate proceedings and for which adequate reserves shall have been established in accordance with GAAP;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E-4-85</w:t>
      </w:r>
    </w:p>
    <w:p>
      <w:pPr>
        <w:sectPr>
          <w:pgSz w:w="11900" w:h="16838" w:orient="portrait"/>
          <w:cols w:equalWidth="0" w:num="1">
            <w:col w:w="11020"/>
          </w:cols>
          <w:pgMar w:left="440" w:top="274" w:right="439" w:bottom="1440" w:gutter="0" w:footer="0" w:header="0"/>
        </w:sectPr>
      </w:pPr>
    </w:p>
    <w:bookmarkStart w:id="111" w:name="page112"/>
    <w:bookmarkEnd w:id="111"/>
    <w:p>
      <w:pPr>
        <w:ind w:right="180" w:firstLine="428"/>
        <w:spacing w:after="0" w:line="264" w:lineRule="auto"/>
        <w:tabs>
          <w:tab w:leader="none" w:pos="678" w:val="left"/>
        </w:tabs>
        <w:numPr>
          <w:ilvl w:val="1"/>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statutory Liens incidental to the conduct of its business or the ownership of its property and assets that (i) were not incurred in connection with the borrowing of money or the obtaining of advances or credit, and (ii) do not in the aggregate materially detract from the value of its property or assets or materially impair the use thereof in the operation of its business;</w:t>
      </w:r>
    </w:p>
    <w:p>
      <w:pPr>
        <w:spacing w:after="0" w:line="73" w:lineRule="exact"/>
        <w:rPr>
          <w:rFonts w:ascii="Arial" w:cs="Arial" w:eastAsia="Arial" w:hAnsi="Arial"/>
          <w:sz w:val="18"/>
          <w:szCs w:val="18"/>
          <w:color w:val="auto"/>
        </w:rPr>
      </w:pPr>
    </w:p>
    <w:p>
      <w:pPr>
        <w:ind w:left="680" w:hanging="252"/>
        <w:spacing w:after="0"/>
        <w:tabs>
          <w:tab w:leader="none" w:pos="6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Liens on property or assets of a Subsidiary to secure obligations of such Subsidiary to a Loan Party;</w:t>
      </w:r>
    </w:p>
    <w:p>
      <w:pPr>
        <w:spacing w:after="0" w:line="117" w:lineRule="exact"/>
        <w:rPr>
          <w:rFonts w:ascii="Arial" w:cs="Arial" w:eastAsia="Arial" w:hAnsi="Arial"/>
          <w:sz w:val="18"/>
          <w:szCs w:val="18"/>
          <w:color w:val="auto"/>
        </w:rPr>
      </w:pPr>
    </w:p>
    <w:p>
      <w:pPr>
        <w:ind w:right="120" w:firstLine="428"/>
        <w:spacing w:after="0" w:line="308" w:lineRule="auto"/>
        <w:tabs>
          <w:tab w:leader="none" w:pos="678" w:val="left"/>
        </w:tabs>
        <w:numPr>
          <w:ilvl w:val="1"/>
          <w:numId w:val="158"/>
        </w:numPr>
        <w:rPr>
          <w:rFonts w:ascii="Arial" w:cs="Arial" w:eastAsia="Arial" w:hAnsi="Arial"/>
          <w:sz w:val="17"/>
          <w:szCs w:val="17"/>
          <w:color w:val="auto"/>
        </w:rPr>
      </w:pPr>
      <w:r>
        <w:rPr>
          <w:rFonts w:ascii="Arial" w:cs="Arial" w:eastAsia="Arial" w:hAnsi="Arial"/>
          <w:sz w:val="17"/>
          <w:szCs w:val="17"/>
          <w:color w:val="auto"/>
        </w:rPr>
        <w:t xml:space="preserve">purchase money Liens on fixed assets securing the loans and Indebtedness under Capitalized Leases pursuant to </w:t>
      </w:r>
      <w:r>
        <w:rPr>
          <w:rFonts w:ascii="Arial" w:cs="Arial" w:eastAsia="Arial" w:hAnsi="Arial"/>
          <w:sz w:val="17"/>
          <w:szCs w:val="17"/>
          <w:u w:val="single" w:color="auto"/>
          <w:color w:val="auto"/>
        </w:rPr>
        <w:t>Section 7.02(b)</w:t>
      </w:r>
      <w:r>
        <w:rPr>
          <w:rFonts w:ascii="Arial" w:cs="Arial" w:eastAsia="Arial" w:hAnsi="Arial"/>
          <w:sz w:val="17"/>
          <w:szCs w:val="17"/>
          <w:color w:val="auto"/>
        </w:rPr>
        <w:t xml:space="preserv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Lien is limited to the purchase price and only attaches to the property being acquired or financed thereby;</w:t>
      </w:r>
    </w:p>
    <w:p>
      <w:pPr>
        <w:spacing w:after="0" w:line="38" w:lineRule="exact"/>
        <w:rPr>
          <w:rFonts w:ascii="Arial" w:cs="Arial" w:eastAsia="Arial" w:hAnsi="Arial"/>
          <w:sz w:val="17"/>
          <w:szCs w:val="17"/>
          <w:color w:val="auto"/>
        </w:rPr>
      </w:pPr>
    </w:p>
    <w:p>
      <w:pPr>
        <w:ind w:left="680" w:hanging="252"/>
        <w:spacing w:after="0"/>
        <w:tabs>
          <w:tab w:leader="none" w:pos="6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Lien of the Administrative Agent, for the benefit of the Secured Parties;</w:t>
      </w:r>
    </w:p>
    <w:p>
      <w:pPr>
        <w:spacing w:after="0" w:line="117" w:lineRule="exact"/>
        <w:rPr>
          <w:rFonts w:ascii="Arial" w:cs="Arial" w:eastAsia="Arial" w:hAnsi="Arial"/>
          <w:sz w:val="18"/>
          <w:szCs w:val="18"/>
          <w:color w:val="auto"/>
        </w:rPr>
      </w:pPr>
    </w:p>
    <w:p>
      <w:pPr>
        <w:ind w:right="40" w:firstLine="428"/>
        <w:spacing w:after="0" w:line="257" w:lineRule="auto"/>
        <w:tabs>
          <w:tab w:leader="none" w:pos="64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the Liens existing on the Closing Date as set forth in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hereto and replacements, extensions, renewals, refundings or refinancings thereof, but only to the extent that the amount of Indebtedness secured thereby shall not be increased (except by an amount equal to a reasonable premium or other reasonable amount paid, and fees and expenses reasonably incurred, in connection with such replacement, extension, renewal, refunding or refinancing and by an amount equal to any existing commitments unutilized thereunder) and the property covered thereby is not changed;</w:t>
      </w:r>
    </w:p>
    <w:p>
      <w:pPr>
        <w:spacing w:after="0" w:line="80" w:lineRule="exact"/>
        <w:rPr>
          <w:rFonts w:ascii="Arial" w:cs="Arial" w:eastAsia="Arial" w:hAnsi="Arial"/>
          <w:sz w:val="18"/>
          <w:szCs w:val="18"/>
          <w:color w:val="auto"/>
        </w:rPr>
      </w:pPr>
    </w:p>
    <w:p>
      <w:pPr>
        <w:ind w:right="440" w:firstLine="428"/>
        <w:spacing w:after="0" w:line="277" w:lineRule="auto"/>
        <w:tabs>
          <w:tab w:leader="none" w:pos="67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easements or other minor defects or irregularities in title of real property not interfering in any material respect with the use of such property in the business of the Borrower or any of its Subsidiaries;</w:t>
      </w:r>
    </w:p>
    <w:p>
      <w:pPr>
        <w:spacing w:after="0" w:line="62" w:lineRule="exact"/>
        <w:rPr>
          <w:rFonts w:ascii="Arial" w:cs="Arial" w:eastAsia="Arial" w:hAnsi="Arial"/>
          <w:sz w:val="18"/>
          <w:szCs w:val="18"/>
          <w:color w:val="auto"/>
        </w:rPr>
      </w:pPr>
    </w:p>
    <w:p>
      <w:pPr>
        <w:ind w:left="680" w:hanging="252"/>
        <w:spacing w:after="0"/>
        <w:tabs>
          <w:tab w:leader="none" w:pos="6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pledges or deposits in connection with workers’ compensation insurance, unemployment insurance and like matters;</w:t>
      </w:r>
    </w:p>
    <w:p>
      <w:pPr>
        <w:spacing w:after="0" w:line="117" w:lineRule="exact"/>
        <w:rPr>
          <w:rFonts w:ascii="Arial" w:cs="Arial" w:eastAsia="Arial" w:hAnsi="Arial"/>
          <w:sz w:val="18"/>
          <w:szCs w:val="18"/>
          <w:color w:val="auto"/>
        </w:rPr>
      </w:pPr>
    </w:p>
    <w:p>
      <w:pPr>
        <w:ind w:right="340" w:firstLine="428"/>
        <w:spacing w:after="0" w:line="277" w:lineRule="auto"/>
        <w:tabs>
          <w:tab w:leader="none" w:pos="63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Liens in respect of any writ of execution, attachment, garnishment, judgment or judicial award solely to the extent not constituting an Event of Default under </w:t>
      </w:r>
      <w:r>
        <w:rPr>
          <w:rFonts w:ascii="Arial" w:cs="Arial" w:eastAsia="Arial" w:hAnsi="Arial"/>
          <w:sz w:val="18"/>
          <w:szCs w:val="18"/>
          <w:u w:val="single" w:color="auto"/>
          <w:color w:val="auto"/>
        </w:rPr>
        <w:t>Section 8.01(h)(i)</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480" w:firstLine="428"/>
        <w:spacing w:after="0" w:line="277" w:lineRule="auto"/>
        <w:tabs>
          <w:tab w:leader="none" w:pos="63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Liens arising solely from precautionary UCC financing statements filed with respect to any consignment agreement entered into by Borrower or any Subsidiary in the ordinary course of business;</w:t>
      </w:r>
    </w:p>
    <w:p>
      <w:pPr>
        <w:spacing w:after="0" w:line="62" w:lineRule="exact"/>
        <w:rPr>
          <w:rFonts w:ascii="Arial" w:cs="Arial" w:eastAsia="Arial" w:hAnsi="Arial"/>
          <w:sz w:val="18"/>
          <w:szCs w:val="18"/>
          <w:color w:val="auto"/>
        </w:rPr>
      </w:pPr>
    </w:p>
    <w:p>
      <w:pPr>
        <w:ind w:right="480" w:firstLine="428"/>
        <w:spacing w:after="0" w:line="277" w:lineRule="auto"/>
        <w:tabs>
          <w:tab w:leader="none" w:pos="67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statutory or civil law Lien arising in the Netherlands under Netherland’s General Banking Conditions (other than arising under article 26 thereof) so long as such Lien does not secure Indebtedness;</w:t>
      </w:r>
    </w:p>
    <w:p>
      <w:pPr>
        <w:spacing w:after="0" w:line="62" w:lineRule="exact"/>
        <w:rPr>
          <w:rFonts w:ascii="Arial" w:cs="Arial" w:eastAsia="Arial" w:hAnsi="Arial"/>
          <w:sz w:val="18"/>
          <w:szCs w:val="18"/>
          <w:color w:val="auto"/>
        </w:rPr>
      </w:pPr>
    </w:p>
    <w:p>
      <w:pPr>
        <w:ind w:right="60" w:firstLine="428"/>
        <w:spacing w:after="0" w:line="259" w:lineRule="auto"/>
        <w:tabs>
          <w:tab w:leader="none" w:pos="63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Liens on tangible property of a Person existing at the time such Person is acquired by the Borrower or a Subsidiary pursuant to an Acquisition permitted under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were not created in contemplation of such Acquisition and do not extend to any assets other than those of the Person acquired by the Borrower or such Subsidiary, and the applicable Indebtedness secured by such Lien is permitted under </w:t>
      </w:r>
      <w:r>
        <w:rPr>
          <w:rFonts w:ascii="Arial" w:cs="Arial" w:eastAsia="Arial" w:hAnsi="Arial"/>
          <w:sz w:val="18"/>
          <w:szCs w:val="18"/>
          <w:u w:val="single" w:color="auto"/>
          <w:color w:val="auto"/>
        </w:rPr>
        <w:t>Section 7.02(l)</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740" w:hanging="312"/>
        <w:spacing w:after="0"/>
        <w:tabs>
          <w:tab w:leader="none" w:pos="74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 xml:space="preserve">other Liens securing Indebtedness permitted by </w:t>
      </w:r>
      <w:r>
        <w:rPr>
          <w:rFonts w:ascii="Arial" w:cs="Arial" w:eastAsia="Arial" w:hAnsi="Arial"/>
          <w:sz w:val="16"/>
          <w:szCs w:val="16"/>
          <w:u w:val="single" w:color="auto"/>
          <w:color w:val="auto"/>
        </w:rPr>
        <w:t>Section 7.02(m)</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Lien shall extend to, or cover, any Collateral;</w:t>
      </w:r>
    </w:p>
    <w:p>
      <w:pPr>
        <w:spacing w:after="0" w:line="140" w:lineRule="exact"/>
        <w:rPr>
          <w:rFonts w:ascii="Arial" w:cs="Arial" w:eastAsia="Arial" w:hAnsi="Arial"/>
          <w:sz w:val="16"/>
          <w:szCs w:val="16"/>
          <w:color w:val="auto"/>
        </w:rPr>
      </w:pPr>
    </w:p>
    <w:p>
      <w:pPr>
        <w:ind w:firstLine="428"/>
        <w:spacing w:after="0" w:line="291" w:lineRule="auto"/>
        <w:tabs>
          <w:tab w:leader="none" w:pos="678" w:val="left"/>
        </w:tabs>
        <w:numPr>
          <w:ilvl w:val="1"/>
          <w:numId w:val="158"/>
        </w:numPr>
        <w:rPr>
          <w:rFonts w:ascii="Arial" w:cs="Arial" w:eastAsia="Arial" w:hAnsi="Arial"/>
          <w:sz w:val="16"/>
          <w:szCs w:val="16"/>
          <w:color w:val="auto"/>
        </w:rPr>
      </w:pPr>
      <w:r>
        <w:rPr>
          <w:rFonts w:ascii="Arial" w:cs="Arial" w:eastAsia="Arial" w:hAnsi="Arial"/>
          <w:sz w:val="16"/>
          <w:szCs w:val="16"/>
          <w:color w:val="auto"/>
        </w:rPr>
        <w:t xml:space="preserve">other non-consensual Liens not securing Indebtedness, (i) the amount of which does not exceed $7,500,000 in the aggregate, and (ii) the existence of which, either individually or in the aggregate, will not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Lien permitted by this </w:t>
      </w:r>
      <w:r>
        <w:rPr>
          <w:rFonts w:ascii="Arial" w:cs="Arial" w:eastAsia="Arial" w:hAnsi="Arial"/>
          <w:sz w:val="16"/>
          <w:szCs w:val="16"/>
          <w:u w:val="single" w:color="auto"/>
          <w:color w:val="auto"/>
        </w:rPr>
        <w:t>clause</w:t>
      </w:r>
    </w:p>
    <w:p>
      <w:pPr>
        <w:ind w:right="120" w:firstLine="4"/>
        <w:spacing w:after="0" w:line="253" w:lineRule="auto"/>
        <w:tabs>
          <w:tab w:leader="none" w:pos="255" w:val="left"/>
        </w:tabs>
        <w:numPr>
          <w:ilvl w:val="0"/>
          <w:numId w:val="159"/>
        </w:numPr>
        <w:rPr>
          <w:rFonts w:ascii="Arial" w:cs="Arial" w:eastAsia="Arial" w:hAnsi="Arial"/>
          <w:sz w:val="18"/>
          <w:szCs w:val="18"/>
          <w:u w:val="single" w:color="auto"/>
          <w:color w:val="auto"/>
        </w:rPr>
      </w:pPr>
      <w:r>
        <w:rPr>
          <w:rFonts w:ascii="Arial" w:cs="Arial" w:eastAsia="Arial" w:hAnsi="Arial"/>
          <w:sz w:val="18"/>
          <w:szCs w:val="18"/>
          <w:color w:val="auto"/>
        </w:rPr>
        <w:t xml:space="preserve">is permitted only for so long as is reasonably necessary for the affected Loan Party or the affected Subsidiary, using its best efforts, to remove or eliminate such Lien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Lien not otherwise permitted by this </w:t>
      </w:r>
      <w:r>
        <w:rPr>
          <w:rFonts w:ascii="Arial" w:cs="Arial" w:eastAsia="Arial" w:hAnsi="Arial"/>
          <w:sz w:val="18"/>
          <w:szCs w:val="18"/>
          <w:u w:val="single" w:color="auto"/>
          <w:color w:val="auto"/>
        </w:rPr>
        <w:t>clause (n)</w:t>
      </w:r>
      <w:r>
        <w:rPr>
          <w:rFonts w:ascii="Arial" w:cs="Arial" w:eastAsia="Arial" w:hAnsi="Arial"/>
          <w:sz w:val="18"/>
          <w:szCs w:val="18"/>
          <w:color w:val="auto"/>
        </w:rPr>
        <w:t xml:space="preserve"> shall be permitted so long as such Loan Party or the affected Subsidiary shall within thirty (30) days after the filing thereof either (A) cause such Lien to be discharged, or (B) post with the Administrative Agent a bond or other security in form and amount satisfactory to the Administrative Agent in all respects and shall thereafter diligently pursue its discharge;</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E-4-86</w:t>
      </w:r>
    </w:p>
    <w:p>
      <w:pPr>
        <w:sectPr>
          <w:pgSz w:w="11900" w:h="16838" w:orient="portrait"/>
          <w:cols w:equalWidth="0" w:num="1">
            <w:col w:w="10580"/>
          </w:cols>
          <w:pgMar w:left="880" w:top="274" w:right="439" w:bottom="1440" w:gutter="0" w:footer="0" w:header="0"/>
        </w:sectPr>
      </w:pPr>
    </w:p>
    <w:bookmarkStart w:id="112" w:name="page113"/>
    <w:bookmarkEnd w:id="112"/>
    <w:p>
      <w:pPr>
        <w:ind w:left="1120" w:hanging="252"/>
        <w:spacing w:after="0"/>
        <w:tabs>
          <w:tab w:leader="none" w:pos="11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avoidance of doubt, any Lien on a Sold Account;</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Liens granted pursuant to the Precious Metal Consignment Agreements so long as such Lien does not secure Indebtedness; and</w:t>
      </w:r>
    </w:p>
    <w:p>
      <w:pPr>
        <w:spacing w:after="0" w:line="128" w:lineRule="exact"/>
        <w:rPr>
          <w:rFonts w:ascii="Arial" w:cs="Arial" w:eastAsia="Arial" w:hAnsi="Arial"/>
          <w:sz w:val="17"/>
          <w:szCs w:val="17"/>
          <w:color w:val="auto"/>
        </w:rPr>
      </w:pPr>
    </w:p>
    <w:p>
      <w:pPr>
        <w:ind w:left="440" w:right="40" w:firstLine="428"/>
        <w:spacing w:after="0" w:line="259" w:lineRule="auto"/>
        <w:tabs>
          <w:tab w:leader="none" w:pos="111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Liens existing on the Fourth Amendment Effective Date securing Indebtedness that has been 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Lien permitted by this </w:t>
      </w:r>
      <w:r>
        <w:rPr>
          <w:rFonts w:ascii="Arial" w:cs="Arial" w:eastAsia="Arial" w:hAnsi="Arial"/>
          <w:sz w:val="18"/>
          <w:szCs w:val="18"/>
          <w:u w:val="single" w:color="auto"/>
          <w:color w:val="auto"/>
        </w:rPr>
        <w:t>clause (r)</w:t>
      </w:r>
      <w:r>
        <w:rPr>
          <w:rFonts w:ascii="Arial" w:cs="Arial" w:eastAsia="Arial" w:hAnsi="Arial"/>
          <w:sz w:val="18"/>
          <w:szCs w:val="18"/>
          <w:color w:val="auto"/>
        </w:rPr>
        <w:t xml:space="preserve"> is permitted only for so long as is reasonably necessary for the affected Loan Party or the affected Subsidiary, using its best efforts, to remove, discharge or otherwise eliminate such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in no event shall any Lien permitted by this </w:t>
      </w:r>
      <w:r>
        <w:rPr>
          <w:rFonts w:ascii="Arial" w:cs="Arial" w:eastAsia="Arial" w:hAnsi="Arial"/>
          <w:sz w:val="18"/>
          <w:szCs w:val="18"/>
          <w:u w:val="single" w:color="auto"/>
          <w:color w:val="auto"/>
        </w:rPr>
        <w:t>clause (r)</w:t>
      </w:r>
      <w:r>
        <w:rPr>
          <w:rFonts w:ascii="Arial" w:cs="Arial" w:eastAsia="Arial" w:hAnsi="Arial"/>
          <w:sz w:val="18"/>
          <w:szCs w:val="18"/>
          <w:color w:val="auto"/>
        </w:rPr>
        <w:t xml:space="preserve"> be permitted for more than 90 days.</w:t>
      </w:r>
    </w:p>
    <w:p>
      <w:pPr>
        <w:spacing w:after="0" w:line="18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Neither the Borrower nor any of its Subsidiaries shall enter into any contract or agreement (other than a contract or agreement entered into in connection with the purchase or lease of fixed assets that prohibits Liens on such fixed assets) that would prohibit the Administrative Agent or the Lenders from acquiring a security interest, mortgage or other Lien on, or a collateral assignment of, any of the property or assets of the Borrower or such Subsidiary.</w:t>
      </w:r>
    </w:p>
    <w:p>
      <w:pPr>
        <w:spacing w:after="0" w:line="18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Indebtedness</w:t>
      </w:r>
      <w:r>
        <w:rPr>
          <w:rFonts w:ascii="Arial" w:cs="Arial" w:eastAsia="Arial" w:hAnsi="Arial"/>
          <w:sz w:val="18"/>
          <w:szCs w:val="18"/>
          <w:color w:val="auto"/>
        </w:rPr>
        <w:t xml:space="preserve">. Create, incur, assume or have outstanding any Indebtedness of any kind;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shall not apply to the following:</w:t>
      </w:r>
    </w:p>
    <w:p>
      <w:pPr>
        <w:spacing w:after="0" w:line="62" w:lineRule="exact"/>
        <w:rPr>
          <w:sz w:val="20"/>
          <w:szCs w:val="20"/>
          <w:color w:val="auto"/>
        </w:rPr>
      </w:pPr>
    </w:p>
    <w:p>
      <w:pPr>
        <w:ind w:left="1120" w:hanging="252"/>
        <w:spacing w:after="0"/>
        <w:tabs>
          <w:tab w:leader="none" w:pos="11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Loans and any other Obligation under this Agreement or under any other Loan Document;</w:t>
      </w:r>
    </w:p>
    <w:p>
      <w:pPr>
        <w:spacing w:after="0" w:line="117" w:lineRule="exact"/>
        <w:rPr>
          <w:rFonts w:ascii="Arial" w:cs="Arial" w:eastAsia="Arial" w:hAnsi="Arial"/>
          <w:sz w:val="18"/>
          <w:szCs w:val="18"/>
          <w:color w:val="auto"/>
        </w:rPr>
      </w:pPr>
    </w:p>
    <w:p>
      <w:pPr>
        <w:ind w:left="440" w:right="60" w:firstLine="428"/>
        <w:spacing w:after="0" w:line="302" w:lineRule="auto"/>
        <w:tabs>
          <w:tab w:leader="none" w:pos="111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any loans granted to or Indebtedness under Capitalized Leases entered into by the Borrower or any of its Subsidiaries for the purchase or lease of fixed assets and any Refinancing Indebtedness in respect thereof, which loans and Indebtedness under Capitalized Leases shall only be secured by the fixed assets being purchased or leased, so long as the aggregate principal amount of all such loans and Indebtedness under Capitalized Leases for the Borrower and all of its Subsidiaries shall not exceed $30,000,000 at any time outstanding;</w:t>
      </w:r>
    </w:p>
    <w:p>
      <w:pPr>
        <w:spacing w:after="0" w:line="46" w:lineRule="exact"/>
        <w:rPr>
          <w:rFonts w:ascii="Arial" w:cs="Arial" w:eastAsia="Arial" w:hAnsi="Arial"/>
          <w:sz w:val="16"/>
          <w:szCs w:val="16"/>
          <w:color w:val="auto"/>
        </w:rPr>
      </w:pPr>
    </w:p>
    <w:p>
      <w:pPr>
        <w:ind w:left="1120" w:hanging="252"/>
        <w:spacing w:after="0"/>
        <w:tabs>
          <w:tab w:leader="none" w:pos="112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Indebtedness existing on the Closing Date, in addition to the other Indebtedness permitted to be incurred pursuant to this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hereto and any Refinancing Indebtedness in respect thereof;</w:t>
      </w:r>
    </w:p>
    <w:p>
      <w:pPr>
        <w:spacing w:after="0" w:line="103" w:lineRule="exact"/>
        <w:rPr>
          <w:sz w:val="20"/>
          <w:szCs w:val="20"/>
          <w:color w:val="auto"/>
        </w:rPr>
      </w:pPr>
    </w:p>
    <w:p>
      <w:pPr>
        <w:ind w:left="1120" w:hanging="252"/>
        <w:spacing w:after="0"/>
        <w:tabs>
          <w:tab w:leader="none" w:pos="11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loans to a Loan Party from another Loan Party;</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loans to a Foreign Subsidiary from another Foreign Subsidiary;</w:t>
      </w:r>
    </w:p>
    <w:p>
      <w:pPr>
        <w:spacing w:after="0" w:line="117" w:lineRule="exact"/>
        <w:rPr>
          <w:rFonts w:ascii="Arial" w:cs="Arial" w:eastAsia="Arial" w:hAnsi="Arial"/>
          <w:sz w:val="18"/>
          <w:szCs w:val="18"/>
          <w:color w:val="auto"/>
        </w:rPr>
      </w:pPr>
    </w:p>
    <w:p>
      <w:pPr>
        <w:ind w:left="440" w:right="300" w:firstLine="428"/>
        <w:spacing w:after="0" w:line="277" w:lineRule="auto"/>
        <w:tabs>
          <w:tab w:leader="none" w:pos="108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Indebtedness under any Swap Contract, so long as such Swap Contract shall have been entered into in the ordinary course of business and not for speculative purposes;</w:t>
      </w:r>
    </w:p>
    <w:p>
      <w:pPr>
        <w:spacing w:after="0" w:line="62" w:lineRule="exact"/>
        <w:rPr>
          <w:rFonts w:ascii="Arial" w:cs="Arial" w:eastAsia="Arial" w:hAnsi="Arial"/>
          <w:sz w:val="18"/>
          <w:szCs w:val="18"/>
          <w:color w:val="auto"/>
        </w:rPr>
      </w:pPr>
    </w:p>
    <w:p>
      <w:pPr>
        <w:ind w:left="440" w:right="80" w:firstLine="428"/>
        <w:spacing w:after="0" w:line="264" w:lineRule="auto"/>
        <w:tabs>
          <w:tab w:leader="none" w:pos="111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Permitted Foreign Subsidiary and other Loans and Investments, so long as (i) no Default shall exist immediately prior to or immediately after giving effect thereto and (ii)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(and to any Indebtedness incurred in connection therewith), the Borrower and its Subsidiaries shall be in compliance with the Pro Forma Leverage Test;</w:t>
      </w:r>
    </w:p>
    <w:p>
      <w:pPr>
        <w:spacing w:after="0" w:line="73" w:lineRule="exact"/>
        <w:rPr>
          <w:rFonts w:ascii="Arial" w:cs="Arial" w:eastAsia="Arial" w:hAnsi="Arial"/>
          <w:sz w:val="18"/>
          <w:szCs w:val="18"/>
          <w:color w:val="auto"/>
        </w:rPr>
      </w:pPr>
    </w:p>
    <w:p>
      <w:pPr>
        <w:ind w:left="440" w:right="140" w:firstLine="428"/>
        <w:spacing w:after="0" w:line="277" w:lineRule="auto"/>
        <w:tabs>
          <w:tab w:leader="none" w:pos="111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Indebtedness incurred in connection with the financing of insurance premiums, in an aggregate amount not to exceed $5,000,000 at any time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E-4-87</w:t>
      </w:r>
    </w:p>
    <w:p>
      <w:pPr>
        <w:sectPr>
          <w:pgSz w:w="11900" w:h="16838" w:orient="portrait"/>
          <w:cols w:equalWidth="0" w:num="1">
            <w:col w:w="11020"/>
          </w:cols>
          <w:pgMar w:left="440" w:top="274" w:right="439" w:bottom="1440" w:gutter="0" w:footer="0" w:header="0"/>
        </w:sectPr>
      </w:pPr>
    </w:p>
    <w:bookmarkStart w:id="113" w:name="page114"/>
    <w:bookmarkEnd w:id="113"/>
    <w:p>
      <w:pPr>
        <w:ind w:right="120" w:firstLine="428"/>
        <w:spacing w:after="0" w:line="342" w:lineRule="auto"/>
        <w:tabs>
          <w:tab w:leader="none" w:pos="638" w:val="left"/>
        </w:tabs>
        <w:numPr>
          <w:ilvl w:val="1"/>
          <w:numId w:val="1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contingent obligations consisting of Guarantees executed by (i) any Loan Party with respect to Indebtedness otherwise permitted by this Agreement and (ii) any Foreign Subsidiary with respect to any Indebtedness of a Foreign Subsidiary otherwise permitted by this Agreement;</w:t>
      </w:r>
    </w:p>
    <w:p>
      <w:pPr>
        <w:spacing w:after="0" w:line="15" w:lineRule="exact"/>
        <w:rPr>
          <w:rFonts w:ascii="Arial" w:cs="Arial" w:eastAsia="Arial" w:hAnsi="Arial"/>
          <w:sz w:val="16"/>
          <w:szCs w:val="16"/>
          <w:color w:val="auto"/>
        </w:rPr>
      </w:pPr>
    </w:p>
    <w:p>
      <w:pPr>
        <w:ind w:right="160" w:firstLine="428"/>
        <w:spacing w:after="0" w:line="257" w:lineRule="auto"/>
        <w:tabs>
          <w:tab w:leader="none" w:pos="63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(i) other unsecured Indebtedness (including unsecured Subordinated Indebtedness), in addition to the Indebtedness listed above, in an aggregate principal amount for the Borrower and all of its Subsidiaries not to exceed $10,000,000 at any time outstanding, and (ii) any other unsecured Indebtedness (including unsecured Subordinated Indebtedness), in addition to the Indebtedness listed above, constituting Refinancing Indebtedness in respect of the Loans, so long as such Indebtedness satisfies the Applicable Requirements and the proceeds thereof are applied in accordance with </w:t>
      </w:r>
      <w:r>
        <w:rPr>
          <w:rFonts w:ascii="Arial" w:cs="Arial" w:eastAsia="Arial" w:hAnsi="Arial"/>
          <w:sz w:val="18"/>
          <w:szCs w:val="18"/>
          <w:u w:val="single" w:color="auto"/>
          <w:color w:val="auto"/>
        </w:rPr>
        <w:t>Section 2.05(b)(iii)</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680" w:hanging="252"/>
        <w:spacing w:after="0"/>
        <w:tabs>
          <w:tab w:leader="none" w:pos="6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60" w:firstLine="428"/>
        <w:spacing w:after="0" w:line="272" w:lineRule="auto"/>
        <w:tabs>
          <w:tab w:leader="none" w:pos="638" w:val="left"/>
        </w:tabs>
        <w:numPr>
          <w:ilvl w:val="1"/>
          <w:numId w:val="163"/>
        </w:numPr>
        <w:rPr>
          <w:rFonts w:ascii="Arial" w:cs="Arial" w:eastAsia="Arial" w:hAnsi="Arial"/>
          <w:sz w:val="17"/>
          <w:szCs w:val="17"/>
          <w:color w:val="auto"/>
        </w:rPr>
      </w:pPr>
      <w:r>
        <w:rPr>
          <w:rFonts w:ascii="Arial" w:cs="Arial" w:eastAsia="Arial" w:hAnsi="Arial"/>
          <w:sz w:val="17"/>
          <w:szCs w:val="17"/>
          <w:color w:val="auto"/>
        </w:rPr>
        <w:t xml:space="preserve">Indebtedness of any Person that becomes a Subsidiary of the Borrower after the date hereof pursuant to an Acquisition permitted under </w:t>
      </w:r>
      <w:r>
        <w:rPr>
          <w:rFonts w:ascii="Arial" w:cs="Arial" w:eastAsia="Arial" w:hAnsi="Arial"/>
          <w:sz w:val="17"/>
          <w:szCs w:val="17"/>
          <w:u w:val="single" w:color="auto"/>
          <w:color w:val="auto"/>
        </w:rPr>
        <w:t>Section 7.03(b)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is existing at the time such Person becomes a Subsidiary of the Borrower (and is not incurred in contemplation of such Person’s becoming a Subsidiary of the Borrower), (ii)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thereto and to the application of the proceeds thereof (but disregarding any costs constituting proceeds thereof for the purposes of netting), the Borrower and its Subsidiaries shall be in compliance with the Pro Forma Leverage Test (and, if such Indebtedness is secured, the Consolidated Secured Leverage Ratio shall be not greater than 4.00 to 1.00) and (iii) the aggregate principal amount of Indebtedness outstanding in reliance on this </w:t>
      </w:r>
      <w:r>
        <w:rPr>
          <w:rFonts w:ascii="Arial" w:cs="Arial" w:eastAsia="Arial" w:hAnsi="Arial"/>
          <w:sz w:val="17"/>
          <w:szCs w:val="17"/>
          <w:u w:val="single" w:color="auto"/>
          <w:color w:val="auto"/>
        </w:rPr>
        <w:t>clause (l)</w:t>
      </w:r>
      <w:r>
        <w:rPr>
          <w:rFonts w:ascii="Arial" w:cs="Arial" w:eastAsia="Arial" w:hAnsi="Arial"/>
          <w:sz w:val="17"/>
          <w:szCs w:val="17"/>
          <w:color w:val="auto"/>
        </w:rPr>
        <w:t xml:space="preserve"> for which any Subsidiary that is not a Loan Party is a borrower or guarantor shall not exceed $25,000,000 at any time;</w:t>
      </w:r>
    </w:p>
    <w:p>
      <w:pPr>
        <w:spacing w:after="0" w:line="69" w:lineRule="exact"/>
        <w:rPr>
          <w:rFonts w:ascii="Arial" w:cs="Arial" w:eastAsia="Arial" w:hAnsi="Arial"/>
          <w:sz w:val="17"/>
          <w:szCs w:val="17"/>
          <w:color w:val="auto"/>
        </w:rPr>
      </w:pPr>
    </w:p>
    <w:p>
      <w:pPr>
        <w:ind w:right="40" w:firstLine="428"/>
        <w:spacing w:after="0" w:line="312" w:lineRule="auto"/>
        <w:tabs>
          <w:tab w:leader="none" w:pos="728" w:val="left"/>
        </w:tabs>
        <w:numPr>
          <w:ilvl w:val="1"/>
          <w:numId w:val="163"/>
        </w:numPr>
        <w:rPr>
          <w:rFonts w:ascii="Arial" w:cs="Arial" w:eastAsia="Arial" w:hAnsi="Arial"/>
          <w:sz w:val="16"/>
          <w:szCs w:val="16"/>
          <w:color w:val="auto"/>
        </w:rPr>
      </w:pPr>
      <w:r>
        <w:rPr>
          <w:rFonts w:ascii="Arial" w:cs="Arial" w:eastAsia="Arial" w:hAnsi="Arial"/>
          <w:sz w:val="16"/>
          <w:szCs w:val="16"/>
          <w:color w:val="auto"/>
        </w:rPr>
        <w:t xml:space="preserve">other secured Indebtedness in an aggregate principal amount for the Borrower and all of its Subsidiaries not to exceed $10,000,000 at any time outstanding, so long as (i) no Default shall exist prior to or after giving effect thereto and (ii)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(and to any Indebtedness incurred in connection therewith), the Borrower and its Subsidiaries shall be in compliance with the Pro Forma Leverage Test;</w:t>
      </w:r>
    </w:p>
    <w:p>
      <w:pPr>
        <w:spacing w:after="0" w:line="38" w:lineRule="exact"/>
        <w:rPr>
          <w:rFonts w:ascii="Arial" w:cs="Arial" w:eastAsia="Arial" w:hAnsi="Arial"/>
          <w:sz w:val="16"/>
          <w:szCs w:val="16"/>
          <w:color w:val="auto"/>
        </w:rPr>
      </w:pPr>
    </w:p>
    <w:p>
      <w:pPr>
        <w:ind w:right="60" w:firstLine="428"/>
        <w:spacing w:after="0" w:line="285" w:lineRule="auto"/>
        <w:tabs>
          <w:tab w:leader="none" w:pos="678" w:val="left"/>
        </w:tabs>
        <w:numPr>
          <w:ilvl w:val="1"/>
          <w:numId w:val="163"/>
        </w:numPr>
        <w:rPr>
          <w:rFonts w:ascii="Arial" w:cs="Arial" w:eastAsia="Arial" w:hAnsi="Arial"/>
          <w:sz w:val="16"/>
          <w:szCs w:val="16"/>
          <w:color w:val="auto"/>
        </w:rPr>
      </w:pPr>
      <w:r>
        <w:rPr>
          <w:rFonts w:ascii="Arial" w:cs="Arial" w:eastAsia="Arial" w:hAnsi="Arial"/>
          <w:sz w:val="16"/>
          <w:szCs w:val="16"/>
          <w:color w:val="auto"/>
        </w:rPr>
        <w:t>the following that do not constitute Indebtedness, but that are listed for purposes of clarification, contingent obligations consisting of the indemnification by the Borrower or any of its Subsidiaries of (i) the officers, directors, employees and agents of the Borrower or any of its Subsidiaries, to the extent permissible under the corporation law of the jurisdiction in which such Person is organized, (ii) commercial banks, investment bankers and other independent consultants or professional advisors pursuant to agreements relating to the underwriting of the Borrower’s or any of its Subsidiaries’ securities or the rendering of banking or professional services to the Borrower or any of its Subsidiaries,</w:t>
      </w:r>
    </w:p>
    <w:p>
      <w:pPr>
        <w:spacing w:after="0" w:line="2" w:lineRule="exact"/>
        <w:rPr>
          <w:rFonts w:ascii="Arial" w:cs="Arial" w:eastAsia="Arial" w:hAnsi="Arial"/>
          <w:sz w:val="16"/>
          <w:szCs w:val="16"/>
          <w:color w:val="auto"/>
        </w:rPr>
      </w:pPr>
    </w:p>
    <w:p>
      <w:pPr>
        <w:ind w:right="40" w:firstLine="4"/>
        <w:spacing w:after="0" w:line="254" w:lineRule="auto"/>
        <w:tabs>
          <w:tab w:leader="none" w:pos="31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landlords, licensors, licensees and other parties pursuant to agreements entered into in the ordinary course of business by the Borrower or any of its Subsidiaries, and (iv) other Persons under agreements relating to Acquisitions permitted under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of the foregoing is only permitted to the extent that such indemnity obligation is not incurred in connection with the borrowing of money or the extension of credit; and</w:t>
      </w:r>
    </w:p>
    <w:p>
      <w:pPr>
        <w:spacing w:after="0" w:line="81" w:lineRule="exact"/>
        <w:rPr>
          <w:rFonts w:ascii="Arial" w:cs="Arial" w:eastAsia="Arial" w:hAnsi="Arial"/>
          <w:sz w:val="18"/>
          <w:szCs w:val="18"/>
          <w:color w:val="auto"/>
        </w:rPr>
      </w:pPr>
    </w:p>
    <w:p>
      <w:pPr>
        <w:ind w:left="680" w:hanging="252"/>
        <w:spacing w:after="0"/>
        <w:tabs>
          <w:tab w:leader="none" w:pos="6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for the avoidance of doubt, any Indebtedness under any Qualified Receivables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Investments and Acquisitions</w:t>
      </w:r>
      <w:r>
        <w:rPr>
          <w:rFonts w:ascii="Arial" w:cs="Arial" w:eastAsia="Arial" w:hAnsi="Arial"/>
          <w:sz w:val="18"/>
          <w:szCs w:val="18"/>
          <w:color w:val="auto"/>
        </w:rPr>
        <w:t>.</w:t>
      </w:r>
    </w:p>
    <w:p>
      <w:pPr>
        <w:spacing w:after="0" w:line="117" w:lineRule="exact"/>
        <w:rPr>
          <w:sz w:val="20"/>
          <w:szCs w:val="20"/>
          <w:color w:val="auto"/>
        </w:rPr>
      </w:pPr>
    </w:p>
    <w:p>
      <w:pPr>
        <w:ind w:left="240" w:hanging="236"/>
        <w:spacing w:after="0"/>
        <w:tabs>
          <w:tab w:leader="none" w:pos="2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Make or hold any Investments (other than Investments pursuant to the Closing Date Acquisition), except:</w:t>
      </w:r>
    </w:p>
    <w:p>
      <w:pPr>
        <w:spacing w:after="0" w:line="117" w:lineRule="exact"/>
        <w:rPr>
          <w:rFonts w:ascii="Arial" w:cs="Arial" w:eastAsia="Arial" w:hAnsi="Arial"/>
          <w:sz w:val="18"/>
          <w:szCs w:val="18"/>
          <w:color w:val="auto"/>
        </w:rPr>
      </w:pPr>
    </w:p>
    <w:p>
      <w:pPr>
        <w:ind w:firstLine="428"/>
        <w:spacing w:after="0" w:line="277" w:lineRule="auto"/>
        <w:tabs>
          <w:tab w:leader="none" w:pos="638"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endorsement of a check or other medium of payment for deposit or collection through normal banking channels or similar transaction in the normal course of business;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E-4-88</w:t>
      </w:r>
    </w:p>
    <w:p>
      <w:pPr>
        <w:sectPr>
          <w:pgSz w:w="11900" w:h="16838" w:orient="portrait"/>
          <w:cols w:equalWidth="0" w:num="1">
            <w:col w:w="10560"/>
          </w:cols>
          <w:pgMar w:left="880" w:top="274" w:right="459" w:bottom="1440" w:gutter="0" w:footer="0" w:header="0"/>
        </w:sectPr>
      </w:pPr>
    </w:p>
    <w:bookmarkStart w:id="114" w:name="page115"/>
    <w:bookmarkEnd w:id="114"/>
    <w:p>
      <w:pPr>
        <w:ind w:right="220" w:firstLine="428"/>
        <w:spacing w:after="0" w:line="286" w:lineRule="auto"/>
        <w:tabs>
          <w:tab w:leader="none" w:pos="688" w:val="left"/>
        </w:tabs>
        <w:numPr>
          <w:ilvl w:val="0"/>
          <w:numId w:val="1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investment in (A) direct obligations of the United States or in certificates of deposit issued by a member bank (having capital resources in excess of $100,000,000) of the Federal Reserve System or (B) commercial paper or securities that at the time of such investment is assigned the highest quality rating in accordance with the rating systems employed by either Moody’s or S&amp;P;</w:t>
      </w:r>
    </w:p>
    <w:p>
      <w:pPr>
        <w:spacing w:after="0" w:line="57" w:lineRule="exact"/>
        <w:rPr>
          <w:rFonts w:ascii="Arial" w:cs="Arial" w:eastAsia="Arial" w:hAnsi="Arial"/>
          <w:sz w:val="17"/>
          <w:szCs w:val="17"/>
          <w:color w:val="auto"/>
        </w:rPr>
      </w:pPr>
    </w:p>
    <w:p>
      <w:pPr>
        <w:jc w:val="both"/>
        <w:ind w:right="80" w:firstLine="428"/>
        <w:spacing w:after="0" w:line="312" w:lineRule="auto"/>
        <w:tabs>
          <w:tab w:leader="none" w:pos="73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the holding of each of the Subsidiaries listed on </w:t>
      </w:r>
      <w:r>
        <w:rPr>
          <w:rFonts w:ascii="Arial" w:cs="Arial" w:eastAsia="Arial" w:hAnsi="Arial"/>
          <w:sz w:val="16"/>
          <w:szCs w:val="16"/>
          <w:u w:val="single" w:color="auto"/>
          <w:color w:val="auto"/>
        </w:rPr>
        <w:t>Schedule 5.01</w:t>
      </w:r>
      <w:r>
        <w:rPr>
          <w:rFonts w:ascii="Arial" w:cs="Arial" w:eastAsia="Arial" w:hAnsi="Arial"/>
          <w:sz w:val="16"/>
          <w:szCs w:val="16"/>
          <w:color w:val="auto"/>
        </w:rPr>
        <w:t xml:space="preserve"> hereto, and the creation, acquisition and holding of, and any investment in, any new Subsidiary after the Closing Date so long as such new Subsidiary shall have been created, acquired or held, and investments made, in accordance with the terms and conditions of this Agreement and pursuant to transactions otherwise permitted under this </w:t>
      </w:r>
      <w:r>
        <w:rPr>
          <w:rFonts w:ascii="Arial" w:cs="Arial" w:eastAsia="Arial" w:hAnsi="Arial"/>
          <w:sz w:val="16"/>
          <w:szCs w:val="16"/>
          <w:u w:val="single" w:color="auto"/>
          <w:color w:val="auto"/>
        </w:rPr>
        <w:t>Section 7.03</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right="180" w:firstLine="428"/>
        <w:spacing w:after="0" w:line="264" w:lineRule="auto"/>
        <w:tabs>
          <w:tab w:leader="none" w:pos="72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any Permitted Foreign Subsidiary and other Loans and Investments, so long as (A) no Default shall exist prior to or after giving effect thereto and (B)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investments or loans (and to any Indebtedness incurred in connection therewith), the Borrower and its Subsidiaries shall be in compliance with the Pro Forma Leverage Test;</w:t>
      </w:r>
    </w:p>
    <w:p>
      <w:pPr>
        <w:spacing w:after="0" w:line="73" w:lineRule="exact"/>
        <w:rPr>
          <w:rFonts w:ascii="Arial" w:cs="Arial" w:eastAsia="Arial" w:hAnsi="Arial"/>
          <w:sz w:val="18"/>
          <w:szCs w:val="18"/>
          <w:color w:val="auto"/>
        </w:rPr>
      </w:pPr>
    </w:p>
    <w:p>
      <w:pPr>
        <w:ind w:left="680" w:hanging="252"/>
        <w:spacing w:after="0"/>
        <w:tabs>
          <w:tab w:leader="none" w:pos="6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loans to, investments in, and Guarantees of Indebtedness of, the Borrower or any other Loan Party from or by another Loan Party;</w:t>
      </w:r>
    </w:p>
    <w:p>
      <w:pPr>
        <w:spacing w:after="0" w:line="128" w:lineRule="exact"/>
        <w:rPr>
          <w:rFonts w:ascii="Arial" w:cs="Arial" w:eastAsia="Arial" w:hAnsi="Arial"/>
          <w:sz w:val="17"/>
          <w:szCs w:val="17"/>
          <w:color w:val="auto"/>
        </w:rPr>
      </w:pPr>
    </w:p>
    <w:p>
      <w:pPr>
        <w:ind w:left="740" w:hanging="312"/>
        <w:spacing w:after="0"/>
        <w:tabs>
          <w:tab w:leader="none" w:pos="74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loans to, investments in, and Guarantees of Indebtedness of, a Foreign Subsidiary from or by a another Foreign Subsidiary;</w:t>
      </w:r>
    </w:p>
    <w:p>
      <w:pPr>
        <w:spacing w:after="0" w:line="128" w:lineRule="exact"/>
        <w:rPr>
          <w:rFonts w:ascii="Arial" w:cs="Arial" w:eastAsia="Arial" w:hAnsi="Arial"/>
          <w:sz w:val="17"/>
          <w:szCs w:val="17"/>
          <w:color w:val="auto"/>
        </w:rPr>
      </w:pPr>
    </w:p>
    <w:p>
      <w:pPr>
        <w:ind w:right="20" w:firstLine="428"/>
        <w:spacing w:after="0" w:line="264" w:lineRule="auto"/>
        <w:tabs>
          <w:tab w:leader="none" w:pos="77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advance or loan to an officer or employee of the Borrower or any Subsidiary as an advance on commissions, travel, relocation and other similar items in the ordinary course of business, so long as all such advances and loans from the Borrower and all Subsidiaries aggregate not more than the maximum principal sum of $1,000,000 at any time outstanding;</w:t>
      </w:r>
    </w:p>
    <w:p>
      <w:pPr>
        <w:spacing w:after="0" w:line="73" w:lineRule="exact"/>
        <w:rPr>
          <w:rFonts w:ascii="Arial" w:cs="Arial" w:eastAsia="Arial" w:hAnsi="Arial"/>
          <w:sz w:val="18"/>
          <w:szCs w:val="18"/>
          <w:color w:val="auto"/>
        </w:rPr>
      </w:pPr>
    </w:p>
    <w:p>
      <w:pPr>
        <w:ind w:left="840" w:hanging="412"/>
        <w:spacing w:after="0"/>
        <w:tabs>
          <w:tab w:leader="none" w:pos="8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the holding of any Equity Interests that has been acquired pursuant to an Acquisition permitted by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right="100" w:firstLine="428"/>
        <w:spacing w:after="0" w:line="264" w:lineRule="auto"/>
        <w:tabs>
          <w:tab w:leader="none" w:pos="72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the creation of a Subsidiary for the purpose of making an Acquisition permitted by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hereof or the holding of any Subsidiary as a result of an Acquisition made pursuant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hereof, so long as, in each case, if required pursuant to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hereof, such Subsidiary becomes a Guarantor promptly following such Acquisition;</w:t>
      </w:r>
    </w:p>
    <w:p>
      <w:pPr>
        <w:spacing w:after="0" w:line="73" w:lineRule="exact"/>
        <w:rPr>
          <w:rFonts w:ascii="Arial" w:cs="Arial" w:eastAsia="Arial" w:hAnsi="Arial"/>
          <w:sz w:val="18"/>
          <w:szCs w:val="18"/>
          <w:color w:val="auto"/>
        </w:rPr>
      </w:pPr>
    </w:p>
    <w:p>
      <w:pPr>
        <w:ind w:right="80" w:firstLine="428"/>
        <w:spacing w:after="0" w:line="277" w:lineRule="auto"/>
        <w:tabs>
          <w:tab w:leader="none" w:pos="67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the Investments existing on the Closing Date, in addition to the other Investments permitted to be incurred pursuant to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Schedule 7.03</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20" w:firstLine="428"/>
        <w:spacing w:after="0" w:line="264" w:lineRule="auto"/>
        <w:tabs>
          <w:tab w:leader="none" w:pos="72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73" w:lineRule="exact"/>
        <w:rPr>
          <w:rFonts w:ascii="Arial" w:cs="Arial" w:eastAsia="Arial" w:hAnsi="Arial"/>
          <w:sz w:val="18"/>
          <w:szCs w:val="18"/>
          <w:color w:val="auto"/>
        </w:rPr>
      </w:pPr>
    </w:p>
    <w:p>
      <w:pPr>
        <w:ind w:left="780" w:hanging="352"/>
        <w:spacing w:after="0"/>
        <w:tabs>
          <w:tab w:leader="none" w:pos="7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Guarantees permitted pursuant to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00" w:firstLine="428"/>
        <w:spacing w:after="0" w:line="342" w:lineRule="auto"/>
        <w:tabs>
          <w:tab w:leader="none" w:pos="82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Investments in Wuxi Weitu Autocam Precision Machinery Components Co., Ltd., so long as (A) no Default has occurred and is continuing or would result therefrom and (B) the aggregate amount of such Investments outstanding at any time shall not exceed $10,000,000;</w:t>
      </w:r>
    </w:p>
    <w:p>
      <w:pPr>
        <w:spacing w:after="0" w:line="15" w:lineRule="exact"/>
        <w:rPr>
          <w:rFonts w:ascii="Arial" w:cs="Arial" w:eastAsia="Arial" w:hAnsi="Arial"/>
          <w:sz w:val="16"/>
          <w:szCs w:val="16"/>
          <w:color w:val="auto"/>
        </w:rPr>
      </w:pPr>
    </w:p>
    <w:p>
      <w:pPr>
        <w:ind w:firstLine="428"/>
        <w:spacing w:after="0" w:line="255" w:lineRule="auto"/>
        <w:tabs>
          <w:tab w:leader="none" w:pos="81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the Borrower and its Subsidiaries may make Investments not otherwise permitted by this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so long as (A) no Default has occurred and is continuing or would result therefrom, (B) after giving effect thereto the aggregate amount of all Investments made pursuant to this </w:t>
      </w:r>
      <w:r>
        <w:rPr>
          <w:rFonts w:ascii="Arial" w:cs="Arial" w:eastAsia="Arial" w:hAnsi="Arial"/>
          <w:sz w:val="18"/>
          <w:szCs w:val="18"/>
          <w:u w:val="single" w:color="auto"/>
          <w:color w:val="auto"/>
        </w:rPr>
        <w:t>clause (a)(xiv)</w:t>
      </w:r>
      <w:r>
        <w:rPr>
          <w:rFonts w:ascii="Arial" w:cs="Arial" w:eastAsia="Arial" w:hAnsi="Arial"/>
          <w:sz w:val="18"/>
          <w:szCs w:val="18"/>
          <w:color w:val="auto"/>
        </w:rPr>
        <w:t xml:space="preserve"> and Restricted Payments made pursuant to </w:t>
      </w:r>
      <w:r>
        <w:rPr>
          <w:rFonts w:ascii="Arial" w:cs="Arial" w:eastAsia="Arial" w:hAnsi="Arial"/>
          <w:sz w:val="18"/>
          <w:szCs w:val="18"/>
          <w:u w:val="single" w:color="auto"/>
          <w:color w:val="auto"/>
        </w:rPr>
        <w:t>Section 7.06(d)</w:t>
      </w:r>
      <w:r>
        <w:rPr>
          <w:rFonts w:ascii="Arial" w:cs="Arial" w:eastAsia="Arial" w:hAnsi="Arial"/>
          <w:sz w:val="18"/>
          <w:szCs w:val="18"/>
          <w:color w:val="auto"/>
        </w:rPr>
        <w:t xml:space="preserve">, shall not exceed sum of (1) $25,000,000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the Cumulative Retained Excess Cash Flow Amount, (C) the Administrative Agent shall have received the certificate required by </w:t>
      </w:r>
      <w:r>
        <w:rPr>
          <w:rFonts w:ascii="Arial" w:cs="Arial" w:eastAsia="Arial" w:hAnsi="Arial"/>
          <w:sz w:val="18"/>
          <w:szCs w:val="18"/>
          <w:u w:val="single" w:color="auto"/>
          <w:color w:val="auto"/>
        </w:rPr>
        <w:t>Section 6.02(n)</w:t>
      </w:r>
      <w:r>
        <w:rPr>
          <w:rFonts w:ascii="Arial" w:cs="Arial" w:eastAsia="Arial" w:hAnsi="Arial"/>
          <w:sz w:val="18"/>
          <w:szCs w:val="18"/>
          <w:color w:val="auto"/>
        </w:rPr>
        <w:t xml:space="preserve"> and (D)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Investment (and to any Indebtedness incurred in connection therewith), the Borrower and its Subsidiaries shall be in compliance with the Pro Forma Leverage Test;</w:t>
      </w:r>
    </w:p>
    <w:p>
      <w:pPr>
        <w:spacing w:after="0" w:line="12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E-4-89</w:t>
      </w:r>
    </w:p>
    <w:p>
      <w:pPr>
        <w:sectPr>
          <w:pgSz w:w="11900" w:h="16838" w:orient="portrait"/>
          <w:cols w:equalWidth="0" w:num="1">
            <w:col w:w="10560"/>
          </w:cols>
          <w:pgMar w:left="880" w:top="274" w:right="459" w:bottom="1440" w:gutter="0" w:footer="0" w:header="0"/>
        </w:sectPr>
      </w:pPr>
    </w:p>
    <w:bookmarkStart w:id="115" w:name="page116"/>
    <w:bookmarkEnd w:id="115"/>
    <w:p>
      <w:pPr>
        <w:ind w:left="440" w:right="540" w:firstLine="428"/>
        <w:spacing w:after="0" w:line="259" w:lineRule="auto"/>
        <w:tabs>
          <w:tab w:leader="none" w:pos="1208" w:val="left"/>
        </w:tabs>
        <w:numPr>
          <w:ilvl w:val="0"/>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non-cash Investments made by Borrower or any Loan Party in any Foreign Subsidiary consisting of obligations of such Foreign Subsidiary to pay Capital Distributions to the Borrower or any other Loan Party that have been declared but the payment of which has been deferred (whether or not such obligation to pay such Capital Distributions is represented by a promissory note that has been pledged to the Administrative Agent in accordance with the Collateral Documents);</w:t>
      </w:r>
    </w:p>
    <w:p>
      <w:pPr>
        <w:spacing w:after="0" w:line="78" w:lineRule="exact"/>
        <w:rPr>
          <w:rFonts w:ascii="Arial" w:cs="Arial" w:eastAsia="Arial" w:hAnsi="Arial"/>
          <w:sz w:val="18"/>
          <w:szCs w:val="18"/>
          <w:color w:val="auto"/>
        </w:rPr>
      </w:pPr>
    </w:p>
    <w:p>
      <w:pPr>
        <w:ind w:left="440" w:right="40" w:firstLine="428"/>
        <w:spacing w:after="0" w:line="255" w:lineRule="auto"/>
        <w:tabs>
          <w:tab w:leader="none" w:pos="125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other Investments, in addition to the Investments permitted above, in an aggregate amount for all Investments made on or after the First Amendment Effective Date in reliance on this clause (xvi) not to exceed, when taken together with the amount of Acquisitions made on or after the First Amendment Effective Date in reliance on </w:t>
      </w:r>
      <w:r>
        <w:rPr>
          <w:rFonts w:ascii="Arial" w:cs="Arial" w:eastAsia="Arial" w:hAnsi="Arial"/>
          <w:sz w:val="18"/>
          <w:szCs w:val="18"/>
          <w:u w:val="single" w:color="auto"/>
          <w:color w:val="auto"/>
        </w:rPr>
        <w:t>Section 7.03(b)(viii)</w:t>
      </w:r>
      <w:r>
        <w:rPr>
          <w:rFonts w:ascii="Arial" w:cs="Arial" w:eastAsia="Arial" w:hAnsi="Arial"/>
          <w:sz w:val="18"/>
          <w:szCs w:val="18"/>
          <w:color w:val="auto"/>
        </w:rPr>
        <w:t xml:space="preserve">, $50,000,000,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 Default has occurred and is continuing at the time of any such Investment or would result therefrom and (B) in the case of any Investment (or series of related Investments) made in reliance on this clause (xvi) in an aggregate amount of $15,000,000 or more,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Investment (or series of related Investments) and to any Indebtedness incurred in connection therewith, the Borrower and its Subsidiaries are in compliance with the Pro Forma Leverage Test; and</w:t>
      </w:r>
    </w:p>
    <w:p>
      <w:pPr>
        <w:spacing w:after="0" w:line="81" w:lineRule="exact"/>
        <w:rPr>
          <w:rFonts w:ascii="Arial" w:cs="Arial" w:eastAsia="Arial" w:hAnsi="Arial"/>
          <w:sz w:val="18"/>
          <w:szCs w:val="18"/>
          <w:color w:val="auto"/>
        </w:rPr>
      </w:pPr>
    </w:p>
    <w:p>
      <w:pPr>
        <w:ind w:left="1320" w:hanging="452"/>
        <w:spacing w:after="0"/>
        <w:tabs>
          <w:tab w:leader="none" w:pos="13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other Investments constituting Acquisitions permitted by subsection (b) of this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7.03(a)</w:t>
      </w:r>
      <w:r>
        <w:rPr>
          <w:rFonts w:ascii="Arial" w:cs="Arial" w:eastAsia="Arial" w:hAnsi="Arial"/>
          <w:sz w:val="18"/>
          <w:szCs w:val="18"/>
          <w:color w:val="auto"/>
        </w:rPr>
        <w:t>, the amount of any Investment in Equity Interests shall be based upon the initial amount invested and shall not include any appreciation in value or return on such investment.</w:t>
      </w:r>
    </w:p>
    <w:p>
      <w:pPr>
        <w:spacing w:after="0" w:line="62" w:lineRule="exact"/>
        <w:rPr>
          <w:sz w:val="20"/>
          <w:szCs w:val="20"/>
          <w:color w:val="auto"/>
        </w:rPr>
      </w:pPr>
    </w:p>
    <w:p>
      <w:pPr>
        <w:ind w:right="260" w:firstLine="444"/>
        <w:spacing w:after="0" w:line="264" w:lineRule="auto"/>
        <w:tabs>
          <w:tab w:leader="none" w:pos="69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Effect an Acquisition (other than the Closing Date Acquisition or any Acquisition permitted under </w:t>
      </w:r>
      <w:r>
        <w:rPr>
          <w:rFonts w:ascii="Arial" w:cs="Arial" w:eastAsia="Arial" w:hAnsi="Arial"/>
          <w:sz w:val="18"/>
          <w:szCs w:val="18"/>
          <w:u w:val="single" w:color="auto"/>
          <w:color w:val="auto"/>
        </w:rPr>
        <w:t>Section 7.04(a)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no Default shall exist prior to or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(and any Indebtedness incurred in connection therewith), the Borrower and its Subsidiaries may make</w:t>
      </w:r>
    </w:p>
    <w:p>
      <w:pPr>
        <w:spacing w:after="0" w:line="73" w:lineRule="exact"/>
        <w:rPr>
          <w:rFonts w:ascii="Arial" w:cs="Arial" w:eastAsia="Arial" w:hAnsi="Arial"/>
          <w:sz w:val="18"/>
          <w:szCs w:val="18"/>
          <w:color w:val="auto"/>
        </w:rPr>
      </w:pPr>
    </w:p>
    <w:p>
      <w:pPr>
        <w:ind w:left="1080" w:hanging="212"/>
        <w:spacing w:after="0"/>
        <w:tabs>
          <w:tab w:leader="none" w:pos="108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 Acquisition so long as:</w:t>
      </w:r>
    </w:p>
    <w:p>
      <w:pPr>
        <w:spacing w:after="0" w:line="117" w:lineRule="exact"/>
        <w:rPr>
          <w:rFonts w:ascii="Arial" w:cs="Arial" w:eastAsia="Arial" w:hAnsi="Arial"/>
          <w:sz w:val="18"/>
          <w:szCs w:val="18"/>
          <w:color w:val="auto"/>
        </w:rPr>
      </w:pPr>
    </w:p>
    <w:p>
      <w:pPr>
        <w:ind w:left="1620" w:hanging="223"/>
        <w:spacing w:after="0"/>
        <w:tabs>
          <w:tab w:leader="none" w:pos="1620" w:val="left"/>
        </w:tabs>
        <w:numPr>
          <w:ilvl w:val="2"/>
          <w:numId w:val="168"/>
        </w:numPr>
        <w:rPr>
          <w:rFonts w:ascii="Arial" w:cs="Arial" w:eastAsia="Arial" w:hAnsi="Arial"/>
          <w:sz w:val="16"/>
          <w:szCs w:val="16"/>
          <w:color w:val="auto"/>
        </w:rPr>
      </w:pPr>
      <w:r>
        <w:rPr>
          <w:rFonts w:ascii="Arial" w:cs="Arial" w:eastAsia="Arial" w:hAnsi="Arial"/>
          <w:sz w:val="16"/>
          <w:szCs w:val="16"/>
          <w:color w:val="auto"/>
        </w:rPr>
        <w:t>in the case of a merger, amalgamation or other combination including the Borrower, the Borrower shall be the surviving entity;</w:t>
      </w:r>
    </w:p>
    <w:p>
      <w:pPr>
        <w:spacing w:after="0" w:line="140" w:lineRule="exact"/>
        <w:rPr>
          <w:rFonts w:ascii="Arial" w:cs="Arial" w:eastAsia="Arial" w:hAnsi="Arial"/>
          <w:sz w:val="16"/>
          <w:szCs w:val="16"/>
          <w:color w:val="auto"/>
        </w:rPr>
      </w:pPr>
    </w:p>
    <w:p>
      <w:pPr>
        <w:ind w:left="1000" w:right="160" w:firstLine="397"/>
        <w:spacing w:after="0" w:line="277" w:lineRule="auto"/>
        <w:tabs>
          <w:tab w:leader="none" w:pos="1611" w:val="left"/>
        </w:tabs>
        <w:numPr>
          <w:ilvl w:val="2"/>
          <w:numId w:val="168"/>
        </w:numPr>
        <w:rPr>
          <w:rFonts w:ascii="Arial" w:cs="Arial" w:eastAsia="Arial" w:hAnsi="Arial"/>
          <w:sz w:val="18"/>
          <w:szCs w:val="18"/>
          <w:color w:val="auto"/>
        </w:rPr>
      </w:pPr>
      <w:r>
        <w:rPr>
          <w:rFonts w:ascii="Arial" w:cs="Arial" w:eastAsia="Arial" w:hAnsi="Arial"/>
          <w:sz w:val="18"/>
          <w:szCs w:val="18"/>
          <w:color w:val="auto"/>
        </w:rPr>
        <w:t>in the case of a merger, amalgamation or other combination including a Loan Party (other than the Borrower), a Loan Party shall be the surviving entity;</w:t>
      </w:r>
    </w:p>
    <w:p>
      <w:pPr>
        <w:spacing w:after="0" w:line="62" w:lineRule="exact"/>
        <w:rPr>
          <w:rFonts w:ascii="Arial" w:cs="Arial" w:eastAsia="Arial" w:hAnsi="Arial"/>
          <w:sz w:val="18"/>
          <w:szCs w:val="18"/>
          <w:color w:val="auto"/>
        </w:rPr>
      </w:pPr>
    </w:p>
    <w:p>
      <w:pPr>
        <w:ind w:left="1000" w:right="460" w:firstLine="397"/>
        <w:spacing w:after="0" w:line="308" w:lineRule="auto"/>
        <w:tabs>
          <w:tab w:leader="none" w:pos="1611" w:val="left"/>
        </w:tabs>
        <w:numPr>
          <w:ilvl w:val="2"/>
          <w:numId w:val="168"/>
        </w:numPr>
        <w:rPr>
          <w:rFonts w:ascii="Arial" w:cs="Arial" w:eastAsia="Arial" w:hAnsi="Arial"/>
          <w:sz w:val="17"/>
          <w:szCs w:val="17"/>
          <w:color w:val="auto"/>
        </w:rPr>
      </w:pPr>
      <w:r>
        <w:rPr>
          <w:rFonts w:ascii="Arial" w:cs="Arial" w:eastAsia="Arial" w:hAnsi="Arial"/>
          <w:sz w:val="17"/>
          <w:szCs w:val="17"/>
          <w:color w:val="auto"/>
        </w:rPr>
        <w:t>the business to be acquired shall be similar to the lines of business of the Borrower and its Subsidiaries or reasonably related and/or complementary or ancillary to such lines of business and reasonable extensions and expansions thereof;</w:t>
      </w:r>
    </w:p>
    <w:p>
      <w:pPr>
        <w:spacing w:after="0" w:line="38" w:lineRule="exact"/>
        <w:rPr>
          <w:rFonts w:ascii="Arial" w:cs="Arial" w:eastAsia="Arial" w:hAnsi="Arial"/>
          <w:sz w:val="17"/>
          <w:szCs w:val="17"/>
          <w:color w:val="auto"/>
        </w:rPr>
      </w:pPr>
    </w:p>
    <w:p>
      <w:pPr>
        <w:ind w:left="1000" w:right="600" w:firstLine="397"/>
        <w:spacing w:after="0" w:line="277" w:lineRule="auto"/>
        <w:tabs>
          <w:tab w:leader="none" w:pos="1621" w:val="left"/>
        </w:tabs>
        <w:numPr>
          <w:ilvl w:val="2"/>
          <w:numId w:val="168"/>
        </w:numPr>
        <w:rPr>
          <w:rFonts w:ascii="Arial" w:cs="Arial" w:eastAsia="Arial" w:hAnsi="Arial"/>
          <w:sz w:val="18"/>
          <w:szCs w:val="18"/>
          <w:color w:val="auto"/>
        </w:rPr>
      </w:pPr>
      <w:r>
        <w:rPr>
          <w:rFonts w:ascii="Arial" w:cs="Arial" w:eastAsia="Arial" w:hAnsi="Arial"/>
          <w:sz w:val="18"/>
          <w:szCs w:val="18"/>
          <w:color w:val="auto"/>
        </w:rPr>
        <w:t>the Borrower and its Subsidiaries shall be in full compliance with the Loan Documents both prior to and subsequent to the transaction;</w:t>
      </w:r>
    </w:p>
    <w:p>
      <w:pPr>
        <w:spacing w:after="0" w:line="62" w:lineRule="exact"/>
        <w:rPr>
          <w:rFonts w:ascii="Arial" w:cs="Arial" w:eastAsia="Arial" w:hAnsi="Arial"/>
          <w:sz w:val="18"/>
          <w:szCs w:val="18"/>
          <w:color w:val="auto"/>
        </w:rPr>
      </w:pPr>
    </w:p>
    <w:p>
      <w:pPr>
        <w:ind w:left="1000" w:right="180" w:firstLine="397"/>
        <w:spacing w:after="0" w:line="277" w:lineRule="auto"/>
        <w:tabs>
          <w:tab w:leader="none" w:pos="1601" w:val="left"/>
        </w:tabs>
        <w:numPr>
          <w:ilvl w:val="2"/>
          <w:numId w:val="168"/>
        </w:numPr>
        <w:rPr>
          <w:rFonts w:ascii="Arial" w:cs="Arial" w:eastAsia="Arial" w:hAnsi="Arial"/>
          <w:sz w:val="18"/>
          <w:szCs w:val="18"/>
          <w:color w:val="auto"/>
        </w:rPr>
      </w:pPr>
      <w:r>
        <w:rPr>
          <w:rFonts w:ascii="Arial" w:cs="Arial" w:eastAsia="Arial" w:hAnsi="Arial"/>
          <w:sz w:val="18"/>
          <w:szCs w:val="18"/>
          <w:color w:val="auto"/>
        </w:rPr>
        <w:t>such Acquisition shall not be actively opposed by the board of directors (or similar governing body) of the selling Persons or the Persons whose equity interests are to be acquired;</w:t>
      </w:r>
    </w:p>
    <w:p>
      <w:pPr>
        <w:spacing w:after="0" w:line="62" w:lineRule="exact"/>
        <w:rPr>
          <w:rFonts w:ascii="Arial" w:cs="Arial" w:eastAsia="Arial" w:hAnsi="Arial"/>
          <w:sz w:val="18"/>
          <w:szCs w:val="18"/>
          <w:color w:val="auto"/>
        </w:rPr>
      </w:pPr>
    </w:p>
    <w:p>
      <w:pPr>
        <w:ind w:left="1000" w:right="20" w:firstLine="397"/>
        <w:spacing w:after="0" w:line="297" w:lineRule="auto"/>
        <w:tabs>
          <w:tab w:leader="none" w:pos="1577" w:val="left"/>
        </w:tabs>
        <w:numPr>
          <w:ilvl w:val="2"/>
          <w:numId w:val="168"/>
        </w:numPr>
        <w:rPr>
          <w:rFonts w:ascii="Arial" w:cs="Arial" w:eastAsia="Arial" w:hAnsi="Arial"/>
          <w:sz w:val="16"/>
          <w:szCs w:val="16"/>
          <w:color w:val="auto"/>
        </w:rPr>
      </w:pPr>
      <w:r>
        <w:rPr>
          <w:rFonts w:ascii="Arial" w:cs="Arial" w:eastAsia="Arial" w:hAnsi="Arial"/>
          <w:sz w:val="16"/>
          <w:szCs w:val="16"/>
          <w:color w:val="auto"/>
        </w:rPr>
        <w:t xml:space="preserve">the aggregate Consideration for all Acquisitions by Foreign Subsidiaries, Acquisitions of Persons or Equity Interests of Persons that do not become Loan Parties (including by way of merger into a Loan Party) and Acquisitions of assets that are not included in the Collateral, shall not exceed $10,000,000 during the term of this Agreement and Borrower shall have delivered evidence demonstrating that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each such Acquisition described in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(and to any Indebtedness incurred, assumed or acquired in connection therewith), the Borrower and its Subsidiaries shall be in compliance with the Pro Forma Leverage Test;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E-4-90</w:t>
      </w:r>
    </w:p>
    <w:p>
      <w:pPr>
        <w:sectPr>
          <w:pgSz w:w="11900" w:h="16838" w:orient="portrait"/>
          <w:cols w:equalWidth="0" w:num="1">
            <w:col w:w="11020"/>
          </w:cols>
          <w:pgMar w:left="440" w:top="274" w:right="439" w:bottom="1440" w:gutter="0" w:footer="0" w:header="0"/>
        </w:sectPr>
      </w:pPr>
    </w:p>
    <w:bookmarkStart w:id="116" w:name="page117"/>
    <w:bookmarkEnd w:id="116"/>
    <w:p>
      <w:pPr>
        <w:ind w:left="1000" w:right="20" w:firstLine="40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 other than in connection with the Paragon Acquisition, the Borrower and its Subsidiaries shall be in compliance with the Pro Forma Leverage Test, and if the aggregate Consideration for any Acquisition permitted under this clause (b) is greater than or equal to $15,000,000, the Borrower shall have provided to the Administrative Agent and the Lenders, at least five (5) days prior to such Acquisition, a certificate of a Financial Officer of the Borrower showing that, both before and after giving pro forma effect to such Acquisition (and to any Indebtedness incurred, assumed or acquired in connection therewith), the Borrower and its Subsidiaries shall be in compliance with the Pro Forma Leverage Test.</w:t>
      </w:r>
    </w:p>
    <w:p>
      <w:pPr>
        <w:spacing w:after="0" w:line="85" w:lineRule="exact"/>
        <w:rPr>
          <w:sz w:val="20"/>
          <w:szCs w:val="20"/>
          <w:color w:val="auto"/>
        </w:rPr>
      </w:pPr>
    </w:p>
    <w:p>
      <w:pPr>
        <w:ind w:left="1140" w:hanging="272"/>
        <w:spacing w:after="0"/>
        <w:tabs>
          <w:tab w:leader="none" w:pos="11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220" w:hanging="352"/>
        <w:spacing w:after="0"/>
        <w:tabs>
          <w:tab w:leader="none" w:pos="12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firstLine="428"/>
        <w:spacing w:after="0" w:line="297" w:lineRule="auto"/>
        <w:tabs>
          <w:tab w:leader="none" w:pos="126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other Acquisitions, in addition to the Acquisitions permitted above, in an aggregate amount for all Acquisitions made on or after the First Amendment Effective Date in reliance on this clause (viii) not to exceed, when taken together with Investments made on or after the First Amendment Effective Date in reliance on </w:t>
      </w:r>
      <w:r>
        <w:rPr>
          <w:rFonts w:ascii="Arial" w:cs="Arial" w:eastAsia="Arial" w:hAnsi="Arial"/>
          <w:sz w:val="16"/>
          <w:szCs w:val="16"/>
          <w:u w:val="single" w:color="auto"/>
          <w:color w:val="auto"/>
        </w:rPr>
        <w:t>Section 7.03(a)(xvi)</w:t>
      </w:r>
      <w:r>
        <w:rPr>
          <w:rFonts w:ascii="Arial" w:cs="Arial" w:eastAsia="Arial" w:hAnsi="Arial"/>
          <w:sz w:val="16"/>
          <w:szCs w:val="16"/>
          <w:color w:val="auto"/>
        </w:rPr>
        <w:t xml:space="preserve">, $10,000,000,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 Default has occurred and is continuing at the time of any such Acquisition or would result therefrom and (B)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such Acquisition (or series of related Acquisitions) and to any Indebtedness incurred in connection therewith, the Borrower and its Subsidiaries are in compliance with the Pro Forma Leverage Test;</w:t>
      </w:r>
    </w:p>
    <w:p>
      <w:pPr>
        <w:spacing w:after="0" w:line="50" w:lineRule="exact"/>
        <w:rPr>
          <w:rFonts w:ascii="Arial" w:cs="Arial" w:eastAsia="Arial" w:hAnsi="Arial"/>
          <w:sz w:val="16"/>
          <w:szCs w:val="16"/>
          <w:color w:val="auto"/>
        </w:rPr>
      </w:pPr>
    </w:p>
    <w:p>
      <w:pPr>
        <w:ind w:left="1180" w:hanging="312"/>
        <w:spacing w:after="0"/>
        <w:tabs>
          <w:tab w:leader="none" w:pos="1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Paragon Acquisition; and</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other Acquisitions constituting Investments permitted by subsection (a) of this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Dissolve, liquidate, merge, amalgamate or consolidate with or into any other Person, except that, if no Default shall then exist or immediately thereafter shall begin to exist:</w:t>
      </w:r>
    </w:p>
    <w:p>
      <w:pPr>
        <w:spacing w:after="0" w:line="62" w:lineRule="exact"/>
        <w:rPr>
          <w:sz w:val="20"/>
          <w:szCs w:val="20"/>
          <w:color w:val="auto"/>
        </w:rPr>
      </w:pPr>
    </w:p>
    <w:p>
      <w:pPr>
        <w:ind w:left="440" w:right="340" w:firstLine="428"/>
        <w:spacing w:after="0" w:line="342" w:lineRule="auto"/>
        <w:tabs>
          <w:tab w:leader="none" w:pos="110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 Domestic Subsidiary may merge, amalgamate or consolidate with or into (i)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the continuing or surviving Person), or (ii) any one or more Guarantors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Guarantor shall be the continuing or surviving Person);</w:t>
      </w:r>
    </w:p>
    <w:p>
      <w:pPr>
        <w:spacing w:after="0" w:line="15" w:lineRule="exact"/>
        <w:rPr>
          <w:rFonts w:ascii="Arial" w:cs="Arial" w:eastAsia="Arial" w:hAnsi="Arial"/>
          <w:sz w:val="16"/>
          <w:szCs w:val="16"/>
          <w:color w:val="auto"/>
        </w:rPr>
      </w:pPr>
    </w:p>
    <w:p>
      <w:pPr>
        <w:ind w:left="440" w:right="360" w:firstLine="428"/>
        <w:spacing w:after="0" w:line="277" w:lineRule="auto"/>
        <w:tabs>
          <w:tab w:leader="none" w:pos="111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Domestic Subsidiary (other than a Loan Party) may merge, amalgamate or consolidate with or into any other Domestic Subsidiary (other than a Loan Party);</w:t>
      </w:r>
    </w:p>
    <w:p>
      <w:pPr>
        <w:spacing w:after="0" w:line="62" w:lineRule="exact"/>
        <w:rPr>
          <w:rFonts w:ascii="Arial" w:cs="Arial" w:eastAsia="Arial" w:hAnsi="Arial"/>
          <w:sz w:val="18"/>
          <w:szCs w:val="18"/>
          <w:color w:val="auto"/>
        </w:rPr>
      </w:pPr>
    </w:p>
    <w:p>
      <w:pPr>
        <w:ind w:left="440" w:right="320" w:firstLine="428"/>
        <w:spacing w:after="0" w:line="264" w:lineRule="auto"/>
        <w:tabs>
          <w:tab w:leader="none" w:pos="110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Foreign Subsidiary may merge, amalgamate or consolidate with or into another Foreign Subsidiary or the Borrower or a Guarantor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any merger, amalgamation or consolidation involving the Borrower or a Guarantor, the Borrower or Guarantor shall be the continuing or surviving Person);</w:t>
      </w:r>
    </w:p>
    <w:p>
      <w:pPr>
        <w:spacing w:after="0" w:line="73" w:lineRule="exact"/>
        <w:rPr>
          <w:rFonts w:ascii="Arial" w:cs="Arial" w:eastAsia="Arial" w:hAnsi="Arial"/>
          <w:sz w:val="18"/>
          <w:szCs w:val="18"/>
          <w:color w:val="auto"/>
        </w:rPr>
      </w:pPr>
    </w:p>
    <w:p>
      <w:pPr>
        <w:ind w:left="440" w:right="20" w:firstLine="428"/>
        <w:spacing w:after="0" w:line="264" w:lineRule="auto"/>
        <w:tabs>
          <w:tab w:leader="none" w:pos="111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Wholly-Owned Subsidiary may be dissolved or liquidated so long as such Subsidiary is not, at the time, a Loan Party or, if it is a Loan Party at such time, all assets and interests of such Subsidiary, are transferred to another Loan Party on or before the time of its dissolution or liquidation; and</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Acquisitions may be effected in accordance with the provisions of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E-4-91</w:t>
      </w:r>
    </w:p>
    <w:p>
      <w:pPr>
        <w:sectPr>
          <w:pgSz w:w="11900" w:h="16838" w:orient="portrait"/>
          <w:cols w:equalWidth="0" w:num="1">
            <w:col w:w="10980"/>
          </w:cols>
          <w:pgMar w:left="440" w:top="274" w:right="479" w:bottom="1440" w:gutter="0" w:footer="0" w:header="0"/>
        </w:sectPr>
      </w:pPr>
    </w:p>
    <w:bookmarkStart w:id="117" w:name="page118"/>
    <w:bookmarkEnd w:id="117"/>
    <w:p>
      <w:pPr>
        <w:ind w:right="4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7.05. </w:t>
      </w:r>
      <w:r>
        <w:rPr>
          <w:rFonts w:ascii="Arial" w:cs="Arial" w:eastAsia="Arial" w:hAnsi="Arial"/>
          <w:sz w:val="18"/>
          <w:szCs w:val="18"/>
          <w:u w:val="single" w:color="auto"/>
          <w:color w:val="auto"/>
        </w:rPr>
        <w:t>Dispositions</w:t>
      </w:r>
      <w:r>
        <w:rPr>
          <w:rFonts w:ascii="Arial" w:cs="Arial" w:eastAsia="Arial" w:hAnsi="Arial"/>
          <w:sz w:val="18"/>
          <w:szCs w:val="18"/>
          <w:color w:val="auto"/>
        </w:rPr>
        <w:t>. Make any Disposition or enter into any agreement to make any Disposition, other than in the ordinary course of business, except that, if no Default shall then exist or immediately thereafter shall begin to exist:</w:t>
      </w:r>
    </w:p>
    <w:p>
      <w:pPr>
        <w:spacing w:after="0" w:line="62" w:lineRule="exact"/>
        <w:rPr>
          <w:sz w:val="20"/>
          <w:szCs w:val="20"/>
          <w:color w:val="auto"/>
        </w:rPr>
      </w:pPr>
    </w:p>
    <w:p>
      <w:pPr>
        <w:ind w:left="1120" w:hanging="252"/>
        <w:spacing w:after="0"/>
        <w:tabs>
          <w:tab w:leader="none" w:pos="11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Loan Party may sell, lease, transfer or otherwise dispose of any of its assets to any other Loan Party;</w:t>
      </w:r>
    </w:p>
    <w:p>
      <w:pPr>
        <w:spacing w:after="0" w:line="117" w:lineRule="exact"/>
        <w:rPr>
          <w:rFonts w:ascii="Arial" w:cs="Arial" w:eastAsia="Arial" w:hAnsi="Arial"/>
          <w:sz w:val="18"/>
          <w:szCs w:val="18"/>
          <w:color w:val="auto"/>
        </w:rPr>
      </w:pPr>
    </w:p>
    <w:p>
      <w:pPr>
        <w:ind w:left="440" w:right="100" w:firstLine="428"/>
        <w:spacing w:after="0" w:line="277" w:lineRule="auto"/>
        <w:tabs>
          <w:tab w:leader="none" w:pos="111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Borrower and its Subsidiaries may Dispose of any assets, so long as the aggregate amount of all such Dispositions, for the Borrower and its Subsidiaries, shall not exceed $15,000,000 per fiscal year of the Borrower;</w:t>
      </w:r>
    </w:p>
    <w:p>
      <w:pPr>
        <w:spacing w:after="0" w:line="62" w:lineRule="exact"/>
        <w:rPr>
          <w:rFonts w:ascii="Arial" w:cs="Arial" w:eastAsia="Arial" w:hAnsi="Arial"/>
          <w:sz w:val="18"/>
          <w:szCs w:val="18"/>
          <w:color w:val="auto"/>
        </w:rPr>
      </w:pPr>
    </w:p>
    <w:p>
      <w:pPr>
        <w:ind w:left="440" w:right="200" w:firstLine="428"/>
        <w:spacing w:after="0" w:line="264" w:lineRule="auto"/>
        <w:tabs>
          <w:tab w:leader="none" w:pos="110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a Domestic Subsidiary (other than a Loan Party) may Dispose of any of its assets to the Borrower or any other Domestic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Disposition to a Loan Party such Disposition shall not be for more than the fair market value of the assets which are the subject of such Disposition;</w:t>
      </w:r>
    </w:p>
    <w:p>
      <w:pPr>
        <w:spacing w:after="0" w:line="73" w:lineRule="exact"/>
        <w:rPr>
          <w:rFonts w:ascii="Arial" w:cs="Arial" w:eastAsia="Arial" w:hAnsi="Arial"/>
          <w:sz w:val="18"/>
          <w:szCs w:val="18"/>
          <w:color w:val="auto"/>
        </w:rPr>
      </w:pPr>
    </w:p>
    <w:p>
      <w:pPr>
        <w:ind w:left="440" w:right="240" w:firstLine="428"/>
        <w:spacing w:after="0" w:line="277" w:lineRule="auto"/>
        <w:tabs>
          <w:tab w:leader="none" w:pos="111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a Foreign Subsidiary may Dispose of any of its assets to any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Disposition shall not be for more than the fair market value of the assets which are the subject of such Disposition;</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28"/>
        <w:spacing w:after="0" w:line="259" w:lineRule="auto"/>
        <w:tabs>
          <w:tab w:leader="none" w:pos="108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the Borrower and its Subsidiaries may sell, transfer or otherwise dispose of fixed assets in the ordinary course of business for the purpose of replacing such fixed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fixed assets are replaced within one hundred eighty (180) days of such sale or other disposition with other fixed assets which have a fair market value not materially less than the fair market value of the fixed assets sold or otherwise disposed;</w:t>
      </w:r>
    </w:p>
    <w:p>
      <w:pPr>
        <w:spacing w:after="0" w:line="78" w:lineRule="exact"/>
        <w:rPr>
          <w:rFonts w:ascii="Arial" w:cs="Arial" w:eastAsia="Arial" w:hAnsi="Arial"/>
          <w:sz w:val="18"/>
          <w:szCs w:val="18"/>
          <w:color w:val="auto"/>
        </w:rPr>
      </w:pPr>
    </w:p>
    <w:p>
      <w:pPr>
        <w:ind w:left="1120" w:hanging="252"/>
        <w:spacing w:after="0"/>
        <w:tabs>
          <w:tab w:leader="none" w:pos="11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Foreign Subsidiary may Dispose of any of its assets to any other Foreign Subsidiary;</w:t>
      </w:r>
    </w:p>
    <w:p>
      <w:pPr>
        <w:spacing w:after="0" w:line="117" w:lineRule="exact"/>
        <w:rPr>
          <w:rFonts w:ascii="Arial" w:cs="Arial" w:eastAsia="Arial" w:hAnsi="Arial"/>
          <w:sz w:val="18"/>
          <w:szCs w:val="18"/>
          <w:color w:val="auto"/>
        </w:rPr>
      </w:pPr>
    </w:p>
    <w:p>
      <w:pPr>
        <w:ind w:left="440" w:right="60" w:firstLine="428"/>
        <w:spacing w:after="0" w:line="342" w:lineRule="auto"/>
        <w:tabs>
          <w:tab w:leader="none" w:pos="111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Disposition of owned real property (and related furniture, fixtures and equipment) in connection with a sale leaseback transaction with a Governmental Authority with respect to such owned real property, so long as the amount of such Disposition does not exceed $10,000,000;</w:t>
      </w:r>
    </w:p>
    <w:p>
      <w:pPr>
        <w:spacing w:after="0" w:line="15" w:lineRule="exact"/>
        <w:rPr>
          <w:rFonts w:ascii="Arial" w:cs="Arial" w:eastAsia="Arial" w:hAnsi="Arial"/>
          <w:sz w:val="16"/>
          <w:szCs w:val="16"/>
          <w:color w:val="auto"/>
        </w:rPr>
      </w:pPr>
    </w:p>
    <w:p>
      <w:pPr>
        <w:ind w:left="440" w:firstLine="428"/>
        <w:spacing w:after="0" w:line="276" w:lineRule="auto"/>
        <w:tabs>
          <w:tab w:leader="none" w:pos="1078"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Dispositions not otherwise permitted under this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so long as (i) the consideration received for the assets to be so disposed is at least equal to the fair market value of such assets, as reasonably determined by the Board of Directors of the Borrower, and at least 75% of the consideration so received constitutes cash, (ii) the proceeds of such Disposition are applied in accordance with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(iii) after giving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forma </w:t>
      </w:r>
      <w:r>
        <w:rPr>
          <w:rFonts w:ascii="Arial" w:cs="Arial" w:eastAsia="Arial" w:hAnsi="Arial"/>
          <w:sz w:val="17"/>
          <w:szCs w:val="17"/>
          <w:color w:val="auto"/>
        </w:rPr>
        <w:t>effect to such Disposition, the Borrower and its Subsidiaries shall be in compliance with the Pro Forma Leverage Test and (iv) no Default or</w:t>
      </w:r>
      <w:r>
        <w:rPr>
          <w:rFonts w:ascii="Arial" w:cs="Arial" w:eastAsia="Arial" w:hAnsi="Arial"/>
          <w:sz w:val="17"/>
          <w:szCs w:val="17"/>
          <w:i w:val="1"/>
          <w:iCs w:val="1"/>
          <w:color w:val="auto"/>
        </w:rPr>
        <w:t xml:space="preserve"> </w:t>
      </w:r>
      <w:r>
        <w:rPr>
          <w:rFonts w:ascii="Arial" w:cs="Arial" w:eastAsia="Arial" w:hAnsi="Arial"/>
          <w:sz w:val="17"/>
          <w:szCs w:val="17"/>
          <w:color w:val="auto"/>
        </w:rPr>
        <w:t>Event of Default is occurring and continuing at the time of such Disposition or results therefrom;</w:t>
      </w:r>
    </w:p>
    <w:p>
      <w:pPr>
        <w:spacing w:after="0" w:line="64" w:lineRule="exact"/>
        <w:rPr>
          <w:rFonts w:ascii="Arial" w:cs="Arial" w:eastAsia="Arial" w:hAnsi="Arial"/>
          <w:sz w:val="17"/>
          <w:szCs w:val="17"/>
          <w:color w:val="auto"/>
        </w:rPr>
      </w:pPr>
    </w:p>
    <w:p>
      <w:pPr>
        <w:ind w:left="1080" w:hanging="212"/>
        <w:spacing w:after="0"/>
        <w:tabs>
          <w:tab w:leader="none" w:pos="1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Dispositions of Receivables in connection with any Qualified Receivables Transaction; and</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a Loan Party may enter into any agreement to make a Disposition otherwise permitted under this </w:t>
      </w: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Make or commit itself to make or declare any Restricted Payment at any time, provided that:</w:t>
      </w:r>
    </w:p>
    <w:p>
      <w:pPr>
        <w:spacing w:after="0" w:line="117" w:lineRule="exact"/>
        <w:rPr>
          <w:sz w:val="20"/>
          <w:szCs w:val="20"/>
          <w:color w:val="auto"/>
        </w:rPr>
      </w:pPr>
    </w:p>
    <w:p>
      <w:pPr>
        <w:ind w:left="440" w:right="80" w:firstLine="428"/>
        <w:spacing w:after="0" w:line="264" w:lineRule="auto"/>
        <w:tabs>
          <w:tab w:leader="none" w:pos="110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each Subsidiary may make Capital Distributions to the Borrower, any Subsidiaries of the Borrower that are Guarantors and any other Person that owns a direct Equity Interest in such Subsidiary, ratably according to their respective holdings of the type of Equity Interest in respect of which such Capital Distribution is being made;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E-4-92</w:t>
      </w:r>
    </w:p>
    <w:p>
      <w:pPr>
        <w:sectPr>
          <w:pgSz w:w="11900" w:h="16838" w:orient="portrait"/>
          <w:cols w:equalWidth="0" w:num="1">
            <w:col w:w="11020"/>
          </w:cols>
          <w:pgMar w:left="440" w:top="274" w:right="439" w:bottom="1440" w:gutter="0" w:footer="0" w:header="0"/>
        </w:sectPr>
      </w:pPr>
    </w:p>
    <w:bookmarkStart w:id="118" w:name="page119"/>
    <w:bookmarkEnd w:id="118"/>
    <w:p>
      <w:pPr>
        <w:ind w:left="440" w:right="80" w:firstLine="428"/>
        <w:spacing w:after="0" w:line="264" w:lineRule="auto"/>
        <w:tabs>
          <w:tab w:leader="none" w:pos="11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 long as no Default has occurred and is continuing or would result therefrom, the Borrower and its Subsidiaries may make payment of current interest, expenses and indemnities in respect of Junior Indebtedness and Subordinated Indebtedness (other than any such payments prohibited by the intercreditor agreement or subordination provisions applicable thereto);</w:t>
      </w:r>
    </w:p>
    <w:p>
      <w:pPr>
        <w:spacing w:after="0" w:line="73" w:lineRule="exact"/>
        <w:rPr>
          <w:rFonts w:ascii="Arial" w:cs="Arial" w:eastAsia="Arial" w:hAnsi="Arial"/>
          <w:sz w:val="18"/>
          <w:szCs w:val="18"/>
          <w:color w:val="auto"/>
        </w:rPr>
      </w:pPr>
    </w:p>
    <w:p>
      <w:pPr>
        <w:ind w:left="440" w:right="140" w:firstLine="428"/>
        <w:spacing w:after="0" w:line="277" w:lineRule="auto"/>
        <w:tabs>
          <w:tab w:leader="none" w:pos="110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Borrower and each Subsidiary may make Restricted Payments with the proceeds received from the substantially concurrent issue of new common Equity Interests;</w:t>
      </w:r>
    </w:p>
    <w:p>
      <w:pPr>
        <w:spacing w:after="0" w:line="62" w:lineRule="exact"/>
        <w:rPr>
          <w:rFonts w:ascii="Arial" w:cs="Arial" w:eastAsia="Arial" w:hAnsi="Arial"/>
          <w:sz w:val="18"/>
          <w:szCs w:val="18"/>
          <w:color w:val="auto"/>
        </w:rPr>
      </w:pPr>
    </w:p>
    <w:p>
      <w:pPr>
        <w:ind w:left="440" w:right="40" w:firstLine="428"/>
        <w:spacing w:after="0" w:line="255" w:lineRule="auto"/>
        <w:tabs>
          <w:tab w:leader="none" w:pos="11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the Borrower and its Subsidiaries may make Restricted Payments not otherwise permitted by this Section, so long as (i) no Default has occurred and is continuing or would result therefrom, (ii) after giving effect thereto the aggregate amount of all Restricted Payments made pursuant to this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shall not exceed sum of (1) $10,000,000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 the Cumulative Retained Excess Cash Flow Amount, (iii) the Administrative Agent shall have received the certificate required by </w:t>
      </w:r>
      <w:r>
        <w:rPr>
          <w:rFonts w:ascii="Arial" w:cs="Arial" w:eastAsia="Arial" w:hAnsi="Arial"/>
          <w:sz w:val="18"/>
          <w:szCs w:val="18"/>
          <w:u w:val="single" w:color="auto"/>
          <w:color w:val="auto"/>
        </w:rPr>
        <w:t>Section 6.02(n)</w:t>
      </w:r>
      <w:r>
        <w:rPr>
          <w:rFonts w:ascii="Arial" w:cs="Arial" w:eastAsia="Arial" w:hAnsi="Arial"/>
          <w:sz w:val="18"/>
          <w:szCs w:val="18"/>
          <w:color w:val="auto"/>
        </w:rPr>
        <w:t xml:space="preserve"> and (iv) after giving pro forma effect to such Restricted Payment (and to any Indebtedness incurred in connection therewith), the Borrower and its Subsidiaries shall be in compliance with the Pro Forma Leverage Test;</w:t>
      </w:r>
    </w:p>
    <w:p>
      <w:pPr>
        <w:spacing w:after="0" w:line="85" w:lineRule="exact"/>
        <w:rPr>
          <w:rFonts w:ascii="Arial" w:cs="Arial" w:eastAsia="Arial" w:hAnsi="Arial"/>
          <w:sz w:val="18"/>
          <w:szCs w:val="18"/>
          <w:color w:val="auto"/>
        </w:rPr>
      </w:pPr>
    </w:p>
    <w:p>
      <w:pPr>
        <w:ind w:left="1120" w:hanging="252"/>
        <w:spacing w:after="0"/>
        <w:tabs>
          <w:tab w:leader="none" w:pos="11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460" w:firstLine="428"/>
        <w:spacing w:after="0" w:line="277" w:lineRule="auto"/>
        <w:tabs>
          <w:tab w:leader="none" w:pos="108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Borrower and its Subsidiaries may make Restricted Payments constituting a prepayment of Indebtedness in connection with the Refinancing of such Indebtedness; and</w:t>
      </w:r>
    </w:p>
    <w:p>
      <w:pPr>
        <w:spacing w:after="0" w:line="62" w:lineRule="exact"/>
        <w:rPr>
          <w:rFonts w:ascii="Arial" w:cs="Arial" w:eastAsia="Arial" w:hAnsi="Arial"/>
          <w:sz w:val="18"/>
          <w:szCs w:val="18"/>
          <w:color w:val="auto"/>
        </w:rPr>
      </w:pPr>
    </w:p>
    <w:p>
      <w:pPr>
        <w:ind w:left="440" w:right="120" w:firstLine="428"/>
        <w:spacing w:after="0" w:line="308" w:lineRule="auto"/>
        <w:tabs>
          <w:tab w:leader="none" w:pos="111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xml:space="preserve">so long as no Default has occurred and is continuing or would result therefrom, each of Autocam do Brasil Usinagem, LTDA, Bouverat Industries S.A.S., and Autocam France, SARL may at any time repay its respective Indebtedness set forth on </w:t>
      </w:r>
      <w:r>
        <w:rPr>
          <w:rFonts w:ascii="Arial" w:cs="Arial" w:eastAsia="Arial" w:hAnsi="Arial"/>
          <w:sz w:val="17"/>
          <w:szCs w:val="17"/>
          <w:u w:val="single" w:color="auto"/>
          <w:color w:val="auto"/>
        </w:rPr>
        <w:t>Schedule 7.02</w:t>
      </w:r>
      <w:r>
        <w:rPr>
          <w:rFonts w:ascii="Arial" w:cs="Arial" w:eastAsia="Arial" w:hAnsi="Arial"/>
          <w:sz w:val="17"/>
          <w:szCs w:val="17"/>
          <w:color w:val="auto"/>
        </w:rPr>
        <w:t>.</w:t>
      </w:r>
    </w:p>
    <w:p>
      <w:pPr>
        <w:spacing w:after="0" w:line="147"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 xml:space="preserve">7.07. </w:t>
      </w: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 Engage in any business if, as a result thereof, the general nature of the business of the Borrower and its Subsidiaries taken as a whole would be substantially changed from the general nature of the business the Borrower and its Subsidiaries are engaged in on the Closing Date.</w:t>
      </w:r>
    </w:p>
    <w:p>
      <w:pPr>
        <w:spacing w:after="0" w:line="181"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7.08.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Directly or indirectly, enter into or permit to exist any transaction (including, without limitation, the purchase, sale, lease or exchange of any property or the rendering of any service) with any Affiliate (other than a Loan Party) on terms that shall be less favorable to the Borrower or such Subsidiary than those that might be obtained at the time in a transaction with a non-Affiliate; provided that the foregoing shall not prohibit the payment of customary and reasonable directors’ fees to directors who are not employees of the Borrower or any Subsidiary or an Affiliate.</w:t>
      </w:r>
    </w:p>
    <w:p>
      <w:pPr>
        <w:spacing w:after="0" w:line="188"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7.09. </w:t>
      </w:r>
      <w:r>
        <w:rPr>
          <w:rFonts w:ascii="Arial" w:cs="Arial" w:eastAsia="Arial" w:hAnsi="Arial"/>
          <w:sz w:val="16"/>
          <w:szCs w:val="16"/>
          <w:u w:val="single" w:color="auto"/>
          <w:color w:val="auto"/>
        </w:rPr>
        <w:t>Burdensome Agreements</w:t>
      </w:r>
      <w:r>
        <w:rPr>
          <w:rFonts w:ascii="Arial" w:cs="Arial" w:eastAsia="Arial" w:hAnsi="Arial"/>
          <w:sz w:val="16"/>
          <w:szCs w:val="16"/>
          <w:color w:val="auto"/>
        </w:rPr>
        <w:t>. Except as set forth in this Agreement and the other Loan Documents directly or indirectly, create or otherwise cause or suffer to exist or become effective any encumbrance or restriction on the ability of any Subsidiary to (a) make, directly or indirectly, any Capital Distribution to the Borrower, (b) make, directly or indirectly, loans or advances or capital contributions to the Borrower or (c) transfer, directly or indirectly, any of the properties or assets of such Subsidiary to the Borrower; except for such encumbrances or restrictions existing under or by reason of (i) applicable Law, (ii) customary non-assignment provisions in leases or other agreements entered in the ordinary course of business and consistent with past practices or (iii) customary restrictions in agreements in connection with Qualified Receivables Transactions, consignment agreements, security agreements or mortgages permitted hereunder securing Indebtedness or Capitalized Leases permitted hereunder, of a Subsidiary to the extent such restrictions shall only restrict the transfer of the property subject to such security agreement, mortgage or lease.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Use of Proceeds</w:t>
      </w:r>
      <w:r>
        <w:rPr>
          <w:rFonts w:ascii="Arial" w:cs="Arial" w:eastAsia="Arial" w:hAnsi="Arial"/>
          <w:sz w:val="18"/>
          <w:szCs w:val="18"/>
          <w:color w:val="auto"/>
        </w:rPr>
        <w:t>. Directly or indirectly, and whether immediately, incidentally or ultimately:</w:t>
      </w:r>
    </w:p>
    <w:p>
      <w:pPr>
        <w:spacing w:after="0" w:line="117" w:lineRule="exact"/>
        <w:rPr>
          <w:sz w:val="20"/>
          <w:szCs w:val="20"/>
          <w:color w:val="auto"/>
        </w:rPr>
      </w:pPr>
    </w:p>
    <w:p>
      <w:pPr>
        <w:ind w:left="440" w:right="360" w:firstLine="428"/>
        <w:spacing w:after="0" w:line="342" w:lineRule="auto"/>
        <w:tabs>
          <w:tab w:leader="none" w:pos="110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use the proceeds of any Borrowing, to purchase or carry margin stock (within the meaning of Regulation U of the FRB) or to extend credit to others for the purpose of purchasing or carrying margin stock or to refund indebtedness originally incurred for such purpose;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E-4-93</w:t>
      </w:r>
    </w:p>
    <w:p>
      <w:pPr>
        <w:sectPr>
          <w:pgSz w:w="11900" w:h="16838" w:orient="portrait"/>
          <w:cols w:equalWidth="0" w:num="1">
            <w:col w:w="11000"/>
          </w:cols>
          <w:pgMar w:left="440" w:top="274" w:right="459" w:bottom="1440" w:gutter="0" w:footer="0" w:header="0"/>
        </w:sectPr>
      </w:pPr>
    </w:p>
    <w:bookmarkStart w:id="119" w:name="page120"/>
    <w:bookmarkEnd w:id="119"/>
    <w:p>
      <w:pPr>
        <w:ind w:left="440" w:firstLine="428"/>
        <w:spacing w:after="0" w:line="279" w:lineRule="auto"/>
        <w:tabs>
          <w:tab w:leader="none" w:pos="1118" w:val="left"/>
        </w:tabs>
        <w:numPr>
          <w:ilvl w:val="0"/>
          <w:numId w:val="1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the proceeds of any Borrowing,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or otherwise) of Sanctions; or</w:t>
      </w:r>
    </w:p>
    <w:p>
      <w:pPr>
        <w:spacing w:after="0" w:line="63" w:lineRule="exact"/>
        <w:rPr>
          <w:rFonts w:ascii="Arial" w:cs="Arial" w:eastAsia="Arial" w:hAnsi="Arial"/>
          <w:sz w:val="17"/>
          <w:szCs w:val="17"/>
          <w:color w:val="auto"/>
        </w:rPr>
      </w:pPr>
    </w:p>
    <w:p>
      <w:pPr>
        <w:ind w:left="1120" w:hanging="252"/>
        <w:spacing w:after="0"/>
        <w:tabs>
          <w:tab w:leader="none" w:pos="11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use the proceeds of any Borrowing for any purpose which would breach any Anti-Corruption Laws.</w:t>
      </w:r>
    </w:p>
    <w:p>
      <w:pPr>
        <w:spacing w:after="0" w:line="225"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Amendments of Organization Documents</w:t>
      </w:r>
      <w:r>
        <w:rPr>
          <w:rFonts w:ascii="Arial" w:cs="Arial" w:eastAsia="Arial" w:hAnsi="Arial"/>
          <w:sz w:val="18"/>
          <w:szCs w:val="18"/>
          <w:color w:val="auto"/>
        </w:rPr>
        <w:t>. Amend its Organization Documents to change its name or state, province or other jurisdiction of organization, or otherwise amend its Organization Documents in a manner adverse to the Lenders, without the prior written consent of the Administrative Agent which consent shall not be unreasonably withheld.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7.12. </w:t>
      </w:r>
      <w:r>
        <w:rPr>
          <w:rFonts w:ascii="Arial" w:cs="Arial" w:eastAsia="Arial" w:hAnsi="Arial"/>
          <w:sz w:val="17"/>
          <w:szCs w:val="17"/>
          <w:u w:val="single" w:color="auto"/>
          <w:color w:val="auto"/>
        </w:rPr>
        <w:t>Accounting Changes</w:t>
      </w:r>
      <w:r>
        <w:rPr>
          <w:rFonts w:ascii="Arial" w:cs="Arial" w:eastAsia="Arial" w:hAnsi="Arial"/>
          <w:sz w:val="17"/>
          <w:szCs w:val="17"/>
          <w:color w:val="auto"/>
        </w:rPr>
        <w:t>. Make any change in (a) accounting policies or reporting practices, except as required by GAAP, or (b) fiscal year</w:t>
      </w:r>
    </w:p>
    <w:p>
      <w:pPr>
        <w:spacing w:after="0" w:line="237"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Sanctions; FCPA</w:t>
      </w:r>
      <w:r>
        <w:rPr>
          <w:rFonts w:ascii="Arial" w:cs="Arial" w:eastAsia="Arial" w:hAnsi="Arial"/>
          <w:sz w:val="18"/>
          <w:szCs w:val="18"/>
          <w:color w:val="auto"/>
        </w:rPr>
        <w:t>. Directly or indirectly, use the proceeds of any Credit Extension, or lend, contribute or otherwise make available such proceeds:</w:t>
      </w:r>
    </w:p>
    <w:p>
      <w:pPr>
        <w:spacing w:after="0" w:line="62" w:lineRule="exact"/>
        <w:rPr>
          <w:sz w:val="20"/>
          <w:szCs w:val="20"/>
          <w:color w:val="auto"/>
        </w:rPr>
      </w:pPr>
    </w:p>
    <w:p>
      <w:pPr>
        <w:ind w:left="440" w:firstLine="428"/>
        <w:spacing w:after="0" w:line="259" w:lineRule="auto"/>
        <w:tabs>
          <w:tab w:leader="none" w:pos="110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L/C Issuer, Swing Line Lender, or otherwise) of Sanctions; or</w:t>
      </w:r>
    </w:p>
    <w:p>
      <w:pPr>
        <w:spacing w:after="0" w:line="78" w:lineRule="exact"/>
        <w:rPr>
          <w:rFonts w:ascii="Arial" w:cs="Arial" w:eastAsia="Arial" w:hAnsi="Arial"/>
          <w:sz w:val="18"/>
          <w:szCs w:val="18"/>
          <w:color w:val="auto"/>
        </w:rPr>
      </w:pPr>
    </w:p>
    <w:p>
      <w:pPr>
        <w:jc w:val="both"/>
        <w:ind w:left="440" w:right="220" w:firstLine="428"/>
        <w:spacing w:after="0" w:line="264" w:lineRule="auto"/>
        <w:tabs>
          <w:tab w:leader="none" w:pos="111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w:t>
      </w:r>
    </w:p>
    <w:p>
      <w:pPr>
        <w:spacing w:after="0" w:line="181"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Financial Covenant</w:t>
      </w:r>
      <w:r>
        <w:rPr>
          <w:rFonts w:ascii="Arial" w:cs="Arial" w:eastAsia="Arial" w:hAnsi="Arial"/>
          <w:sz w:val="18"/>
          <w:szCs w:val="18"/>
          <w:color w:val="auto"/>
        </w:rPr>
        <w:t>. For the benefit of the Revolving Credit Lenders, the Swing Line Lender and the L/C Issuers only (and the Administrative Agent on their behalf), permit the Consolidated Net Leverage Ratio of the Borrower and its Subsidiaries as of the last day of any fiscal quarter of the Borrower to exceed the Consolidated Net Leverage Ratio set forth in the applicable fiscal quarter below.</w:t>
      </w:r>
    </w:p>
    <w:p>
      <w:pPr>
        <w:spacing w:after="0" w:line="200" w:lineRule="exact"/>
        <w:rPr>
          <w:sz w:val="20"/>
          <w:szCs w:val="20"/>
          <w:color w:val="auto"/>
        </w:rPr>
      </w:pPr>
    </w:p>
    <w:tbl>
      <w:tblPr>
        <w:tblLayout w:type="fixed"/>
        <w:tblInd w:w="1780" w:type="dxa"/>
        <w:tblCellMar>
          <w:top w:w="0" w:type="dxa"/>
          <w:left w:w="0" w:type="dxa"/>
          <w:bottom w:w="0" w:type="dxa"/>
          <w:right w:w="0" w:type="dxa"/>
        </w:tblCellMar>
      </w:tblPr>
      <w:tr>
        <w:trPr>
          <w:trHeight w:val="19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Quarter</w:t>
            </w:r>
          </w:p>
        </w:tc>
        <w:tc>
          <w:tcPr>
            <w:tcW w:w="2900" w:type="dxa"/>
            <w:vAlign w:val="bottom"/>
          </w:tcPr>
          <w:p>
            <w:pPr>
              <w:spacing w:after="0"/>
              <w:rPr>
                <w:sz w:val="16"/>
                <w:szCs w:val="16"/>
                <w:color w:val="auto"/>
              </w:rPr>
            </w:pPr>
          </w:p>
        </w:tc>
        <w:tc>
          <w:tcPr>
            <w:tcW w:w="3680" w:type="dxa"/>
            <w:vAlign w:val="bottom"/>
            <w:gridSpan w:val="2"/>
          </w:tcPr>
          <w:p>
            <w:pPr>
              <w:jc w:val="center"/>
              <w:ind w:left="1568"/>
              <w:spacing w:after="0"/>
              <w:rPr>
                <w:sz w:val="20"/>
                <w:szCs w:val="20"/>
                <w:color w:val="auto"/>
              </w:rPr>
            </w:pPr>
            <w:r>
              <w:rPr>
                <w:rFonts w:ascii="Arial" w:cs="Arial" w:eastAsia="Arial" w:hAnsi="Arial"/>
                <w:sz w:val="14"/>
                <w:szCs w:val="14"/>
                <w:b w:val="1"/>
                <w:bCs w:val="1"/>
                <w:color w:val="auto"/>
                <w:w w:val="92"/>
              </w:rPr>
              <w:t>Consolidated Net Leverage Ratio</w:t>
            </w:r>
          </w:p>
        </w:tc>
      </w:tr>
      <w:tr>
        <w:trPr>
          <w:trHeight w:val="203"/>
        </w:trPr>
        <w:tc>
          <w:tcPr>
            <w:tcW w:w="3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December 31, 2019</w:t>
            </w:r>
          </w:p>
        </w:tc>
        <w:tc>
          <w:tcPr>
            <w:tcW w:w="164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5.25 to 1.00</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March 31, 2020</w:t>
            </w:r>
          </w:p>
        </w:tc>
        <w:tc>
          <w:tcPr>
            <w:tcW w:w="164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5.25 to 1.00</w:t>
            </w: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2020</w:t>
            </w:r>
          </w:p>
        </w:tc>
        <w:tc>
          <w:tcPr>
            <w:tcW w:w="164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 to 1.00</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September 30, 2020</w:t>
            </w:r>
          </w:p>
        </w:tc>
        <w:tc>
          <w:tcPr>
            <w:tcW w:w="164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5.00 to 1.00</w:t>
            </w: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64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 to 1.00</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March 31, 2021</w:t>
            </w:r>
          </w:p>
        </w:tc>
        <w:tc>
          <w:tcPr>
            <w:tcW w:w="164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4.75 to 1.00</w:t>
            </w: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2021</w:t>
            </w:r>
          </w:p>
        </w:tc>
        <w:tc>
          <w:tcPr>
            <w:tcW w:w="164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4.75 to 1.00</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September 30, 20201</w:t>
            </w:r>
          </w:p>
        </w:tc>
        <w:tc>
          <w:tcPr>
            <w:tcW w:w="164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4.50 to 1.00</w:t>
            </w: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64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 to 1.00</w:t>
            </w: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March 30, 2022 and thereafter</w:t>
            </w:r>
          </w:p>
        </w:tc>
        <w:tc>
          <w:tcPr>
            <w:tcW w:w="164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4.00 to 1.00</w:t>
            </w: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Restrictions Pertaining to Certain Indebtedness</w:t>
      </w:r>
      <w:r>
        <w:rPr>
          <w:rFonts w:ascii="Arial" w:cs="Arial" w:eastAsia="Arial" w:hAnsi="Arial"/>
          <w:sz w:val="18"/>
          <w:szCs w:val="18"/>
          <w:color w:val="auto"/>
        </w:rPr>
        <w:t>.</w:t>
      </w:r>
    </w:p>
    <w:p>
      <w:pPr>
        <w:spacing w:after="0" w:line="117"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 xml:space="preserve">Permit any supplement, modification or amendment in any manner of any term or condition of any Material Indebtedness Agreement, any Indebtedness set forth in </w:t>
      </w:r>
      <w:r>
        <w:rPr>
          <w:rFonts w:ascii="Arial" w:cs="Arial" w:eastAsia="Arial" w:hAnsi="Arial"/>
          <w:sz w:val="18"/>
          <w:szCs w:val="18"/>
          <w:u w:val="single" w:color="auto"/>
          <w:color w:val="auto"/>
        </w:rPr>
        <w:t>Schedule 7.02</w:t>
      </w:r>
      <w:r>
        <w:rPr>
          <w:rFonts w:ascii="Arial" w:cs="Arial" w:eastAsia="Arial" w:hAnsi="Arial"/>
          <w:sz w:val="18"/>
          <w:szCs w:val="18"/>
          <w:color w:val="auto"/>
        </w:rPr>
        <w:t xml:space="preserve"> or any Indebtedness that is expressly subordinated in payment to the Obligations, except for (i) any permitted Refinancing Indebtedness thereof or (ii) amendments, modifications or changes that would not reasonably be expected to be materially adverse to the interests of the Lenders.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E-4-94</w:t>
      </w:r>
    </w:p>
    <w:p>
      <w:pPr>
        <w:sectPr>
          <w:pgSz w:w="11900" w:h="16838" w:orient="portrait"/>
          <w:cols w:equalWidth="0" w:num="1">
            <w:col w:w="11020"/>
          </w:cols>
          <w:pgMar w:left="440" w:top="274" w:right="439" w:bottom="1440" w:gutter="0" w:footer="0" w:header="0"/>
        </w:sectPr>
      </w:pPr>
    </w:p>
    <w:bookmarkStart w:id="120" w:name="page121"/>
    <w:bookmarkEnd w:id="120"/>
    <w:p>
      <w:pPr>
        <w:jc w:val="center"/>
        <w:ind w:righ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EVENTS OF DEFAULT AND REMEDIES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of the following shall constitute an Event of Default:</w:t>
      </w:r>
    </w:p>
    <w:p>
      <w:pPr>
        <w:spacing w:after="0" w:line="117" w:lineRule="exact"/>
        <w:rPr>
          <w:sz w:val="20"/>
          <w:szCs w:val="20"/>
          <w:color w:val="auto"/>
        </w:rPr>
      </w:pPr>
    </w:p>
    <w:p>
      <w:pPr>
        <w:ind w:right="40" w:firstLine="428"/>
        <w:spacing w:after="0" w:line="264" w:lineRule="auto"/>
        <w:tabs>
          <w:tab w:leader="none" w:pos="668"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If (a) the interest on any Loan or any Commitment or any other fee or other amount (other than the principal of any Loan) shall not be paid in full when due and payable or within five (5) Business Days thereafter, or (b) the principal of any Loan shall not be paid in full when due and payable;</w:t>
      </w:r>
    </w:p>
    <w:p>
      <w:pPr>
        <w:spacing w:after="0" w:line="73" w:lineRule="exact"/>
        <w:rPr>
          <w:rFonts w:ascii="Arial" w:cs="Arial" w:eastAsia="Arial" w:hAnsi="Arial"/>
          <w:sz w:val="18"/>
          <w:szCs w:val="18"/>
          <w:color w:val="auto"/>
        </w:rPr>
      </w:pPr>
    </w:p>
    <w:p>
      <w:pPr>
        <w:ind w:left="680" w:hanging="252"/>
        <w:spacing w:after="0"/>
        <w:tabs>
          <w:tab w:leader="none" w:pos="68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Special Covenants</w:t>
      </w:r>
      <w:r>
        <w:rPr>
          <w:rFonts w:ascii="Arial" w:cs="Arial" w:eastAsia="Arial" w:hAnsi="Arial"/>
          <w:sz w:val="18"/>
          <w:szCs w:val="18"/>
          <w:color w:val="auto"/>
        </w:rPr>
        <w:t>.</w:t>
      </w:r>
    </w:p>
    <w:p>
      <w:pPr>
        <w:spacing w:after="0" w:line="117" w:lineRule="exact"/>
        <w:rPr>
          <w:sz w:val="20"/>
          <w:szCs w:val="20"/>
          <w:color w:val="auto"/>
        </w:rPr>
      </w:pPr>
    </w:p>
    <w:p>
      <w:pPr>
        <w:ind w:left="640" w:hanging="212"/>
        <w:spacing w:after="0"/>
        <w:tabs>
          <w:tab w:leader="none" w:pos="64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 xml:space="preserve">If any Loan Party or Subsidiary thereof shall fail or omit to perform and observe </w:t>
      </w:r>
      <w:r>
        <w:rPr>
          <w:rFonts w:ascii="Arial" w:cs="Arial" w:eastAsia="Arial" w:hAnsi="Arial"/>
          <w:sz w:val="17"/>
          <w:szCs w:val="17"/>
          <w:u w:val="single" w:color="auto"/>
          <w:color w:val="auto"/>
        </w:rPr>
        <w:t>Sections 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6.03(a)</w:t>
      </w:r>
      <w:r>
        <w:rPr>
          <w:rFonts w:ascii="Arial" w:cs="Arial" w:eastAsia="Arial" w:hAnsi="Arial"/>
          <w:sz w:val="17"/>
          <w:szCs w:val="17"/>
          <w:color w:val="auto"/>
        </w:rPr>
        <w:t xml:space="preserve">, </w:t>
      </w:r>
      <w:r>
        <w:rPr>
          <w:rFonts w:ascii="Arial" w:cs="Arial" w:eastAsia="Arial" w:hAnsi="Arial"/>
          <w:sz w:val="17"/>
          <w:szCs w:val="17"/>
          <w:u w:val="single" w:color="auto"/>
          <w:color w:val="auto"/>
        </w:rPr>
        <w:t>6.12</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clause</w:t>
      </w:r>
    </w:p>
    <w:p>
      <w:pPr>
        <w:spacing w:after="0" w:line="34" w:lineRule="exact"/>
        <w:rPr>
          <w:rFonts w:ascii="Arial" w:cs="Arial" w:eastAsia="Arial" w:hAnsi="Arial"/>
          <w:sz w:val="17"/>
          <w:szCs w:val="17"/>
          <w:color w:val="auto"/>
        </w:rPr>
      </w:pPr>
    </w:p>
    <w:p>
      <w:pPr>
        <w:ind w:left="240" w:hanging="236"/>
        <w:spacing w:after="0"/>
        <w:tabs>
          <w:tab w:leader="none" w:pos="240" w:val="left"/>
        </w:tabs>
        <w:numPr>
          <w:ilvl w:val="0"/>
          <w:numId w:val="179"/>
        </w:numPr>
        <w:rPr>
          <w:rFonts w:ascii="Arial" w:cs="Arial" w:eastAsia="Arial" w:hAnsi="Arial"/>
          <w:sz w:val="18"/>
          <w:szCs w:val="18"/>
          <w:u w:val="single" w:color="auto"/>
          <w:color w:val="auto"/>
        </w:rPr>
      </w:pPr>
      <w:r>
        <w:rPr>
          <w:rFonts w:ascii="Arial" w:cs="Arial" w:eastAsia="Arial" w:hAnsi="Arial"/>
          <w:sz w:val="18"/>
          <w:szCs w:val="18"/>
          <w:color w:val="auto"/>
        </w:rPr>
        <w:t xml:space="preserve">thereof), </w:t>
      </w:r>
      <w:r>
        <w:rPr>
          <w:rFonts w:ascii="Arial" w:cs="Arial" w:eastAsia="Arial" w:hAnsi="Arial"/>
          <w:sz w:val="18"/>
          <w:szCs w:val="18"/>
          <w:u w:val="single" w:color="auto"/>
          <w:color w:val="auto"/>
        </w:rPr>
        <w:t>6.15</w:t>
      </w:r>
      <w:r>
        <w:rPr>
          <w:rFonts w:ascii="Arial" w:cs="Arial" w:eastAsia="Arial" w:hAnsi="Arial"/>
          <w:sz w:val="18"/>
          <w:szCs w:val="18"/>
          <w:color w:val="auto"/>
        </w:rPr>
        <w:t xml:space="preserve">, </w:t>
      </w:r>
      <w:r>
        <w:rPr>
          <w:rFonts w:ascii="Arial" w:cs="Arial" w:eastAsia="Arial" w:hAnsi="Arial"/>
          <w:sz w:val="18"/>
          <w:szCs w:val="18"/>
          <w:u w:val="single" w:color="auto"/>
          <w:color w:val="auto"/>
        </w:rPr>
        <w:t>6.16</w:t>
      </w:r>
      <w:r>
        <w:rPr>
          <w:rFonts w:ascii="Arial" w:cs="Arial" w:eastAsia="Arial" w:hAnsi="Arial"/>
          <w:sz w:val="18"/>
          <w:szCs w:val="18"/>
          <w:color w:val="auto"/>
        </w:rPr>
        <w:t xml:space="preserve">, </w:t>
      </w:r>
      <w:r>
        <w:rPr>
          <w:rFonts w:ascii="Arial" w:cs="Arial" w:eastAsia="Arial" w:hAnsi="Arial"/>
          <w:sz w:val="18"/>
          <w:szCs w:val="18"/>
          <w:u w:val="single" w:color="auto"/>
          <w:color w:val="auto"/>
        </w:rPr>
        <w:t>6.17</w:t>
      </w:r>
      <w:r>
        <w:rPr>
          <w:rFonts w:ascii="Arial" w:cs="Arial" w:eastAsia="Arial" w:hAnsi="Arial"/>
          <w:sz w:val="18"/>
          <w:szCs w:val="18"/>
          <w:color w:val="auto"/>
        </w:rPr>
        <w:t xml:space="preserve">, </w:t>
      </w:r>
      <w:r>
        <w:rPr>
          <w:rFonts w:ascii="Arial" w:cs="Arial" w:eastAsia="Arial" w:hAnsi="Arial"/>
          <w:sz w:val="18"/>
          <w:szCs w:val="18"/>
          <w:u w:val="single" w:color="auto"/>
          <w:color w:val="auto"/>
        </w:rPr>
        <w:t>6.18</w:t>
      </w:r>
      <w:r>
        <w:rPr>
          <w:rFonts w:ascii="Arial" w:cs="Arial" w:eastAsia="Arial" w:hAnsi="Arial"/>
          <w:sz w:val="18"/>
          <w:szCs w:val="18"/>
          <w:color w:val="auto"/>
        </w:rPr>
        <w:t xml:space="preserve"> or any Section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hereof (other than </w:t>
      </w:r>
      <w:r>
        <w:rPr>
          <w:rFonts w:ascii="Arial" w:cs="Arial" w:eastAsia="Arial" w:hAnsi="Arial"/>
          <w:sz w:val="18"/>
          <w:szCs w:val="18"/>
          <w:u w:val="single" w:color="auto"/>
          <w:color w:val="auto"/>
        </w:rPr>
        <w:t>Section 7.14</w:t>
      </w:r>
      <w:r>
        <w:rPr>
          <w:rFonts w:ascii="Arial" w:cs="Arial" w:eastAsia="Arial" w:hAnsi="Arial"/>
          <w:sz w:val="18"/>
          <w:szCs w:val="18"/>
          <w:color w:val="auto"/>
        </w:rPr>
        <w:t>);</w:t>
      </w:r>
    </w:p>
    <w:p>
      <w:pPr>
        <w:spacing w:after="0" w:line="102" w:lineRule="exact"/>
        <w:rPr>
          <w:rFonts w:ascii="Arial" w:cs="Arial" w:eastAsia="Arial" w:hAnsi="Arial"/>
          <w:sz w:val="18"/>
          <w:szCs w:val="18"/>
          <w:u w:val="single" w:color="auto"/>
          <w:color w:val="auto"/>
        </w:rPr>
      </w:pPr>
    </w:p>
    <w:p>
      <w:pPr>
        <w:ind w:firstLine="428"/>
        <w:spacing w:after="0" w:line="255" w:lineRule="auto"/>
        <w:tabs>
          <w:tab w:leader="none" w:pos="68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 xml:space="preserve">Solely with respect to the Revolving Credit Lenders, the Swing Line Lender and the L/C Issuers (and the Administrative Agent on their behalf), and only so long as the Revolving Credit Commitments shall not have been terminated in accordance with terms hereof, the failure by the Borrower to comply with the covenant set forth in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(a “</w:t>
      </w:r>
      <w:r>
        <w:rPr>
          <w:rFonts w:ascii="Arial" w:cs="Arial" w:eastAsia="Arial" w:hAnsi="Arial"/>
          <w:sz w:val="18"/>
          <w:szCs w:val="18"/>
          <w:u w:val="single" w:color="auto"/>
          <w:color w:val="auto"/>
        </w:rPr>
        <w:t>Financial Covenant Event of Default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Financial Covenant Event of Default shall constitute an Event of Default with respect to the Term Lenders upon the Revolving Credit Lenders terminating the Revolving Credit Commitments or declaring all amounts outstanding with respect to the Revolving Loans or Swing Line Loans to be immediately due and payable in accordance with this Agreement as a result of a Financial Covenant Event of Default and only for so long as such declaration has not been rescinded;</w:t>
      </w:r>
    </w:p>
    <w:p>
      <w:pPr>
        <w:spacing w:after="0" w:line="81" w:lineRule="exact"/>
        <w:rPr>
          <w:sz w:val="20"/>
          <w:szCs w:val="20"/>
          <w:color w:val="auto"/>
        </w:rPr>
      </w:pPr>
    </w:p>
    <w:p>
      <w:pPr>
        <w:ind w:right="220" w:firstLine="428"/>
        <w:spacing w:after="0" w:line="255" w:lineRule="auto"/>
        <w:tabs>
          <w:tab w:leader="none" w:pos="668"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 xml:space="preserve">. If any Loan Party or Subsidiary thereof shall fail or omit to perform and observe any covenant, agreement or other provision (other than those referred to in </w:t>
      </w:r>
      <w:r>
        <w:rPr>
          <w:rFonts w:ascii="Arial" w:cs="Arial" w:eastAsia="Arial" w:hAnsi="Arial"/>
          <w:sz w:val="18"/>
          <w:szCs w:val="18"/>
          <w:u w:val="single" w:color="auto"/>
          <w:color w:val="auto"/>
        </w:rPr>
        <w:t>Sections 8.01(a)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8.01(b)</w:t>
      </w:r>
      <w:r>
        <w:rPr>
          <w:rFonts w:ascii="Arial" w:cs="Arial" w:eastAsia="Arial" w:hAnsi="Arial"/>
          <w:sz w:val="18"/>
          <w:szCs w:val="18"/>
          <w:color w:val="auto"/>
        </w:rPr>
        <w:t xml:space="preserve"> hereof) contained or referred to in this Agreement or any other Loan Document that is on such Loan Party’s or Subsidiary’s part to be complied with, and that failure or omission shall not have been fully corrected within thirty (30) days after the earlier of (i) any Financial Officer of such Loan Party or Subsidiary, as applicable, becomes aware of the occurrence thereof, or (ii) the giving of written notice thereof to the Borrower by the Administrative Agent or the Required Lenders that the specified failure or omission is to be remedied;</w:t>
      </w:r>
    </w:p>
    <w:p>
      <w:pPr>
        <w:spacing w:after="0" w:line="85" w:lineRule="exact"/>
        <w:rPr>
          <w:rFonts w:ascii="Arial" w:cs="Arial" w:eastAsia="Arial" w:hAnsi="Arial"/>
          <w:sz w:val="18"/>
          <w:szCs w:val="18"/>
          <w:color w:val="auto"/>
        </w:rPr>
      </w:pPr>
    </w:p>
    <w:p>
      <w:pPr>
        <w:ind w:firstLine="428"/>
        <w:spacing w:after="0" w:line="257" w:lineRule="auto"/>
        <w:tabs>
          <w:tab w:leader="none" w:pos="678"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If any representation, warranty or statement made in or pursuant to this Agreement or any other Loan Document or any other material information furnished by any Loan Party or Subsidiary thereof to the Administrative Agent or the Lenders, or any thereof, or any other holder of any Note, shall be false or erroneous in any material respect (or, if any such representation, warranty or statement is by its terms qualified by concepts of materiality or reference to Material Adverse Effect, such representation, warranty or statement in any respect);</w:t>
      </w:r>
    </w:p>
    <w:p>
      <w:pPr>
        <w:spacing w:after="0" w:line="80" w:lineRule="exact"/>
        <w:rPr>
          <w:rFonts w:ascii="Arial" w:cs="Arial" w:eastAsia="Arial" w:hAnsi="Arial"/>
          <w:sz w:val="18"/>
          <w:szCs w:val="18"/>
          <w:color w:val="auto"/>
        </w:rPr>
      </w:pPr>
    </w:p>
    <w:p>
      <w:pPr>
        <w:ind w:right="280" w:firstLine="428"/>
        <w:spacing w:after="0" w:line="257" w:lineRule="auto"/>
        <w:tabs>
          <w:tab w:leader="none" w:pos="668"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Cross Default</w:t>
      </w:r>
      <w:r>
        <w:rPr>
          <w:rFonts w:ascii="Arial" w:cs="Arial" w:eastAsia="Arial" w:hAnsi="Arial"/>
          <w:sz w:val="18"/>
          <w:szCs w:val="18"/>
          <w:color w:val="auto"/>
        </w:rPr>
        <w:t>. If any Loan Party or any Subsidiary shall default in (i) the payment of any amount due and owing with respect to any Material Indebtedness Agreement beyond any period of grace provided with respect thereto or (ii) the performance or observance of any other agreement, term or condition contained in any agreement under which such obligation is created, if the effect of such default is to allow the acceleration of the maturity of any Indebtedness under any Material Indebtedness Agreement or to permit the holder thereof to cause such Indebtedness to become due prior to its stated maturity;</w:t>
      </w:r>
    </w:p>
    <w:p>
      <w:pPr>
        <w:spacing w:after="0" w:line="80" w:lineRule="exact"/>
        <w:rPr>
          <w:rFonts w:ascii="Arial" w:cs="Arial" w:eastAsia="Arial" w:hAnsi="Arial"/>
          <w:sz w:val="18"/>
          <w:szCs w:val="18"/>
          <w:color w:val="auto"/>
        </w:rPr>
      </w:pPr>
    </w:p>
    <w:p>
      <w:pPr>
        <w:ind w:right="120" w:firstLine="428"/>
        <w:spacing w:after="0" w:line="259" w:lineRule="auto"/>
        <w:tabs>
          <w:tab w:leader="none" w:pos="648"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RISA Default</w:t>
      </w:r>
      <w:r>
        <w:rPr>
          <w:rFonts w:ascii="Arial" w:cs="Arial" w:eastAsia="Arial" w:hAnsi="Arial"/>
          <w:sz w:val="18"/>
          <w:szCs w:val="18"/>
          <w:color w:val="auto"/>
        </w:rPr>
        <w:t xml:space="preserve">. The occurrence of one or more ERISA Events that (a) the Required Lenders determine, either individually or in the aggregate, has or would reasonably be expected to have a Material Adverse Effect, or (b) results in a Lien on any of the assets of any Loan Party or any Subsidiary thereof and such Lien is not released within thirty (30) days;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adequate reserves have been established in accordance with GAAP with respect to such Lien;</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E-4-95</w:t>
      </w:r>
    </w:p>
    <w:p>
      <w:pPr>
        <w:sectPr>
          <w:pgSz w:w="11900" w:h="16838" w:orient="portrait"/>
          <w:cols w:equalWidth="0" w:num="1">
            <w:col w:w="10540"/>
          </w:cols>
          <w:pgMar w:left="880" w:top="274" w:right="479" w:bottom="1440" w:gutter="0" w:footer="0" w:header="0"/>
        </w:sectPr>
      </w:pPr>
    </w:p>
    <w:bookmarkStart w:id="121" w:name="page122"/>
    <w:bookmarkEnd w:id="121"/>
    <w:p>
      <w:pPr>
        <w:ind w:left="680" w:hanging="252"/>
        <w:spacing w:after="0"/>
        <w:tabs>
          <w:tab w:leader="none" w:pos="68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w:t>
      </w:r>
      <w:r>
        <w:rPr>
          <w:rFonts w:ascii="Arial" w:cs="Arial" w:eastAsia="Arial" w:hAnsi="Arial"/>
          <w:sz w:val="18"/>
          <w:szCs w:val="18"/>
          <w:color w:val="auto"/>
        </w:rPr>
        <w:t>. If any Change in Control shall occur;</w:t>
      </w:r>
    </w:p>
    <w:p>
      <w:pPr>
        <w:spacing w:after="0" w:line="117" w:lineRule="exact"/>
        <w:rPr>
          <w:rFonts w:ascii="Arial" w:cs="Arial" w:eastAsia="Arial" w:hAnsi="Arial"/>
          <w:sz w:val="18"/>
          <w:szCs w:val="18"/>
          <w:color w:val="auto"/>
        </w:rPr>
      </w:pPr>
    </w:p>
    <w:p>
      <w:pPr>
        <w:ind w:firstLine="428"/>
        <w:spacing w:after="0" w:line="270" w:lineRule="auto"/>
        <w:tabs>
          <w:tab w:leader="none" w:pos="678"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Judgments</w:t>
      </w:r>
      <w:r>
        <w:rPr>
          <w:rFonts w:ascii="Arial" w:cs="Arial" w:eastAsia="Arial" w:hAnsi="Arial"/>
          <w:sz w:val="17"/>
          <w:szCs w:val="17"/>
          <w:color w:val="auto"/>
        </w:rPr>
        <w:t>. (i) A final judgment or order for the payment of money shall be rendered against any Loan Party or any Subsidiary thereof by a court of competent jurisdiction, that remains unpaid or unstayed and undischarged for a period (during which execution shall not be effectively stayed) of thirty (30) days after the date on which the right to appeal has expired and the aggregate of all such judgments, for all such Loan Parties or Subsidiaries, shall exceed $30,000,000 (to the extent not covered by independent third-party insurance as to which the insurer is rated at least “A” by A.M. Best Company, has been notified of the potential claim and does not dispute coverage) or (ii) any one or more non-monetary final judgments or orders shall be rendered against any Loan Party or any Subsidiary thereof by a court of competent jurisdiction that have, or would reasonably be expected to have, individually or in the aggregate, a Material Adverse Effect and, in either case, (1) enforcement proceedings are commenced by any creditor upon such judgment or order, or (2) there is a period of 10 consecutive days during which a stay of enforcement of such judgment, by reason of a pending appeal or otherwise, is not in effect;</w:t>
      </w:r>
    </w:p>
    <w:p>
      <w:pPr>
        <w:spacing w:after="0" w:line="73" w:lineRule="exact"/>
        <w:rPr>
          <w:rFonts w:ascii="Arial" w:cs="Arial" w:eastAsia="Arial" w:hAnsi="Arial"/>
          <w:sz w:val="17"/>
          <w:szCs w:val="17"/>
          <w:color w:val="auto"/>
        </w:rPr>
      </w:pPr>
    </w:p>
    <w:p>
      <w:pPr>
        <w:ind w:left="640" w:hanging="212"/>
        <w:spacing w:after="0"/>
        <w:tabs>
          <w:tab w:leader="none" w:pos="64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Validity of the Loan Documents</w:t>
      </w:r>
      <w:r>
        <w:rPr>
          <w:rFonts w:ascii="Arial" w:cs="Arial" w:eastAsia="Arial" w:hAnsi="Arial"/>
          <w:sz w:val="18"/>
          <w:szCs w:val="18"/>
          <w:color w:val="auto"/>
        </w:rPr>
        <w:t>.</w:t>
      </w:r>
    </w:p>
    <w:p>
      <w:pPr>
        <w:spacing w:after="0" w:line="117" w:lineRule="exact"/>
        <w:rPr>
          <w:sz w:val="20"/>
          <w:szCs w:val="20"/>
          <w:color w:val="auto"/>
        </w:rPr>
      </w:pPr>
    </w:p>
    <w:p>
      <w:pPr>
        <w:ind w:left="640" w:hanging="212"/>
        <w:spacing w:after="0"/>
        <w:tabs>
          <w:tab w:leader="none" w:pos="640" w:val="left"/>
        </w:tabs>
        <w:numPr>
          <w:ilvl w:val="1"/>
          <w:numId w:val="182"/>
        </w:numPr>
        <w:rPr>
          <w:rFonts w:ascii="Arial" w:cs="Arial" w:eastAsia="Arial" w:hAnsi="Arial"/>
          <w:sz w:val="17"/>
          <w:szCs w:val="17"/>
          <w:color w:val="auto"/>
        </w:rPr>
      </w:pPr>
      <w:r>
        <w:rPr>
          <w:rFonts w:ascii="Arial" w:cs="Arial" w:eastAsia="Arial" w:hAnsi="Arial"/>
          <w:sz w:val="17"/>
          <w:szCs w:val="17"/>
          <w:color w:val="auto"/>
        </w:rPr>
        <w:t>If any Lien granted in this Agreement or any other Loan Document in favor of the Administrative Agent shall be determined to be</w:t>
      </w:r>
    </w:p>
    <w:p>
      <w:pPr>
        <w:spacing w:after="0" w:line="34" w:lineRule="exact"/>
        <w:rPr>
          <w:rFonts w:ascii="Arial" w:cs="Arial" w:eastAsia="Arial" w:hAnsi="Arial"/>
          <w:sz w:val="17"/>
          <w:szCs w:val="17"/>
          <w:color w:val="auto"/>
        </w:rPr>
      </w:pPr>
    </w:p>
    <w:p>
      <w:pPr>
        <w:ind w:right="200" w:firstLine="4"/>
        <w:spacing w:after="0" w:line="254" w:lineRule="auto"/>
        <w:tabs>
          <w:tab w:leader="none" w:pos="21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void, voidable or invalid, or is subordinated or not otherwise given the priority contemplated by this Agreement and the Borrower has (or the appropriate Loan Party has) failed to promptly execute appropriate documents to correct such matters, or (ii) unperfected as to any material amount of Collateral (as determined by the Administrative Agent, in its reasonable discretion) and the Borrower has (or the appropriate Loan Party has) failed to promptly execute appropriate documents to correct such matters;</w:t>
      </w:r>
    </w:p>
    <w:p>
      <w:pPr>
        <w:spacing w:after="0" w:line="81" w:lineRule="exact"/>
        <w:rPr>
          <w:rFonts w:ascii="Arial" w:cs="Arial" w:eastAsia="Arial" w:hAnsi="Arial"/>
          <w:sz w:val="18"/>
          <w:szCs w:val="18"/>
          <w:color w:val="auto"/>
        </w:rPr>
      </w:pPr>
    </w:p>
    <w:p>
      <w:pPr>
        <w:ind w:left="700" w:hanging="272"/>
        <w:spacing w:after="0"/>
        <w:tabs>
          <w:tab w:leader="none" w:pos="70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 The validity, binding effect or enforceability of any Loan Document against any Loan Party shall be contested by any Loan Party;</w:t>
      </w:r>
    </w:p>
    <w:p>
      <w:pPr>
        <w:spacing w:after="0" w:line="46" w:lineRule="exact"/>
        <w:rPr>
          <w:rFonts w:ascii="Arial" w:cs="Arial" w:eastAsia="Arial" w:hAnsi="Arial"/>
          <w:sz w:val="16"/>
          <w:szCs w:val="16"/>
          <w:color w:val="auto"/>
        </w:rPr>
      </w:pPr>
    </w:p>
    <w:p>
      <w:pPr>
        <w:ind w:right="40"/>
        <w:spacing w:after="0" w:line="255" w:lineRule="auto"/>
        <w:rPr>
          <w:rFonts w:ascii="Arial" w:cs="Arial" w:eastAsia="Arial" w:hAnsi="Arial"/>
          <w:sz w:val="16"/>
          <w:szCs w:val="16"/>
          <w:color w:val="auto"/>
        </w:rPr>
      </w:pPr>
      <w:r>
        <w:rPr>
          <w:rFonts w:ascii="Arial" w:cs="Arial" w:eastAsia="Arial" w:hAnsi="Arial"/>
          <w:sz w:val="18"/>
          <w:szCs w:val="18"/>
          <w:color w:val="auto"/>
        </w:rPr>
        <w:t>(B) any Loan Party shall deny that it has any or further liability or obligation under any Loan Document; or (C) any Loan Document shall be terminated, invalidated or set aside, or be declared ineffective or inoperative or in any way cease to give or provide to the Administrative Agent or the Lenders the benefits purported to be created thereby;</w:t>
      </w:r>
    </w:p>
    <w:p>
      <w:pPr>
        <w:spacing w:after="0" w:line="82" w:lineRule="exact"/>
        <w:rPr>
          <w:sz w:val="20"/>
          <w:szCs w:val="20"/>
          <w:color w:val="auto"/>
        </w:rPr>
      </w:pPr>
    </w:p>
    <w:p>
      <w:pPr>
        <w:ind w:left="640" w:hanging="212"/>
        <w:spacing w:after="0"/>
        <w:tabs>
          <w:tab w:leader="none" w:pos="640"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Bankruptcy and Solvency</w:t>
      </w:r>
      <w:r>
        <w:rPr>
          <w:rFonts w:ascii="Arial" w:cs="Arial" w:eastAsia="Arial" w:hAnsi="Arial"/>
          <w:sz w:val="16"/>
          <w:szCs w:val="16"/>
          <w:color w:val="auto"/>
        </w:rPr>
        <w:t>. If any Loan Party or any Subsidiary thereof (other than an Inactive Subsidiary or Immaterial Subsidiary) shall</w:t>
      </w:r>
    </w:p>
    <w:p>
      <w:pPr>
        <w:spacing w:after="0" w:line="46" w:lineRule="exact"/>
        <w:rPr>
          <w:rFonts w:ascii="Arial" w:cs="Arial" w:eastAsia="Arial" w:hAnsi="Arial"/>
          <w:sz w:val="16"/>
          <w:szCs w:val="16"/>
          <w:color w:val="auto"/>
        </w:rPr>
      </w:pPr>
    </w:p>
    <w:p>
      <w:pPr>
        <w:ind w:right="40" w:firstLine="4"/>
        <w:spacing w:after="0" w:line="281" w:lineRule="auto"/>
        <w:tabs>
          <w:tab w:leader="none" w:pos="25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except as permitted pursuant to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hereof, discontinue business, (2) generally not pay its debts as such debts become due, (3) make a general assignment for the benefit of creditors, (4) apply for or consent to the appointment of an interim receiver, a receiver, a receiver and manager, an interim examiner, an examiner, an administrator, sequestrator, monitor, a custodian, a trustee, an interim trustee or liquidator of all or a substantial part of its assets or of such Person, (5) be adjudicated a debtor or insolvent or have entered against it an order for relief under any Debtor Relief Law, whether or not foreign, federal, state or provincial, in any applicable jurisdiction, now or hereafter existing, as any of the foregoing may be amended from time to time, or other applicable statute for jurisdictions outside of the United States, as the case may be, (6) file a voluntary petition in bankruptcy, or file a petition for the appointment of an interim examiner or examiner, or file a proposal or notice of intention to file a proposal or have an involuntary proceeding filed against it and the same shall continue undismissed for a period of sixty</w:t>
      </w:r>
    </w:p>
    <w:p>
      <w:pPr>
        <w:spacing w:after="0" w:line="5" w:lineRule="exact"/>
        <w:rPr>
          <w:rFonts w:ascii="Arial" w:cs="Arial" w:eastAsia="Arial" w:hAnsi="Arial"/>
          <w:sz w:val="16"/>
          <w:szCs w:val="16"/>
          <w:color w:val="auto"/>
        </w:rPr>
      </w:pPr>
    </w:p>
    <w:p>
      <w:pPr>
        <w:ind w:right="20" w:firstLine="4"/>
        <w:spacing w:after="0" w:line="252" w:lineRule="auto"/>
        <w:tabs>
          <w:tab w:leader="none" w:pos="34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days from commencement of such proceeding or case, or file a petition or an answer or an application or a proposal seeking reorganization or an arrangement with creditors or seeking to take advantage of any other law (whether federal, provincial or state, or, if applicable, other jurisdiction) relating to relief of debtors, or admit (by answer, by default or otherwise) the material allegations of a petition filed against it in any bankruptcy, reorganization, insolvency or other proceeding (whether federal, provincial or state, or, if applicable, other jurisdiction) relating to relief of debtors, (7) suffer or permit to continue unstayed and in effect for sixty (60) consecutive days any judgment, decree or order entered by a court of competent jurisdiction, that approves a petition or an application or a proposal seeking its reorganization or appoints an interim receiver, a receiver and manager, an interim examiner, an examiner, an administrator, custodian, trustee, interim trustee or liquidator of all or a substantial part of its assets, or of</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E-4-96</w:t>
      </w:r>
    </w:p>
    <w:p>
      <w:pPr>
        <w:sectPr>
          <w:pgSz w:w="11900" w:h="16838" w:orient="portrait"/>
          <w:cols w:equalWidth="0" w:num="1">
            <w:col w:w="10580"/>
          </w:cols>
          <w:pgMar w:left="880" w:top="274" w:right="439" w:bottom="1440" w:gutter="0" w:footer="0" w:header="0"/>
        </w:sectPr>
      </w:pPr>
    </w:p>
    <w:bookmarkStart w:id="122" w:name="page123"/>
    <w:bookmarkEnd w:id="122"/>
    <w:p>
      <w:pPr>
        <w:ind w:left="44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Person, (8) have an administrative receiver, receiver or examiner appointed over the whole or substantially the whole of its assets, or of such Person, (9) take, or omit to take, any action in order thereby to effect any of the foregoing assets, the value of which is less than its liabilities (taking into account prospective and contingent liabilities), or (10) have a moratorium declared in respect of any of its Indebtedness, or any analogous procedure or step is taken in any jurisdiction; or</w:t>
      </w:r>
    </w:p>
    <w:p>
      <w:pPr>
        <w:spacing w:after="0" w:line="79" w:lineRule="exact"/>
        <w:rPr>
          <w:sz w:val="20"/>
          <w:szCs w:val="20"/>
          <w:color w:val="auto"/>
        </w:rPr>
      </w:pPr>
    </w:p>
    <w:p>
      <w:pPr>
        <w:ind w:left="440" w:firstLine="428"/>
        <w:spacing w:after="0" w:line="259" w:lineRule="auto"/>
        <w:tabs>
          <w:tab w:leader="none" w:pos="111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Senior Debt Status</w:t>
      </w:r>
      <w:r>
        <w:rPr>
          <w:rFonts w:ascii="Arial" w:cs="Arial" w:eastAsia="Arial" w:hAnsi="Arial"/>
          <w:sz w:val="18"/>
          <w:szCs w:val="18"/>
          <w:color w:val="auto"/>
        </w:rPr>
        <w:t xml:space="preserve">. The Obligations of each Loan Party under this Agreement and each of the other Loan Documents shall fail to (i)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other material senior Indebtedness of the Loan Parties or (ii) be designated as “Senior Indebtedness,” “Designated Senior Debt” or such similar term under all instruments and documents relating to all Subordinated Indebtedness and all senior unsecured Indebtedness of such Person.</w:t>
      </w:r>
    </w:p>
    <w:p>
      <w:pPr>
        <w:spacing w:after="0" w:line="187"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If any Event of Default occurs and is continuing, the Administrative Agent shall, at the request of, or may, with the consent of, the Required Lenders (or in the event of a Financial Covenant Event of Default, the Required Revolving Lenders), take any or all of the following actions:</w:t>
      </w:r>
    </w:p>
    <w:p>
      <w:pPr>
        <w:spacing w:after="0" w:line="73" w:lineRule="exact"/>
        <w:rPr>
          <w:sz w:val="20"/>
          <w:szCs w:val="20"/>
          <w:color w:val="auto"/>
        </w:rPr>
      </w:pPr>
    </w:p>
    <w:p>
      <w:pPr>
        <w:ind w:left="440" w:right="560" w:firstLine="428"/>
        <w:spacing w:after="0" w:line="277" w:lineRule="auto"/>
        <w:tabs>
          <w:tab w:leader="none" w:pos="110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any L/C Issuer to make L/C Credit Extensions to be terminated, whereupon such commitments and obligation shall be terminated;</w:t>
      </w:r>
    </w:p>
    <w:p>
      <w:pPr>
        <w:spacing w:after="0" w:line="62" w:lineRule="exact"/>
        <w:rPr>
          <w:rFonts w:ascii="Arial" w:cs="Arial" w:eastAsia="Arial" w:hAnsi="Arial"/>
          <w:sz w:val="18"/>
          <w:szCs w:val="18"/>
          <w:color w:val="auto"/>
        </w:rPr>
      </w:pPr>
    </w:p>
    <w:p>
      <w:pPr>
        <w:ind w:left="440" w:firstLine="428"/>
        <w:spacing w:after="0" w:line="264" w:lineRule="auto"/>
        <w:tabs>
          <w:tab w:leader="none" w:pos="111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73" w:lineRule="exact"/>
        <w:rPr>
          <w:rFonts w:ascii="Arial" w:cs="Arial" w:eastAsia="Arial" w:hAnsi="Arial"/>
          <w:sz w:val="18"/>
          <w:szCs w:val="18"/>
          <w:color w:val="auto"/>
        </w:rPr>
      </w:pPr>
    </w:p>
    <w:p>
      <w:pPr>
        <w:ind w:left="440" w:right="220" w:firstLine="428"/>
        <w:spacing w:after="0" w:line="277" w:lineRule="auto"/>
        <w:tabs>
          <w:tab w:leader="none" w:pos="110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require that the Borrower Cash Collateralize the L/C Obligations (in an amount equal to the Minimum Collateral Amount with respect thereto); and</w:t>
      </w:r>
    </w:p>
    <w:p>
      <w:pPr>
        <w:spacing w:after="0" w:line="62" w:lineRule="exact"/>
        <w:rPr>
          <w:rFonts w:ascii="Arial" w:cs="Arial" w:eastAsia="Arial" w:hAnsi="Arial"/>
          <w:sz w:val="18"/>
          <w:szCs w:val="18"/>
          <w:color w:val="auto"/>
        </w:rPr>
      </w:pPr>
    </w:p>
    <w:p>
      <w:pPr>
        <w:ind w:left="440" w:right="140" w:firstLine="428"/>
        <w:spacing w:after="0" w:line="308" w:lineRule="auto"/>
        <w:tabs>
          <w:tab w:leader="none" w:pos="111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exercise on behalf of itself and the Lenders, the L/C Issuers, the Cash Management Banks and the Hedge Banks all rights and remedies available to it and the Lenders, the L/C Issuers, the Cash Management Banks and the Hedge Banks under the Loan Documents;</w:t>
      </w:r>
    </w:p>
    <w:p>
      <w:pPr>
        <w:spacing w:after="0" w:line="14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upon the occurrence of an Event of Default described in </w:t>
      </w:r>
      <w:r>
        <w:rPr>
          <w:rFonts w:ascii="Arial" w:cs="Arial" w:eastAsia="Arial" w:hAnsi="Arial"/>
          <w:sz w:val="17"/>
          <w:szCs w:val="17"/>
          <w:u w:val="single" w:color="auto"/>
          <w:color w:val="auto"/>
        </w:rPr>
        <w:t>Section 8.01(j)</w:t>
      </w:r>
      <w:r>
        <w:rPr>
          <w:rFonts w:ascii="Arial" w:cs="Arial" w:eastAsia="Arial" w:hAnsi="Arial"/>
          <w:sz w:val="17"/>
          <w:szCs w:val="17"/>
          <w:color w:val="auto"/>
        </w:rPr>
        <w:t xml:space="preserve">,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upon the occurrence of a Financial Covenant Event of Default, and at any time thereafter during the continuance of such event, the Administrative Agent may, and at the request of the Required Revolving Lenders, shall, by notice to the Borrower, take any of the following actions, at the same or different times: (x) terminate the Revolving Credit Commitments, the L/C Commitment and the Swing Line Commitment, and thereupon the Revolving Credit Commitments, the L/C Commitment and the Swing Line Commitment shall terminate immediately and (y) declare the Revolving Loans, L/C Exposure and Swing Line Exposure then outstanding to be due and payable in whole (or in part, in which case any principal not so declared to be due and payable may thereafter be declared to be due and payable), and thereupon the principal of the Revolving Loans, L/C Exposure and Swing Line Exposure so declared to be due and payable, together with accrued interest thereon and all fees and other obligations relating thereto of the Borrower accrued hereunder, shall become due and payable immediately, without presentment, demand, protest or other notice of any kind, all of which are hereby waived by the Borrower.</w:t>
      </w:r>
    </w:p>
    <w:p>
      <w:pPr>
        <w:spacing w:after="0" w:line="80" w:lineRule="exact"/>
        <w:rPr>
          <w:sz w:val="20"/>
          <w:szCs w:val="20"/>
          <w:color w:val="auto"/>
        </w:rPr>
      </w:pPr>
    </w:p>
    <w:p>
      <w:pPr>
        <w:ind w:right="740" w:firstLine="441"/>
        <w:spacing w:after="0" w:line="259" w:lineRule="auto"/>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Application of Funds</w:t>
      </w:r>
      <w:r>
        <w:rPr>
          <w:rFonts w:ascii="Arial" w:cs="Arial" w:eastAsia="Arial" w:hAnsi="Arial"/>
          <w:sz w:val="18"/>
          <w:szCs w:val="18"/>
          <w:color w:val="auto"/>
        </w:rPr>
        <w:t xml:space="preserve">. After the exercise of remedies provided for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Sections 2.15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2.16</w:t>
      </w:r>
      <w:r>
        <w:rPr>
          <w:rFonts w:ascii="Arial" w:cs="Arial" w:eastAsia="Arial" w:hAnsi="Arial"/>
          <w:sz w:val="18"/>
          <w:szCs w:val="18"/>
          <w:color w:val="auto"/>
        </w:rPr>
        <w:t>, be applied by the Administrative Agent in the following order:</w:t>
      </w:r>
    </w:p>
    <w:p>
      <w:pPr>
        <w:spacing w:after="0" w:line="79" w:lineRule="exact"/>
        <w:rPr>
          <w:sz w:val="20"/>
          <w:szCs w:val="20"/>
          <w:color w:val="auto"/>
        </w:rPr>
      </w:pPr>
    </w:p>
    <w:p>
      <w:pPr>
        <w:jc w:val="both"/>
        <w:ind w:left="440" w:right="120" w:firstLine="423"/>
        <w:spacing w:after="0" w:line="264"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Administrative Agent in its capacity as such;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E-4-97</w:t>
      </w:r>
    </w:p>
    <w:p>
      <w:pPr>
        <w:sectPr>
          <w:pgSz w:w="11900" w:h="16838" w:orient="portrait"/>
          <w:cols w:equalWidth="0" w:num="1">
            <w:col w:w="11000"/>
          </w:cols>
          <w:pgMar w:left="440" w:top="274" w:right="459" w:bottom="1440" w:gutter="0" w:footer="0" w:header="0"/>
        </w:sectPr>
      </w:pPr>
    </w:p>
    <w:bookmarkStart w:id="123" w:name="page124"/>
    <w:bookmarkEnd w:id="123"/>
    <w:p>
      <w:pPr>
        <w:ind w:left="440" w:right="40" w:firstLine="423"/>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w:t>
      </w:r>
      <w:r>
        <w:rPr>
          <w:rFonts w:ascii="Arial" w:cs="Arial" w:eastAsia="Arial" w:hAnsi="Arial"/>
          <w:sz w:val="18"/>
          <w:szCs w:val="18"/>
          <w:color w:val="auto"/>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(including fees and time charges for attorneys who may be employees of any Lender or any L/C Issuer)) arising under the Loan Documents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80" w:lineRule="exact"/>
        <w:rPr>
          <w:sz w:val="20"/>
          <w:szCs w:val="20"/>
          <w:color w:val="auto"/>
        </w:rPr>
      </w:pPr>
    </w:p>
    <w:p>
      <w:pPr>
        <w:ind w:left="440" w:right="260" w:firstLine="423"/>
        <w:spacing w:after="0" w:line="264"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w:t>
      </w:r>
      <w:r>
        <w:rPr>
          <w:rFonts w:ascii="Arial" w:cs="Arial" w:eastAsia="Arial" w:hAnsi="Arial"/>
          <w:sz w:val="18"/>
          <w:szCs w:val="18"/>
          <w:u w:val="single" w:color="auto"/>
          <w:color w:val="auto"/>
        </w:rPr>
        <w:t>clause Third</w:t>
      </w:r>
      <w:r>
        <w:rPr>
          <w:rFonts w:ascii="Arial" w:cs="Arial" w:eastAsia="Arial" w:hAnsi="Arial"/>
          <w:sz w:val="18"/>
          <w:szCs w:val="18"/>
          <w:color w:val="auto"/>
        </w:rPr>
        <w:t xml:space="preserve"> payable to them;</w:t>
      </w:r>
    </w:p>
    <w:p>
      <w:pPr>
        <w:spacing w:after="0" w:line="73" w:lineRule="exact"/>
        <w:rPr>
          <w:sz w:val="20"/>
          <w:szCs w:val="20"/>
          <w:color w:val="auto"/>
        </w:rPr>
      </w:pPr>
    </w:p>
    <w:p>
      <w:pPr>
        <w:ind w:left="440" w:right="280" w:firstLine="423"/>
        <w:spacing w:after="0" w:line="312" w:lineRule="auto"/>
        <w:rPr>
          <w:sz w:val="20"/>
          <w:szCs w:val="20"/>
          <w:color w:val="auto"/>
        </w:rPr>
      </w:pP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payment of that portion of the Obligations constituting unpaid principal of the Loans, L/C Borrowings and Obligations then owing under Secured Hedge Agreements and Secured Cash Management Agreements, ratably among the Lenders, the L/C Issuers, the Hedge Banks and the Cash Management Banks in proportion to the respective amounts described in this </w:t>
      </w:r>
      <w:r>
        <w:rPr>
          <w:rFonts w:ascii="Arial" w:cs="Arial" w:eastAsia="Arial" w:hAnsi="Arial"/>
          <w:sz w:val="16"/>
          <w:szCs w:val="16"/>
          <w:u w:val="single" w:color="auto"/>
          <w:color w:val="auto"/>
        </w:rPr>
        <w:t>clause Fourth</w:t>
      </w:r>
      <w:r>
        <w:rPr>
          <w:rFonts w:ascii="Arial" w:cs="Arial" w:eastAsia="Arial" w:hAnsi="Arial"/>
          <w:sz w:val="16"/>
          <w:szCs w:val="16"/>
          <w:color w:val="auto"/>
        </w:rPr>
        <w:t xml:space="preserve"> held by them;</w:t>
      </w:r>
    </w:p>
    <w:p>
      <w:pPr>
        <w:spacing w:after="0" w:line="39" w:lineRule="exact"/>
        <w:rPr>
          <w:sz w:val="20"/>
          <w:szCs w:val="20"/>
          <w:color w:val="auto"/>
        </w:rPr>
      </w:pPr>
    </w:p>
    <w:p>
      <w:pPr>
        <w:ind w:left="440" w:right="20" w:firstLine="423"/>
        <w:spacing w:after="0" w:line="264"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the Administrative Agent for the account of the L/C Issuers, to Cash Collateralize that portion of L/C Obligations comprised of the aggregate undrawn amount of Letters of Credit to the extent not otherwise Cash Collateralized by the Borrower pursuant to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2.16</w:t>
      </w:r>
      <w:r>
        <w:rPr>
          <w:rFonts w:ascii="Arial" w:cs="Arial" w:eastAsia="Arial" w:hAnsi="Arial"/>
          <w:sz w:val="18"/>
          <w:szCs w:val="18"/>
          <w:color w:val="auto"/>
        </w:rPr>
        <w:t>; and</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Obligations have been indefeasibly paid in full, to the Borrower or as otherwise required by Law.</w:t>
      </w:r>
    </w:p>
    <w:p>
      <w:pPr>
        <w:spacing w:after="0" w:line="2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amounts used to Cash Collateralize the aggregate undrawn amount of Letters of Credit pursuant to </w:t>
      </w:r>
      <w:r>
        <w:rPr>
          <w:rFonts w:ascii="Arial" w:cs="Arial" w:eastAsia="Arial" w:hAnsi="Arial"/>
          <w:sz w:val="18"/>
          <w:szCs w:val="18"/>
          <w:u w:val="single" w:color="auto"/>
          <w:color w:val="auto"/>
        </w:rPr>
        <w:t>clause Fifth</w:t>
      </w:r>
      <w:r>
        <w:rPr>
          <w:rFonts w:ascii="Arial" w:cs="Arial" w:eastAsia="Arial" w:hAnsi="Arial"/>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Notwithstanding the foregoing, Obligations arising under Secured Cash Management Agreements and Secured Hedge Agreements shall be excluded from the application described above if the Administrative Agent has not received written notice thereof,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hereof for itself and its Affiliates as if a “Lender” party hereto.</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Appointment of the Administrative Agent</w:t>
      </w:r>
      <w:r>
        <w:rPr>
          <w:rFonts w:ascii="Arial" w:cs="Arial" w:eastAsia="Arial" w:hAnsi="Arial"/>
          <w:sz w:val="18"/>
          <w:szCs w:val="18"/>
          <w:color w:val="auto"/>
        </w:rPr>
        <w:t>.</w:t>
      </w:r>
    </w:p>
    <w:p>
      <w:pPr>
        <w:spacing w:after="0" w:line="117" w:lineRule="exact"/>
        <w:rPr>
          <w:sz w:val="20"/>
          <w:szCs w:val="20"/>
          <w:color w:val="auto"/>
        </w:rPr>
      </w:pPr>
    </w:p>
    <w:p>
      <w:pPr>
        <w:ind w:right="60" w:firstLine="444"/>
        <w:spacing w:after="0" w:line="291" w:lineRule="auto"/>
        <w:tabs>
          <w:tab w:leader="none" w:pos="68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Each Lender and L/C Issuer irrevocably appoints Truist Bank as the Administrative Agent and authorizes it to take such actions on its behalf and to exercise such powers as are delegated to the Administrative Agent under this Agreement and the other Loan Documents, together with all such actions and powers that are reasonably incidental thereto. The Administrative Agent may perform any of its duties hereunder or under the other Loan Documents by or through any one or more sub-agents or attorneys-in-fact appointed by the Administrative Agent. The Administrative Agent and any such sub-agent or attorney-in-fact may perform any and all of its duties and exercise its rights and powers through their respective Related Parties. The exculpatory provisions set forth in this Article shall apply to any such sub-agent, attorney-in-fact or Related Party and shall apply to their respective activities in connection with the syndication of the credit facilities provided for herein as well as activities as the Administrative Agent.</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E-4-98</w:t>
      </w:r>
    </w:p>
    <w:p>
      <w:pPr>
        <w:sectPr>
          <w:pgSz w:w="11900" w:h="16838" w:orient="portrait"/>
          <w:cols w:equalWidth="0" w:num="1">
            <w:col w:w="10940"/>
          </w:cols>
          <w:pgMar w:left="440" w:top="274" w:right="519" w:bottom="1440" w:gutter="0" w:footer="0" w:header="0"/>
        </w:sectPr>
      </w:pPr>
    </w:p>
    <w:bookmarkStart w:id="124" w:name="page125"/>
    <w:bookmarkEnd w:id="124"/>
    <w:p>
      <w:pPr>
        <w:ind w:right="20" w:firstLine="444"/>
        <w:spacing w:after="0" w:line="270" w:lineRule="auto"/>
        <w:tabs>
          <w:tab w:leader="none" w:pos="696" w:val="left"/>
        </w:tabs>
        <w:numPr>
          <w:ilvl w:val="0"/>
          <w:numId w:val="1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shall also act as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xml:space="preserve">” under the Loan Documents, and each of the Lenders (including in its capacities as a potential Hedge Bank and a potential Cash Management Bank) and each L/C Issuer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10.04(c)</w:t>
      </w:r>
      <w:r>
        <w:rPr>
          <w:rFonts w:ascii="Arial" w:cs="Arial" w:eastAsia="Arial" w:hAnsi="Arial"/>
          <w:sz w:val="17"/>
          <w:szCs w:val="17"/>
          <w:color w:val="auto"/>
        </w:rPr>
        <w:t>, as though such co-agents, sub-agents and attorneys-in-fact were the “collateral agent” under the Loan Documents) as if set forth in full herein with respect thereto.</w:t>
      </w:r>
    </w:p>
    <w:p>
      <w:pPr>
        <w:spacing w:after="0" w:line="182"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 xml:space="preserve">9.02. </w:t>
      </w:r>
      <w:r>
        <w:rPr>
          <w:rFonts w:ascii="Arial" w:cs="Arial" w:eastAsia="Arial" w:hAnsi="Arial"/>
          <w:sz w:val="16"/>
          <w:szCs w:val="16"/>
          <w:u w:val="single" w:color="auto"/>
          <w:color w:val="auto"/>
        </w:rPr>
        <w:t>Nature of Duties of the Administrative Agent</w:t>
      </w:r>
      <w:r>
        <w:rPr>
          <w:rFonts w:ascii="Arial" w:cs="Arial" w:eastAsia="Arial" w:hAnsi="Arial"/>
          <w:sz w:val="16"/>
          <w:szCs w:val="16"/>
          <w:color w:val="auto"/>
        </w:rPr>
        <w:t xml:space="preserve">. The Administrative Agent shall not have any duties or obligations except those expressly set forth in this Agreement and the other Loan Documents.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those discretionary rights and powers expressly contemplated by the Loan Documents that the Administrative Agent is required to exercise in writing by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(c) except as expressly set forth in the Loan Documents, the Administrative Agent shall not have any duty to disclose, and shall not be liable for the failure to disclose, any information relating to the Borrower or any of its Subsidiaries that is communicated to or obtained by the Administrative Agent or any of its Affiliates in any capacity. The Administrative Agent shall not be liable for any action taken or not taken by it, its sub-agents or its attorneys-in-fact with the consent or at the request of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or in the absence of its own gross negligence or willful misconduct. The Administrative Agent shall not be responsible for the negligence or misconduct of any sub-agents or attorneys-in-fact selected by it with reasonable care. The Administrative Agent shall not be deemed to have knowledge of any Default or Event of Default unless and until written notice thereof (which notice shall include an express reference to such event being a “Default” or “Event of Default” hereunder) is given to the Administrative Agent by the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thereunder or in connection herewith or therewith, (iii) the performance or observance of any of the covenants, agreements, or other terms and conditions set forth in any Loan Document, (iv) the validity, enforceability, effectiveness or genuineness of any Loan Document or any other agreement, instrument or document, or (v) the satisfaction of any condition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elsewhere in any Loan Document, other than to confirm receipt of items expressly required to be delivered to the Administrative Agent. The Administrative Agent may consult with legal counsel (including counsel for the Borrower) concerning all matters pertaining to such duties.</w:t>
      </w:r>
    </w:p>
    <w:p>
      <w:pPr>
        <w:spacing w:after="0" w:line="39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9.03. </w:t>
      </w:r>
      <w:r>
        <w:rPr>
          <w:rFonts w:ascii="Arial" w:cs="Arial" w:eastAsia="Arial" w:hAnsi="Arial"/>
          <w:sz w:val="17"/>
          <w:szCs w:val="17"/>
          <w:u w:val="single" w:color="auto"/>
          <w:color w:val="auto"/>
        </w:rPr>
        <w:t>Lack of Reliance on the Administrative Agent</w:t>
      </w:r>
      <w:r>
        <w:rPr>
          <w:rFonts w:ascii="Arial" w:cs="Arial" w:eastAsia="Arial" w:hAnsi="Arial"/>
          <w:sz w:val="17"/>
          <w:szCs w:val="17"/>
          <w:color w:val="auto"/>
        </w:rPr>
        <w:t>. Each of the Lenders, the Swingline Lender and each L/C Issuer acknowledges that it has, independently and without reliance upon the Administrative Agent, any L/C Issuer or any other Lender and based on such documents and information as it has deemed appropriate, made its own credit analysis and decision to enter into this Agreement. Each of the Lenders, the Swingline Lender and any L/C Issuer also acknowledges that it will, independently and without reliance upon the Administrative Agent, any L/C Issuer or any other Lender and based on such documents and information as it has deemed appropriate, continue to make its own decisions in taking or not taking any action under or based on this Agreement, any related agreement or any document furnished hereunder or thereunder.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E-4-99</w:t>
      </w:r>
    </w:p>
    <w:p>
      <w:pPr>
        <w:sectPr>
          <w:pgSz w:w="11900" w:h="16838" w:orient="portrait"/>
          <w:cols w:equalWidth="0" w:num="1">
            <w:col w:w="11020"/>
          </w:cols>
          <w:pgMar w:left="440" w:top="274" w:right="439" w:bottom="1440" w:gutter="0" w:footer="0" w:header="0"/>
        </w:sectPr>
      </w:pPr>
    </w:p>
    <w:bookmarkStart w:id="125" w:name="page126"/>
    <w:bookmarkEnd w:id="125"/>
    <w:p>
      <w:pPr>
        <w:ind w:right="4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9.04. </w:t>
      </w:r>
      <w:r>
        <w:rPr>
          <w:rFonts w:ascii="Arial" w:cs="Arial" w:eastAsia="Arial" w:hAnsi="Arial"/>
          <w:sz w:val="18"/>
          <w:szCs w:val="18"/>
          <w:u w:val="single" w:color="auto"/>
          <w:color w:val="auto"/>
        </w:rPr>
        <w:t>Certain Rights of the Administrative Agent</w:t>
      </w:r>
      <w:r>
        <w:rPr>
          <w:rFonts w:ascii="Arial" w:cs="Arial" w:eastAsia="Arial" w:hAnsi="Arial"/>
          <w:sz w:val="18"/>
          <w:szCs w:val="18"/>
          <w:color w:val="auto"/>
        </w:rPr>
        <w:t>. If the Administrative Agent shall request instructions from the Required Lenders with respect to any action or actions (including the failure to act) in connection with this Agreement, the Administrative Agent shall be entitled to refrain from such act or taking such act unless and until it shall have received instructions from such Lenders, and the Administrative Agent shall not incur liability to any Person by reason of so refraining. Without limiting the foregoing, no Lender shall have any right of action whatsoever against the Administrative Agent as a result of the Administrative Agent acting or refraining from acting hereunder in accordance with the instructions of the Required Lenders where required by the terms of this Agreement.</w:t>
      </w:r>
    </w:p>
    <w:p>
      <w:pPr>
        <w:spacing w:after="0" w:line="193"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 xml:space="preserve">9.05. </w:t>
      </w:r>
      <w:r>
        <w:rPr>
          <w:rFonts w:ascii="Arial" w:cs="Arial" w:eastAsia="Arial" w:hAnsi="Arial"/>
          <w:sz w:val="16"/>
          <w:szCs w:val="16"/>
          <w:u w:val="single" w:color="auto"/>
          <w:color w:val="auto"/>
        </w:rPr>
        <w:t>Reliance by the Administrative Agent</w:t>
      </w:r>
      <w:r>
        <w:rPr>
          <w:rFonts w:ascii="Arial" w:cs="Arial" w:eastAsia="Arial" w:hAnsi="Arial"/>
          <w:sz w:val="16"/>
          <w:szCs w:val="16"/>
          <w:color w:val="auto"/>
        </w:rPr>
        <w:t>. The Administrative Agent shall be entitled to rely upon, and shall not incur any liability for relying upon, any notice, request, certificate, consent, statement,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(including counsel for the Borrower), independent public accountants and other experts selected by it and shall not be liable for any action taken or not taken by it in accordance with the advice of such counsel, accountants or experts.</w:t>
      </w:r>
    </w:p>
    <w:p>
      <w:pPr>
        <w:spacing w:after="0" w:line="165"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 xml:space="preserve">9.06. </w:t>
      </w:r>
      <w:r>
        <w:rPr>
          <w:rFonts w:ascii="Arial" w:cs="Arial" w:eastAsia="Arial" w:hAnsi="Arial"/>
          <w:sz w:val="16"/>
          <w:szCs w:val="16"/>
          <w:u w:val="single" w:color="auto"/>
          <w:color w:val="auto"/>
        </w:rPr>
        <w:t>The Administrative Agent in its Individual Capacity</w:t>
      </w:r>
      <w:r>
        <w:rPr>
          <w:rFonts w:ascii="Arial" w:cs="Arial" w:eastAsia="Arial" w:hAnsi="Arial"/>
          <w:sz w:val="16"/>
          <w:szCs w:val="16"/>
          <w:color w:val="auto"/>
        </w:rPr>
        <w:t>. The Person serving as the Administrative Agent shall have the same rights and powers under this Agreement and any other Loan Document in its capacity as a Lender as any other Lender and may exercise or refrain from exercising the same as though it were not the Administrative Agent; and the terms “Lenders,” “Required Lenders,” “Required Revolving Lenders,” “Required Term Lenders” or any similar terms shall, unless the context clearly otherwise indicates, include the Administrative Agent in its individual capacity. The Person acting as the Administrative Agent and its Affiliates may accept deposits from, lend money to, and generally engage in any kind of business with the Borrower or any Subsidiary or Affiliate of the Borrower as if it were not the Administrative Agent hereunder.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9.07. </w:t>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93" w:lineRule="auto"/>
        <w:tabs>
          <w:tab w:leader="none" w:pos="68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The Administrative Agent may resign at any time by giving notice thereof to the Lenders, the L/C Issuer and the Borrower. Upon any such resignation, the Required Lenders shall have the right to appoint a successor Administrative Agent, subject to approval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Default or Event of Default shall exist at such time. If no successor Administrative Agent shall have been so appointed, and shall have accepted such appointment within 30 days after the retiring Administrative Agent gives notice of resignation, then the retiring Administrative Agent may, on behalf of the Lenders, appoint a successor Administrative Agent which shall be a commercial bank organized under the laws of the United States or any state thereof or a bank which maintains an office in the United States and has a combined capital and sur</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of at least $500,000,000.</w:t>
      </w:r>
    </w:p>
    <w:p>
      <w:pPr>
        <w:spacing w:after="0" w:line="56" w:lineRule="exact"/>
        <w:rPr>
          <w:rFonts w:ascii="Arial" w:cs="Arial" w:eastAsia="Arial" w:hAnsi="Arial"/>
          <w:sz w:val="16"/>
          <w:szCs w:val="16"/>
          <w:color w:val="auto"/>
        </w:rPr>
      </w:pPr>
    </w:p>
    <w:p>
      <w:pPr>
        <w:ind w:right="140" w:firstLine="444"/>
        <w:spacing w:after="0" w:line="264" w:lineRule="auto"/>
        <w:tabs>
          <w:tab w:leader="none" w:pos="69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If the Person serving as Administrative Agent is a Defaulting Lender pursuant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thereof, the Required Lenders may, to the extent permitted by applicable law, by notice in writing to the Borrower and such Person remove such Person as Administrative Agent and, in consultation with the Borrower, appoint a successor.</w:t>
      </w:r>
    </w:p>
    <w:p>
      <w:pPr>
        <w:spacing w:after="0" w:line="73" w:lineRule="exact"/>
        <w:rPr>
          <w:rFonts w:ascii="Arial" w:cs="Arial" w:eastAsia="Arial" w:hAnsi="Arial"/>
          <w:sz w:val="18"/>
          <w:szCs w:val="18"/>
          <w:color w:val="auto"/>
        </w:rPr>
      </w:pPr>
    </w:p>
    <w:p>
      <w:pPr>
        <w:ind w:right="20" w:firstLine="444"/>
        <w:spacing w:after="0" w:line="286" w:lineRule="auto"/>
        <w:tabs>
          <w:tab w:leader="none" w:pos="68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Upon the acceptance of its appointment as the Administrative Agent hereunder by a successor, such successor Administrative Agent shall thereupon succeed to and become vested with all the rights, powers, privileges and duties of the retiring Administrative Agent, and the retiring or removed Administrative Agent shall be discharged from its duties and obligations under this Agreement and the other Loan Documents. If, within 45 days after written notice is given of the retiring or removed Administrative Agent shall be discharged from its duties and obligations under this Agreement Administrative Agent’s resignation or the removal of the Administrative Agent under this Section, no successor Administrative Agent shall have been appointed and shall have accepted such appointment, then on such 45th day (i) the retiring or removed Administrative Agent shall be discharged from its duties and obligations under this Agreement Administrative Agent’s resignation shall become effective, (ii) the retiring or removed Administrative Agent shall be discharged from its duties and obligations under this Agreement Administrative Agent shall thereupon be discharged from its duties and obligations under the Loan Documents and (iii) the Required Lenders shall thereafter perform all duties of the retiring or removed Administrative Agent shall be discharged from its duties and obligations under this Agreement Administrative Agent under the Loan Documents until such time as the Required Lenders appoint a successor Administrative Agent as provided above. After any retiring Administrative Agent’s resignation hereunder, the provisions of this Article shall continue in effect for the benefit of such retiring or removed Administrative Agent and its representatives and agents in respect of any actions taken or not taken by any of them while it was serving as the Administrative Agent.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E-4-100</w:t>
      </w:r>
    </w:p>
    <w:p>
      <w:pPr>
        <w:sectPr>
          <w:pgSz w:w="11900" w:h="16838" w:orient="portrait"/>
          <w:cols w:equalWidth="0" w:num="1">
            <w:col w:w="11020"/>
          </w:cols>
          <w:pgMar w:left="440" w:top="274" w:right="439" w:bottom="1440" w:gutter="0" w:footer="0" w:header="0"/>
        </w:sectPr>
      </w:pPr>
    </w:p>
    <w:bookmarkStart w:id="126" w:name="page127"/>
    <w:bookmarkEnd w:id="126"/>
    <w:p>
      <w:pPr>
        <w:ind w:right="180" w:firstLine="444"/>
        <w:spacing w:after="0" w:line="302" w:lineRule="auto"/>
        <w:tabs>
          <w:tab w:leader="none" w:pos="696" w:val="left"/>
        </w:tabs>
        <w:numPr>
          <w:ilvl w:val="0"/>
          <w:numId w:val="1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addition to the foregoing, if a Lender becomes, and during the period it remains, a Defaulting Lender, and if any Default has arisen from a failure of the Borrower to comply with </w:t>
      </w:r>
      <w:r>
        <w:rPr>
          <w:rFonts w:ascii="Arial" w:cs="Arial" w:eastAsia="Arial" w:hAnsi="Arial"/>
          <w:sz w:val="16"/>
          <w:szCs w:val="16"/>
          <w:u w:val="single" w:color="auto"/>
          <w:color w:val="auto"/>
        </w:rPr>
        <w:t>Section 2.15(a)</w:t>
      </w:r>
      <w:r>
        <w:rPr>
          <w:rFonts w:ascii="Arial" w:cs="Arial" w:eastAsia="Arial" w:hAnsi="Arial"/>
          <w:sz w:val="16"/>
          <w:szCs w:val="16"/>
          <w:color w:val="auto"/>
        </w:rPr>
        <w:t>, then the L/C Issuer and the Swingline Lender may, upon prior written notice to the Borrower and the Administrative Agent, resign as L/C Issuer or as Swingline Lender, as the case may be, effective at the close of business Charlotte, North Carolina time on a date specified in such notice (which date may not be less than five (5) Business Days after the date of such notice).</w:t>
      </w:r>
    </w:p>
    <w:p>
      <w:pPr>
        <w:spacing w:after="0" w:line="46" w:lineRule="exact"/>
        <w:rPr>
          <w:rFonts w:ascii="Arial" w:cs="Arial" w:eastAsia="Arial" w:hAnsi="Arial"/>
          <w:sz w:val="16"/>
          <w:szCs w:val="16"/>
          <w:color w:val="auto"/>
        </w:rPr>
      </w:pPr>
    </w:p>
    <w:p>
      <w:pPr>
        <w:ind w:firstLine="444"/>
        <w:spacing w:after="0" w:line="287" w:lineRule="auto"/>
        <w:tabs>
          <w:tab w:leader="none" w:pos="68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 xml:space="preserve">Any resignation or removal by any Person as Administrative Agent pursuant to this Section shall also constitute its resignation as an L/C Issuer and Swing Line Lender. If any such Person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any Person resigns as Swing Line Lender, it shall retain all the rights of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by the Borrower of a successor L/C Issuer or Swing Line Lender hereunder (which successor shall in all cases be a Lender other than a Defaulting Lender), (i) such successor shall succeed to and become vested with all of the rights, powers, privileges and duties of the retiring L/C Issuer or Swing Line Lender, as applicable, (ii) the retiring L/C Issuer and Swing 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69" w:lineRule="exact"/>
        <w:rPr>
          <w:sz w:val="20"/>
          <w:szCs w:val="20"/>
          <w:color w:val="auto"/>
        </w:rPr>
      </w:pPr>
    </w:p>
    <w:p>
      <w:pPr>
        <w:ind w:right="20" w:firstLine="441"/>
        <w:spacing w:after="0" w:line="253" w:lineRule="auto"/>
        <w:rPr>
          <w:sz w:val="20"/>
          <w:szCs w:val="20"/>
          <w:color w:val="auto"/>
        </w:rPr>
      </w:pPr>
      <w:r>
        <w:rPr>
          <w:rFonts w:ascii="Arial" w:cs="Arial" w:eastAsia="Arial" w:hAnsi="Arial"/>
          <w:sz w:val="18"/>
          <w:szCs w:val="18"/>
          <w:color w:val="auto"/>
        </w:rPr>
        <w:t xml:space="preserve">9.08. </w:t>
      </w:r>
      <w:r>
        <w:rPr>
          <w:rFonts w:ascii="Arial" w:cs="Arial" w:eastAsia="Arial" w:hAnsi="Arial"/>
          <w:sz w:val="18"/>
          <w:szCs w:val="18"/>
          <w:u w:val="single" w:color="auto"/>
          <w:color w:val="auto"/>
        </w:rPr>
        <w:t>Withholding Tax</w:t>
      </w:r>
      <w:r>
        <w:rPr>
          <w:rFonts w:ascii="Arial" w:cs="Arial" w:eastAsia="Arial" w:hAnsi="Arial"/>
          <w:sz w:val="18"/>
          <w:szCs w:val="18"/>
          <w:color w:val="auto"/>
        </w:rPr>
        <w:t>. In addition to and without limiting the application of Section 3.01, to the extent required by any applicable law, the Administrative Agent may withhold from any amounts paid to or for the account of any Lender an amount equivalent to any applicable withholding tax. If the IRS or any authority of the United States or any other jurisdiction asserts a claim that the Administrative Agent did not properly withhold tax from amounts paid to or for the account of any Lender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the obligation of the Borrower to do so) fully for all amounts paid, directly or indirectly, by the Administrative Agent as tax or otherwise, including penalties and interest, together with all expenses incurred, including legal expenses, allocated staff costs and any out of pocket expenses.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9.09. </w:t>
      </w:r>
      <w:r>
        <w:rPr>
          <w:rFonts w:ascii="Arial" w:cs="Arial" w:eastAsia="Arial" w:hAnsi="Arial"/>
          <w:sz w:val="18"/>
          <w:szCs w:val="18"/>
          <w:u w:val="single" w:color="auto"/>
          <w:color w:val="auto"/>
        </w:rPr>
        <w:t>The Administrative Agent May File Proofs of Claim; Credit Bidding</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79" w:lineRule="auto"/>
        <w:tabs>
          <w:tab w:leader="none" w:pos="68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In case of the pendency of any receivership, insolvency, liquidation, bankruptcy, reorganization, arrangement, adjustment, composition or other judicial proceeding relative to any Loan Party, the Administrative Agent (irrespective of whether the principal of any Loan or any Revolving Credit Exposure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63" w:lineRule="exact"/>
        <w:rPr>
          <w:rFonts w:ascii="Arial" w:cs="Arial" w:eastAsia="Arial" w:hAnsi="Arial"/>
          <w:sz w:val="17"/>
          <w:szCs w:val="17"/>
          <w:color w:val="auto"/>
        </w:rPr>
      </w:pPr>
    </w:p>
    <w:p>
      <w:pPr>
        <w:ind w:left="440" w:right="60" w:firstLine="428"/>
        <w:spacing w:after="0" w:line="276" w:lineRule="auto"/>
        <w:tabs>
          <w:tab w:leader="none" w:pos="1078"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or Revolving Credit Exposure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its agents and counsel and all other amounts due the Lenders, the L/C Issuer and the Administrative Agent under </w:t>
      </w:r>
      <w:r>
        <w:rPr>
          <w:rFonts w:ascii="Arial" w:cs="Arial" w:eastAsia="Arial" w:hAnsi="Arial"/>
          <w:sz w:val="17"/>
          <w:szCs w:val="17"/>
          <w:u w:val="single" w:color="auto"/>
          <w:color w:val="auto"/>
        </w:rPr>
        <w:t>Section 10.04</w:t>
      </w:r>
      <w:r>
        <w:rPr>
          <w:rFonts w:ascii="Arial" w:cs="Arial" w:eastAsia="Arial" w:hAnsi="Arial"/>
          <w:sz w:val="17"/>
          <w:szCs w:val="17"/>
          <w:color w:val="auto"/>
        </w:rPr>
        <w:t>) allowed in such judicial proceeding;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E-4-101</w:t>
      </w:r>
    </w:p>
    <w:p>
      <w:pPr>
        <w:sectPr>
          <w:pgSz w:w="11900" w:h="16838" w:orient="portrait"/>
          <w:cols w:equalWidth="0" w:num="1">
            <w:col w:w="11020"/>
          </w:cols>
          <w:pgMar w:left="440" w:top="274" w:right="439" w:bottom="1440" w:gutter="0" w:footer="0" w:header="0"/>
        </w:sectPr>
      </w:pPr>
    </w:p>
    <w:bookmarkStart w:id="127" w:name="page128"/>
    <w:bookmarkEnd w:id="127"/>
    <w:p>
      <w:pPr>
        <w:ind w:left="1140" w:hanging="272"/>
        <w:spacing w:after="0"/>
        <w:tabs>
          <w:tab w:leader="none" w:pos="11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collect and receive any monies or other property payable or deliverable on any such claims and to distribute the same.</w:t>
      </w:r>
    </w:p>
    <w:p>
      <w:pPr>
        <w:spacing w:after="0" w:line="117" w:lineRule="exact"/>
        <w:rPr>
          <w:rFonts w:ascii="Arial" w:cs="Arial" w:eastAsia="Arial" w:hAnsi="Arial"/>
          <w:sz w:val="18"/>
          <w:szCs w:val="18"/>
          <w:color w:val="auto"/>
        </w:rPr>
      </w:pPr>
    </w:p>
    <w:p>
      <w:pPr>
        <w:ind w:right="60" w:firstLine="444"/>
        <w:spacing w:after="0" w:line="257" w:lineRule="auto"/>
        <w:tabs>
          <w:tab w:leader="none" w:pos="69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Any custodian, receiver, assignee, trustee, liquidator, sequestrator or other similar official in any such judicial proceeding is hereby authorized by each Lender and the L/C Issuer to make such payments to the Administrative Agent and, if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 10.04</w:t>
      </w:r>
      <w:r>
        <w:rPr>
          <w:rFonts w:ascii="Arial" w:cs="Arial" w:eastAsia="Arial" w:hAnsi="Arial"/>
          <w:sz w:val="18"/>
          <w:szCs w:val="18"/>
          <w:color w:val="auto"/>
        </w:rPr>
        <w:t>.</w:t>
      </w:r>
    </w:p>
    <w:p>
      <w:pPr>
        <w:spacing w:after="0" w:line="188"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to authorize the Administrative Agent to vote in respect of the claim of any Lender in any such proceeding.</w:t>
      </w:r>
    </w:p>
    <w:p>
      <w:pPr>
        <w:spacing w:after="0" w:line="181"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w:t>
      </w:r>
    </w:p>
    <w:p>
      <w:pPr>
        <w:ind w:right="120" w:firstLine="4"/>
        <w:spacing w:after="0" w:line="281" w:lineRule="auto"/>
        <w:tabs>
          <w:tab w:leader="none" w:pos="24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Laws.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w:t>
      </w:r>
    </w:p>
    <w:p>
      <w:pPr>
        <w:spacing w:after="0" w:line="8" w:lineRule="exact"/>
        <w:rPr>
          <w:rFonts w:ascii="Arial" w:cs="Arial" w:eastAsia="Arial" w:hAnsi="Arial"/>
          <w:sz w:val="16"/>
          <w:szCs w:val="16"/>
          <w:color w:val="auto"/>
        </w:rPr>
      </w:pPr>
    </w:p>
    <w:p>
      <w:pPr>
        <w:ind w:firstLine="4"/>
        <w:spacing w:after="0" w:line="251" w:lineRule="auto"/>
        <w:tabs>
          <w:tab w:leader="none" w:pos="24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through (i)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of this Agreement, (iii) the Administrative Agent shall be authorized to assign the relevant Obligations to any such acquisition vehicle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by the Lenders, as a result of which each of the Lenders shall be deemed to have received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98"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Authorization to Execute Other Loan Documents</w:t>
      </w:r>
      <w:r>
        <w:rPr>
          <w:rFonts w:ascii="Arial" w:cs="Arial" w:eastAsia="Arial" w:hAnsi="Arial"/>
          <w:sz w:val="18"/>
          <w:szCs w:val="18"/>
          <w:color w:val="auto"/>
        </w:rPr>
        <w:t>. Each Lender hereby authorizes the Administrative Agent to execute on behalf of all Lenders all Loan Documents (including, without limitation, the Collateral Documents, any subordination agreements and any intercreditor agreements) other than this Agreement and the Amendment and Restatement Agreement.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E-4-102</w:t>
      </w:r>
    </w:p>
    <w:p>
      <w:pPr>
        <w:sectPr>
          <w:pgSz w:w="11900" w:h="16838" w:orient="portrait"/>
          <w:cols w:equalWidth="0" w:num="1">
            <w:col w:w="11000"/>
          </w:cols>
          <w:pgMar w:left="440" w:top="274" w:right="459" w:bottom="1440" w:gutter="0" w:footer="0" w:header="0"/>
        </w:sectPr>
      </w:pPr>
    </w:p>
    <w:bookmarkStart w:id="128" w:name="page129"/>
    <w:bookmarkEnd w:id="1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9.11. </w:t>
      </w: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 The Lenders irrevocably authorize the Administrative Agent, at its option and in its discretion:</w:t>
      </w:r>
    </w:p>
    <w:p>
      <w:pPr>
        <w:spacing w:after="0" w:line="117" w:lineRule="exact"/>
        <w:rPr>
          <w:sz w:val="20"/>
          <w:szCs w:val="20"/>
          <w:color w:val="auto"/>
        </w:rPr>
      </w:pPr>
    </w:p>
    <w:p>
      <w:pPr>
        <w:ind w:left="440" w:right="20" w:firstLine="428"/>
        <w:spacing w:after="0" w:line="270" w:lineRule="auto"/>
        <w:tabs>
          <w:tab w:leader="none" w:pos="110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to release any Lien on any property granted to or held by the Administrative Agent under any Loan Document (i) upon termination of the Aggregate Commitments and payment in full of all Obligations (other than (A) contingent indemnification obligations and (B) obligations and liabilities under Secured Cash Management Agreements and Secured Hedge Agreements as to which arrangements satisfactory to the Administrative Agent and the applicable Cash Management Bank of Hedge Bank shall have been made) and the expiration or termination of all Letters of Credit (other than Letters of Credit as to which other arrangements satisfactory to the Administrative Agent and the applicable L/C Issuer shall have been made), (ii) that is sold or otherwise disposed of or to be sold or otherwise disposed of as part of or in connection with any sale or other disposition permitted hereunder or under any other Loan Document to a Person that is not a Loan Party, (iii) that constitutes “Excluded Assets” (as such term is defined in the Security Agreement), (iv) if approved, authorized or ratified in writing in accordance with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or (v) if the property subject to such Lien is owned by a Guarantor, upon the release of such Guarantor from its obligations under the Guaranty pursuant to clause (d) below;</w:t>
      </w:r>
    </w:p>
    <w:p>
      <w:pPr>
        <w:spacing w:after="0" w:line="69" w:lineRule="exact"/>
        <w:rPr>
          <w:rFonts w:ascii="Arial" w:cs="Arial" w:eastAsia="Arial" w:hAnsi="Arial"/>
          <w:sz w:val="17"/>
          <w:szCs w:val="17"/>
          <w:color w:val="auto"/>
        </w:rPr>
      </w:pPr>
    </w:p>
    <w:p>
      <w:pPr>
        <w:ind w:left="440" w:right="260" w:firstLine="428"/>
        <w:spacing w:after="0" w:line="277" w:lineRule="auto"/>
        <w:tabs>
          <w:tab w:leader="none" w:pos="111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release any Loan Party from its obligations under the applicable Collateral Documents if such Person ceases to be a Subsidiary as a result of a transaction permitted under the Loan Documents;</w:t>
      </w:r>
    </w:p>
    <w:p>
      <w:pPr>
        <w:spacing w:after="0" w:line="62" w:lineRule="exact"/>
        <w:rPr>
          <w:rFonts w:ascii="Arial" w:cs="Arial" w:eastAsia="Arial" w:hAnsi="Arial"/>
          <w:sz w:val="18"/>
          <w:szCs w:val="18"/>
          <w:color w:val="auto"/>
        </w:rPr>
      </w:pPr>
    </w:p>
    <w:p>
      <w:pPr>
        <w:ind w:left="440" w:right="180" w:firstLine="428"/>
        <w:spacing w:after="0" w:line="277" w:lineRule="auto"/>
        <w:tabs>
          <w:tab w:leader="none" w:pos="110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 7.01(d)</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40" w:right="120" w:firstLine="428"/>
        <w:spacing w:after="0" w:line="264" w:lineRule="auto"/>
        <w:tabs>
          <w:tab w:leader="none" w:pos="111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to release any Guarantor from its obligations under the Guaranty if such Person ceases to be a Subsidiary or as a result of a transaction permitted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release shall occur if such Guarantor continues to be a guarantor in respect of any Indebtedness of the Borrower or any of its Subsidiaries.</w:t>
      </w:r>
    </w:p>
    <w:p>
      <w:pPr>
        <w:spacing w:after="0" w:line="181"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7" w:lineRule="exact"/>
        <w:rPr>
          <w:sz w:val="20"/>
          <w:szCs w:val="20"/>
          <w:color w:val="auto"/>
        </w:rPr>
      </w:pPr>
    </w:p>
    <w:p>
      <w:pPr>
        <w:ind w:right="220" w:firstLine="441"/>
        <w:spacing w:after="0" w:line="272" w:lineRule="auto"/>
        <w:rPr>
          <w:sz w:val="20"/>
          <w:szCs w:val="20"/>
          <w:color w:val="auto"/>
        </w:rPr>
      </w:pPr>
      <w:r>
        <w:rPr>
          <w:rFonts w:ascii="Arial" w:cs="Arial" w:eastAsia="Arial" w:hAnsi="Arial"/>
          <w:sz w:val="17"/>
          <w:szCs w:val="17"/>
          <w:color w:val="auto"/>
        </w:rPr>
        <w:t>Upon request by the Administrative Agent at any time, the Required Lenders will confirm in writing the Administrative Agent’s authority to release its interest in particular types or items of property, or to release any Loan Party from its obligations under the applicable Collateral Documents pursuant to this Section. In each case as specified in this Section, the Administrative Agent will promptly upon the request of the Borrower (and each Lender irrevocably authorizes the Administrative Agent to), at the Borrower’s expense, to execute and deliver to the applicable Loan Party such documents as such Loan Party may reasonably request to evidence the release of such item of Collateral from the Liens granted under the applicable Collateral Documents, or to release such Loan Party from its obligations under the Guaranty and the applicable Collateral Documents, in each case in accordance with the terms of the Loan Documents and this Section.</w:t>
      </w:r>
    </w:p>
    <w:p>
      <w:pPr>
        <w:spacing w:after="0" w:line="178"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Documentation Agents</w:t>
      </w:r>
      <w:r>
        <w:rPr>
          <w:rFonts w:ascii="Arial" w:cs="Arial" w:eastAsia="Arial" w:hAnsi="Arial"/>
          <w:sz w:val="18"/>
          <w:szCs w:val="18"/>
          <w:color w:val="auto"/>
        </w:rPr>
        <w:t>. Each Lender hereby designates KeyBank as Documentation Agent and agrees that the Documentation Agents shall have no duties or other obligations under any Loan Documents to any Lender or any Loan Party.</w:t>
      </w:r>
    </w:p>
    <w:p>
      <w:pPr>
        <w:spacing w:after="0" w:line="17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9.13. </w:t>
      </w:r>
      <w:r>
        <w:rPr>
          <w:rFonts w:ascii="Arial" w:cs="Arial" w:eastAsia="Arial" w:hAnsi="Arial"/>
          <w:sz w:val="17"/>
          <w:szCs w:val="17"/>
          <w:u w:val="single" w:color="auto"/>
          <w:color w:val="auto"/>
        </w:rPr>
        <w:t>Right to Realize on Collateral and Enforce Guarantee</w:t>
      </w:r>
      <w:r>
        <w:rPr>
          <w:rFonts w:ascii="Arial" w:cs="Arial" w:eastAsia="Arial" w:hAnsi="Arial"/>
          <w:sz w:val="17"/>
          <w:szCs w:val="17"/>
          <w:color w:val="auto"/>
        </w:rPr>
        <w:t>. Anything contained in any of the Loan Documents to the contrary notwithstanding, the Borrower, the Administrative Agent and each Lender hereby agree that (i) no Lender shall have any right individually to realize upon any of the Collateral or to enforce the Collateral Documents, it being understood and agreed that all powers, rights and remedies hereunder and under the Collateral Documents may be exercised solely by the Administrative Agent, and (ii)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E-4-103</w:t>
      </w:r>
    </w:p>
    <w:p>
      <w:pPr>
        <w:sectPr>
          <w:pgSz w:w="11900" w:h="16838" w:orient="portrait"/>
          <w:cols w:equalWidth="0" w:num="1">
            <w:col w:w="11020"/>
          </w:cols>
          <w:pgMar w:left="440" w:top="274" w:right="439" w:bottom="1440" w:gutter="0" w:footer="0" w:header="0"/>
        </w:sectPr>
      </w:pPr>
    </w:p>
    <w:bookmarkStart w:id="129" w:name="page130"/>
    <w:bookmarkEnd w:id="129"/>
    <w:p>
      <w:pPr>
        <w:ind w:right="20" w:firstLine="44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9.14. </w:t>
      </w:r>
      <w:r>
        <w:rPr>
          <w:rFonts w:ascii="Arial" w:cs="Arial" w:eastAsia="Arial" w:hAnsi="Arial"/>
          <w:sz w:val="16"/>
          <w:szCs w:val="16"/>
          <w:u w:val="single" w:color="auto"/>
          <w:color w:val="auto"/>
        </w:rPr>
        <w:t>Secured Cash Management Agreements and Secured Hedge Agreements</w:t>
      </w:r>
      <w:r>
        <w:rPr>
          <w:rFonts w:ascii="Arial" w:cs="Arial" w:eastAsia="Arial" w:hAnsi="Arial"/>
          <w:sz w:val="16"/>
          <w:szCs w:val="16"/>
          <w:color w:val="auto"/>
        </w:rPr>
        <w:t xml:space="preserve">. Except as otherwise expressly set forth herein or in any Guaranty or any Collateral Document, no Cash Management Bank or Hedge Bank that obtains the benefits of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 xml:space="preserve">10.01. </w:t>
      </w:r>
      <w:r>
        <w:rPr>
          <w:rFonts w:ascii="Arial" w:cs="Arial" w:eastAsia="Arial" w:hAnsi="Arial"/>
          <w:sz w:val="16"/>
          <w:szCs w:val="16"/>
          <w:u w:val="single" w:color="auto"/>
          <w:color w:val="auto"/>
        </w:rPr>
        <w:t>Amendments, Etc</w:t>
      </w:r>
      <w:r>
        <w:rPr>
          <w:rFonts w:ascii="Arial" w:cs="Arial" w:eastAsia="Arial" w:hAnsi="Arial"/>
          <w:sz w:val="16"/>
          <w:szCs w:val="16"/>
          <w:color w:val="auto"/>
        </w:rPr>
        <w:t xml:space="preserve">.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amendment, waiver or consent shall:</w:t>
      </w:r>
    </w:p>
    <w:p>
      <w:pPr>
        <w:spacing w:after="0" w:line="46" w:lineRule="exact"/>
        <w:rPr>
          <w:sz w:val="20"/>
          <w:szCs w:val="20"/>
          <w:color w:val="auto"/>
        </w:rPr>
      </w:pPr>
    </w:p>
    <w:p>
      <w:pPr>
        <w:ind w:left="440" w:right="720" w:firstLine="428"/>
        <w:spacing w:after="0" w:line="277" w:lineRule="auto"/>
        <w:tabs>
          <w:tab w:leader="none" w:pos="110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in the case of the initial Credit Extension, waive any condition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4.01(c)(i)</w:t>
      </w:r>
      <w:r>
        <w:rPr>
          <w:rFonts w:ascii="Arial" w:cs="Arial" w:eastAsia="Arial" w:hAnsi="Arial"/>
          <w:sz w:val="18"/>
          <w:szCs w:val="18"/>
          <w:color w:val="auto"/>
        </w:rPr>
        <w:t xml:space="preserve">) or any of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without the written consent of each Lender;</w:t>
      </w:r>
    </w:p>
    <w:p>
      <w:pPr>
        <w:spacing w:after="0" w:line="62" w:lineRule="exact"/>
        <w:rPr>
          <w:rFonts w:ascii="Arial" w:cs="Arial" w:eastAsia="Arial" w:hAnsi="Arial"/>
          <w:sz w:val="18"/>
          <w:szCs w:val="18"/>
          <w:color w:val="auto"/>
        </w:rPr>
      </w:pPr>
    </w:p>
    <w:p>
      <w:pPr>
        <w:jc w:val="both"/>
        <w:ind w:left="440" w:right="260" w:firstLine="428"/>
        <w:spacing w:after="0" w:line="259" w:lineRule="auto"/>
        <w:tabs>
          <w:tab w:leader="none" w:pos="111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while the Term Loans remain outstanding, without the prior written consent of the Required Revolving Lenders, amend, modify or waive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or any other provision of this Agreement if the effect of such amendment, modification or waiver is to require the Revolving Credit Lenders to make Revolving Credit Loans when such Lenders would not otherwise be required to do so;</w:t>
      </w:r>
    </w:p>
    <w:p>
      <w:pPr>
        <w:spacing w:after="0" w:line="78" w:lineRule="exact"/>
        <w:rPr>
          <w:rFonts w:ascii="Arial" w:cs="Arial" w:eastAsia="Arial" w:hAnsi="Arial"/>
          <w:sz w:val="18"/>
          <w:szCs w:val="18"/>
          <w:color w:val="auto"/>
        </w:rPr>
      </w:pPr>
    </w:p>
    <w:p>
      <w:pPr>
        <w:ind w:left="440" w:right="520" w:firstLine="428"/>
        <w:spacing w:after="0" w:line="277" w:lineRule="auto"/>
        <w:tabs>
          <w:tab w:leader="none" w:pos="110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without the written consent of such Lender;</w:t>
      </w:r>
    </w:p>
    <w:p>
      <w:pPr>
        <w:spacing w:after="0" w:line="62" w:lineRule="exact"/>
        <w:rPr>
          <w:rFonts w:ascii="Arial" w:cs="Arial" w:eastAsia="Arial" w:hAnsi="Arial"/>
          <w:sz w:val="18"/>
          <w:szCs w:val="18"/>
          <w:color w:val="auto"/>
        </w:rPr>
      </w:pPr>
    </w:p>
    <w:p>
      <w:pPr>
        <w:ind w:left="440" w:right="220" w:firstLine="428"/>
        <w:spacing w:after="0" w:line="264" w:lineRule="auto"/>
        <w:tabs>
          <w:tab w:leader="none" w:pos="111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such other Loan Document without the written consent of each such Lender entitled to such payment;</w:t>
      </w:r>
    </w:p>
    <w:p>
      <w:pPr>
        <w:spacing w:after="0" w:line="73" w:lineRule="exact"/>
        <w:rPr>
          <w:rFonts w:ascii="Arial" w:cs="Arial" w:eastAsia="Arial" w:hAnsi="Arial"/>
          <w:sz w:val="18"/>
          <w:szCs w:val="18"/>
          <w:color w:val="auto"/>
        </w:rPr>
      </w:pPr>
    </w:p>
    <w:p>
      <w:pPr>
        <w:ind w:left="440" w:firstLine="428"/>
        <w:spacing w:after="0" w:line="291" w:lineRule="auto"/>
        <w:tabs>
          <w:tab w:leader="none" w:pos="110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or L/C Borrowing, or (subject to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the second proviso to this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any fees or other amounts payable hereunder or under any other Loan Document without the written consent of each Lender entitled to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the consent of (i) the Required Lenders shall be necessary to amend the definition of “Default Rate,” (ii) the Required Term Lenders shall be necessary to waive any obligation of the Borrower to pay interest on the Term Loans at the Default Rate and (iii) the Required Revolving Lenders shall be necessary to waive any obligation of the Borrower to pay interest on any Loans other than the Term Loans or Letter of Credit Fees at the Default Rate or to amend any financial covenant hereunder (or any defined term used therein) even if the effect of such amendment would be to reduce the rate of interest on any Loan or L/C Borrowing or to reduce any fee payable hereunder;</w:t>
      </w:r>
    </w:p>
    <w:p>
      <w:pPr>
        <w:spacing w:after="0" w:line="59" w:lineRule="exact"/>
        <w:rPr>
          <w:rFonts w:ascii="Arial" w:cs="Arial" w:eastAsia="Arial" w:hAnsi="Arial"/>
          <w:sz w:val="16"/>
          <w:szCs w:val="16"/>
          <w:color w:val="auto"/>
        </w:rPr>
      </w:pPr>
    </w:p>
    <w:p>
      <w:pPr>
        <w:ind w:left="440" w:right="40" w:firstLine="428"/>
        <w:spacing w:after="0" w:line="257" w:lineRule="auto"/>
        <w:tabs>
          <w:tab w:leader="none" w:pos="108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change (i)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in a manner that would alter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sharing of payments required thereby without the written consent of each Lender directly affected thereby or (ii) the order of application of any prepayment of Loans among the Facilities from the application thereof set forth in the applicable provisions of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in any manner that materially and adversely affects the Lenders under a Facility without the written consent of (x) if such Facility is the Term Facility, the Required Term Lenders, and (y) if such Facility is the Revolving Credit Facility, the Required Revolving Lenders;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E-4-104</w:t>
      </w:r>
    </w:p>
    <w:p>
      <w:pPr>
        <w:sectPr>
          <w:pgSz w:w="11900" w:h="16838" w:orient="portrait"/>
          <w:cols w:equalWidth="0" w:num="1">
            <w:col w:w="11000"/>
          </w:cols>
          <w:pgMar w:left="440" w:top="274" w:right="459" w:bottom="1440" w:gutter="0" w:footer="0" w:header="0"/>
        </w:sectPr>
      </w:pPr>
    </w:p>
    <w:bookmarkStart w:id="130" w:name="page131"/>
    <w:bookmarkEnd w:id="130"/>
    <w:p>
      <w:pPr>
        <w:jc w:val="both"/>
        <w:ind w:left="440" w:right="140" w:firstLine="428"/>
        <w:spacing w:after="0" w:line="259" w:lineRule="auto"/>
        <w:tabs>
          <w:tab w:leader="none" w:pos="1118"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any provision of this Section or reduce the percentages specified in (or alter the method of calculation thereof) the definition of any of “Required Lenders,” “Required Revolving Lenders” or “Required Term Lenders,” or any other provision hereof specifying the number or percentage of Lenders required to amend, waive or otherwise modify any rights hereunder or make any determination or grant any consent hereunder, without the written consent of each Lender directly affected thereby;</w:t>
      </w:r>
    </w:p>
    <w:p>
      <w:pPr>
        <w:spacing w:after="0" w:line="78" w:lineRule="exact"/>
        <w:rPr>
          <w:rFonts w:ascii="Arial" w:cs="Arial" w:eastAsia="Arial" w:hAnsi="Arial"/>
          <w:sz w:val="18"/>
          <w:szCs w:val="18"/>
          <w:color w:val="auto"/>
        </w:rPr>
      </w:pPr>
    </w:p>
    <w:p>
      <w:pPr>
        <w:ind w:left="1120" w:hanging="252"/>
        <w:spacing w:after="0"/>
        <w:tabs>
          <w:tab w:leader="none" w:pos="112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release all or substantially all of the Collateral in any transaction or series of related transactions, without the written consent of each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Lender;</w:t>
      </w:r>
    </w:p>
    <w:p>
      <w:pPr>
        <w:spacing w:after="0" w:line="102" w:lineRule="exact"/>
        <w:rPr>
          <w:rFonts w:ascii="Arial" w:cs="Arial" w:eastAsia="Arial" w:hAnsi="Arial"/>
          <w:sz w:val="16"/>
          <w:szCs w:val="16"/>
          <w:color w:val="auto"/>
        </w:rPr>
      </w:pPr>
    </w:p>
    <w:p>
      <w:pPr>
        <w:ind w:left="440" w:right="100" w:firstLine="428"/>
        <w:spacing w:after="0" w:line="264" w:lineRule="auto"/>
        <w:tabs>
          <w:tab w:leader="none" w:pos="107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release all or substantially all of the value of the Guaranty, without the written consent of each Lender, except to the extent the release of any Subsidiary from the Guaranty is permitted pursuant to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which case such release may be made by the Administrative Agent acting alone);</w:t>
      </w:r>
    </w:p>
    <w:p>
      <w:pPr>
        <w:spacing w:after="0" w:line="73" w:lineRule="exact"/>
        <w:rPr>
          <w:rFonts w:ascii="Arial" w:cs="Arial" w:eastAsia="Arial" w:hAnsi="Arial"/>
          <w:sz w:val="18"/>
          <w:szCs w:val="18"/>
          <w:color w:val="auto"/>
        </w:rPr>
      </w:pPr>
    </w:p>
    <w:p>
      <w:pPr>
        <w:ind w:left="1080" w:hanging="212"/>
        <w:spacing w:after="0"/>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without the prior written consent of the Required Revolving Lenders, amend, modify or waive </w:t>
      </w:r>
      <w:r>
        <w:rPr>
          <w:rFonts w:ascii="Arial" w:cs="Arial" w:eastAsia="Arial" w:hAnsi="Arial"/>
          <w:sz w:val="18"/>
          <w:szCs w:val="18"/>
          <w:u w:val="single" w:color="auto"/>
          <w:color w:val="auto"/>
        </w:rPr>
        <w:t>Section 6.02(b)</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440" w:firstLine="428"/>
        <w:spacing w:after="0" w:line="264" w:lineRule="auto"/>
        <w:tabs>
          <w:tab w:leader="none" w:pos="111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 Facility to assign any of its rights or obligations hereunder without the written consent of (i) if such Facility is the Term Facility, the Required Term Lenders and (ii) if such Facility is the Revolving Credit Facility, the Required Revolving Lenders;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 no amendment, waiver or consent shall, unless in writing and signed by the Administrative Agent in addition to the Lenders required above, affect the rights or duties of the Administrative Agent under this Agreement or any other Loan Document, (ii) the Fee Letter may be amended, or rights or privileges thereunder waived, in a writing executed only by the parties thereto, (iii) no amendment, waiver or consent shall, unless in writing and signed by the L/C Issuers in addition to the Lenders required above, affect the rights or duties of the L/C Issuers under this Agreement or any Issuer Document relating to any Letter of Credit issued or to be issued by it and (iv) no amendment, waiver or consent shall, unless in writing and signed by the Swing Line Lender in addition to the Lenders required above, affect the rights or duties of the Swing Line Lender under this Agreement.</w:t>
      </w:r>
    </w:p>
    <w:p>
      <w:pPr>
        <w:spacing w:after="0" w:line="189"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93"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Notwithstanding any provision herein to the contrary, this Agreement may be amended to extend the Maturity Date of (x) the Revolving Credit Commitments of Revolving Credit Lenders that agree to such extension with respect to their Revolving Credit Commitments with the written consent of each such approving Revolving Credit Lender, the Administrative Agent and the Borrower (and no other Lender) and, in connection therewith, to provide for different rates of interest and fees under the Revolving Credit Facility with respect to the portion of the Revolving Credit Commitments with a Maturity Date so extended; and (y) the Term Facility with respect to Term Lenders that agree to such extension with respect to their Term Loans with the written consent of each such approving Term Lender, the Administrative Agent and the Borrower (and no other Lender) and, in connection therewith and pursuant to a written offer from the Borrower to extend such Maturity Date may provide for different rates of interest and fees under the Term Facility with respect to the portion thereof the with a Maturity Date so extended and may provide for other covenants and terms that apply solely to any period after the latest stated maturity date (including, without limitation, the Maturity Date) existing on the effective date of such amendment;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each such case, (x) no Lender shall be obligated to participate in any such extension and (y) any such proposed extension of the Maturity Date with respect to a Facility shall have been offered to each Lender with Loans or Commitments under the applicable Facility proposed to be extended, and if the consents of such Lenders exceed the portion of Commitments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E-4-105</w:t>
      </w:r>
    </w:p>
    <w:p>
      <w:pPr>
        <w:sectPr>
          <w:pgSz w:w="11900" w:h="16838" w:orient="portrait"/>
          <w:cols w:equalWidth="0" w:num="1">
            <w:col w:w="11000"/>
          </w:cols>
          <w:pgMar w:left="440" w:top="274" w:right="459" w:bottom="1440" w:gutter="0" w:footer="0" w:header="0"/>
        </w:sectPr>
      </w:pPr>
    </w:p>
    <w:bookmarkStart w:id="131" w:name="page132"/>
    <w:bookmarkEnd w:id="131"/>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Loans the Borrower wishes to extend, such consents shall be accepted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among the applicable consenting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offer may, at the Borrower’s option, be made to the Lenders in respect of any tranche or tranches of Term Loans without being made to any other tranche of Term Loans, as the case may be. In connection with any extensions effected pursuant to this paragraph, the Loan Parties shall take any actions reasonably required by the Administrative Agent to ensure and/or demonstrate that the Lien and security interests granted by the Collateral Documents continue to be perfected under the UCC or otherwise after giving effect to such extension (including any actions requested in connection with any existing Mortgages or any title policies related thereto).</w:t>
      </w:r>
    </w:p>
    <w:p>
      <w:pPr>
        <w:spacing w:after="0" w:line="178"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(x) Collateral Documents (including any additional Collateral Documents executed pursuant to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after the Closing Date) and related documents executed by the Loan Parties in connection with this Agreement may be in a form reasonably determined by the Administrative Agent and may be amended, supplemented and waived with the consent of the Administrative Agent and the Borrower without the need to obtain the consent of any other Person if such amendment, supplement or waiver is delivered in order (i) to comply with local Law or advice of local counsel, (ii) to cure ambiguities, omissions, mistakes or defects or (iii) to cause such Collateral Document or other document to be consistent with this Agreement and the other Loan Documents and (y) if following the Closing Date, the Administrative Agent and the Borrower shall have jointly identified an ambiguity, inconsistency, obvious error or any error or omission of a technical or immaterial nature, in each case, in any provision of the Loan Documents, then the Administrative Agent and the Loan Parties shall be permitted to amend such provision and such amendment shall become effective without any further action or consent of any other party to any Loan Documents if the same is not objected to in writing by the Required Lenders within five (5) Business Days following receipt of notice thereof.</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w:t>
      </w:r>
    </w:p>
    <w:p>
      <w:pPr>
        <w:spacing w:after="0" w:line="117" w:lineRule="exact"/>
        <w:rPr>
          <w:sz w:val="20"/>
          <w:szCs w:val="20"/>
          <w:color w:val="auto"/>
        </w:rPr>
      </w:pPr>
    </w:p>
    <w:p>
      <w:pPr>
        <w:jc w:val="both"/>
        <w:ind w:right="580" w:firstLine="444"/>
        <w:spacing w:after="0" w:line="302" w:lineRule="auto"/>
        <w:tabs>
          <w:tab w:leader="none" w:pos="685"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Notices Generally</w:t>
      </w:r>
      <w:r>
        <w:rPr>
          <w:rFonts w:ascii="Arial" w:cs="Arial" w:eastAsia="Arial" w:hAnsi="Arial"/>
          <w:sz w:val="16"/>
          <w:szCs w:val="16"/>
          <w:color w:val="auto"/>
        </w:rPr>
        <w:t xml:space="preserve">. Except in the case of notices and other communications expressly permitted to be given by telephone (and except as provided in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46" w:lineRule="exact"/>
        <w:rPr>
          <w:rFonts w:ascii="Arial" w:cs="Arial" w:eastAsia="Arial" w:hAnsi="Arial"/>
          <w:sz w:val="16"/>
          <w:szCs w:val="16"/>
          <w:color w:val="auto"/>
        </w:rPr>
      </w:pPr>
    </w:p>
    <w:p>
      <w:pPr>
        <w:ind w:left="440" w:right="360" w:firstLine="428"/>
        <w:spacing w:after="0" w:line="277" w:lineRule="auto"/>
        <w:tabs>
          <w:tab w:leader="none" w:pos="107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if to the Borrower, the Administrative Agent or Truist Bank as an L/C Issuer or the Swing Line Lender (if applicable), to the address, facsimile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40" w:right="60" w:firstLine="428"/>
        <w:spacing w:after="0" w:line="312" w:lineRule="auto"/>
        <w:tabs>
          <w:tab w:leader="none" w:pos="1128" w:val="left"/>
        </w:tabs>
        <w:numPr>
          <w:ilvl w:val="1"/>
          <w:numId w:val="201"/>
        </w:numPr>
        <w:rPr>
          <w:rFonts w:ascii="Arial" w:cs="Arial" w:eastAsia="Arial" w:hAnsi="Arial"/>
          <w:sz w:val="16"/>
          <w:szCs w:val="16"/>
          <w:color w:val="auto"/>
        </w:rPr>
      </w:pPr>
      <w:r>
        <w:rPr>
          <w:rFonts w:ascii="Arial" w:cs="Arial" w:eastAsia="Arial" w:hAnsi="Arial"/>
          <w:sz w:val="16"/>
          <w:szCs w:val="16"/>
          <w:color w:val="auto"/>
        </w:rPr>
        <w:t>if to any other Lender, Swing Line Lender or L/C Issuer,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47"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subsection (b)</w:t>
      </w:r>
      <w:r>
        <w:rPr>
          <w:rFonts w:ascii="Arial" w:cs="Arial" w:eastAsia="Arial" w:hAnsi="Arial"/>
          <w:sz w:val="18"/>
          <w:szCs w:val="18"/>
          <w:color w:val="auto"/>
        </w:rPr>
        <w:t>.</w:t>
      </w:r>
    </w:p>
    <w:p>
      <w:pPr>
        <w:spacing w:after="0" w:line="80" w:lineRule="exact"/>
        <w:rPr>
          <w:sz w:val="20"/>
          <w:szCs w:val="20"/>
          <w:color w:val="auto"/>
        </w:rPr>
      </w:pPr>
    </w:p>
    <w:p>
      <w:pPr>
        <w:ind w:firstLine="444"/>
        <w:spacing w:after="0" w:line="255" w:lineRule="auto"/>
        <w:tabs>
          <w:tab w:leader="none" w:pos="695"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any L/C Issuer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or such L/C Issuer, as applicable, has notified the Administrative Agent that it is incapable of receiving notices under such Article by electronic communication. The Administrative Agent, the Swing Line Lender, the L/C Issuers or the Borrower may each,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E-4-106</w:t>
      </w:r>
    </w:p>
    <w:p>
      <w:pPr>
        <w:sectPr>
          <w:pgSz w:w="11900" w:h="16838" w:orient="portrait"/>
          <w:cols w:equalWidth="0" w:num="1">
            <w:col w:w="11020"/>
          </w:cols>
          <w:pgMar w:left="440" w:top="274" w:right="439" w:bottom="1440" w:gutter="0" w:footer="0" w:header="0"/>
        </w:sectPr>
      </w:pPr>
    </w:p>
    <w:bookmarkStart w:id="132" w:name="page133"/>
    <w:bookmarkEnd w:id="132"/>
    <w:p>
      <w:pPr>
        <w:ind w:right="120" w:firstLine="44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notification that such notice or communication is available and identifying the website address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both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70" w:lineRule="exact"/>
        <w:rPr>
          <w:sz w:val="20"/>
          <w:szCs w:val="20"/>
          <w:color w:val="auto"/>
        </w:rPr>
      </w:pPr>
    </w:p>
    <w:p>
      <w:pPr>
        <w:ind w:right="120" w:firstLine="444"/>
        <w:spacing w:after="0" w:line="253" w:lineRule="auto"/>
        <w:tabs>
          <w:tab w:leader="none" w:pos="685"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have any liability to the Borrower, any Lender, any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messaging service, or through the Internet.</w:t>
      </w:r>
    </w:p>
    <w:p>
      <w:pPr>
        <w:spacing w:after="0" w:line="86" w:lineRule="exact"/>
        <w:rPr>
          <w:rFonts w:ascii="Arial" w:cs="Arial" w:eastAsia="Arial" w:hAnsi="Arial"/>
          <w:sz w:val="18"/>
          <w:szCs w:val="18"/>
          <w:color w:val="auto"/>
        </w:rPr>
      </w:pPr>
    </w:p>
    <w:p>
      <w:pPr>
        <w:ind w:right="80" w:firstLine="444"/>
        <w:spacing w:after="0" w:line="287" w:lineRule="auto"/>
        <w:tabs>
          <w:tab w:leader="none" w:pos="695"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 the Administrative Agent, each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Borrower, the Administrative Agent, the L/C Issuers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Laws,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64" w:lineRule="exact"/>
        <w:rPr>
          <w:rFonts w:ascii="Arial" w:cs="Arial" w:eastAsia="Arial" w:hAnsi="Arial"/>
          <w:sz w:val="16"/>
          <w:szCs w:val="16"/>
          <w:color w:val="auto"/>
        </w:rPr>
      </w:pPr>
    </w:p>
    <w:p>
      <w:pPr>
        <w:ind w:firstLine="444"/>
        <w:spacing w:after="0" w:line="271" w:lineRule="auto"/>
        <w:tabs>
          <w:tab w:leader="none" w:pos="685"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L/C Issuers and Lenders</w:t>
      </w:r>
      <w:r>
        <w:rPr>
          <w:rFonts w:ascii="Arial" w:cs="Arial" w:eastAsia="Arial" w:hAnsi="Arial"/>
          <w:sz w:val="17"/>
          <w:szCs w:val="17"/>
          <w:color w:val="auto"/>
        </w:rPr>
        <w:t>. The Administrative Agent, the L/C Issuers and the Lenders shall be entitled to rely and act upon any notices (including telephonic or electronic Committed Loan Notices, Letter of Credit Applications and Swing Line Loan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79"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 xml:space="preserve">10.03. </w:t>
      </w:r>
      <w:r>
        <w:rPr>
          <w:rFonts w:ascii="Arial" w:cs="Arial" w:eastAsia="Arial" w:hAnsi="Arial"/>
          <w:sz w:val="17"/>
          <w:szCs w:val="17"/>
          <w:u w:val="single" w:color="auto"/>
          <w:color w:val="auto"/>
        </w:rPr>
        <w:t>No Waiver; Cumulative Remedies; Enforcement</w:t>
      </w:r>
      <w:r>
        <w:rPr>
          <w:rFonts w:ascii="Arial" w:cs="Arial" w:eastAsia="Arial" w:hAnsi="Arial"/>
          <w:sz w:val="17"/>
          <w:szCs w:val="17"/>
          <w:color w:val="auto"/>
        </w:rPr>
        <w: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E-4-107</w:t>
      </w:r>
    </w:p>
    <w:p>
      <w:pPr>
        <w:sectPr>
          <w:pgSz w:w="11900" w:h="16838" w:orient="portrait"/>
          <w:cols w:equalWidth="0" w:num="1">
            <w:col w:w="11020"/>
          </w:cols>
          <w:pgMar w:left="440" w:top="274" w:right="439" w:bottom="1440" w:gutter="0" w:footer="0" w:header="0"/>
        </w:sectPr>
      </w:pPr>
    </w:p>
    <w:bookmarkStart w:id="133" w:name="page134"/>
    <w:bookmarkEnd w:id="133"/>
    <w:p>
      <w:pPr>
        <w:ind w:right="20" w:firstLine="44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the benefit of all the Lenders and the L/C Issuers;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(ii) in addition to the matters set forth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the preceding proviso and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10.04.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117" w:lineRule="exact"/>
        <w:rPr>
          <w:sz w:val="20"/>
          <w:szCs w:val="20"/>
          <w:color w:val="auto"/>
        </w:rPr>
      </w:pPr>
    </w:p>
    <w:p>
      <w:pPr>
        <w:ind w:right="80" w:firstLine="444"/>
        <w:spacing w:after="0" w:line="270" w:lineRule="auto"/>
        <w:tabs>
          <w:tab w:leader="none" w:pos="685"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L/C Issuer in connection with the issuance, amendment, renewal or extension of any Letter of Credit or any demand for payment thereunder and (iii) all out-of-pocket expenses incurred by the Administrative Agent, any Lender or any L/C Issuer (including the fees, charges and disbursements of any counsel for the Administrative Agent, any Lender or any L/C Issuer in connection with the enforcement or protection of its rights (A) in connection with this Agreement and the other Loan Documents, including its rights under this Section, or (B) in connection with Loans made or Letters of Credit issued hereunder, including all such out-of-pocket expenses incurred during any workout, restructuring or negotiations in respect of such Loans or Letters of Credit.</w:t>
      </w:r>
    </w:p>
    <w:p>
      <w:pPr>
        <w:spacing w:after="0" w:line="69" w:lineRule="exact"/>
        <w:rPr>
          <w:rFonts w:ascii="Arial" w:cs="Arial" w:eastAsia="Arial" w:hAnsi="Arial"/>
          <w:sz w:val="17"/>
          <w:szCs w:val="17"/>
          <w:color w:val="auto"/>
        </w:rPr>
      </w:pPr>
    </w:p>
    <w:p>
      <w:pPr>
        <w:ind w:firstLine="444"/>
        <w:spacing w:after="0" w:line="286" w:lineRule="auto"/>
        <w:tabs>
          <w:tab w:leader="none" w:pos="695"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xml:space="preserve">. The Borrower shall indemnify the Administrative Agent (and any sub-agent thereof), each Arranger, each Lender, each L/C Issuer and each Related Party of any of the foregoing Persons (each such Person being called an “Indemnitee”) against, and hold each Indemnitee harmless from, any and all losses, claims, damages, liabilities and related expenses (including the reasonable fees, charges and disbursements of any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6"/>
          <w:szCs w:val="16"/>
          <w:u w:val="single" w:color="auto"/>
          <w:color w:val="auto"/>
        </w:rPr>
        <w:t>Section 3.01</w:t>
      </w:r>
      <w:r>
        <w:rPr>
          <w:rFonts w:ascii="Arial" w:cs="Arial" w:eastAsia="Arial" w:hAnsi="Arial"/>
          <w:sz w:val="16"/>
          <w:szCs w:val="16"/>
          <w:color w:val="auto"/>
        </w:rPr>
        <w:t>),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at, on, under or emanating from any property owned, leased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E-4-108</w:t>
      </w:r>
    </w:p>
    <w:p>
      <w:pPr>
        <w:sectPr>
          <w:pgSz w:w="11900" w:h="16838" w:orient="portrait"/>
          <w:cols w:equalWidth="0" w:num="1">
            <w:col w:w="11020"/>
          </w:cols>
          <w:pgMar w:left="440" w:top="274" w:right="439" w:bottom="1440" w:gutter="0" w:footer="0" w:header="0"/>
        </w:sectPr>
      </w:pPr>
    </w:p>
    <w:bookmarkStart w:id="134" w:name="page135"/>
    <w:bookmarkEnd w:id="134"/>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any other Loan Party,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10.04(b)</w:t>
      </w:r>
      <w:r>
        <w:rPr>
          <w:rFonts w:ascii="Arial" w:cs="Arial" w:eastAsia="Arial" w:hAnsi="Arial"/>
          <w:sz w:val="18"/>
          <w:szCs w:val="18"/>
          <w:color w:val="auto"/>
        </w:rPr>
        <w:t xml:space="preserve"> shall not apply with respect to Taxes other than any Taxes that represent losses, claims, damages, etc. arising from any non-Tax claim.</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To the extent that the Borrower for any reason fails to indefeasibly pay any amount required under</w:t>
      </w:r>
    </w:p>
    <w:p>
      <w:pPr>
        <w:spacing w:after="0" w:line="2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to be paid by it to the Administrative Agent (or any sub-agent thereof), each L/C Issuer, the Swing Line Lender or any Related Party of any of the foregoing, each Lender severally agrees to pay to the Administrative Agent (or any such sub-agent), such L/C Issuer, the Swing Line Lender or such Related Party, as the case may be, such Lender’s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are subject to the provisions of </w:t>
      </w:r>
      <w:r>
        <w:rPr>
          <w:rFonts w:ascii="Arial" w:cs="Arial" w:eastAsia="Arial" w:hAnsi="Arial"/>
          <w:sz w:val="16"/>
          <w:szCs w:val="16"/>
          <w:u w:val="single" w:color="auto"/>
          <w:color w:val="auto"/>
        </w:rPr>
        <w:t>Section 2.12(d)</w:t>
      </w:r>
      <w:r>
        <w:rPr>
          <w:rFonts w:ascii="Arial" w:cs="Arial" w:eastAsia="Arial" w:hAnsi="Arial"/>
          <w:sz w:val="16"/>
          <w:szCs w:val="16"/>
          <w:color w:val="auto"/>
        </w:rPr>
        <w:t>.</w:t>
      </w:r>
    </w:p>
    <w:p>
      <w:pPr>
        <w:spacing w:after="0" w:line="62" w:lineRule="exact"/>
        <w:rPr>
          <w:sz w:val="20"/>
          <w:szCs w:val="20"/>
          <w:color w:val="auto"/>
        </w:rPr>
      </w:pPr>
    </w:p>
    <w:p>
      <w:pPr>
        <w:ind w:firstLine="444"/>
        <w:spacing w:after="0" w:line="291" w:lineRule="auto"/>
        <w:tabs>
          <w:tab w:leader="none" w:pos="695"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the Borrower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above shall be liable for any damages arising from the use by others of any information or other materials distributed to such party by such Indemnitee through telecommunications, electronic or other information transmission systems in connection with this Agreement or the other Loan Documents or the transactions contemplated hereby or thereby.</w:t>
      </w:r>
    </w:p>
    <w:p>
      <w:pPr>
        <w:spacing w:after="0" w:line="59" w:lineRule="exact"/>
        <w:rPr>
          <w:rFonts w:ascii="Arial" w:cs="Arial" w:eastAsia="Arial" w:hAnsi="Arial"/>
          <w:sz w:val="16"/>
          <w:szCs w:val="16"/>
          <w:color w:val="auto"/>
        </w:rPr>
      </w:pPr>
    </w:p>
    <w:p>
      <w:pPr>
        <w:ind w:left="680" w:hanging="236"/>
        <w:spacing w:after="0"/>
        <w:tabs>
          <w:tab w:leader="none" w:pos="68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117" w:lineRule="exact"/>
        <w:rPr>
          <w:rFonts w:ascii="Arial" w:cs="Arial" w:eastAsia="Arial" w:hAnsi="Arial"/>
          <w:sz w:val="18"/>
          <w:szCs w:val="18"/>
          <w:color w:val="auto"/>
        </w:rPr>
      </w:pPr>
    </w:p>
    <w:p>
      <w:pPr>
        <w:jc w:val="both"/>
        <w:ind w:right="220" w:firstLine="444"/>
        <w:spacing w:after="0" w:line="264" w:lineRule="auto"/>
        <w:tabs>
          <w:tab w:leader="none" w:pos="665"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Section and the indemnity provision of </w:t>
      </w:r>
      <w:r>
        <w:rPr>
          <w:rFonts w:ascii="Arial" w:cs="Arial" w:eastAsia="Arial" w:hAnsi="Arial"/>
          <w:sz w:val="18"/>
          <w:szCs w:val="18"/>
          <w:u w:val="single" w:color="auto"/>
          <w:color w:val="auto"/>
        </w:rPr>
        <w:t>Section 10.02(e)</w:t>
      </w:r>
      <w:r>
        <w:rPr>
          <w:rFonts w:ascii="Arial" w:cs="Arial" w:eastAsia="Arial" w:hAnsi="Arial"/>
          <w:sz w:val="18"/>
          <w:szCs w:val="18"/>
          <w:color w:val="auto"/>
        </w:rPr>
        <w:t xml:space="preserve"> shall survive the resignation of the Administrative Agent, any L/C Issuer and the Swing Line Lender, the replacement of any Lender, the termination of the Aggregate Commitments and the repayment, satisfaction or discharge of all the other Obligations.</w:t>
      </w:r>
    </w:p>
    <w:p>
      <w:pPr>
        <w:spacing w:after="0" w:line="181"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 xml:space="preserve">10.05. </w:t>
      </w:r>
      <w:r>
        <w:rPr>
          <w:rFonts w:ascii="Arial" w:cs="Arial" w:eastAsia="Arial" w:hAnsi="Arial"/>
          <w:sz w:val="16"/>
          <w:szCs w:val="16"/>
          <w:u w:val="single" w:color="auto"/>
          <w:color w:val="auto"/>
        </w:rPr>
        <w:t>Payments Set Aside</w:t>
      </w:r>
      <w:r>
        <w:rPr>
          <w:rFonts w:ascii="Arial" w:cs="Arial" w:eastAsia="Arial" w:hAnsi="Arial"/>
          <w:sz w:val="16"/>
          <w:szCs w:val="16"/>
          <w:color w:val="auto"/>
        </w:rPr>
        <w:t xml:space="preserve">. To the extent that any payment by or on behalf of the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interest thereon from the date of such demand to the date such payment is made at a rate per annum equal to the Federal Funds Rate from time to time in effect. The obligations of the Lenders and the L/C Issuers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preceding sentence shall survive the payment in full of the Obligations and the termination of this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E-4-109</w:t>
      </w:r>
    </w:p>
    <w:p>
      <w:pPr>
        <w:sectPr>
          <w:pgSz w:w="11900" w:h="16838" w:orient="portrait"/>
          <w:cols w:equalWidth="0" w:num="1">
            <w:col w:w="11020"/>
          </w:cols>
          <w:pgMar w:left="440" w:top="274" w:right="439" w:bottom="1440" w:gutter="0" w:footer="0" w:header="0"/>
        </w:sectPr>
      </w:pPr>
    </w:p>
    <w:bookmarkStart w:id="135" w:name="page136"/>
    <w:bookmarkEnd w:id="135"/>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10.06.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left="-20" w:right="20" w:firstLine="444"/>
        <w:spacing w:after="0" w:line="289" w:lineRule="auto"/>
        <w:tabs>
          <w:tab w:leader="none" w:pos="665"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xml:space="preserve">.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(ii) by way of participation in accordance with the provisions of </w:t>
      </w:r>
      <w:r>
        <w:rPr>
          <w:rFonts w:ascii="Arial" w:cs="Arial" w:eastAsia="Arial" w:hAnsi="Arial"/>
          <w:sz w:val="16"/>
          <w:szCs w:val="16"/>
          <w:u w:val="single" w:color="auto"/>
          <w:color w:val="auto"/>
        </w:rPr>
        <w:t>Section 10.06(d)</w:t>
      </w:r>
      <w:r>
        <w:rPr>
          <w:rFonts w:ascii="Arial" w:cs="Arial" w:eastAsia="Arial" w:hAnsi="Arial"/>
          <w:sz w:val="16"/>
          <w:szCs w:val="16"/>
          <w:color w:val="auto"/>
        </w:rPr>
        <w:t xml:space="preserve">, or (iii) by way of pledge or assignment of a security interest subject to the restrictions of </w:t>
      </w:r>
      <w:r>
        <w:rPr>
          <w:rFonts w:ascii="Arial" w:cs="Arial" w:eastAsia="Arial" w:hAnsi="Arial"/>
          <w:sz w:val="16"/>
          <w:szCs w:val="16"/>
          <w:u w:val="single" w:color="auto"/>
          <w:color w:val="auto"/>
        </w:rPr>
        <w:t>Section 10.06(e)</w:t>
      </w:r>
      <w:r>
        <w:rPr>
          <w:rFonts w:ascii="Arial" w:cs="Arial" w:eastAsia="Arial" w:hAnsi="Arial"/>
          <w:sz w:val="16"/>
          <w:szCs w:val="16"/>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 and, to the extent expressly contemplated hereby, the Related Parties of each of the Administrative Agent, the L/C Issuers and the Lenders) any legal or equitable right, remedy or claim under or by reason of this Agreement.</w:t>
      </w:r>
    </w:p>
    <w:p>
      <w:pPr>
        <w:spacing w:after="0" w:line="58" w:lineRule="exact"/>
        <w:rPr>
          <w:rFonts w:ascii="Arial" w:cs="Arial" w:eastAsia="Arial" w:hAnsi="Arial"/>
          <w:sz w:val="16"/>
          <w:szCs w:val="16"/>
          <w:color w:val="auto"/>
        </w:rPr>
      </w:pPr>
    </w:p>
    <w:p>
      <w:pPr>
        <w:ind w:left="-20" w:right="160" w:firstLine="444"/>
        <w:spacing w:after="0" w:line="259" w:lineRule="auto"/>
        <w:tabs>
          <w:tab w:leader="none" w:pos="675"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Commitment(s) and the Loans (including for purposes of this </w:t>
      </w:r>
      <w:r>
        <w:rPr>
          <w:rFonts w:ascii="Arial" w:cs="Arial" w:eastAsia="Arial" w:hAnsi="Arial"/>
          <w:sz w:val="18"/>
          <w:szCs w:val="18"/>
          <w:u w:val="single" w:color="auto"/>
          <w:color w:val="auto"/>
        </w:rPr>
        <w:t>Section 10.06(b)</w:t>
      </w:r>
      <w:r>
        <w:rPr>
          <w:rFonts w:ascii="Arial" w:cs="Arial" w:eastAsia="Arial" w:hAnsi="Arial"/>
          <w:sz w:val="18"/>
          <w:szCs w:val="18"/>
          <w:color w:val="auto"/>
        </w:rPr>
        <w:t xml:space="preserve">, participations in L/C Obligations and in Swing Line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with respect to any Facility) any such assignment shall be subject to the following conditions:</w:t>
      </w:r>
    </w:p>
    <w:p>
      <w:pPr>
        <w:spacing w:after="0" w:line="78" w:lineRule="exact"/>
        <w:rPr>
          <w:rFonts w:ascii="Arial" w:cs="Arial" w:eastAsia="Arial" w:hAnsi="Arial"/>
          <w:sz w:val="18"/>
          <w:szCs w:val="18"/>
          <w:color w:val="auto"/>
        </w:rPr>
      </w:pPr>
    </w:p>
    <w:p>
      <w:pPr>
        <w:ind w:left="1060" w:hanging="212"/>
        <w:spacing w:after="0"/>
        <w:tabs>
          <w:tab w:leader="none" w:pos="1060" w:val="left"/>
        </w:tabs>
        <w:numPr>
          <w:ilvl w:val="1"/>
          <w:numId w:val="206"/>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sz w:val="20"/>
          <w:szCs w:val="20"/>
          <w:color w:val="auto"/>
        </w:rPr>
      </w:pPr>
    </w:p>
    <w:p>
      <w:pPr>
        <w:ind w:left="420" w:right="60" w:firstLine="428"/>
        <w:spacing w:after="0" w:line="259" w:lineRule="auto"/>
        <w:tabs>
          <w:tab w:leader="none" w:pos="113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under any Facility and/or the Loans at the time owing to it (in each case with respect to any Facility) or contemporaneous assignments to related Approved Funds that equal at least the amount specified in paragraph (b)(i)(B) of this Section in the aggregate or in the case of an assignment to a Lender, an Affiliate of a Lender or an Approved Fund, no minimum amount need be assigned; and</w:t>
      </w:r>
    </w:p>
    <w:p>
      <w:pPr>
        <w:spacing w:after="0" w:line="78" w:lineRule="exact"/>
        <w:rPr>
          <w:rFonts w:ascii="Arial" w:cs="Arial" w:eastAsia="Arial" w:hAnsi="Arial"/>
          <w:sz w:val="18"/>
          <w:szCs w:val="18"/>
          <w:color w:val="auto"/>
        </w:rPr>
      </w:pPr>
    </w:p>
    <w:p>
      <w:pPr>
        <w:ind w:left="420" w:right="60" w:firstLine="428"/>
        <w:spacing w:after="0" w:line="273" w:lineRule="auto"/>
        <w:tabs>
          <w:tab w:leader="none" w:pos="112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in any case not described in subsection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Administrative Agent and, so long as no Event of Default has occurred and is continuing, the Borrower otherwise consents (each such consent not to be unreasonably withheld or delayed).</w:t>
      </w:r>
    </w:p>
    <w:p>
      <w:pPr>
        <w:spacing w:after="0" w:line="70" w:lineRule="exact"/>
        <w:rPr>
          <w:sz w:val="20"/>
          <w:szCs w:val="20"/>
          <w:color w:val="auto"/>
        </w:rPr>
      </w:pPr>
    </w:p>
    <w:p>
      <w:pPr>
        <w:ind w:left="420" w:right="160" w:firstLine="428"/>
        <w:spacing w:after="0" w:line="276" w:lineRule="auto"/>
        <w:tabs>
          <w:tab w:leader="none" w:pos="1108"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Proportionate Amounts</w:t>
      </w:r>
      <w:r>
        <w:rPr>
          <w:rFonts w:ascii="Arial" w:cs="Arial" w:eastAsia="Arial" w:hAnsi="Arial"/>
          <w:sz w:val="17"/>
          <w:szCs w:val="17"/>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shall not apply to the Swing Line Lender’s rights and obligations in respect of Swing Line Loans or (B) prohibit any Lender from assigning all or a portion of its rights and obligations among the Revolving Credit Facility provided hereunder and any separate revolving credit or term loan facilities provided pursuant to the last paragraph of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on a non-</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w:t>
      </w:r>
    </w:p>
    <w:p>
      <w:pPr>
        <w:spacing w:after="0" w:line="64" w:lineRule="exact"/>
        <w:rPr>
          <w:rFonts w:ascii="Arial" w:cs="Arial" w:eastAsia="Arial" w:hAnsi="Arial"/>
          <w:sz w:val="17"/>
          <w:szCs w:val="17"/>
          <w:color w:val="auto"/>
        </w:rPr>
      </w:pPr>
    </w:p>
    <w:p>
      <w:pPr>
        <w:ind w:left="420" w:right="20" w:firstLine="428"/>
        <w:spacing w:after="0" w:line="277" w:lineRule="auto"/>
        <w:tabs>
          <w:tab w:leader="none" w:pos="1158"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62" w:lineRule="exact"/>
        <w:rPr>
          <w:rFonts w:ascii="Arial" w:cs="Arial" w:eastAsia="Arial" w:hAnsi="Arial"/>
          <w:sz w:val="18"/>
          <w:szCs w:val="18"/>
          <w:color w:val="auto"/>
        </w:rPr>
      </w:pPr>
    </w:p>
    <w:p>
      <w:pPr>
        <w:ind w:left="980" w:firstLine="397"/>
        <w:spacing w:after="0" w:line="272" w:lineRule="auto"/>
        <w:tabs>
          <w:tab w:leader="none" w:pos="1676" w:val="left"/>
        </w:tabs>
        <w:numPr>
          <w:ilvl w:val="1"/>
          <w:numId w:val="208"/>
        </w:numPr>
        <w:rPr>
          <w:rFonts w:ascii="Arial" w:cs="Arial" w:eastAsia="Arial" w:hAnsi="Arial"/>
          <w:sz w:val="17"/>
          <w:szCs w:val="17"/>
          <w:color w:val="auto"/>
        </w:rPr>
      </w:pPr>
      <w:r>
        <w:rPr>
          <w:rFonts w:ascii="Arial" w:cs="Arial" w:eastAsia="Arial" w:hAnsi="Arial"/>
          <w:sz w:val="17"/>
          <w:szCs w:val="17"/>
          <w:color w:val="auto"/>
        </w:rPr>
        <w:t>the consent of the Borrower (such consent not to be unreasonably withheld or delayed) shall be required unless (1) an Event of Default has occurred and is continuing at the time of such assignment; (2) such assignment is, in the case of the Revolving Credit Facility, to a Revolving Credit Lender, an Affiliate of a Revolving Credit Lender or an Approved Fund of a Revolving Credit Lender, or, in the case of the Term Facility, to a Lender, an Affiliate of a Lender or an Approved Fund, or (3) such assignment is made in connection with the primary syndication of the credit facility provided herein and during the ninety (90) day period following the Closing Date; provided that the Borrower shall be deemed to have consented to any such assignment unless it shall object thereto by written notice to the Administrative Agent within five (5) Business Days after having received notice thereof;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E-4-110</w:t>
      </w:r>
    </w:p>
    <w:p>
      <w:pPr>
        <w:sectPr>
          <w:pgSz w:w="11900" w:h="16838" w:orient="portrait"/>
          <w:cols w:equalWidth="0" w:num="1">
            <w:col w:w="10980"/>
          </w:cols>
          <w:pgMar w:left="460" w:top="274" w:right="459" w:bottom="1440" w:gutter="0" w:footer="0" w:header="0"/>
        </w:sectPr>
      </w:pPr>
    </w:p>
    <w:bookmarkStart w:id="136" w:name="page137"/>
    <w:bookmarkEnd w:id="136"/>
    <w:p>
      <w:pPr>
        <w:ind w:left="1240" w:hanging="283"/>
        <w:spacing w:after="0"/>
        <w:tabs>
          <w:tab w:leader="none" w:pos="1240" w:val="left"/>
        </w:tabs>
        <w:numPr>
          <w:ilvl w:val="1"/>
          <w:numId w:val="2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consent of the Administrative Agent (such consent not to be unreasonably withheld or delayed) shall be required for</w:t>
      </w:r>
    </w:p>
    <w:p>
      <w:pPr>
        <w:spacing w:after="0" w:line="34" w:lineRule="exact"/>
        <w:rPr>
          <w:rFonts w:ascii="Arial" w:cs="Arial" w:eastAsia="Arial" w:hAnsi="Arial"/>
          <w:sz w:val="17"/>
          <w:szCs w:val="17"/>
          <w:color w:val="auto"/>
        </w:rPr>
      </w:pPr>
    </w:p>
    <w:p>
      <w:pPr>
        <w:ind w:left="560" w:right="60"/>
        <w:spacing w:after="0" w:line="277" w:lineRule="auto"/>
        <w:rPr>
          <w:rFonts w:ascii="Arial" w:cs="Arial" w:eastAsia="Arial" w:hAnsi="Arial"/>
          <w:sz w:val="17"/>
          <w:szCs w:val="17"/>
          <w:color w:val="auto"/>
        </w:rPr>
      </w:pPr>
      <w:r>
        <w:rPr>
          <w:rFonts w:ascii="Arial" w:cs="Arial" w:eastAsia="Arial" w:hAnsi="Arial"/>
          <w:sz w:val="17"/>
          <w:szCs w:val="17"/>
          <w:color w:val="auto"/>
        </w:rPr>
        <w:t>assignments in respect of (i) any unfunded Term Commitment or any Revolving Credit Commitment if such assignment is to a Person that is not a Lender with a Commitment in respect of the applicable Facility, an Affiliate of such Lender or an Approved Fund with respect to such Lender or (ii) any Term Loan to a Person that is not a Lender, an Affiliate of a Lender or an Approved Fund; and</w:t>
      </w:r>
    </w:p>
    <w:p>
      <w:pPr>
        <w:spacing w:after="0" w:line="65" w:lineRule="exact"/>
        <w:rPr>
          <w:rFonts w:ascii="Arial" w:cs="Arial" w:eastAsia="Arial" w:hAnsi="Arial"/>
          <w:sz w:val="17"/>
          <w:szCs w:val="17"/>
          <w:color w:val="auto"/>
        </w:rPr>
      </w:pPr>
    </w:p>
    <w:p>
      <w:pPr>
        <w:ind w:left="1240" w:hanging="283"/>
        <w:spacing w:after="0"/>
        <w:tabs>
          <w:tab w:leader="none" w:pos="1240"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 consent of the L/C Issuers and the Swing Line Lender shall be required for any assignment in respect of the Revolving Credit</w:t>
      </w:r>
    </w:p>
    <w:p>
      <w:pPr>
        <w:spacing w:after="0" w:line="4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Facility.</w:t>
      </w:r>
    </w:p>
    <w:p>
      <w:pPr>
        <w:spacing w:after="0" w:line="102" w:lineRule="exact"/>
        <w:rPr>
          <w:rFonts w:ascii="Arial" w:cs="Arial" w:eastAsia="Arial" w:hAnsi="Arial"/>
          <w:sz w:val="16"/>
          <w:szCs w:val="16"/>
          <w:color w:val="auto"/>
        </w:rPr>
      </w:pPr>
    </w:p>
    <w:p>
      <w:pPr>
        <w:ind w:right="20" w:firstLine="428"/>
        <w:spacing w:after="0" w:line="259" w:lineRule="auto"/>
        <w:tabs>
          <w:tab w:leader="none" w:pos="728"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8" w:lineRule="exact"/>
        <w:rPr>
          <w:rFonts w:ascii="Arial" w:cs="Arial" w:eastAsia="Arial" w:hAnsi="Arial"/>
          <w:sz w:val="18"/>
          <w:szCs w:val="18"/>
          <w:color w:val="auto"/>
        </w:rPr>
      </w:pPr>
    </w:p>
    <w:p>
      <w:pPr>
        <w:ind w:firstLine="428"/>
        <w:spacing w:after="0" w:line="264" w:lineRule="auto"/>
        <w:tabs>
          <w:tab w:leader="none" w:pos="678"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w:t>
      </w:r>
    </w:p>
    <w:p>
      <w:pPr>
        <w:spacing w:after="0" w:line="73" w:lineRule="exact"/>
        <w:rPr>
          <w:rFonts w:ascii="Arial" w:cs="Arial" w:eastAsia="Arial" w:hAnsi="Arial"/>
          <w:sz w:val="18"/>
          <w:szCs w:val="18"/>
          <w:color w:val="auto"/>
        </w:rPr>
      </w:pPr>
    </w:p>
    <w:p>
      <w:pPr>
        <w:ind w:right="80" w:firstLine="428"/>
        <w:spacing w:after="0" w:line="287" w:lineRule="auto"/>
        <w:tabs>
          <w:tab w:leader="none" w:pos="728"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Laws without compliance with the provisions of this paragraph, then the assignee of such interest shall be deemed to be a Defaulting Lender for all purposes of this Agreement until such compliance occurs.</w:t>
      </w:r>
    </w:p>
    <w:p>
      <w:pPr>
        <w:spacing w:after="0" w:line="64" w:lineRule="exact"/>
        <w:rPr>
          <w:rFonts w:ascii="Arial" w:cs="Arial" w:eastAsia="Arial" w:hAnsi="Arial"/>
          <w:sz w:val="16"/>
          <w:szCs w:val="16"/>
          <w:color w:val="auto"/>
        </w:rPr>
      </w:pPr>
    </w:p>
    <w:p>
      <w:pPr>
        <w:ind w:firstLine="428"/>
        <w:spacing w:after="0" w:line="269" w:lineRule="auto"/>
        <w:tabs>
          <w:tab w:leader="none" w:pos="77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Subject to acceptance and recording thereof by the Administrative Agent pursuant to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10.04</w:t>
      </w:r>
      <w:r>
        <w:rPr>
          <w:rFonts w:ascii="Arial" w:cs="Arial" w:eastAsia="Arial" w:hAnsi="Arial"/>
          <w:sz w:val="17"/>
          <w:szCs w:val="17"/>
          <w:color w:val="auto"/>
        </w:rPr>
        <w:t xml:space="preserve">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Section.</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E-4-111</w:t>
      </w:r>
    </w:p>
    <w:p>
      <w:pPr>
        <w:sectPr>
          <w:pgSz w:w="11900" w:h="16838" w:orient="portrait"/>
          <w:cols w:equalWidth="0" w:num="1">
            <w:col w:w="10580"/>
          </w:cols>
          <w:pgMar w:left="880" w:top="274" w:right="439" w:bottom="1440" w:gutter="0" w:footer="0" w:header="0"/>
        </w:sectPr>
      </w:pPr>
    </w:p>
    <w:bookmarkStart w:id="137" w:name="page138"/>
    <w:bookmarkEnd w:id="137"/>
    <w:p>
      <w:pPr>
        <w:ind w:right="100" w:firstLine="444"/>
        <w:spacing w:after="0" w:line="291" w:lineRule="auto"/>
        <w:tabs>
          <w:tab w:leader="none" w:pos="685"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Register</w:t>
      </w:r>
      <w:r>
        <w:rPr>
          <w:rFonts w:ascii="Arial" w:cs="Arial" w:eastAsia="Arial" w:hAnsi="Arial"/>
          <w:sz w:val="16"/>
          <w:szCs w:val="16"/>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59" w:lineRule="exact"/>
        <w:rPr>
          <w:rFonts w:ascii="Arial" w:cs="Arial" w:eastAsia="Arial" w:hAnsi="Arial"/>
          <w:sz w:val="16"/>
          <w:szCs w:val="16"/>
          <w:color w:val="auto"/>
        </w:rPr>
      </w:pPr>
    </w:p>
    <w:p>
      <w:pPr>
        <w:ind w:firstLine="444"/>
        <w:spacing w:after="0" w:line="290" w:lineRule="auto"/>
        <w:tabs>
          <w:tab w:leader="none" w:pos="695"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the Borrower, the Administrative Agent, the Swing Line Lender or any L/C Issuer, sell participations to any Person (other than a natural Person, a Defaulting Lender or the Borrower or any of the Borrower’s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6"/>
          <w:szCs w:val="16"/>
          <w:u w:val="single" w:color="auto"/>
          <w:color w:val="auto"/>
        </w:rPr>
        <w:t>Section 10.04(c)</w:t>
      </w:r>
      <w:r>
        <w:rPr>
          <w:rFonts w:ascii="Arial" w:cs="Arial" w:eastAsia="Arial" w:hAnsi="Arial"/>
          <w:sz w:val="16"/>
          <w:szCs w:val="16"/>
          <w:color w:val="auto"/>
        </w:rPr>
        <w:t xml:space="preserve"> without regard to the existence of any participation.</w:t>
      </w:r>
    </w:p>
    <w:p>
      <w:pPr>
        <w:spacing w:after="0" w:line="166" w:lineRule="exact"/>
        <w:rPr>
          <w:sz w:val="20"/>
          <w:szCs w:val="20"/>
          <w:color w:val="auto"/>
        </w:rPr>
      </w:pPr>
    </w:p>
    <w:p>
      <w:pPr>
        <w:ind w:right="120" w:firstLine="441"/>
        <w:spacing w:after="0" w:line="284" w:lineRule="auto"/>
        <w:rPr>
          <w:sz w:val="20"/>
          <w:szCs w:val="20"/>
          <w:color w:val="auto"/>
        </w:rPr>
      </w:pPr>
      <w:r>
        <w:rPr>
          <w:rFonts w:ascii="Arial" w:cs="Arial" w:eastAsia="Arial" w:hAnsi="Arial"/>
          <w:sz w:val="16"/>
          <w:szCs w:val="16"/>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that affects such Participant.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 (it being understood that the documentation 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shall be delivered to the Lender who sells the participation)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w:t>
      </w:r>
    </w:p>
    <w:p>
      <w:pPr>
        <w:spacing w:after="0" w:line="3" w:lineRule="exact"/>
        <w:rPr>
          <w:sz w:val="20"/>
          <w:szCs w:val="20"/>
          <w:color w:val="auto"/>
        </w:rPr>
      </w:pPr>
    </w:p>
    <w:p>
      <w:pPr>
        <w:ind w:right="20" w:firstLine="4"/>
        <w:spacing w:after="0" w:line="266" w:lineRule="auto"/>
        <w:tabs>
          <w:tab w:leader="none" w:pos="295"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agrees to be subject to the provisions of </w:t>
      </w:r>
      <w:r>
        <w:rPr>
          <w:rFonts w:ascii="Arial" w:cs="Arial" w:eastAsia="Arial" w:hAnsi="Arial"/>
          <w:sz w:val="17"/>
          <w:szCs w:val="17"/>
          <w:u w:val="single" w:color="auto"/>
          <w:color w:val="auto"/>
        </w:rPr>
        <w:t>Sections 3.06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10.13</w:t>
      </w:r>
      <w:r>
        <w:rPr>
          <w:rFonts w:ascii="Arial" w:cs="Arial" w:eastAsia="Arial" w:hAnsi="Arial"/>
          <w:sz w:val="17"/>
          <w:szCs w:val="17"/>
          <w:color w:val="auto"/>
        </w:rPr>
        <w:t xml:space="preserve"> as if it were an assignee under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and (B) shall not be entitled to receive any greater payment under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7"/>
          <w:szCs w:val="17"/>
          <w:u w:val="single" w:color="auto"/>
          <w:color w:val="auto"/>
        </w:rPr>
        <w:t>Section 3.06</w:t>
      </w:r>
      <w:r>
        <w:rPr>
          <w:rFonts w:ascii="Arial" w:cs="Arial" w:eastAsia="Arial" w:hAnsi="Arial"/>
          <w:sz w:val="17"/>
          <w:szCs w:val="17"/>
          <w:color w:val="auto"/>
        </w:rPr>
        <w:t xml:space="preserve"> with respect to any Participant. To the extent permitted by law, each Participant also shall be entitled to the benefits of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agrees to be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E-4-112</w:t>
      </w:r>
    </w:p>
    <w:p>
      <w:pPr>
        <w:sectPr>
          <w:pgSz w:w="11900" w:h="16838" w:orient="portrait"/>
          <w:cols w:equalWidth="0" w:num="1">
            <w:col w:w="11000"/>
          </w:cols>
          <w:pgMar w:left="440" w:top="274" w:right="459" w:bottom="1440" w:gutter="0" w:footer="0" w:header="0"/>
        </w:sectPr>
      </w:pPr>
    </w:p>
    <w:bookmarkStart w:id="138" w:name="page139"/>
    <w:bookmarkEnd w:id="138"/>
    <w:p>
      <w:pPr>
        <w:ind w:right="360" w:firstLine="444"/>
        <w:spacing w:after="0" w:line="302" w:lineRule="auto"/>
        <w:tabs>
          <w:tab w:leader="none" w:pos="685"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Pledges</w:t>
      </w:r>
      <w:r>
        <w:rPr>
          <w:rFonts w:ascii="Arial" w:cs="Arial" w:eastAsia="Arial" w:hAnsi="Arial"/>
          <w:sz w:val="16"/>
          <w:szCs w:val="16"/>
          <w:color w:val="auto"/>
        </w:rPr>
        <w:t xml:space="preserve">. Any Lender may, without the consent of the Borrower or Administrative Agent, at any time pledge or assign a security interest in all or any portion of its rights under this Agreement (including under its Note, if any) to secure obligations of such Lender, including any pledge or assignment to secure obligations to a Federal Reserve Bank or central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shall release such Lender from any of its obligations hereunder or substitute any such pledgee or assignee for such Lender as a party hereto.</w:t>
      </w:r>
    </w:p>
    <w:p>
      <w:pPr>
        <w:spacing w:after="0" w:line="46" w:lineRule="exact"/>
        <w:rPr>
          <w:rFonts w:ascii="Arial" w:cs="Arial" w:eastAsia="Arial" w:hAnsi="Arial"/>
          <w:sz w:val="16"/>
          <w:szCs w:val="16"/>
          <w:color w:val="auto"/>
        </w:rPr>
      </w:pPr>
    </w:p>
    <w:p>
      <w:pPr>
        <w:ind w:right="240" w:firstLine="444"/>
        <w:spacing w:after="0" w:line="274" w:lineRule="auto"/>
        <w:tabs>
          <w:tab w:leader="none" w:pos="665"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Resignation as L/C Issuer or Swing Line Lender after Assignment</w:t>
      </w:r>
      <w:r>
        <w:rPr>
          <w:rFonts w:ascii="Arial" w:cs="Arial" w:eastAsia="Arial" w:hAnsi="Arial"/>
          <w:sz w:val="17"/>
          <w:szCs w:val="17"/>
          <w:color w:val="auto"/>
        </w:rPr>
        <w:t>. Notwithstanding anything to the contrary contained herein, if at any time any Person or any other Revolving Credit Lender assigns all of its Revolving Credit Commitment and Revolving Credit Loans pursuant to</w:t>
      </w:r>
    </w:p>
    <w:p>
      <w:pPr>
        <w:spacing w:after="0" w:line="281" w:lineRule="auto"/>
        <w:rPr>
          <w:rFonts w:ascii="Arial" w:cs="Arial" w:eastAsia="Arial" w:hAnsi="Arial"/>
          <w:sz w:val="17"/>
          <w:szCs w:val="17"/>
          <w:color w:val="auto"/>
        </w:rPr>
      </w:pP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such Person or such other Lender, as the case may be, may, (i) upon 30 days’ notice to the Borrower and the Lenders, resign as an L/C Issuer and/or (ii) upon 30 days’ notice to the Borrower, resign as Swing Line Lender. In the event of any such resignation as an L/C Issuer or Swing Line Lender, the Borrower shall be entitled to appoint from among the Lenders a successor L/C Issuer or Swing Line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the Borrower to appoint any such successor shall affect the resignation of such Person or such other Lender as an L/C Issuer or Swing Line Lender, as the case may be. If any Person or any other Revolving Credit Lender resigns as an L/C Issuer, it shall retain all the rights, powers, privileges and duties of an L/C Issuer hereunder with respect to all applicable Letters of Credit outstanding as of the effective date of its resignation as an L/C Issuer and all applicable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If any Person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w:t>
      </w:r>
    </w:p>
    <w:p>
      <w:pPr>
        <w:spacing w:after="0" w:line="6" w:lineRule="exact"/>
        <w:rPr>
          <w:rFonts w:ascii="Arial" w:cs="Arial" w:eastAsia="Arial" w:hAnsi="Arial"/>
          <w:sz w:val="17"/>
          <w:szCs w:val="17"/>
          <w:color w:val="auto"/>
        </w:rPr>
      </w:pPr>
    </w:p>
    <w:p>
      <w:pPr>
        <w:ind w:right="60"/>
        <w:spacing w:after="0" w:line="253" w:lineRule="auto"/>
        <w:rPr>
          <w:rFonts w:ascii="Arial" w:cs="Arial" w:eastAsia="Arial" w:hAnsi="Arial"/>
          <w:sz w:val="17"/>
          <w:szCs w:val="17"/>
          <w:color w:val="auto"/>
        </w:rPr>
      </w:pP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applicable Letters of Credit, if any, outstanding at the time of such succession or make other arrangements satisfactory to such Person to effectively assume the obligations of such Person or such other Revolving Credit Lender, as the case may be, with respect to such Letters of Credit.</w:t>
      </w:r>
    </w:p>
    <w:p>
      <w:pPr>
        <w:spacing w:after="0" w:line="191"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 xml:space="preserve">10.07. </w:t>
      </w:r>
      <w:r>
        <w:rPr>
          <w:rFonts w:ascii="Arial" w:cs="Arial" w:eastAsia="Arial" w:hAnsi="Arial"/>
          <w:sz w:val="16"/>
          <w:szCs w:val="16"/>
          <w:u w:val="single" w:color="auto"/>
          <w:color w:val="auto"/>
        </w:rPr>
        <w:t>Treatment of Certain Information; Confidentiality</w:t>
      </w:r>
      <w:r>
        <w:rPr>
          <w:rFonts w:ascii="Arial" w:cs="Arial" w:eastAsia="Arial" w:hAnsi="Arial"/>
          <w:sz w:val="16"/>
          <w:szCs w:val="16"/>
          <w:color w:val="auto"/>
        </w:rPr>
        <w:t>. Each of the Administrative Agent, the Lenders and the L/C Issuers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w:t>
      </w:r>
    </w:p>
    <w:p>
      <w:pPr>
        <w:spacing w:after="0" w:line="1" w:lineRule="exact"/>
        <w:rPr>
          <w:sz w:val="20"/>
          <w:szCs w:val="20"/>
          <w:color w:val="auto"/>
        </w:rPr>
      </w:pPr>
    </w:p>
    <w:p>
      <w:pPr>
        <w:ind w:right="20" w:firstLine="4"/>
        <w:spacing w:after="0" w:line="268" w:lineRule="auto"/>
        <w:tabs>
          <w:tab w:leader="none" w:pos="21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any assignee of or Participant in, or any prospective assignee of or Participant in, any of its rights and obligations under this Agreement or any Eligible Assignee invited to be a Lender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of other market identifiers with respect to the credit facilities provided hereunder, (h) with the consent of the Borrower or (i) to the extent such Information (i) becomes publicly available other than as a result of a breach of this Section or (ii) becomes available to the Administrative Agent, any Lender, any L/C Issuer or any of their respective Affiliates on a nonconfidential basis from a source other than the Borrower.</w:t>
      </w:r>
    </w:p>
    <w:p>
      <w:pPr>
        <w:spacing w:after="0" w:line="184"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Borrower or any Subsidiary relating to the Borrower or any Subsidiary or any of their respective businesses, other than any such information that is available to the Administrative Agent, any Lender or any L/C Issuer on a nonconfidential basis prior to disclosure by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Borrower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E-4-113</w:t>
      </w:r>
    </w:p>
    <w:p>
      <w:pPr>
        <w:sectPr>
          <w:pgSz w:w="11900" w:h="16838" w:orient="portrait"/>
          <w:cols w:equalWidth="0" w:num="1">
            <w:col w:w="11020"/>
          </w:cols>
          <w:pgMar w:left="440" w:top="274" w:right="439" w:bottom="1440" w:gutter="0" w:footer="0" w:header="0"/>
        </w:sectPr>
      </w:pPr>
    </w:p>
    <w:bookmarkStart w:id="139" w:name="page140"/>
    <w:bookmarkEnd w:id="139"/>
    <w:p>
      <w:pPr>
        <w:jc w:val="both"/>
        <w:ind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4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Each of the Administrative Agent, the Lenders and the L/C Issuers acknowledge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Laws, including United States Federal and state securities Laws.</w:t>
      </w:r>
    </w:p>
    <w:p>
      <w:pPr>
        <w:spacing w:after="0" w:line="187"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10.08.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each L/C Issuer and each of their respective Affiliates is hereby authorized at any time and from time to time, after obtaining the prior written consent of the Administrative Agent, to the fullest extent permitted by applicable Laws,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against any and all of the obligations of the Borrower now or hereafter existing under this Agreement or any other Loan Document to such Lender or such L/C Issuer, irrespective of whether or not such Lender or such L/C Issuer shall have made any demand under this Agreement or any other Loan Document and although such obligations of the Borrower may be contingent or unmatured or are owed to a branch or office or Affiliate of such Lender or such L/C Issuer different from the branch,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and the Lenders, and</w:t>
      </w:r>
    </w:p>
    <w:p>
      <w:pPr>
        <w:spacing w:after="0" w:line="5" w:lineRule="exact"/>
        <w:rPr>
          <w:sz w:val="20"/>
          <w:szCs w:val="20"/>
          <w:color w:val="auto"/>
        </w:rPr>
      </w:pPr>
    </w:p>
    <w:p>
      <w:pPr>
        <w:ind w:right="80" w:firstLine="4"/>
        <w:spacing w:after="0" w:line="271" w:lineRule="auto"/>
        <w:tabs>
          <w:tab w:leader="none" w:pos="25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Borrower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79" w:lineRule="exact"/>
        <w:rPr>
          <w:sz w:val="20"/>
          <w:szCs w:val="20"/>
          <w:color w:val="auto"/>
        </w:rPr>
      </w:pPr>
    </w:p>
    <w:p>
      <w:pPr>
        <w:ind w:right="120" w:firstLine="441"/>
        <w:spacing w:after="0" w:line="285" w:lineRule="auto"/>
        <w:rPr>
          <w:sz w:val="20"/>
          <w:szCs w:val="20"/>
          <w:color w:val="auto"/>
        </w:rPr>
      </w:pPr>
      <w:r>
        <w:rPr>
          <w:rFonts w:ascii="Arial" w:cs="Arial" w:eastAsia="Arial" w:hAnsi="Arial"/>
          <w:sz w:val="16"/>
          <w:szCs w:val="16"/>
          <w:color w:val="auto"/>
        </w:rPr>
        <w:t xml:space="preserve">10.09.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Laws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Laws,</w:t>
      </w:r>
    </w:p>
    <w:p>
      <w:pPr>
        <w:spacing w:after="0" w:line="2" w:lineRule="exact"/>
        <w:rPr>
          <w:sz w:val="20"/>
          <w:szCs w:val="20"/>
          <w:color w:val="auto"/>
        </w:rPr>
      </w:pPr>
    </w:p>
    <w:p>
      <w:pPr>
        <w:ind w:right="100" w:firstLine="4"/>
        <w:spacing w:after="0" w:line="255" w:lineRule="auto"/>
        <w:tabs>
          <w:tab w:leader="none" w:pos="24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90"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E-4-114</w:t>
      </w:r>
    </w:p>
    <w:p>
      <w:pPr>
        <w:sectPr>
          <w:pgSz w:w="11900" w:h="16838" w:orient="portrait"/>
          <w:cols w:equalWidth="0" w:num="1">
            <w:col w:w="11000"/>
          </w:cols>
          <w:pgMar w:left="440" w:top="274" w:right="459" w:bottom="1440" w:gutter="0" w:footer="0" w:header="0"/>
        </w:sectPr>
      </w:pPr>
    </w:p>
    <w:bookmarkStart w:id="140" w:name="page141"/>
    <w:bookmarkEnd w:id="140"/>
    <w:p>
      <w:pPr>
        <w:ind w:right="160" w:firstLine="44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10.11. </w:t>
      </w:r>
      <w:r>
        <w:rPr>
          <w:rFonts w:ascii="Arial" w:cs="Arial" w:eastAsia="Arial" w:hAnsi="Arial"/>
          <w:sz w:val="17"/>
          <w:szCs w:val="17"/>
          <w:u w:val="single" w:color="auto"/>
          <w:color w:val="auto"/>
        </w:rPr>
        <w:t>Survival of Representations and Warranties</w:t>
      </w:r>
      <w:r>
        <w:rPr>
          <w:rFonts w:ascii="Arial" w:cs="Arial" w:eastAsia="Arial" w:hAnsi="Arial"/>
          <w:sz w:val="17"/>
          <w:szCs w:val="17"/>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8"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w:t>
      </w:r>
    </w:p>
    <w:p>
      <w:pPr>
        <w:ind w:right="200" w:firstLine="4"/>
        <w:spacing w:after="0" w:line="252" w:lineRule="auto"/>
        <w:tabs>
          <w:tab w:leader="none" w:pos="25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10.12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194"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the Borrower is entitled to replace a Lender pursuant to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5" w:lineRule="exact"/>
        <w:rPr>
          <w:sz w:val="20"/>
          <w:szCs w:val="20"/>
          <w:color w:val="auto"/>
        </w:rPr>
      </w:pPr>
    </w:p>
    <w:p>
      <w:pPr>
        <w:ind w:left="1120" w:hanging="252"/>
        <w:spacing w:after="0"/>
        <w:tabs>
          <w:tab w:leader="none" w:pos="11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(if any)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80" w:firstLine="428"/>
        <w:spacing w:after="0" w:line="259" w:lineRule="auto"/>
        <w:tabs>
          <w:tab w:leader="none" w:pos="111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from the assignee (to the extent of such outstanding principal and accrued interest and fees) or the Borrower (in the case of all other amounts, including any amount payable under </w:t>
      </w:r>
      <w:r>
        <w:rPr>
          <w:rFonts w:ascii="Arial" w:cs="Arial" w:eastAsia="Arial" w:hAnsi="Arial"/>
          <w:sz w:val="18"/>
          <w:szCs w:val="18"/>
          <w:u w:val="single" w:color="auto"/>
          <w:color w:val="auto"/>
        </w:rPr>
        <w:t>Section 2.05(c)</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40" w:firstLine="428"/>
        <w:spacing w:after="0" w:line="277" w:lineRule="auto"/>
        <w:tabs>
          <w:tab w:leader="none" w:pos="110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117" w:lineRule="exact"/>
        <w:rPr>
          <w:rFonts w:ascii="Arial" w:cs="Arial" w:eastAsia="Arial" w:hAnsi="Arial"/>
          <w:sz w:val="18"/>
          <w:szCs w:val="18"/>
          <w:color w:val="auto"/>
        </w:rPr>
      </w:pPr>
    </w:p>
    <w:p>
      <w:pPr>
        <w:ind w:left="440" w:firstLine="428"/>
        <w:spacing w:after="0" w:line="277" w:lineRule="auto"/>
        <w:tabs>
          <w:tab w:leader="none" w:pos="110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 the case of an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w:t>
      </w:r>
    </w:p>
    <w:p>
      <w:pPr>
        <w:spacing w:after="0" w:line="117" w:lineRule="exact"/>
        <w:rPr>
          <w:sz w:val="20"/>
          <w:szCs w:val="20"/>
          <w:color w:val="auto"/>
        </w:rPr>
      </w:pPr>
    </w:p>
    <w:p>
      <w:pPr>
        <w:ind w:right="40" w:firstLine="444"/>
        <w:spacing w:after="0" w:line="257" w:lineRule="auto"/>
        <w:tabs>
          <w:tab w:leader="none" w:pos="685"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E-4-115</w:t>
      </w:r>
    </w:p>
    <w:p>
      <w:pPr>
        <w:sectPr>
          <w:pgSz w:w="11900" w:h="16838" w:orient="portrait"/>
          <w:cols w:equalWidth="0" w:num="1">
            <w:col w:w="11020"/>
          </w:cols>
          <w:pgMar w:left="440" w:top="274" w:right="439" w:bottom="1440" w:gutter="0" w:footer="0" w:header="0"/>
        </w:sectPr>
      </w:pPr>
    </w:p>
    <w:bookmarkStart w:id="141" w:name="page142"/>
    <w:bookmarkEnd w:id="141"/>
    <w:p>
      <w:pPr>
        <w:ind w:firstLine="444"/>
        <w:spacing w:after="0" w:line="268" w:lineRule="auto"/>
        <w:tabs>
          <w:tab w:leader="none" w:pos="695"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SUBMISSION TO JURISDICTION</w:t>
      </w:r>
      <w:r>
        <w:rPr>
          <w:rFonts w:ascii="Arial" w:cs="Arial" w:eastAsia="Arial" w:hAnsi="Arial"/>
          <w:sz w:val="17"/>
          <w:szCs w:val="17"/>
          <w:color w:val="auto"/>
        </w:rPr>
        <w:t>. THE BORROWER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ANY AGENT, ANY LENDER OR ANY L/C ISSUER MAY OTHERWISE HAVE TO BRING ANY ACTION OR PROCEEDING RELATING TO THIS AGREEMENT OR ANY OTHER LOAN DOCUMENT AGAINST THE BORROWER OR ANY OTHER LOAN PARTY OR ITS PROPERTIES IN THE COURTS OF ANY JURISDICTION.</w:t>
      </w:r>
    </w:p>
    <w:p>
      <w:pPr>
        <w:spacing w:after="0" w:line="75" w:lineRule="exact"/>
        <w:rPr>
          <w:rFonts w:ascii="Arial" w:cs="Arial" w:eastAsia="Arial" w:hAnsi="Arial"/>
          <w:sz w:val="17"/>
          <w:szCs w:val="17"/>
          <w:color w:val="auto"/>
        </w:rPr>
      </w:pPr>
    </w:p>
    <w:p>
      <w:pPr>
        <w:ind w:right="80" w:firstLine="444"/>
        <w:spacing w:after="0" w:line="255" w:lineRule="auto"/>
        <w:tabs>
          <w:tab w:leader="none" w:pos="685"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xml:space="preserve">.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85" w:lineRule="exact"/>
        <w:rPr>
          <w:rFonts w:ascii="Arial" w:cs="Arial" w:eastAsia="Arial" w:hAnsi="Arial"/>
          <w:sz w:val="18"/>
          <w:szCs w:val="18"/>
          <w:color w:val="auto"/>
        </w:rPr>
      </w:pPr>
    </w:p>
    <w:p>
      <w:pPr>
        <w:ind w:right="120" w:firstLine="444"/>
        <w:spacing w:after="0" w:line="264" w:lineRule="auto"/>
        <w:tabs>
          <w:tab w:leader="none" w:pos="695"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10.02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1"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2" w:lineRule="exact"/>
        <w:rPr>
          <w:sz w:val="20"/>
          <w:szCs w:val="20"/>
          <w:color w:val="auto"/>
        </w:rPr>
      </w:pPr>
    </w:p>
    <w:p>
      <w:pPr>
        <w:ind w:right="80" w:firstLine="4"/>
        <w:spacing w:after="0" w:line="253" w:lineRule="auto"/>
        <w:tabs>
          <w:tab w:leader="none" w:pos="29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1"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the Borrower acknowledges and agrees, and acknowledges its Affiliates’ understanding, that: (i)(A) the arranging and other services regarding this Agreement provided by the Administrative Agent, the Arrangers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E-4-116</w:t>
      </w:r>
    </w:p>
    <w:p>
      <w:pPr>
        <w:sectPr>
          <w:pgSz w:w="11900" w:h="16838" w:orient="portrait"/>
          <w:cols w:equalWidth="0" w:num="1">
            <w:col w:w="11020"/>
          </w:cols>
          <w:pgMar w:left="440" w:top="274" w:right="439" w:bottom="1440" w:gutter="0" w:footer="0" w:header="0"/>
        </w:sectPr>
      </w:pPr>
    </w:p>
    <w:bookmarkStart w:id="142" w:name="page143"/>
    <w:bookmarkEnd w:id="142"/>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Lenders are arm’s-length commercial transactions between the Borrower and its Affiliates, on the one hand, and the Administrative Agent, the Arrangers and the Lenders,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(ii)(A) the Administrative Agent, the Arrangers and the Lenders each is and has been acting solely as a principal and, except as expressly agreed in writing by the relevant parties, has not been, is not, and will not be acting as an advisor, agent or fiduciary for the Borrower or any of its Affiliates, or any other Person and (B) neither the Administrative Agent, the Arrangers nor any Lender or L/C Issuer has any obligation to the Borrower or any of its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and its Affiliates, and neither the Administrative Agent, the Arrangers nor any Lender or L/C Issuer has any obligation to disclose any of such interests to the Borrower or its Affiliates. To the fullest extent permitted by law, the Borrower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169"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 xml:space="preserve">10.17. </w:t>
      </w:r>
      <w:r>
        <w:rPr>
          <w:rFonts w:ascii="Arial" w:cs="Arial" w:eastAsia="Arial" w:hAnsi="Arial"/>
          <w:sz w:val="17"/>
          <w:szCs w:val="17"/>
          <w:u w:val="single" w:color="auto"/>
          <w:color w:val="auto"/>
        </w:rPr>
        <w:t>Electronic Execution of Assignments and Certain Other Documents</w:t>
      </w:r>
      <w:r>
        <w:rPr>
          <w:rFonts w:ascii="Arial" w:cs="Arial" w:eastAsia="Arial" w:hAnsi="Arial"/>
          <w:sz w:val="17"/>
          <w:szCs w:val="17"/>
          <w:color w:val="auto"/>
        </w:rPr>
        <w:t xml:space="preserve">. The words “execution,” “execute,” “signed,” “signature,” and words of like import in or related to any document to be signed in connection with this Agreement, the other Loan Documents and the transactions contemplated hereby and thereby (including without limitation Assignment and Assumptions, amendments or other Committed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neither the Administrative Agent nor any Lender or L/C Issuer is under any obligation to agree to accept electronic signatures in any form or in any format unless expressly agreed to by the Administrative Agent or such Lender or such L/C Issuer, as applicable, pursuant to procedures approved by it;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without limiting the foregoing, upon the request of any party, any electronic signature shall be promptly followed by such manually executed counterpart.</w:t>
      </w:r>
    </w:p>
    <w:p>
      <w:pPr>
        <w:spacing w:after="0" w:line="180"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PATRIOT Act and the Administrative Agent (for itself and not on behalf of any Lender) hereby notifies the Borrower that pursuant to the requirements of the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PATRIOT Act.</w:t>
      </w:r>
    </w:p>
    <w:p>
      <w:pPr>
        <w:spacing w:after="0" w:line="189"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 xml:space="preserve">10.19. </w:t>
      </w:r>
      <w:r>
        <w:rPr>
          <w:rFonts w:ascii="Arial" w:cs="Arial" w:eastAsia="Arial" w:hAnsi="Arial"/>
          <w:sz w:val="17"/>
          <w:szCs w:val="17"/>
          <w:u w:val="single" w:color="auto"/>
          <w:color w:val="auto"/>
        </w:rPr>
        <w:t>Inconsistencies with Other Documents</w:t>
      </w:r>
      <w:r>
        <w:rPr>
          <w:rFonts w:ascii="Arial" w:cs="Arial" w:eastAsia="Arial" w:hAnsi="Arial"/>
          <w:sz w:val="17"/>
          <w:szCs w:val="17"/>
          <w:color w:val="auto"/>
        </w:rPr>
        <w:t xml:space="preserve">. In the event there is a conflict or inconsistency between this Agreement and any other Loan Document, the terms of this Agreement shall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provision of the Security Documents which imposes additional burdens on the Borrower or any of its Subsidiaries or further restricts the rights of the Borrower or any of its Subsidiaries or gives the Administrative Agent or Lenders additional rights shall not be deemed to be in conflict or inconsistent with this Agreement and shall be given full force and effect.</w:t>
      </w:r>
    </w:p>
    <w:p>
      <w:pPr>
        <w:spacing w:after="0" w:line="17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10.20. </w:t>
      </w:r>
      <w:r>
        <w:rPr>
          <w:rFonts w:ascii="Arial" w:cs="Arial" w:eastAsia="Arial" w:hAnsi="Arial"/>
          <w:sz w:val="17"/>
          <w:szCs w:val="17"/>
          <w:u w:val="single" w:color="auto"/>
          <w:color w:val="auto"/>
        </w:rPr>
        <w:t>Acknowledgment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63" w:lineRule="exact"/>
        <w:rPr>
          <w:sz w:val="20"/>
          <w:szCs w:val="20"/>
          <w:color w:val="auto"/>
        </w:rPr>
      </w:pPr>
    </w:p>
    <w:p>
      <w:pPr>
        <w:ind w:left="440" w:right="360" w:firstLine="428"/>
        <w:spacing w:after="0" w:line="277" w:lineRule="auto"/>
        <w:tabs>
          <w:tab w:leader="none" w:pos="110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E-4-117</w:t>
      </w:r>
    </w:p>
    <w:p>
      <w:pPr>
        <w:sectPr>
          <w:pgSz w:w="11900" w:h="16838" w:orient="portrait"/>
          <w:cols w:equalWidth="0" w:num="1">
            <w:col w:w="11020"/>
          </w:cols>
          <w:pgMar w:left="440" w:top="274" w:right="439" w:bottom="1440" w:gutter="0" w:footer="0" w:header="0"/>
        </w:sectPr>
      </w:pPr>
    </w:p>
    <w:bookmarkStart w:id="143" w:name="page144"/>
    <w:bookmarkEnd w:id="143"/>
    <w:p>
      <w:pPr>
        <w:ind w:left="1120" w:hanging="252"/>
        <w:spacing w:after="0"/>
        <w:tabs>
          <w:tab w:leader="none" w:pos="11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effects of any Bail-in Action on any such liability, including, if applicable:</w:t>
      </w:r>
    </w:p>
    <w:p>
      <w:pPr>
        <w:spacing w:after="0" w:line="117" w:lineRule="exact"/>
        <w:rPr>
          <w:rFonts w:ascii="Arial" w:cs="Arial" w:eastAsia="Arial" w:hAnsi="Arial"/>
          <w:sz w:val="18"/>
          <w:szCs w:val="18"/>
          <w:color w:val="auto"/>
        </w:rPr>
      </w:pPr>
    </w:p>
    <w:p>
      <w:pPr>
        <w:ind w:left="1620" w:hanging="223"/>
        <w:spacing w:after="0"/>
        <w:tabs>
          <w:tab w:leader="none" w:pos="16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jc w:val="both"/>
        <w:ind w:left="1000" w:firstLine="397"/>
        <w:spacing w:after="0" w:line="259" w:lineRule="auto"/>
        <w:tabs>
          <w:tab w:leader="none" w:pos="166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8" w:lineRule="exact"/>
        <w:rPr>
          <w:rFonts w:ascii="Arial" w:cs="Arial" w:eastAsia="Arial" w:hAnsi="Arial"/>
          <w:sz w:val="18"/>
          <w:szCs w:val="18"/>
          <w:color w:val="auto"/>
        </w:rPr>
      </w:pPr>
    </w:p>
    <w:p>
      <w:pPr>
        <w:ind w:left="1000" w:right="80" w:firstLine="397"/>
        <w:spacing w:after="0" w:line="277" w:lineRule="auto"/>
        <w:tabs>
          <w:tab w:leader="none" w:pos="1716"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right="40" w:firstLine="441"/>
        <w:spacing w:after="0" w:line="267" w:lineRule="auto"/>
        <w:rPr>
          <w:sz w:val="20"/>
          <w:szCs w:val="20"/>
          <w:color w:val="auto"/>
        </w:rPr>
      </w:pPr>
      <w:r>
        <w:rPr>
          <w:rFonts w:ascii="Arial" w:cs="Arial" w:eastAsia="Arial" w:hAnsi="Arial"/>
          <w:sz w:val="17"/>
          <w:szCs w:val="17"/>
          <w:color w:val="auto"/>
        </w:rPr>
        <w:t xml:space="preserve">10.21.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 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E-4-118</w:t>
      </w:r>
    </w:p>
    <w:p>
      <w:pPr>
        <w:sectPr>
          <w:pgSz w:w="11900" w:h="16838" w:orient="portrait"/>
          <w:cols w:equalWidth="0" w:num="1">
            <w:col w:w="11000"/>
          </w:cols>
          <w:pgMar w:left="440" w:top="274" w:right="45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5255260</wp:posOffset>
            </wp:positionH>
            <wp:positionV relativeFrom="paragraph">
              <wp:posOffset>172085</wp:posOffset>
            </wp:positionV>
            <wp:extent cx="1749425" cy="4800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49425" cy="4800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806450</wp:posOffset>
            </wp:positionV>
            <wp:extent cx="875030" cy="823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7503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Claire Walsh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371-5999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19, 2019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Announces Extension of Senior Credit Facilities and Credit Agreement Amendment</w:t>
      </w:r>
    </w:p>
    <w:p>
      <w:pPr>
        <w:spacing w:after="0" w:line="2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CHARLOTTE, N.C., Dec. 19, 2019 </w:t>
      </w:r>
      <w:r>
        <w:rPr>
          <w:rFonts w:ascii="Arial" w:cs="Arial" w:eastAsia="Arial" w:hAnsi="Arial"/>
          <w:sz w:val="18"/>
          <w:szCs w:val="18"/>
          <w:color w:val="auto"/>
        </w:rPr>
        <w:t>— NN, Inc. (NASDAQ: NNBR), a diversified industrial company, today announced that it has successfully</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its senior credit agreement to, among other things, extend the maturity date of its revolving facility to July 20, 2022, and extend its April 2021 Term Loan B to October 19, 2022, matching the maturity date of NN’s longer-dated Term Loan B.</w:t>
      </w:r>
    </w:p>
    <w:p>
      <w:pPr>
        <w:spacing w:after="0" w:line="180" w:lineRule="exact"/>
        <w:rPr>
          <w:sz w:val="20"/>
          <w:szCs w:val="20"/>
          <w:color w:val="auto"/>
        </w:rPr>
      </w:pPr>
    </w:p>
    <w:p>
      <w:pPr>
        <w:ind w:right="720" w:firstLine="4"/>
        <w:spacing w:after="0" w:line="264" w:lineRule="auto"/>
        <w:tabs>
          <w:tab w:leader="none" w:pos="30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has used proceeds from the previously announced $100 million strategic investment in the form of perpetual preferred stock to pay off all borrowings on its Senior Secured Revolving Credit Facility. As a result, NN reduced the size of its revolving credit facility to $75 million from $110 million.</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Warren Veltman, interim President and CEO, commented, “The amendment of NN’s senior credit facilities and extension of our maturities is yet another significant step toward improving our capital structure. The extended facilities, along with our recently announced strategic investment, will further our efforts to pay down our debt, thereby enhancing our credit profile and liquidity. It also allows management and the Board of Directors to complete its previously announced evaluation of strategic alternatives.”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KeyBank and JP Morgan served as joint lead arrangers on the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today’s announcement is available in a Form 8-K filed with the SEC.</w:t>
      </w:r>
    </w:p>
    <w:p>
      <w:pPr>
        <w:spacing w:after="0" w:line="22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50 facilities in North America, Europe, South America and China.</w:t>
      </w:r>
    </w:p>
    <w:p>
      <w:pPr>
        <w:sectPr>
          <w:pgSz w:w="11900" w:h="16838" w:orient="portrait"/>
          <w:cols w:equalWidth="0" w:num="1">
            <w:col w:w="11020"/>
          </w:cols>
          <w:pgMar w:left="440" w:top="121" w:right="439" w:bottom="1440" w:gutter="0" w:footer="0" w:header="0"/>
        </w:sectPr>
      </w:pPr>
    </w:p>
    <w:bookmarkStart w:id="145" w:name="page146"/>
    <w:bookmarkEnd w:id="145"/>
    <w:p>
      <w:pPr>
        <w:spacing w:after="0" w:line="285"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level of the Company’s indebtedness, the restrictions contained in the Company’s debt agreements, the Company’s ability to obtain financing at favorable rates, if at all, and to refinance existing debt as it matures,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2018 and the Company’s Quarterly Report on Form 10-Q for the three months ended September 30, 2019.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D86AAC"/>
    <w:multiLevelType w:val="hybridMultilevel"/>
    <w:lvl w:ilvl="0">
      <w:lvlJc w:val="left"/>
      <w:lvlText w:val="☐"/>
      <w:numFmt w:val="bullet"/>
      <w:start w:val="1"/>
    </w:lvl>
  </w:abstractNum>
  <w:abstractNum w:abstractNumId="1">
    <w:nsid w:val="45E6D486"/>
    <w:multiLevelType w:val="hybridMultilevel"/>
    <w:lvl w:ilvl="0">
      <w:lvlJc w:val="left"/>
      <w:lvlText w:val="(%1)"/>
      <w:numFmt w:val="lowerRoman"/>
      <w:start w:val="2"/>
    </w:lvl>
  </w:abstractNum>
  <w:abstractNum w:abstractNumId="2">
    <w:nsid w:val="5C10FE21"/>
    <w:multiLevelType w:val="hybridMultilevel"/>
    <w:lvl w:ilvl="0">
      <w:lvlJc w:val="left"/>
      <w:lvlText w:val="(%1)"/>
      <w:numFmt w:val="lowerLetter"/>
      <w:start w:val="1"/>
    </w:lvl>
  </w:abstractNum>
  <w:abstractNum w:abstractNumId="3">
    <w:nsid w:val="E7FFA2B"/>
    <w:multiLevelType w:val="hybridMultilevel"/>
    <w:lvl w:ilvl="0">
      <w:lvlJc w:val="left"/>
      <w:lvlText w:val="(%1)"/>
      <w:numFmt w:val="lowerLetter"/>
      <w:start w:val="4"/>
    </w:lvl>
  </w:abstractNum>
  <w:abstractNum w:abstractNumId="4">
    <w:nsid w:val="3C5991AA"/>
    <w:multiLevelType w:val="hybridMultilevel"/>
    <w:lvl w:ilvl="0">
      <w:lvlJc w:val="left"/>
      <w:lvlText w:val="(%1)"/>
      <w:numFmt w:val="lowerLetter"/>
      <w:start w:val="1"/>
    </w:lvl>
  </w:abstractNum>
  <w:abstractNum w:abstractNumId="5">
    <w:nsid w:val="4BD8591A"/>
    <w:multiLevelType w:val="hybridMultilevel"/>
    <w:lvl w:ilvl="0">
      <w:lvlJc w:val="left"/>
      <w:lvlText w:val="%1"/>
      <w:numFmt w:val="decimal"/>
      <w:start w:val="1"/>
    </w:lvl>
    <w:lvl w:ilvl="1">
      <w:lvlJc w:val="left"/>
      <w:lvlText w:val="(%2)"/>
      <w:numFmt w:val="lowerLetter"/>
      <w:start w:val="5"/>
    </w:lvl>
  </w:abstractNum>
  <w:abstractNum w:abstractNumId="6">
    <w:nsid w:val="78DF6A55"/>
    <w:multiLevelType w:val="hybridMultilevel"/>
    <w:lvl w:ilvl="0">
      <w:lvlJc w:val="left"/>
      <w:lvlText w:val="(%1)"/>
      <w:numFmt w:val="decimal"/>
      <w:start w:val="2"/>
    </w:lvl>
    <w:lvl w:ilvl="1">
      <w:lvlJc w:val="left"/>
      <w:lvlText w:val="(%2)"/>
      <w:numFmt w:val="lowerLetter"/>
      <w:start w:val="9"/>
    </w:lvl>
  </w:abstractNum>
  <w:abstractNum w:abstractNumId="7">
    <w:nsid w:val="39B7AAA2"/>
    <w:multiLevelType w:val="hybridMultilevel"/>
    <w:lvl w:ilvl="0">
      <w:lvlJc w:val="left"/>
      <w:lvlText w:val="(%1)"/>
      <w:numFmt w:val="lowerRoman"/>
      <w:start w:val="1"/>
    </w:lvl>
  </w:abstractNum>
  <w:abstractNum w:abstractNumId="8">
    <w:nsid w:val="2B0D8DBE"/>
    <w:multiLevelType w:val="hybridMultilevel"/>
    <w:lvl w:ilvl="0">
      <w:lvlJc w:val="left"/>
      <w:lvlText w:val="%1"/>
      <w:numFmt w:val="lowerLetter"/>
      <w:start w:val="1"/>
    </w:lvl>
    <w:lvl w:ilvl="1">
      <w:lvlJc w:val="left"/>
      <w:lvlText w:val="(%2)"/>
      <w:numFmt w:val="lowerRoman"/>
      <w:start w:val="1"/>
    </w:lvl>
  </w:abstractNum>
  <w:abstractNum w:abstractNumId="9">
    <w:nsid w:val="6C80EC70"/>
    <w:multiLevelType w:val="hybridMultilevel"/>
    <w:lvl w:ilvl="0">
      <w:lvlJc w:val="left"/>
      <w:lvlText w:val="(%1)"/>
      <w:numFmt w:val="lowerLetter"/>
      <w:start w:val="2"/>
    </w:lvl>
    <w:lvl w:ilvl="1">
      <w:lvlJc w:val="left"/>
      <w:lvlText w:val="(%2)"/>
      <w:numFmt w:val="lowerRoman"/>
      <w:start w:val="4"/>
    </w:lvl>
  </w:abstractNum>
  <w:abstractNum w:abstractNumId="10">
    <w:nsid w:val="379E21B5"/>
    <w:multiLevelType w:val="hybridMultilevel"/>
    <w:lvl w:ilvl="0">
      <w:lvlJc w:val="left"/>
      <w:lvlText w:val="(%1)"/>
      <w:numFmt w:val="lowerRoman"/>
      <w:start w:val="1"/>
    </w:lvl>
  </w:abstractNum>
  <w:abstractNum w:abstractNumId="11">
    <w:nsid w:val="69E373"/>
    <w:multiLevelType w:val="hybridMultilevel"/>
    <w:lvl w:ilvl="0">
      <w:lvlJc w:val="left"/>
      <w:lvlText w:val="%1"/>
      <w:numFmt w:val="upperLetter"/>
      <w:start w:val="40"/>
    </w:lvl>
  </w:abstractNum>
  <w:abstractNum w:abstractNumId="12">
    <w:nsid w:val="2C27173B"/>
    <w:multiLevelType w:val="hybridMultilevel"/>
    <w:lvl w:ilvl="0">
      <w:lvlJc w:val="left"/>
      <w:lvlText w:val="A"/>
      <w:numFmt w:val="bullet"/>
      <w:start w:val="1"/>
    </w:lvl>
  </w:abstractNum>
  <w:abstractNum w:abstractNumId="13">
    <w:nsid w:val="4C9B0904"/>
    <w:multiLevelType w:val="hybridMultilevel"/>
    <w:lvl w:ilvl="0">
      <w:lvlJc w:val="left"/>
      <w:lvlText w:val="(%1)"/>
      <w:numFmt w:val="lowerLetter"/>
      <w:start w:val="1"/>
    </w:lvl>
  </w:abstractNum>
  <w:abstractNum w:abstractNumId="14">
    <w:nsid w:val="6AA7B75C"/>
    <w:multiLevelType w:val="hybridMultilevel"/>
    <w:lvl w:ilvl="0">
      <w:lvlJc w:val="left"/>
      <w:lvlText w:val="(%1)"/>
      <w:numFmt w:val="lowerLetter"/>
      <w:start w:val="3"/>
    </w:lvl>
  </w:abstractNum>
  <w:abstractNum w:abstractNumId="15">
    <w:nsid w:val="1DF029D3"/>
    <w:multiLevelType w:val="hybridMultilevel"/>
    <w:lvl w:ilvl="0">
      <w:lvlJc w:val="left"/>
      <w:lvlText w:val="(%1)"/>
      <w:numFmt w:val="lowerLetter"/>
      <w:start w:val="1"/>
    </w:lvl>
  </w:abstractNum>
  <w:abstractNum w:abstractNumId="16">
    <w:nsid w:val="5675FF36"/>
    <w:multiLevelType w:val="hybridMultilevel"/>
    <w:lvl w:ilvl="0">
      <w:lvlJc w:val="left"/>
      <w:lvlText w:val="(%1)"/>
      <w:numFmt w:val="lowerRoman"/>
      <w:start w:val="5"/>
    </w:lvl>
  </w:abstractNum>
  <w:abstractNum w:abstractNumId="17">
    <w:nsid w:val="3DD15094"/>
    <w:multiLevelType w:val="hybridMultilevel"/>
    <w:lvl w:ilvl="0">
      <w:lvlJc w:val="left"/>
      <w:lvlText w:val="(%1)"/>
      <w:numFmt w:val="lowerLetter"/>
      <w:start w:val="1"/>
    </w:lvl>
  </w:abstractNum>
  <w:abstractNum w:abstractNumId="18">
    <w:nsid w:val="3DB012B3"/>
    <w:multiLevelType w:val="hybridMultilevel"/>
    <w:lvl w:ilvl="0">
      <w:lvlJc w:val="left"/>
      <w:lvlText w:val="(%1)"/>
      <w:numFmt w:val="lowerLetter"/>
      <w:start w:val="35"/>
    </w:lvl>
  </w:abstractNum>
  <w:abstractNum w:abstractNumId="19">
    <w:nsid w:val="2708C9AF"/>
    <w:multiLevelType w:val="hybridMultilevel"/>
    <w:lvl w:ilvl="0">
      <w:lvlJc w:val="left"/>
      <w:lvlText w:val="(%1)"/>
      <w:numFmt w:val="lowerRoman"/>
      <w:start w:val="1"/>
    </w:lvl>
  </w:abstractNum>
  <w:abstractNum w:abstractNumId="20">
    <w:nsid w:val="5B25ACE2"/>
    <w:multiLevelType w:val="hybridMultilevel"/>
    <w:lvl w:ilvl="0">
      <w:lvlJc w:val="left"/>
      <w:lvlText w:val="(%1)"/>
      <w:numFmt w:val="lowerLetter"/>
      <w:start w:val="2"/>
    </w:lvl>
  </w:abstractNum>
  <w:abstractNum w:abstractNumId="21">
    <w:nsid w:val="175DFCF0"/>
    <w:multiLevelType w:val="hybridMultilevel"/>
    <w:lvl w:ilvl="0">
      <w:lvlJc w:val="left"/>
      <w:lvlText w:val="(%1)"/>
      <w:numFmt w:val="lowerRoman"/>
      <w:start w:val="2"/>
    </w:lvl>
  </w:abstractNum>
  <w:abstractNum w:abstractNumId="22">
    <w:nsid w:val="4F97E3E4"/>
    <w:multiLevelType w:val="hybridMultilevel"/>
    <w:lvl w:ilvl="0">
      <w:lvlJc w:val="left"/>
      <w:lvlText w:val="(%1)"/>
      <w:numFmt w:val="lowerLetter"/>
      <w:start w:val="1"/>
    </w:lvl>
  </w:abstractNum>
  <w:abstractNum w:abstractNumId="23">
    <w:nsid w:val="53B0A9E"/>
    <w:multiLevelType w:val="hybridMultilevel"/>
    <w:lvl w:ilvl="0">
      <w:lvlJc w:val="left"/>
      <w:lvlText w:val="(%1)"/>
      <w:numFmt w:val="lowerLetter"/>
      <w:start w:val="3"/>
    </w:lvl>
  </w:abstractNum>
  <w:abstractNum w:abstractNumId="24">
    <w:nsid w:val="34FD6B4F"/>
    <w:multiLevelType w:val="hybridMultilevel"/>
    <w:lvl w:ilvl="0">
      <w:lvlJc w:val="left"/>
      <w:lvlText w:val="(%1)"/>
      <w:numFmt w:val="lowerLetter"/>
      <w:start w:val="1"/>
    </w:lvl>
  </w:abstractNum>
  <w:abstractNum w:abstractNumId="25">
    <w:nsid w:val="5915FF32"/>
    <w:multiLevelType w:val="hybridMultilevel"/>
    <w:lvl w:ilvl="0">
      <w:lvlJc w:val="left"/>
      <w:lvlText w:val="(%1)"/>
      <w:numFmt w:val="lowerRoman"/>
      <w:start w:val="1"/>
    </w:lvl>
  </w:abstractNum>
  <w:abstractNum w:abstractNumId="26">
    <w:nsid w:val="56438D15"/>
    <w:multiLevelType w:val="hybridMultilevel"/>
    <w:lvl w:ilvl="0">
      <w:lvlJc w:val="left"/>
      <w:lvlText w:val="(%1)"/>
      <w:numFmt w:val="lowerLetter"/>
      <w:start w:val="2"/>
    </w:lvl>
  </w:abstractNum>
  <w:abstractNum w:abstractNumId="27">
    <w:nsid w:val="519E3149"/>
    <w:multiLevelType w:val="hybridMultilevel"/>
    <w:lvl w:ilvl="0">
      <w:lvlJc w:val="left"/>
      <w:lvlText w:val="(%1)"/>
      <w:numFmt w:val="lowerLetter"/>
      <w:start w:val="1"/>
    </w:lvl>
  </w:abstractNum>
  <w:abstractNum w:abstractNumId="28">
    <w:nsid w:val="2C6E4AFD"/>
    <w:multiLevelType w:val="hybridMultilevel"/>
    <w:lvl w:ilvl="0">
      <w:lvlJc w:val="left"/>
      <w:lvlText w:val="(%1)"/>
      <w:numFmt w:val="lowerLetter"/>
      <w:start w:val="3"/>
    </w:lvl>
  </w:abstractNum>
  <w:abstractNum w:abstractNumId="29">
    <w:nsid w:val="17A1B582"/>
    <w:multiLevelType w:val="hybridMultilevel"/>
    <w:lvl w:ilvl="0">
      <w:lvlJc w:val="left"/>
      <w:lvlText w:val="(%1)"/>
      <w:numFmt w:val="lowerRoman"/>
      <w:start w:val="1"/>
    </w:lvl>
  </w:abstractNum>
  <w:abstractNum w:abstractNumId="30">
    <w:nsid w:val="4DF72E4E"/>
    <w:multiLevelType w:val="hybridMultilevel"/>
    <w:lvl w:ilvl="0">
      <w:lvlJc w:val="left"/>
      <w:lvlText w:val="%1"/>
      <w:numFmt w:val="upperLetter"/>
      <w:start w:val="1"/>
    </w:lvl>
    <w:lvl w:ilvl="1">
      <w:lvlJc w:val="left"/>
      <w:lvlText w:val="(%2)"/>
      <w:numFmt w:val="lowerLetter"/>
      <w:start w:val="1"/>
    </w:lvl>
  </w:abstractNum>
  <w:abstractNum w:abstractNumId="31">
    <w:nsid w:val="5046B5A9"/>
    <w:multiLevelType w:val="hybridMultilevel"/>
    <w:lvl w:ilvl="0">
      <w:lvlJc w:val="left"/>
      <w:lvlText w:val="(%1)"/>
      <w:numFmt w:val="upperLetter"/>
      <w:start w:val="4"/>
    </w:lvl>
    <w:lvl w:ilvl="1">
      <w:lvlJc w:val="left"/>
      <w:lvlText w:val="(%2)"/>
      <w:numFmt w:val="lowerLetter"/>
      <w:start w:val="2"/>
    </w:lvl>
  </w:abstractNum>
  <w:abstractNum w:abstractNumId="32">
    <w:nsid w:val="5D888A08"/>
    <w:multiLevelType w:val="hybridMultilevel"/>
    <w:lvl w:ilvl="0">
      <w:lvlJc w:val="left"/>
      <w:lvlText w:val="(%1)"/>
      <w:numFmt w:val="lowerLetter"/>
      <w:start w:val="1"/>
    </w:lvl>
  </w:abstractNum>
  <w:abstractNum w:abstractNumId="33">
    <w:nsid w:val="2A082C70"/>
    <w:multiLevelType w:val="hybridMultilevel"/>
    <w:lvl w:ilvl="0">
      <w:lvlJc w:val="left"/>
      <w:lvlText w:val="(%1)"/>
      <w:numFmt w:val="lowerLetter"/>
      <w:start w:val="26"/>
    </w:lvl>
  </w:abstractNum>
  <w:abstractNum w:abstractNumId="34">
    <w:nsid w:val="5EC6AFD4"/>
    <w:multiLevelType w:val="hybridMultilevel"/>
    <w:lvl w:ilvl="0">
      <w:lvlJc w:val="left"/>
      <w:lvlText w:val="(%1)"/>
      <w:numFmt w:val="lowerLetter"/>
      <w:start w:val="1"/>
    </w:lvl>
  </w:abstractNum>
  <w:abstractNum w:abstractNumId="35">
    <w:nsid w:val="19E21BB2"/>
    <w:multiLevelType w:val="hybridMultilevel"/>
    <w:lvl w:ilvl="0">
      <w:lvlJc w:val="left"/>
      <w:lvlText w:val="(%1)"/>
      <w:numFmt w:val="lowerLetter"/>
      <w:start w:val="2"/>
    </w:lvl>
  </w:abstractNum>
  <w:abstractNum w:abstractNumId="36">
    <w:nsid w:val="75E0858A"/>
    <w:multiLevelType w:val="hybridMultilevel"/>
    <w:lvl w:ilvl="0">
      <w:lvlJc w:val="left"/>
      <w:lvlText w:val="(%1)"/>
      <w:numFmt w:val="lowerLetter"/>
      <w:start w:val="1"/>
    </w:lvl>
  </w:abstractNum>
  <w:abstractNum w:abstractNumId="37">
    <w:nsid w:val="57A61A29"/>
    <w:multiLevelType w:val="hybridMultilevel"/>
    <w:lvl w:ilvl="0">
      <w:lvlJc w:val="left"/>
      <w:lvlText w:val="(%1)"/>
      <w:numFmt w:val="lowerLetter"/>
      <w:start w:val="1"/>
    </w:lvl>
  </w:abstractNum>
  <w:abstractNum w:abstractNumId="38">
    <w:nsid w:val="5399C654"/>
    <w:multiLevelType w:val="hybridMultilevel"/>
    <w:lvl w:ilvl="0">
      <w:lvlJc w:val="left"/>
      <w:lvlText w:val="%1"/>
      <w:numFmt w:val="lowerLetter"/>
      <w:start w:val="1"/>
    </w:lvl>
    <w:lvl w:ilvl="1">
      <w:lvlJc w:val="left"/>
      <w:lvlText w:val="(%2)"/>
      <w:numFmt w:val="lowerLetter"/>
      <w:start w:val="1"/>
    </w:lvl>
  </w:abstractNum>
  <w:abstractNum w:abstractNumId="39">
    <w:nsid w:val="20EE1348"/>
    <w:multiLevelType w:val="hybridMultilevel"/>
    <w:lvl w:ilvl="0">
      <w:lvlJc w:val="left"/>
      <w:lvlText w:val="(%1)"/>
      <w:numFmt w:val="lowerLetter"/>
      <w:start w:val="35"/>
    </w:lvl>
    <w:lvl w:ilvl="1">
      <w:lvlJc w:val="left"/>
      <w:lvlText w:val="(%2)"/>
      <w:numFmt w:val="lowerLetter"/>
      <w:start w:val="4"/>
    </w:lvl>
  </w:abstractNum>
  <w:abstractNum w:abstractNumId="40">
    <w:nsid w:val="4427069A"/>
    <w:multiLevelType w:val="hybridMultilevel"/>
    <w:lvl w:ilvl="0">
      <w:lvlJc w:val="left"/>
      <w:lvlText w:val="(%1)"/>
      <w:numFmt w:val="lowerLetter"/>
      <w:start w:val="1"/>
    </w:lvl>
  </w:abstractNum>
  <w:abstractNum w:abstractNumId="41">
    <w:nsid w:val="B37E80A"/>
    <w:multiLevelType w:val="hybridMultilevel"/>
    <w:lvl w:ilvl="0">
      <w:lvlJc w:val="left"/>
      <w:lvlText w:val="(%1)"/>
      <w:numFmt w:val="lowerLetter"/>
      <w:start w:val="35"/>
    </w:lvl>
    <w:lvl w:ilvl="1">
      <w:lvlJc w:val="left"/>
      <w:lvlText w:val="%2"/>
      <w:numFmt w:val="lowerLetter"/>
      <w:start w:val="1"/>
    </w:lvl>
  </w:abstractNum>
  <w:abstractNum w:abstractNumId="42">
    <w:nsid w:val="2157F6BC"/>
    <w:multiLevelType w:val="hybridMultilevel"/>
    <w:lvl w:ilvl="0">
      <w:lvlJc w:val="left"/>
      <w:lvlText w:val="(%1)"/>
      <w:numFmt w:val="lowerLetter"/>
      <w:start w:val="35"/>
    </w:lvl>
    <w:lvl w:ilvl="1">
      <w:lvlJc w:val="left"/>
      <w:lvlText w:val="(%2)"/>
      <w:numFmt w:val="lowerLetter"/>
      <w:start w:val="2"/>
    </w:lvl>
  </w:abstractNum>
  <w:abstractNum w:abstractNumId="43">
    <w:nsid w:val="704E1DD5"/>
    <w:multiLevelType w:val="hybridMultilevel"/>
    <w:lvl w:ilvl="0">
      <w:lvlJc w:val="left"/>
      <w:lvlText w:val="(%1)"/>
      <w:numFmt w:val="lowerLetter"/>
      <w:start w:val="1"/>
    </w:lvl>
  </w:abstractNum>
  <w:abstractNum w:abstractNumId="44">
    <w:nsid w:val="57D2F10E"/>
    <w:multiLevelType w:val="hybridMultilevel"/>
    <w:lvl w:ilvl="0">
      <w:lvlJc w:val="left"/>
      <w:lvlText w:val="(%1)"/>
      <w:numFmt w:val="lowerRoman"/>
      <w:start w:val="1"/>
    </w:lvl>
    <w:lvl w:ilvl="1">
      <w:lvlJc w:val="left"/>
      <w:lvlText w:val="(%2)"/>
      <w:numFmt w:val="upperLetter"/>
      <w:start w:val="1"/>
    </w:lvl>
  </w:abstractNum>
  <w:abstractNum w:abstractNumId="45">
    <w:nsid w:val="BFFAE18"/>
    <w:multiLevelType w:val="hybridMultilevel"/>
    <w:lvl w:ilvl="0">
      <w:lvlJc w:val="left"/>
      <w:lvlText w:val="%1"/>
      <w:numFmt w:val="lowerRoman"/>
      <w:start w:val="1"/>
    </w:lvl>
    <w:lvl w:ilvl="1">
      <w:lvlJc w:val="left"/>
      <w:lvlText w:val="(%2)"/>
      <w:numFmt w:val="upperLetter"/>
      <w:start w:val="6"/>
    </w:lvl>
  </w:abstractNum>
  <w:abstractNum w:abstractNumId="46">
    <w:nsid w:val="E3E47A8"/>
    <w:multiLevelType w:val="hybridMultilevel"/>
    <w:lvl w:ilvl="0">
      <w:lvlJc w:val="left"/>
      <w:lvlText w:val="(%1)"/>
      <w:numFmt w:val="lowerRoman"/>
      <w:start w:val="3"/>
    </w:lvl>
    <w:lvl w:ilvl="1">
      <w:lvlJc w:val="left"/>
      <w:lvlText w:val="%2"/>
      <w:numFmt w:val="upperLetter"/>
      <w:start w:val="1"/>
    </w:lvl>
  </w:abstractNum>
  <w:abstractNum w:abstractNumId="47">
    <w:nsid w:val="2E48F044"/>
    <w:multiLevelType w:val="hybridMultilevel"/>
    <w:lvl w:ilvl="0">
      <w:lvlJc w:val="left"/>
      <w:lvlText w:val="(%1)"/>
      <w:numFmt w:val="lowerLetter"/>
      <w:start w:val="2"/>
    </w:lvl>
  </w:abstractNum>
  <w:abstractNum w:abstractNumId="48">
    <w:nsid w:val="49D0FEAC"/>
    <w:multiLevelType w:val="hybridMultilevel"/>
    <w:lvl w:ilvl="0">
      <w:lvlJc w:val="left"/>
      <w:lvlText w:val="(%1)"/>
      <w:numFmt w:val="lowerRoman"/>
      <w:start w:val="1"/>
    </w:lvl>
  </w:abstractNum>
  <w:abstractNum w:abstractNumId="49">
    <w:nsid w:val="4BEE5A5B"/>
    <w:multiLevelType w:val="hybridMultilevel"/>
    <w:lvl w:ilvl="0">
      <w:lvlJc w:val="left"/>
      <w:lvlText w:val="%1"/>
      <w:numFmt w:val="upperLetter"/>
      <w:start w:val="1"/>
    </w:lvl>
    <w:lvl w:ilvl="1">
      <w:lvlJc w:val="left"/>
      <w:lvlText w:val="(%2)"/>
      <w:numFmt w:val="lowerRoman"/>
      <w:start w:val="3"/>
    </w:lvl>
  </w:abstractNum>
  <w:abstractNum w:abstractNumId="50">
    <w:nsid w:val="5551B9F3"/>
    <w:multiLevelType w:val="hybridMultilevel"/>
    <w:lvl w:ilvl="0">
      <w:lvlJc w:val="left"/>
      <w:lvlText w:val="(%1)"/>
      <w:numFmt w:val="upperLetter"/>
      <w:start w:val="1"/>
    </w:lvl>
    <w:lvl w:ilvl="1">
      <w:lvlJc w:val="left"/>
      <w:lvlText w:val="(%2)"/>
      <w:numFmt w:val="lowerRoman"/>
      <w:start w:val="4"/>
    </w:lvl>
  </w:abstractNum>
  <w:abstractNum w:abstractNumId="51">
    <w:nsid w:val="24F6AB8E"/>
    <w:multiLevelType w:val="hybridMultilevel"/>
    <w:lvl w:ilvl="0">
      <w:lvlJc w:val="left"/>
      <w:lvlText w:val="(%1)"/>
      <w:numFmt w:val="lowerLetter"/>
      <w:start w:val="3"/>
    </w:lvl>
  </w:abstractNum>
  <w:abstractNum w:abstractNumId="52">
    <w:nsid w:val="634C574C"/>
    <w:multiLevelType w:val="hybridMultilevel"/>
    <w:lvl w:ilvl="0">
      <w:lvlJc w:val="left"/>
      <w:lvlText w:val="(%1)"/>
      <w:numFmt w:val="lowerRoman"/>
      <w:start w:val="1"/>
    </w:lvl>
  </w:abstractNum>
  <w:abstractNum w:abstractNumId="53">
    <w:nsid w:val="24E99DD7"/>
    <w:multiLevelType w:val="hybridMultilevel"/>
    <w:lvl w:ilvl="0">
      <w:lvlJc w:val="left"/>
      <w:lvlText w:val="(%1)"/>
      <w:numFmt w:val="lowerRoman"/>
      <w:start w:val="3"/>
    </w:lvl>
  </w:abstractNum>
  <w:abstractNum w:abstractNumId="54">
    <w:nsid w:val="2A31B62D"/>
    <w:multiLevelType w:val="hybridMultilevel"/>
    <w:lvl w:ilvl="0">
      <w:lvlJc w:val="left"/>
      <w:lvlText w:val="(%1)"/>
      <w:numFmt w:val="lowerLetter"/>
      <w:start w:val="4"/>
    </w:lvl>
  </w:abstractNum>
  <w:abstractNum w:abstractNumId="55">
    <w:nsid w:val="1849C29B"/>
    <w:multiLevelType w:val="hybridMultilevel"/>
    <w:lvl w:ilvl="0">
      <w:lvlJc w:val="left"/>
      <w:lvlText w:val="(%1)"/>
      <w:numFmt w:val="lowerRoman"/>
      <w:start w:val="1"/>
    </w:lvl>
  </w:abstractNum>
  <w:abstractNum w:abstractNumId="56">
    <w:nsid w:val="7DFF9D09"/>
    <w:multiLevelType w:val="hybridMultilevel"/>
    <w:lvl w:ilvl="0">
      <w:lvlJc w:val="left"/>
      <w:lvlText w:val="(%1)"/>
      <w:numFmt w:val="lowerLetter"/>
      <w:start w:val="5"/>
    </w:lvl>
    <w:lvl w:ilvl="1">
      <w:lvlJc w:val="left"/>
      <w:lvlText w:val="(%2)"/>
      <w:numFmt w:val="lowerRoman"/>
      <w:start w:val="1"/>
    </w:lvl>
  </w:abstractNum>
  <w:abstractNum w:abstractNumId="57">
    <w:nsid w:val="754342"/>
    <w:multiLevelType w:val="hybridMultilevel"/>
    <w:lvl w:ilvl="0">
      <w:lvlJc w:val="left"/>
      <w:lvlText w:val="(%1)"/>
      <w:numFmt w:val="lowerLetter"/>
      <w:start w:val="6"/>
    </w:lvl>
  </w:abstractNum>
  <w:abstractNum w:abstractNumId="58">
    <w:nsid w:val="69E7F3E5"/>
    <w:multiLevelType w:val="hybridMultilevel"/>
    <w:lvl w:ilvl="0">
      <w:lvlJc w:val="left"/>
      <w:lvlText w:val="(%1)"/>
      <w:numFmt w:val="lowerLetter"/>
      <w:start w:val="7"/>
    </w:lvl>
  </w:abstractNum>
  <w:abstractNum w:abstractNumId="59">
    <w:nsid w:val="2A6DE806"/>
    <w:multiLevelType w:val="hybridMultilevel"/>
    <w:lvl w:ilvl="0">
      <w:lvlJc w:val="left"/>
      <w:lvlText w:val="(%1)"/>
      <w:numFmt w:val="lowerLetter"/>
      <w:start w:val="10"/>
    </w:lvl>
  </w:abstractNum>
  <w:abstractNum w:abstractNumId="60">
    <w:nsid w:val="1816F8C4"/>
    <w:multiLevelType w:val="hybridMultilevel"/>
    <w:lvl w:ilvl="0">
      <w:lvlJc w:val="left"/>
      <w:lvlText w:val="(%1)"/>
      <w:numFmt w:val="lowerLetter"/>
      <w:start w:val="1"/>
    </w:lvl>
  </w:abstractNum>
  <w:abstractNum w:abstractNumId="61">
    <w:nsid w:val="37DF2233"/>
    <w:multiLevelType w:val="hybridMultilevel"/>
    <w:lvl w:ilvl="0">
      <w:lvlJc w:val="left"/>
      <w:lvlText w:val="%1"/>
      <w:numFmt w:val="lowerLetter"/>
      <w:start w:val="1"/>
    </w:lvl>
    <w:lvl w:ilvl="1">
      <w:lvlJc w:val="left"/>
      <w:lvlText w:val="(%2)"/>
      <w:numFmt w:val="lowerLetter"/>
      <w:start w:val="2"/>
    </w:lvl>
  </w:abstractNum>
  <w:abstractNum w:abstractNumId="62">
    <w:nsid w:val="7AB49DAF"/>
    <w:multiLevelType w:val="hybridMultilevel"/>
    <w:lvl w:ilvl="0">
      <w:lvlJc w:val="left"/>
      <w:lvlText w:val="(%1)"/>
      <w:numFmt w:val="lowerLetter"/>
      <w:start w:val="35"/>
    </w:lvl>
    <w:lvl w:ilvl="1">
      <w:lvlJc w:val="left"/>
      <w:lvlText w:val="(%2)"/>
      <w:numFmt w:val="lowerLetter"/>
      <w:start w:val="3"/>
    </w:lvl>
  </w:abstractNum>
  <w:abstractNum w:abstractNumId="63">
    <w:nsid w:val="759F82CD"/>
    <w:multiLevelType w:val="hybridMultilevel"/>
    <w:lvl w:ilvl="0">
      <w:lvlJc w:val="left"/>
      <w:lvlText w:val="(%1)"/>
      <w:numFmt w:val="lowerRoman"/>
      <w:start w:val="1"/>
    </w:lvl>
  </w:abstractNum>
  <w:abstractNum w:abstractNumId="64">
    <w:nsid w:val="61E74EA3"/>
    <w:multiLevelType w:val="hybridMultilevel"/>
    <w:lvl w:ilvl="0">
      <w:lvlJc w:val="left"/>
      <w:lvlText w:val="(%1)"/>
      <w:numFmt w:val="lowerRoman"/>
      <w:start w:val="2"/>
    </w:lvl>
  </w:abstractNum>
  <w:abstractNum w:abstractNumId="65">
    <w:nsid w:val="597B4D84"/>
    <w:multiLevelType w:val="hybridMultilevel"/>
    <w:lvl w:ilvl="0">
      <w:lvlJc w:val="left"/>
      <w:lvlText w:val="(%1)"/>
      <w:numFmt w:val="lowerLetter"/>
      <w:start w:val="4"/>
    </w:lvl>
  </w:abstractNum>
  <w:abstractNum w:abstractNumId="66">
    <w:nsid w:val="F819E7F"/>
    <w:multiLevelType w:val="hybridMultilevel"/>
    <w:lvl w:ilvl="0">
      <w:lvlJc w:val="left"/>
      <w:lvlText w:val="(%1)"/>
      <w:numFmt w:val="lowerRoman"/>
      <w:start w:val="1"/>
    </w:lvl>
  </w:abstractNum>
  <w:abstractNum w:abstractNumId="67">
    <w:nsid w:val="57C7D42D"/>
    <w:multiLevelType w:val="hybridMultilevel"/>
    <w:lvl w:ilvl="0">
      <w:lvlJc w:val="left"/>
      <w:lvlText w:val="(%1)"/>
      <w:numFmt w:val="lowerLetter"/>
      <w:start w:val="5"/>
    </w:lvl>
  </w:abstractNum>
  <w:abstractNum w:abstractNumId="68">
    <w:nsid w:val="312167AD"/>
    <w:multiLevelType w:val="hybridMultilevel"/>
    <w:lvl w:ilvl="0">
      <w:lvlJc w:val="left"/>
      <w:lvlText w:val="(%1)"/>
      <w:numFmt w:val="lowerLetter"/>
      <w:start w:val="7"/>
    </w:lvl>
  </w:abstractNum>
  <w:abstractNum w:abstractNumId="69">
    <w:nsid w:val="631B64D4"/>
    <w:multiLevelType w:val="hybridMultilevel"/>
    <w:lvl w:ilvl="0">
      <w:lvlJc w:val="left"/>
      <w:lvlText w:val="%1"/>
      <w:numFmt w:val="upperLetter"/>
      <w:start w:val="1"/>
    </w:lvl>
    <w:lvl w:ilvl="1">
      <w:lvlJc w:val="left"/>
      <w:lvlText w:val="(%2)"/>
      <w:numFmt w:val="lowerRoman"/>
      <w:start w:val="1"/>
    </w:lvl>
  </w:abstractNum>
  <w:abstractNum w:abstractNumId="70">
    <w:nsid w:val="78B5E776"/>
    <w:multiLevelType w:val="hybridMultilevel"/>
    <w:lvl w:ilvl="0">
      <w:lvlJc w:val="left"/>
      <w:lvlText w:val="(%1)"/>
      <w:numFmt w:val="upperLetter"/>
      <w:start w:val="1"/>
    </w:lvl>
    <w:lvl w:ilvl="1">
      <w:lvlJc w:val="left"/>
      <w:lvlText w:val="%2"/>
      <w:numFmt w:val="lowerRoman"/>
      <w:start w:val="1"/>
    </w:lvl>
  </w:abstractNum>
  <w:abstractNum w:abstractNumId="71">
    <w:nsid w:val="75486E47"/>
    <w:multiLevelType w:val="hybridMultilevel"/>
    <w:lvl w:ilvl="0">
      <w:lvlJc w:val="left"/>
      <w:lvlText w:val="(%1)"/>
      <w:numFmt w:val="lowerLetter"/>
      <w:start w:val="8"/>
    </w:lvl>
  </w:abstractNum>
  <w:abstractNum w:abstractNumId="72">
    <w:nsid w:val="6E534CDE"/>
    <w:multiLevelType w:val="hybridMultilevel"/>
    <w:lvl w:ilvl="0">
      <w:lvlJc w:val="left"/>
      <w:lvlText w:val="(%1)"/>
      <w:numFmt w:val="lowerLetter"/>
      <w:start w:val="1"/>
    </w:lvl>
  </w:abstractNum>
  <w:abstractNum w:abstractNumId="73">
    <w:nsid w:val="1A0DDE32"/>
    <w:multiLevelType w:val="hybridMultilevel"/>
    <w:lvl w:ilvl="0">
      <w:lvlJc w:val="left"/>
      <w:lvlText w:val="(%1)"/>
      <w:numFmt w:val="lowerRoman"/>
      <w:start w:val="1"/>
    </w:lvl>
  </w:abstractNum>
  <w:abstractNum w:abstractNumId="74">
    <w:nsid w:val="65968C1C"/>
    <w:multiLevelType w:val="hybridMultilevel"/>
    <w:lvl w:ilvl="0">
      <w:lvlJc w:val="left"/>
      <w:lvlText w:val="(%1)"/>
      <w:numFmt w:val="lowerRoman"/>
      <w:start w:val="2"/>
    </w:lvl>
  </w:abstractNum>
  <w:abstractNum w:abstractNumId="75">
    <w:nsid w:val="46263DEC"/>
    <w:multiLevelType w:val="hybridMultilevel"/>
    <w:lvl w:ilvl="0">
      <w:lvlJc w:val="left"/>
      <w:lvlText w:val="(%1)"/>
      <w:numFmt w:val="lowerLetter"/>
      <w:start w:val="2"/>
    </w:lvl>
  </w:abstractNum>
  <w:abstractNum w:abstractNumId="76">
    <w:nsid w:val="260D8C4A"/>
    <w:multiLevelType w:val="hybridMultilevel"/>
    <w:lvl w:ilvl="0">
      <w:lvlJc w:val="left"/>
      <w:lvlText w:val="(%1)"/>
      <w:numFmt w:val="lowerRoman"/>
      <w:start w:val="1"/>
    </w:lvl>
  </w:abstractNum>
  <w:abstractNum w:abstractNumId="77">
    <w:nsid w:val="73D4D3C4"/>
    <w:multiLevelType w:val="hybridMultilevel"/>
    <w:lvl w:ilvl="0">
      <w:lvlJc w:val="left"/>
      <w:lvlText w:val="(%1)"/>
      <w:numFmt w:val="lowerRoman"/>
      <w:start w:val="5"/>
    </w:lvl>
  </w:abstractNum>
  <w:abstractNum w:abstractNumId="78">
    <w:nsid w:val="746F2E30"/>
    <w:multiLevelType w:val="hybridMultilevel"/>
    <w:lvl w:ilvl="0">
      <w:lvlJc w:val="left"/>
      <w:lvlText w:val="(%1)"/>
      <w:numFmt w:val="lowerLetter"/>
      <w:start w:val="3"/>
    </w:lvl>
  </w:abstractNum>
  <w:abstractNum w:abstractNumId="79">
    <w:nsid w:val="6FDE8AF6"/>
    <w:multiLevelType w:val="hybridMultilevel"/>
    <w:lvl w:ilvl="0">
      <w:lvlJc w:val="left"/>
      <w:lvlText w:val="(%1)"/>
      <w:numFmt w:val="lowerRoman"/>
      <w:start w:val="1"/>
    </w:lvl>
  </w:abstractNum>
  <w:abstractNum w:abstractNumId="80">
    <w:nsid w:val="3FC32E20"/>
    <w:multiLevelType w:val="hybridMultilevel"/>
    <w:lvl w:ilvl="0">
      <w:lvlJc w:val="left"/>
      <w:lvlText w:val="%1"/>
      <w:numFmt w:val="decimal"/>
      <w:start w:val="1"/>
    </w:lvl>
    <w:lvl w:ilvl="1">
      <w:lvlJc w:val="left"/>
      <w:lvlText w:val="(%2)"/>
      <w:numFmt w:val="lowerRoman"/>
      <w:start w:val="2"/>
    </w:lvl>
  </w:abstractNum>
  <w:abstractNum w:abstractNumId="81">
    <w:nsid w:val="49C0E823"/>
    <w:multiLevelType w:val="hybridMultilevel"/>
    <w:lvl w:ilvl="0">
      <w:lvlJc w:val="left"/>
      <w:lvlText w:val="(%1)"/>
      <w:numFmt w:val="decimal"/>
      <w:start w:val="3"/>
    </w:lvl>
    <w:lvl w:ilvl="1">
      <w:lvlJc w:val="left"/>
      <w:lvlText w:val="%2"/>
      <w:numFmt w:val="lowerRoman"/>
      <w:start w:val="1"/>
    </w:lvl>
  </w:abstractNum>
  <w:abstractNum w:abstractNumId="82">
    <w:nsid w:val="14D53685"/>
    <w:multiLevelType w:val="hybridMultilevel"/>
    <w:lvl w:ilvl="0">
      <w:lvlJc w:val="left"/>
      <w:lvlText w:val="%1"/>
      <w:numFmt w:val="upperLetter"/>
      <w:start w:val="1"/>
    </w:lvl>
    <w:lvl w:ilvl="1">
      <w:lvlJc w:val="left"/>
      <w:lvlText w:val="(%2)"/>
      <w:numFmt w:val="lowerLetter"/>
      <w:start w:val="1"/>
    </w:lvl>
  </w:abstractNum>
  <w:abstractNum w:abstractNumId="83">
    <w:nsid w:val="230F856C"/>
    <w:multiLevelType w:val="hybridMultilevel"/>
    <w:lvl w:ilvl="0">
      <w:lvlJc w:val="left"/>
      <w:lvlText w:val="(%1)"/>
      <w:numFmt w:val="upperLetter"/>
      <w:start w:val="3"/>
    </w:lvl>
    <w:lvl w:ilvl="1">
      <w:lvlJc w:val="left"/>
      <w:lvlText w:val="(%2)"/>
      <w:numFmt w:val="lowerLetter"/>
      <w:start w:val="2"/>
    </w:lvl>
  </w:abstractNum>
  <w:abstractNum w:abstractNumId="84">
    <w:nsid w:val="6EAA85FB"/>
    <w:multiLevelType w:val="hybridMultilevel"/>
    <w:lvl w:ilvl="0">
      <w:lvlJc w:val="left"/>
      <w:lvlText w:val="(%1)"/>
      <w:numFmt w:val="lowerRoman"/>
      <w:start w:val="1"/>
    </w:lvl>
  </w:abstractNum>
  <w:abstractNum w:abstractNumId="85">
    <w:nsid w:val="3F06ECB2"/>
    <w:multiLevelType w:val="hybridMultilevel"/>
    <w:lvl w:ilvl="0">
      <w:lvlJc w:val="left"/>
      <w:lvlText w:val="(%1)"/>
      <w:numFmt w:val="lowerLetter"/>
      <w:start w:val="3"/>
    </w:lvl>
  </w:abstractNum>
  <w:abstractNum w:abstractNumId="86">
    <w:nsid w:val="3B594807"/>
    <w:multiLevelType w:val="hybridMultilevel"/>
    <w:lvl w:ilvl="0">
      <w:lvlJc w:val="left"/>
      <w:lvlText w:val="(%1)"/>
      <w:numFmt w:val="lowerRoman"/>
      <w:start w:val="1"/>
    </w:lvl>
  </w:abstractNum>
  <w:abstractNum w:abstractNumId="87">
    <w:nsid w:val="6CAA2304"/>
    <w:multiLevelType w:val="hybridMultilevel"/>
    <w:lvl w:ilvl="0">
      <w:lvlJc w:val="left"/>
      <w:lvlText w:val="(%1)"/>
      <w:numFmt w:val="lowerLetter"/>
      <w:start w:val="1"/>
    </w:lvl>
  </w:abstractNum>
  <w:abstractNum w:abstractNumId="88">
    <w:nsid w:val="3F7C2FF4"/>
    <w:multiLevelType w:val="hybridMultilevel"/>
    <w:lvl w:ilvl="0">
      <w:lvlJc w:val="left"/>
      <w:lvlText w:val="(%1)"/>
      <w:numFmt w:val="lowerLetter"/>
      <w:start w:val="4"/>
    </w:lvl>
  </w:abstractNum>
  <w:abstractNum w:abstractNumId="89">
    <w:nsid w:val="25413BEC"/>
    <w:multiLevelType w:val="hybridMultilevel"/>
    <w:lvl w:ilvl="0">
      <w:lvlJc w:val="left"/>
      <w:lvlText w:val="(%1)"/>
      <w:numFmt w:val="lowerLetter"/>
      <w:start w:val="1"/>
    </w:lvl>
  </w:abstractNum>
  <w:abstractNum w:abstractNumId="90">
    <w:nsid w:val="17180B0B"/>
    <w:multiLevelType w:val="hybridMultilevel"/>
    <w:lvl w:ilvl="0">
      <w:lvlJc w:val="left"/>
      <w:lvlText w:val="%1"/>
      <w:numFmt w:val="lowerRoman"/>
      <w:start w:val="1"/>
    </w:lvl>
    <w:lvl w:ilvl="1">
      <w:lvlJc w:val="left"/>
      <w:lvlText w:val="(%2)"/>
      <w:numFmt w:val="lowerRoman"/>
      <w:start w:val="2"/>
    </w:lvl>
  </w:abstractNum>
  <w:abstractNum w:abstractNumId="91">
    <w:nsid w:val="579328B9"/>
    <w:multiLevelType w:val="hybridMultilevel"/>
    <w:lvl w:ilvl="0">
      <w:lvlJc w:val="left"/>
      <w:lvlText w:val="(%1)"/>
      <w:numFmt w:val="lowerRoman"/>
      <w:start w:val="2"/>
    </w:lvl>
    <w:lvl w:ilvl="1">
      <w:lvlJc w:val="left"/>
      <w:lvlText w:val="(%2)"/>
      <w:numFmt w:val="lowerRoman"/>
      <w:start w:val="4"/>
    </w:lvl>
  </w:abstractNum>
  <w:abstractNum w:abstractNumId="92">
    <w:nsid w:val="5D205E20"/>
    <w:multiLevelType w:val="hybridMultilevel"/>
    <w:lvl w:ilvl="0">
      <w:lvlJc w:val="left"/>
      <w:lvlText w:val="(%1)"/>
      <w:numFmt w:val="lowerLetter"/>
      <w:start w:val="3"/>
    </w:lvl>
  </w:abstractNum>
  <w:abstractNum w:abstractNumId="93">
    <w:nsid w:val="11CCA8BA"/>
    <w:multiLevelType w:val="hybridMultilevel"/>
    <w:lvl w:ilvl="0">
      <w:lvlJc w:val="left"/>
      <w:lvlText w:val="(%1)"/>
      <w:numFmt w:val="lowerLetter"/>
      <w:start w:val="1"/>
    </w:lvl>
  </w:abstractNum>
  <w:abstractNum w:abstractNumId="94">
    <w:nsid w:val="4D32AB86"/>
    <w:multiLevelType w:val="hybridMultilevel"/>
    <w:lvl w:ilvl="0">
      <w:lvlJc w:val="left"/>
      <w:lvlText w:val="(%1)"/>
      <w:numFmt w:val="lowerRoman"/>
      <w:start w:val="1"/>
    </w:lvl>
  </w:abstractNum>
  <w:abstractNum w:abstractNumId="95">
    <w:nsid w:val="3F07ACC3"/>
    <w:multiLevelType w:val="hybridMultilevel"/>
    <w:lvl w:ilvl="0">
      <w:lvlJc w:val="left"/>
      <w:lvlText w:val="(%1)"/>
      <w:numFmt w:val="lowerLetter"/>
      <w:start w:val="1"/>
    </w:lvl>
  </w:abstractNum>
  <w:abstractNum w:abstractNumId="96">
    <w:nsid w:val="6B47F63E"/>
    <w:multiLevelType w:val="hybridMultilevel"/>
    <w:lvl w:ilvl="0">
      <w:lvlJc w:val="left"/>
      <w:lvlText w:val="(%1)"/>
      <w:numFmt w:val="lowerLetter"/>
      <w:start w:val="1"/>
    </w:lvl>
  </w:abstractNum>
  <w:abstractNum w:abstractNumId="97">
    <w:nsid w:val="5CB44A05"/>
    <w:multiLevelType w:val="hybridMultilevel"/>
    <w:lvl w:ilvl="0">
      <w:lvlJc w:val="left"/>
      <w:lvlText w:val="(%1)"/>
      <w:numFmt w:val="lowerLetter"/>
      <w:start w:val="1"/>
    </w:lvl>
  </w:abstractNum>
  <w:abstractNum w:abstractNumId="98">
    <w:nsid w:val="16CF80F1"/>
    <w:multiLevelType w:val="hybridMultilevel"/>
    <w:lvl w:ilvl="0">
      <w:lvlJc w:val="left"/>
      <w:lvlText w:val="(%1)"/>
      <w:numFmt w:val="lowerRoman"/>
      <w:start w:val="2"/>
    </w:lvl>
  </w:abstractNum>
  <w:abstractNum w:abstractNumId="99">
    <w:nsid w:val="1C695DEC"/>
    <w:multiLevelType w:val="hybridMultilevel"/>
    <w:lvl w:ilvl="0">
      <w:lvlJc w:val="left"/>
      <w:lvlText w:val="(%1)"/>
      <w:numFmt w:val="lowerLetter"/>
      <w:start w:val="3"/>
    </w:lvl>
  </w:abstractNum>
  <w:abstractNum w:abstractNumId="100">
    <w:nsid w:val="3FCFAED9"/>
    <w:multiLevelType w:val="hybridMultilevel"/>
    <w:lvl w:ilvl="0">
      <w:lvlJc w:val="left"/>
      <w:lvlText w:val="(%1)"/>
      <w:numFmt w:val="lowerRoman"/>
      <w:start w:val="1"/>
    </w:lvl>
  </w:abstractNum>
  <w:abstractNum w:abstractNumId="101">
    <w:nsid w:val="F856867"/>
    <w:multiLevelType w:val="hybridMultilevel"/>
    <w:lvl w:ilvl="0">
      <w:lvlJc w:val="left"/>
      <w:lvlText w:val="(%1)"/>
      <w:numFmt w:val="lowerLetter"/>
      <w:start w:val="1"/>
    </w:lvl>
    <w:lvl w:ilvl="1">
      <w:lvlJc w:val="left"/>
      <w:lvlText w:val="(%2)"/>
      <w:numFmt w:val="lowerRoman"/>
      <w:start w:val="1"/>
    </w:lvl>
  </w:abstractNum>
  <w:abstractNum w:abstractNumId="102">
    <w:nsid w:val="11B1CC33"/>
    <w:multiLevelType w:val="hybridMultilevel"/>
    <w:lvl w:ilvl="0">
      <w:lvlJc w:val="left"/>
      <w:lvlText w:val="(%1)"/>
      <w:numFmt w:val="lowerRoman"/>
      <w:start w:val="3"/>
    </w:lvl>
  </w:abstractNum>
  <w:abstractNum w:abstractNumId="103">
    <w:nsid w:val="2E22FBB7"/>
    <w:multiLevelType w:val="hybridMultilevel"/>
    <w:lvl w:ilvl="0">
      <w:lvlJc w:val="left"/>
      <w:lvlText w:val="(%1)"/>
      <w:numFmt w:val="upperLetter"/>
      <w:start w:val="1"/>
    </w:lvl>
  </w:abstractNum>
  <w:abstractNum w:abstractNumId="104">
    <w:nsid w:val="29934699"/>
    <w:multiLevelType w:val="hybridMultilevel"/>
    <w:lvl w:ilvl="0">
      <w:lvlJc w:val="left"/>
      <w:lvlText w:val="%1"/>
      <w:numFmt w:val="lowerLetter"/>
      <w:start w:val="1"/>
    </w:lvl>
    <w:lvl w:ilvl="1">
      <w:lvlJc w:val="left"/>
      <w:lvlText w:val="(%2)"/>
      <w:numFmt w:val="lowerRoman"/>
      <w:start w:val="4"/>
    </w:lvl>
  </w:abstractNum>
  <w:abstractNum w:abstractNumId="105">
    <w:nsid w:val="77485850"/>
    <w:multiLevelType w:val="hybridMultilevel"/>
    <w:lvl w:ilvl="0">
      <w:lvlJc w:val="left"/>
      <w:lvlText w:val="(%1)"/>
      <w:numFmt w:val="lowerLetter"/>
      <w:start w:val="2"/>
    </w:lvl>
    <w:lvl w:ilvl="1">
      <w:lvlJc w:val="left"/>
      <w:lvlText w:val="%2"/>
      <w:numFmt w:val="lowerRoman"/>
      <w:start w:val="1"/>
    </w:lvl>
  </w:abstractNum>
  <w:abstractNum w:abstractNumId="106">
    <w:nsid w:val="744939A3"/>
    <w:multiLevelType w:val="hybridMultilevel"/>
    <w:lvl w:ilvl="0">
      <w:lvlJc w:val="left"/>
      <w:lvlText w:val="(%1)"/>
      <w:numFmt w:val="lowerLetter"/>
      <w:start w:val="1"/>
    </w:lvl>
  </w:abstractNum>
  <w:abstractNum w:abstractNumId="107">
    <w:nsid w:val="4FA0D2E3"/>
    <w:multiLevelType w:val="hybridMultilevel"/>
    <w:lvl w:ilvl="0">
      <w:lvlJc w:val="left"/>
      <w:lvlText w:val="(%1)"/>
      <w:numFmt w:val="lowerLetter"/>
      <w:start w:val="1"/>
    </w:lvl>
  </w:abstractNum>
  <w:abstractNum w:abstractNumId="108">
    <w:nsid w:val="6B1D2C14"/>
    <w:multiLevelType w:val="hybridMultilevel"/>
    <w:lvl w:ilvl="0">
      <w:lvlJc w:val="left"/>
      <w:lvlText w:val="%1"/>
      <w:numFmt w:val="upperLetter"/>
      <w:start w:val="1"/>
    </w:lvl>
    <w:lvl w:ilvl="1">
      <w:lvlJc w:val="left"/>
      <w:lvlText w:val="(%2)"/>
      <w:numFmt w:val="lowerRoman"/>
      <w:start w:val="1"/>
    </w:lvl>
  </w:abstractNum>
  <w:abstractNum w:abstractNumId="109">
    <w:nsid w:val="68B867D3"/>
    <w:multiLevelType w:val="hybridMultilevel"/>
    <w:lvl w:ilvl="0">
      <w:lvlJc w:val="left"/>
      <w:lvlText w:val="(%1)"/>
      <w:numFmt w:val="upperLetter"/>
      <w:start w:val="2"/>
    </w:lvl>
    <w:lvl w:ilvl="1">
      <w:lvlJc w:val="left"/>
      <w:lvlText w:val="(%2)"/>
      <w:numFmt w:val="lowerRoman"/>
      <w:start w:val="3"/>
    </w:lvl>
  </w:abstractNum>
  <w:abstractNum w:abstractNumId="110">
    <w:nsid w:val="3F7F5DD9"/>
    <w:multiLevelType w:val="hybridMultilevel"/>
    <w:lvl w:ilvl="0">
      <w:lvlJc w:val="left"/>
      <w:lvlText w:val="(%1)"/>
      <w:numFmt w:val="lowerLetter"/>
      <w:start w:val="2"/>
    </w:lvl>
  </w:abstractNum>
  <w:abstractNum w:abstractNumId="111">
    <w:nsid w:val="2AE05A34"/>
    <w:multiLevelType w:val="hybridMultilevel"/>
    <w:lvl w:ilvl="0">
      <w:lvlJc w:val="left"/>
      <w:lvlText w:val="(%1)"/>
      <w:numFmt w:val="lowerRoman"/>
      <w:start w:val="1"/>
    </w:lvl>
  </w:abstractNum>
  <w:abstractNum w:abstractNumId="112">
    <w:nsid w:val="32794FF7"/>
    <w:multiLevelType w:val="hybridMultilevel"/>
    <w:lvl w:ilvl="0">
      <w:lvlJc w:val="left"/>
      <w:lvlText w:val="(%1)"/>
      <w:numFmt w:val="lowerRoman"/>
      <w:start w:val="2"/>
    </w:lvl>
  </w:abstractNum>
  <w:abstractNum w:abstractNumId="113">
    <w:nsid w:val="5454945E"/>
    <w:multiLevelType w:val="hybridMultilevel"/>
    <w:lvl w:ilvl="0">
      <w:lvlJc w:val="left"/>
      <w:lvlText w:val="(%1)"/>
      <w:numFmt w:val="lowerLetter"/>
      <w:start w:val="4"/>
    </w:lvl>
  </w:abstractNum>
  <w:abstractNum w:abstractNumId="114">
    <w:nsid w:val="4DEFDFA0"/>
    <w:multiLevelType w:val="hybridMultilevel"/>
    <w:lvl w:ilvl="0">
      <w:lvlJc w:val="left"/>
      <w:lvlText w:val="(%1)"/>
      <w:numFmt w:val="lowerRoman"/>
      <w:start w:val="1"/>
    </w:lvl>
    <w:lvl w:ilvl="1">
      <w:lvlJc w:val="left"/>
      <w:lvlText w:val="(%2)"/>
      <w:numFmt w:val="upperLetter"/>
      <w:start w:val="1"/>
    </w:lvl>
  </w:abstractNum>
  <w:abstractNum w:abstractNumId="115">
    <w:nsid w:val="2123D5F2"/>
    <w:multiLevelType w:val="hybridMultilevel"/>
    <w:lvl w:ilvl="0">
      <w:lvlJc w:val="left"/>
      <w:lvlText w:val="(%1)"/>
      <w:numFmt w:val="upperLetter"/>
      <w:start w:val="2"/>
    </w:lvl>
    <w:lvl w:ilvl="1">
      <w:lvlJc w:val="left"/>
      <w:lvlText w:val="(%2)"/>
      <w:numFmt w:val="lowerRoman"/>
      <w:start w:val="9"/>
    </w:lvl>
    <w:lvl w:ilvl="2">
      <w:lvlJc w:val="left"/>
      <w:lvlText w:val="(%3)"/>
      <w:numFmt w:val="decimal"/>
      <w:start w:val="1"/>
    </w:lvl>
  </w:abstractNum>
  <w:abstractNum w:abstractNumId="116">
    <w:nsid w:val="135B8110"/>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4"/>
    </w:lvl>
  </w:abstractNum>
  <w:abstractNum w:abstractNumId="117">
    <w:nsid w:val="94927A8"/>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118">
    <w:nsid w:val="DCDF8F6"/>
    <w:multiLevelType w:val="hybridMultilevel"/>
    <w:lvl w:ilvl="0">
      <w:lvlJc w:val="left"/>
      <w:lvlText w:val="(%1)"/>
      <w:numFmt w:val="lowerRoman"/>
      <w:start w:val="3"/>
    </w:lvl>
  </w:abstractNum>
  <w:abstractNum w:abstractNumId="119">
    <w:nsid w:val="52D7B105"/>
    <w:multiLevelType w:val="hybridMultilevel"/>
    <w:lvl w:ilvl="0">
      <w:lvlJc w:val="left"/>
      <w:lvlText w:val="(%1)"/>
      <w:numFmt w:val="lowerLetter"/>
      <w:start w:val="6"/>
    </w:lvl>
  </w:abstractNum>
  <w:abstractNum w:abstractNumId="120">
    <w:nsid w:val="2E8A6394"/>
    <w:multiLevelType w:val="hybridMultilevel"/>
    <w:lvl w:ilvl="0">
      <w:lvlJc w:val="left"/>
      <w:lvlText w:val="(%1)"/>
      <w:numFmt w:val="lowerLetter"/>
      <w:start w:val="1"/>
    </w:lvl>
    <w:lvl w:ilvl="1">
      <w:lvlJc w:val="left"/>
      <w:lvlText w:val="(%2)"/>
      <w:numFmt w:val="lowerRoman"/>
      <w:start w:val="1"/>
    </w:lvl>
  </w:abstractNum>
  <w:abstractNum w:abstractNumId="121">
    <w:nsid w:val="24E60401"/>
    <w:multiLevelType w:val="hybridMultilevel"/>
    <w:lvl w:ilvl="0">
      <w:lvlJc w:val="left"/>
      <w:lvlText w:val="(%1)"/>
      <w:numFmt w:val="lowerLetter"/>
      <w:start w:val="2"/>
    </w:lvl>
  </w:abstractNum>
  <w:abstractNum w:abstractNumId="122">
    <w:nsid w:val="2A6AD9BE"/>
    <w:multiLevelType w:val="hybridMultilevel"/>
    <w:lvl w:ilvl="0">
      <w:lvlJc w:val="left"/>
      <w:lvlText w:val="(%1)"/>
      <w:numFmt w:val="lowerLetter"/>
      <w:start w:val="3"/>
    </w:lvl>
  </w:abstractNum>
  <w:abstractNum w:abstractNumId="123">
    <w:nsid w:val="BAAC1B4"/>
    <w:multiLevelType w:val="hybridMultilevel"/>
    <w:lvl w:ilvl="0">
      <w:lvlJc w:val="left"/>
      <w:lvlText w:val="(%1)"/>
      <w:numFmt w:val="lowerLetter"/>
      <w:start w:val="1"/>
    </w:lvl>
  </w:abstractNum>
  <w:abstractNum w:abstractNumId="124">
    <w:nsid w:val="36B2ACBC"/>
    <w:multiLevelType w:val="hybridMultilevel"/>
    <w:lvl w:ilvl="0">
      <w:lvlJc w:val="left"/>
      <w:lvlText w:val="(%1)"/>
      <w:numFmt w:val="lowerLetter"/>
      <w:start w:val="1"/>
    </w:lvl>
  </w:abstractNum>
  <w:abstractNum w:abstractNumId="125">
    <w:nsid w:val="779D8544"/>
    <w:multiLevelType w:val="hybridMultilevel"/>
    <w:lvl w:ilvl="0">
      <w:lvlJc w:val="left"/>
      <w:lvlText w:val="(%1)"/>
      <w:numFmt w:val="lowerLetter"/>
      <w:start w:val="1"/>
    </w:lvl>
    <w:lvl w:ilvl="1">
      <w:lvlJc w:val="left"/>
      <w:lvlText w:val="(%2)"/>
      <w:numFmt w:val="lowerRoman"/>
      <w:start w:val="1"/>
    </w:lvl>
  </w:abstractNum>
  <w:abstractNum w:abstractNumId="126">
    <w:nsid w:val="4AB26E78"/>
    <w:multiLevelType w:val="hybridMultilevel"/>
    <w:lvl w:ilvl="0">
      <w:lvlJc w:val="left"/>
      <w:lvlText w:val="(%1)"/>
      <w:numFmt w:val="lowerRoman"/>
      <w:start w:val="3"/>
    </w:lvl>
    <w:lvl w:ilvl="1">
      <w:lvlJc w:val="left"/>
      <w:lvlText w:val="(%2)"/>
      <w:numFmt w:val="upperLetter"/>
      <w:start w:val="1"/>
    </w:lvl>
  </w:abstractNum>
  <w:abstractNum w:abstractNumId="127">
    <w:nsid w:val="21FAA2FA"/>
    <w:multiLevelType w:val="hybridMultilevel"/>
    <w:lvl w:ilvl="0">
      <w:lvlJc w:val="left"/>
      <w:lvlText w:val="(%1)"/>
      <w:numFmt w:val="lowerRoman"/>
      <w:start w:val="8"/>
    </w:lvl>
    <w:lvl w:ilvl="1">
      <w:lvlJc w:val="left"/>
      <w:lvlText w:val="(%2)"/>
      <w:numFmt w:val="decimal"/>
      <w:start w:val="1"/>
    </w:lvl>
  </w:abstractNum>
  <w:abstractNum w:abstractNumId="128">
    <w:nsid w:val="5451CF49"/>
    <w:multiLevelType w:val="hybridMultilevel"/>
    <w:lvl w:ilvl="0">
      <w:lvlJc w:val="left"/>
      <w:lvlText w:val="(%1)"/>
      <w:numFmt w:val="lowerRoman"/>
      <w:start w:val="13"/>
    </w:lvl>
  </w:abstractNum>
  <w:abstractNum w:abstractNumId="129">
    <w:nsid w:val="6181EF69"/>
    <w:multiLevelType w:val="hybridMultilevel"/>
    <w:lvl w:ilvl="0">
      <w:lvlJc w:val="left"/>
      <w:lvlText w:val="(%1)"/>
      <w:numFmt w:val="lowerLetter"/>
      <w:start w:val="2"/>
    </w:lvl>
  </w:abstractNum>
  <w:abstractNum w:abstractNumId="130">
    <w:nsid w:val="3E6400E6"/>
    <w:multiLevelType w:val="hybridMultilevel"/>
    <w:lvl w:ilvl="0">
      <w:lvlJc w:val="left"/>
      <w:lvlText w:val="(%1)"/>
      <w:numFmt w:val="lowerRoman"/>
      <w:start w:val="2"/>
    </w:lvl>
  </w:abstractNum>
  <w:abstractNum w:abstractNumId="131">
    <w:nsid w:val="14217E23"/>
    <w:multiLevelType w:val="hybridMultilevel"/>
    <w:lvl w:ilvl="0">
      <w:lvlJc w:val="left"/>
      <w:lvlText w:val="(%1)"/>
      <w:numFmt w:val="lowerLetter"/>
      <w:start w:val="5"/>
    </w:lvl>
  </w:abstractNum>
  <w:abstractNum w:abstractNumId="132">
    <w:nsid w:val="710757D0"/>
    <w:multiLevelType w:val="hybridMultilevel"/>
    <w:lvl w:ilvl="0">
      <w:lvlJc w:val="left"/>
      <w:lvlText w:val="(%1)"/>
      <w:numFmt w:val="lowerLetter"/>
      <w:start w:val="6"/>
    </w:lvl>
  </w:abstractNum>
  <w:abstractNum w:abstractNumId="133">
    <w:nsid w:val="5015CD1A"/>
    <w:multiLevelType w:val="hybridMultilevel"/>
    <w:lvl w:ilvl="0">
      <w:lvlJc w:val="left"/>
      <w:lvlText w:val="(%1)"/>
      <w:numFmt w:val="lowerLetter"/>
      <w:start w:val="1"/>
    </w:lvl>
  </w:abstractNum>
  <w:abstractNum w:abstractNumId="134">
    <w:nsid w:val="424479DA"/>
    <w:multiLevelType w:val="hybridMultilevel"/>
    <w:lvl w:ilvl="0">
      <w:lvlJc w:val="left"/>
      <w:lvlText w:val="(%1)"/>
      <w:numFmt w:val="lowerLetter"/>
      <w:start w:val="1"/>
    </w:lvl>
  </w:abstractNum>
  <w:abstractNum w:abstractNumId="135">
    <w:nsid w:val="1A9A9E69"/>
    <w:multiLevelType w:val="hybridMultilevel"/>
    <w:lvl w:ilvl="0">
      <w:lvlJc w:val="left"/>
      <w:lvlText w:val="(%1)"/>
      <w:numFmt w:val="lowerLetter"/>
      <w:start w:val="2"/>
    </w:lvl>
  </w:abstractNum>
  <w:abstractNum w:abstractNumId="136">
    <w:nsid w:val="475E256A"/>
    <w:multiLevelType w:val="hybridMultilevel"/>
    <w:lvl w:ilvl="0">
      <w:lvlJc w:val="left"/>
      <w:lvlText w:val="(%1)"/>
      <w:numFmt w:val="lowerLetter"/>
      <w:start w:val="1"/>
    </w:lvl>
  </w:abstractNum>
  <w:abstractNum w:abstractNumId="137">
    <w:nsid w:val="368DB37E"/>
    <w:multiLevelType w:val="hybridMultilevel"/>
    <w:lvl w:ilvl="0">
      <w:lvlJc w:val="left"/>
      <w:lvlText w:val="(%1)"/>
      <w:numFmt w:val="lowerLetter"/>
      <w:start w:val="1"/>
    </w:lvl>
  </w:abstractNum>
  <w:abstractNum w:abstractNumId="138">
    <w:nsid w:val="6A3B714C"/>
    <w:multiLevelType w:val="hybridMultilevel"/>
    <w:lvl w:ilvl="0">
      <w:lvlJc w:val="left"/>
      <w:lvlText w:val="(%1)"/>
      <w:numFmt w:val="lowerLetter"/>
      <w:start w:val="1"/>
    </w:lvl>
  </w:abstractNum>
  <w:abstractNum w:abstractNumId="139">
    <w:nsid w:val="327B517E"/>
    <w:multiLevelType w:val="hybridMultilevel"/>
    <w:lvl w:ilvl="0">
      <w:lvlJc w:val="left"/>
      <w:lvlText w:val="(%1)"/>
      <w:numFmt w:val="lowerLetter"/>
      <w:start w:val="3"/>
    </w:lvl>
  </w:abstractNum>
  <w:abstractNum w:abstractNumId="140">
    <w:nsid w:val="1F461B51"/>
    <w:multiLevelType w:val="hybridMultilevel"/>
    <w:lvl w:ilvl="0">
      <w:lvlJc w:val="left"/>
      <w:lvlText w:val="%1"/>
      <w:numFmt w:val="lowerLetter"/>
      <w:start w:val="1"/>
    </w:lvl>
    <w:lvl w:ilvl="1">
      <w:lvlJc w:val="left"/>
      <w:lvlText w:val="(%2)"/>
      <w:numFmt w:val="lowerLetter"/>
      <w:start w:val="1"/>
    </w:lvl>
  </w:abstractNum>
  <w:abstractNum w:abstractNumId="141">
    <w:nsid w:val="29BACF25"/>
    <w:multiLevelType w:val="hybridMultilevel"/>
    <w:lvl w:ilvl="0">
      <w:lvlJc w:val="left"/>
      <w:lvlText w:val="(%1)"/>
      <w:numFmt w:val="lowerLetter"/>
      <w:start w:val="24"/>
    </w:lvl>
    <w:lvl w:ilvl="1">
      <w:lvlJc w:val="left"/>
      <w:lvlText w:val="(%2)"/>
      <w:numFmt w:val="lowerLetter"/>
      <w:start w:val="3"/>
    </w:lvl>
  </w:abstractNum>
  <w:abstractNum w:abstractNumId="142">
    <w:nsid w:val="5D5BABB3"/>
    <w:multiLevelType w:val="hybridMultilevel"/>
    <w:lvl w:ilvl="0">
      <w:lvlJc w:val="left"/>
      <w:lvlText w:val="(%1)"/>
      <w:numFmt w:val="lowerLetter"/>
      <w:start w:val="6"/>
    </w:lvl>
  </w:abstractNum>
  <w:abstractNum w:abstractNumId="143">
    <w:nsid w:val="51BF6B48"/>
    <w:multiLevelType w:val="hybridMultilevel"/>
    <w:lvl w:ilvl="0">
      <w:lvlJc w:val="left"/>
      <w:lvlText w:val="(%1)"/>
      <w:numFmt w:val="lowerLetter"/>
      <w:start w:val="25"/>
    </w:lvl>
  </w:abstractNum>
  <w:abstractNum w:abstractNumId="144">
    <w:nsid w:val="7E0F6384"/>
    <w:multiLevelType w:val="hybridMultilevel"/>
    <w:lvl w:ilvl="0">
      <w:lvlJc w:val="left"/>
      <w:lvlText w:val="(%1)"/>
      <w:numFmt w:val="lowerLetter"/>
      <w:start w:val="1"/>
    </w:lvl>
  </w:abstractNum>
  <w:abstractNum w:abstractNumId="145">
    <w:nsid w:val="2B4B8B53"/>
    <w:multiLevelType w:val="hybridMultilevel"/>
    <w:lvl w:ilvl="0">
      <w:lvlJc w:val="left"/>
      <w:lvlText w:val="(%1)"/>
      <w:numFmt w:val="lowerLetter"/>
      <w:start w:val="5"/>
    </w:lvl>
  </w:abstractNum>
  <w:abstractNum w:abstractNumId="146">
    <w:nsid w:val="72E3413A"/>
    <w:multiLevelType w:val="hybridMultilevel"/>
    <w:lvl w:ilvl="0">
      <w:lvlJc w:val="left"/>
      <w:lvlText w:val="(%1)"/>
      <w:numFmt w:val="lowerLetter"/>
      <w:start w:val="1"/>
    </w:lvl>
  </w:abstractNum>
  <w:abstractNum w:abstractNumId="147">
    <w:nsid w:val="116AE494"/>
    <w:multiLevelType w:val="hybridMultilevel"/>
    <w:lvl w:ilvl="0">
      <w:lvlJc w:val="left"/>
      <w:lvlText w:val="(%1)"/>
      <w:numFmt w:val="lowerLetter"/>
      <w:start w:val="2"/>
    </w:lvl>
  </w:abstractNum>
  <w:abstractNum w:abstractNumId="148">
    <w:nsid w:val="3494B2FB"/>
    <w:multiLevelType w:val="hybridMultilevel"/>
    <w:lvl w:ilvl="0">
      <w:lvlJc w:val="left"/>
      <w:lvlText w:val="(%1)"/>
      <w:numFmt w:val="lowerLetter"/>
      <w:start w:val="1"/>
    </w:lvl>
  </w:abstractNum>
  <w:abstractNum w:abstractNumId="149">
    <w:nsid w:val="B13A31"/>
    <w:multiLevelType w:val="hybridMultilevel"/>
    <w:lvl w:ilvl="0">
      <w:lvlJc w:val="left"/>
      <w:lvlText w:val="(%1)"/>
      <w:numFmt w:val="lowerLetter"/>
      <w:start w:val="1"/>
    </w:lvl>
  </w:abstractNum>
  <w:abstractNum w:abstractNumId="150">
    <w:nsid w:val="64429599"/>
    <w:multiLevelType w:val="hybridMultilevel"/>
    <w:lvl w:ilvl="0">
      <w:lvlJc w:val="left"/>
      <w:lvlText w:val="(%1)"/>
      <w:numFmt w:val="lowerLetter"/>
      <w:start w:val="1"/>
    </w:lvl>
    <w:lvl w:ilvl="1">
      <w:lvlJc w:val="left"/>
      <w:lvlText w:val="(%2)"/>
      <w:numFmt w:val="lowerRoman"/>
      <w:start w:val="1"/>
    </w:lvl>
  </w:abstractNum>
  <w:abstractNum w:abstractNumId="151">
    <w:nsid w:val="631F1690"/>
    <w:multiLevelType w:val="hybridMultilevel"/>
    <w:lvl w:ilvl="0">
      <w:lvlJc w:val="left"/>
      <w:lvlText w:val="(%1)"/>
      <w:numFmt w:val="lowerRoman"/>
      <w:start w:val="4"/>
    </w:lvl>
  </w:abstractNum>
  <w:abstractNum w:abstractNumId="152">
    <w:nsid w:val="25973E32"/>
    <w:multiLevelType w:val="hybridMultilevel"/>
    <w:lvl w:ilvl="0">
      <w:lvlJc w:val="left"/>
      <w:lvlText w:val="(%1)"/>
      <w:numFmt w:val="lowerLetter"/>
      <w:start w:val="6"/>
    </w:lvl>
  </w:abstractNum>
  <w:abstractNum w:abstractNumId="153">
    <w:nsid w:val="EAD6F57"/>
    <w:multiLevelType w:val="hybridMultilevel"/>
    <w:lvl w:ilvl="0">
      <w:lvlJc w:val="left"/>
      <w:lvlText w:val="%1"/>
      <w:numFmt w:val="lowerLetter"/>
      <w:start w:val="1"/>
    </w:lvl>
    <w:lvl w:ilvl="1">
      <w:lvlJc w:val="left"/>
      <w:lvlText w:val="(%2)"/>
      <w:numFmt w:val="lowerLetter"/>
      <w:start w:val="7"/>
    </w:lvl>
  </w:abstractNum>
  <w:abstractNum w:abstractNumId="154">
    <w:nsid w:val="6EC9D844"/>
    <w:multiLevelType w:val="hybridMultilevel"/>
    <w:lvl w:ilvl="0">
      <w:lvlJc w:val="left"/>
      <w:lvlText w:val="(%1)"/>
      <w:numFmt w:val="lowerLetter"/>
      <w:start w:val="9"/>
    </w:lvl>
    <w:lvl w:ilvl="1">
      <w:lvlJc w:val="left"/>
      <w:lvlText w:val="(%2)"/>
      <w:numFmt w:val="lowerLetter"/>
      <w:start w:val="8"/>
    </w:lvl>
  </w:abstractNum>
  <w:abstractNum w:abstractNumId="155">
    <w:nsid w:val="5C49EAEE"/>
    <w:multiLevelType w:val="hybridMultilevel"/>
    <w:lvl w:ilvl="0">
      <w:lvlJc w:val="left"/>
      <w:lvlText w:val="(%1)"/>
      <w:numFmt w:val="lowerLetter"/>
      <w:start w:val="1"/>
    </w:lvl>
  </w:abstractNum>
  <w:abstractNum w:abstractNumId="156">
    <w:nsid w:val="64AF49B"/>
    <w:multiLevelType w:val="hybridMultilevel"/>
    <w:lvl w:ilvl="0">
      <w:lvlJc w:val="left"/>
      <w:lvlText w:val="(%1)"/>
      <w:numFmt w:val="lowerLetter"/>
      <w:start w:val="1"/>
    </w:lvl>
  </w:abstractNum>
  <w:abstractNum w:abstractNumId="157">
    <w:nsid w:val="397C46BC"/>
    <w:multiLevelType w:val="hybridMultilevel"/>
    <w:lvl w:ilvl="0">
      <w:lvlJc w:val="left"/>
      <w:lvlText w:val="%1"/>
      <w:numFmt w:val="lowerLetter"/>
      <w:start w:val="1"/>
    </w:lvl>
    <w:lvl w:ilvl="1">
      <w:lvlJc w:val="left"/>
      <w:lvlText w:val="(%2)"/>
      <w:numFmt w:val="lowerLetter"/>
      <w:start w:val="2"/>
    </w:lvl>
  </w:abstractNum>
  <w:abstractNum w:abstractNumId="158">
    <w:nsid w:val="7E448DE9"/>
    <w:multiLevelType w:val="hybridMultilevel"/>
    <w:lvl w:ilvl="0">
      <w:lvlJc w:val="left"/>
      <w:lvlText w:val="(%1)"/>
      <w:numFmt w:val="lowerLetter"/>
      <w:start w:val="14"/>
    </w:lvl>
    <w:lvl w:ilvl="1">
      <w:lvlJc w:val="left"/>
      <w:lvlText w:val="%2"/>
      <w:numFmt w:val="lowerLetter"/>
      <w:start w:val="1"/>
    </w:lvl>
  </w:abstractNum>
  <w:abstractNum w:abstractNumId="159">
    <w:nsid w:val="5A9CC3E5"/>
    <w:multiLevelType w:val="hybridMultilevel"/>
    <w:lvl w:ilvl="0">
      <w:lvlJc w:val="left"/>
      <w:lvlText w:val="(%1)"/>
      <w:numFmt w:val="lowerLetter"/>
      <w:start w:val="15"/>
    </w:lvl>
  </w:abstractNum>
  <w:abstractNum w:abstractNumId="160">
    <w:nsid w:val="1AFE3625"/>
    <w:multiLevelType w:val="hybridMultilevel"/>
    <w:lvl w:ilvl="0">
      <w:lvlJc w:val="left"/>
      <w:lvlText w:val="(%1)"/>
      <w:numFmt w:val="lowerLetter"/>
      <w:start w:val="1"/>
    </w:lvl>
  </w:abstractNum>
  <w:abstractNum w:abstractNumId="161">
    <w:nsid w:val="3CA88ECF"/>
    <w:multiLevelType w:val="hybridMultilevel"/>
    <w:lvl w:ilvl="0">
      <w:lvlJc w:val="left"/>
      <w:lvlText w:val="(%1)"/>
      <w:numFmt w:val="lowerLetter"/>
      <w:start w:val="4"/>
    </w:lvl>
  </w:abstractNum>
  <w:abstractNum w:abstractNumId="162">
    <w:nsid w:val="6EBE4208"/>
    <w:multiLevelType w:val="hybridMultilevel"/>
    <w:lvl w:ilvl="0">
      <w:lvlJc w:val="left"/>
      <w:lvlText w:val="%1"/>
      <w:numFmt w:val="lowerLetter"/>
      <w:start w:val="1"/>
    </w:lvl>
    <w:lvl w:ilvl="1">
      <w:lvlJc w:val="left"/>
      <w:lvlText w:val="(%2)"/>
      <w:numFmt w:val="lowerLetter"/>
      <w:start w:val="9"/>
    </w:lvl>
  </w:abstractNum>
  <w:abstractNum w:abstractNumId="163">
    <w:nsid w:val="C058DF5"/>
    <w:multiLevelType w:val="hybridMultilevel"/>
    <w:lvl w:ilvl="0">
      <w:lvlJc w:val="left"/>
      <w:lvlText w:val="(%1)"/>
      <w:numFmt w:val="lowerLetter"/>
      <w:start w:val="61"/>
    </w:lvl>
    <w:lvl w:ilvl="1">
      <w:lvlJc w:val="left"/>
      <w:lvlText w:val="(%2)"/>
      <w:numFmt w:val="lowerLetter"/>
      <w:start w:val="15"/>
    </w:lvl>
  </w:abstractNum>
  <w:abstractNum w:abstractNumId="164">
    <w:nsid w:val="CBE5BE9"/>
    <w:multiLevelType w:val="hybridMultilevel"/>
    <w:lvl w:ilvl="0">
      <w:lvlJc w:val="left"/>
      <w:lvlText w:val="(%1)"/>
      <w:numFmt w:val="lowerLetter"/>
      <w:start w:val="1"/>
    </w:lvl>
    <w:lvl w:ilvl="1">
      <w:lvlJc w:val="left"/>
      <w:lvlText w:val="(%2)"/>
      <w:numFmt w:val="lowerLetter"/>
      <w:start w:val="9"/>
    </w:lvl>
  </w:abstractNum>
  <w:abstractNum w:abstractNumId="165">
    <w:nsid w:val="3102BBE2"/>
    <w:multiLevelType w:val="hybridMultilevel"/>
    <w:lvl w:ilvl="0">
      <w:lvlJc w:val="left"/>
      <w:lvlText w:val="(%1)"/>
      <w:numFmt w:val="lowerRoman"/>
      <w:start w:val="2"/>
    </w:lvl>
  </w:abstractNum>
  <w:abstractNum w:abstractNumId="166">
    <w:nsid w:val="26A02C5E"/>
    <w:multiLevelType w:val="hybridMultilevel"/>
    <w:lvl w:ilvl="0">
      <w:lvlJc w:val="left"/>
      <w:lvlText w:val="(%1)"/>
      <w:numFmt w:val="lowerRoman"/>
      <w:start w:val="15"/>
    </w:lvl>
  </w:abstractNum>
  <w:abstractNum w:abstractNumId="167">
    <w:nsid w:val="541C815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8">
    <w:nsid w:val="67906F60"/>
    <w:multiLevelType w:val="hybridMultilevel"/>
    <w:lvl w:ilvl="0">
      <w:lvlJc w:val="left"/>
      <w:lvlText w:val="(%1)"/>
      <w:numFmt w:val="lowerRoman"/>
      <w:start w:val="2"/>
    </w:lvl>
  </w:abstractNum>
  <w:abstractNum w:abstractNumId="169">
    <w:nsid w:val="10DB9DAA"/>
    <w:multiLevelType w:val="hybridMultilevel"/>
    <w:lvl w:ilvl="0">
      <w:lvlJc w:val="left"/>
      <w:lvlText w:val="(%1)"/>
      <w:numFmt w:val="lowerLetter"/>
      <w:start w:val="1"/>
    </w:lvl>
  </w:abstractNum>
  <w:abstractNum w:abstractNumId="170">
    <w:nsid w:val="697D2D2"/>
    <w:multiLevelType w:val="hybridMultilevel"/>
    <w:lvl w:ilvl="0">
      <w:lvlJc w:val="left"/>
      <w:lvlText w:val="(%1)"/>
      <w:numFmt w:val="lowerLetter"/>
      <w:start w:val="1"/>
    </w:lvl>
  </w:abstractNum>
  <w:abstractNum w:abstractNumId="171">
    <w:nsid w:val="6D68AB2"/>
    <w:multiLevelType w:val="hybridMultilevel"/>
    <w:lvl w:ilvl="0">
      <w:lvlJc w:val="left"/>
      <w:lvlText w:val="(%1)"/>
      <w:numFmt w:val="lowerLetter"/>
      <w:start w:val="1"/>
    </w:lvl>
  </w:abstractNum>
  <w:abstractNum w:abstractNumId="172">
    <w:nsid w:val="3A966CD0"/>
    <w:multiLevelType w:val="hybridMultilevel"/>
    <w:lvl w:ilvl="0">
      <w:lvlJc w:val="left"/>
      <w:lvlText w:val="(%1)"/>
      <w:numFmt w:val="lowerLetter"/>
      <w:start w:val="2"/>
    </w:lvl>
  </w:abstractNum>
  <w:abstractNum w:abstractNumId="173">
    <w:nsid w:val="63F37E85"/>
    <w:multiLevelType w:val="hybridMultilevel"/>
    <w:lvl w:ilvl="0">
      <w:lvlJc w:val="left"/>
      <w:lvlText w:val="(%1)"/>
      <w:numFmt w:val="lowerLetter"/>
      <w:start w:val="1"/>
    </w:lvl>
  </w:abstractNum>
  <w:abstractNum w:abstractNumId="174">
    <w:nsid w:val="5895F5FA"/>
    <w:multiLevelType w:val="hybridMultilevel"/>
    <w:lvl w:ilvl="0">
      <w:lvlJc w:val="left"/>
      <w:lvlText w:val="(%1)"/>
      <w:numFmt w:val="lowerLetter"/>
      <w:start w:val="2"/>
    </w:lvl>
  </w:abstractNum>
  <w:abstractNum w:abstractNumId="175">
    <w:nsid w:val="38A5D054"/>
    <w:multiLevelType w:val="hybridMultilevel"/>
    <w:lvl w:ilvl="0">
      <w:lvlJc w:val="left"/>
      <w:lvlText w:val="(%1)"/>
      <w:numFmt w:val="lowerLetter"/>
      <w:start w:val="1"/>
    </w:lvl>
  </w:abstractNum>
  <w:abstractNum w:abstractNumId="176">
    <w:nsid w:val="F3F09D8"/>
    <w:multiLevelType w:val="hybridMultilevel"/>
    <w:lvl w:ilvl="0">
      <w:lvlJc w:val="left"/>
      <w:lvlText w:val="(%1)"/>
      <w:numFmt w:val="lowerLetter"/>
      <w:start w:val="1"/>
    </w:lvl>
  </w:abstractNum>
  <w:abstractNum w:abstractNumId="177">
    <w:nsid w:val="4B793735"/>
    <w:multiLevelType w:val="hybridMultilevel"/>
    <w:lvl w:ilvl="0">
      <w:lvlJc w:val="left"/>
      <w:lvlText w:val="%1"/>
      <w:numFmt w:val="lowerLetter"/>
      <w:start w:val="1"/>
    </w:lvl>
    <w:lvl w:ilvl="1">
      <w:lvlJc w:val="left"/>
      <w:lvlText w:val="(%2)"/>
      <w:numFmt w:val="lowerLetter"/>
      <w:start w:val="9"/>
    </w:lvl>
  </w:abstractNum>
  <w:abstractNum w:abstractNumId="178">
    <w:nsid w:val="4A10B4E8"/>
    <w:multiLevelType w:val="hybridMultilevel"/>
    <w:lvl w:ilvl="0">
      <w:lvlJc w:val="left"/>
      <w:lvlText w:val="(%1)"/>
      <w:numFmt w:val="lowerLetter"/>
      <w:start w:val="5"/>
    </w:lvl>
    <w:lvl w:ilvl="1">
      <w:lvlJc w:val="left"/>
      <w:lvlText w:val="(%2)"/>
      <w:numFmt w:val="lowerLetter"/>
      <w:start w:val="35"/>
    </w:lvl>
  </w:abstractNum>
  <w:abstractNum w:abstractNumId="179">
    <w:nsid w:val="43D3BCD4"/>
    <w:multiLevelType w:val="hybridMultilevel"/>
    <w:lvl w:ilvl="0">
      <w:lvlJc w:val="left"/>
      <w:lvlText w:val="(%1)"/>
      <w:numFmt w:val="lowerLetter"/>
      <w:start w:val="3"/>
    </w:lvl>
  </w:abstractNum>
  <w:abstractNum w:abstractNumId="180">
    <w:nsid w:val="4C2A7166"/>
    <w:multiLevelType w:val="hybridMultilevel"/>
    <w:lvl w:ilvl="0">
      <w:lvlJc w:val="left"/>
      <w:lvlText w:val="(%1)"/>
      <w:numFmt w:val="lowerLetter"/>
      <w:start w:val="7"/>
    </w:lvl>
  </w:abstractNum>
  <w:abstractNum w:abstractNumId="181">
    <w:nsid w:val="2E534A82"/>
    <w:multiLevelType w:val="hybridMultilevel"/>
    <w:lvl w:ilvl="0">
      <w:lvlJc w:val="left"/>
      <w:lvlText w:val="%1"/>
      <w:numFmt w:val="lowerRoman"/>
      <w:start w:val="1"/>
    </w:lvl>
    <w:lvl w:ilvl="1">
      <w:lvlJc w:val="left"/>
      <w:lvlText w:val="(%2)"/>
      <w:numFmt w:val="lowerRoman"/>
      <w:start w:val="1"/>
    </w:lvl>
  </w:abstractNum>
  <w:abstractNum w:abstractNumId="182">
    <w:nsid w:val="26F2D364"/>
    <w:multiLevelType w:val="hybridMultilevel"/>
    <w:lvl w:ilvl="0">
      <w:lvlJc w:val="left"/>
      <w:lvlText w:val="(%1)"/>
      <w:numFmt w:val="lowerRoman"/>
      <w:start w:val="1"/>
    </w:lvl>
    <w:lvl w:ilvl="1">
      <w:lvlJc w:val="left"/>
      <w:lvlText w:val="(%2)"/>
      <w:numFmt w:val="lowerRoman"/>
      <w:start w:val="2"/>
    </w:lvl>
  </w:abstractNum>
  <w:abstractNum w:abstractNumId="183">
    <w:nsid w:val="71C1AF98"/>
    <w:multiLevelType w:val="hybridMultilevel"/>
    <w:lvl w:ilvl="0">
      <w:lvlJc w:val="left"/>
      <w:lvlText w:val="%1"/>
      <w:numFmt w:val="decimal"/>
      <w:start w:val="1"/>
    </w:lvl>
    <w:lvl w:ilvl="1">
      <w:lvlJc w:val="left"/>
      <w:lvlText w:val="(%2)"/>
      <w:numFmt w:val="lowerLetter"/>
      <w:start w:val="10"/>
    </w:lvl>
  </w:abstractNum>
  <w:abstractNum w:abstractNumId="184">
    <w:nsid w:val="3D00B9D9"/>
    <w:multiLevelType w:val="hybridMultilevel"/>
    <w:lvl w:ilvl="0">
      <w:lvlJc w:val="left"/>
      <w:lvlText w:val="(%1)"/>
      <w:numFmt w:val="decimal"/>
      <w:start w:val="1"/>
    </w:lvl>
    <w:lvl w:ilvl="1">
      <w:lvlJc w:val="left"/>
      <w:lvlText w:val="%2"/>
      <w:numFmt w:val="lowerLetter"/>
      <w:start w:val="1"/>
    </w:lvl>
  </w:abstractNum>
  <w:abstractNum w:abstractNumId="185">
    <w:nsid w:val="15BCABA8"/>
    <w:multiLevelType w:val="hybridMultilevel"/>
    <w:lvl w:ilvl="0">
      <w:lvlJc w:val="left"/>
      <w:lvlText w:val="(%1)"/>
      <w:numFmt w:val="decimal"/>
      <w:start w:val="60"/>
    </w:lvl>
    <w:lvl w:ilvl="1">
      <w:lvlJc w:val="left"/>
      <w:lvlText w:val="%2"/>
      <w:numFmt w:val="lowerLetter"/>
      <w:start w:val="1"/>
    </w:lvl>
  </w:abstractNum>
  <w:abstractNum w:abstractNumId="186">
    <w:nsid w:val="4E0B9A87"/>
    <w:multiLevelType w:val="hybridMultilevel"/>
    <w:lvl w:ilvl="0">
      <w:lvlJc w:val="left"/>
      <w:lvlText w:val="(%1)"/>
      <w:numFmt w:val="lowerLetter"/>
      <w:start w:val="11"/>
    </w:lvl>
  </w:abstractNum>
  <w:abstractNum w:abstractNumId="187">
    <w:nsid w:val="434BAE75"/>
    <w:multiLevelType w:val="hybridMultilevel"/>
    <w:lvl w:ilvl="0">
      <w:lvlJc w:val="left"/>
      <w:lvlText w:val="(%1)"/>
      <w:numFmt w:val="lowerLetter"/>
      <w:start w:val="1"/>
    </w:lvl>
  </w:abstractNum>
  <w:abstractNum w:abstractNumId="188">
    <w:nsid w:val="4F38F265"/>
    <w:multiLevelType w:val="hybridMultilevel"/>
    <w:lvl w:ilvl="0">
      <w:lvlJc w:val="left"/>
      <w:lvlText w:val="(%1)"/>
      <w:numFmt w:val="lowerLetter"/>
      <w:start w:val="1"/>
    </w:lvl>
  </w:abstractNum>
  <w:abstractNum w:abstractNumId="189">
    <w:nsid w:val="4C502870"/>
    <w:multiLevelType w:val="hybridMultilevel"/>
    <w:lvl w:ilvl="0">
      <w:lvlJc w:val="left"/>
      <w:lvlText w:val="(%1)"/>
      <w:numFmt w:val="lowerLetter"/>
      <w:start w:val="2"/>
    </w:lvl>
  </w:abstractNum>
  <w:abstractNum w:abstractNumId="190">
    <w:nsid w:val="1DE8725A"/>
    <w:multiLevelType w:val="hybridMultilevel"/>
    <w:lvl w:ilvl="0">
      <w:lvlJc w:val="left"/>
      <w:lvlText w:val="(%1)"/>
      <w:numFmt w:val="lowerLetter"/>
      <w:start w:val="1"/>
    </w:lvl>
  </w:abstractNum>
  <w:abstractNum w:abstractNumId="191">
    <w:nsid w:val="6A37288A"/>
    <w:multiLevelType w:val="hybridMultilevel"/>
    <w:lvl w:ilvl="0">
      <w:lvlJc w:val="left"/>
      <w:lvlText w:val="(%1)"/>
      <w:numFmt w:val="lowerLetter"/>
      <w:start w:val="4"/>
    </w:lvl>
  </w:abstractNum>
  <w:abstractNum w:abstractNumId="192">
    <w:nsid w:val="8F8B73F"/>
    <w:multiLevelType w:val="hybridMultilevel"/>
    <w:lvl w:ilvl="0">
      <w:lvlJc w:val="left"/>
      <w:lvlText w:val="(%1)"/>
      <w:numFmt w:val="lowerLetter"/>
      <w:start w:val="1"/>
    </w:lvl>
    <w:lvl w:ilvl="1">
      <w:lvlJc w:val="left"/>
      <w:lvlText w:val="(%2)"/>
      <w:numFmt w:val="lowerLetter"/>
      <w:start w:val="9"/>
    </w:lvl>
  </w:abstractNum>
  <w:abstractNum w:abstractNumId="193">
    <w:nsid w:val="CA6B462"/>
    <w:multiLevelType w:val="hybridMultilevel"/>
    <w:lvl w:ilvl="0">
      <w:lvlJc w:val="left"/>
      <w:lvlText w:val="%1"/>
      <w:numFmt w:val="lowerLetter"/>
      <w:start w:val="1"/>
    </w:lvl>
    <w:lvl w:ilvl="1">
      <w:lvlJc w:val="left"/>
      <w:lvlText w:val="(%2)"/>
      <w:numFmt w:val="lowerLetter"/>
      <w:start w:val="35"/>
    </w:lvl>
  </w:abstractNum>
  <w:abstractNum w:abstractNumId="194">
    <w:nsid w:val="763CB680"/>
    <w:multiLevelType w:val="hybridMultilevel"/>
    <w:lvl w:ilvl="0">
      <w:lvlJc w:val="left"/>
      <w:lvlText w:val="(%1)"/>
      <w:numFmt w:val="lowerLetter"/>
      <w:start w:val="2"/>
    </w:lvl>
    <w:lvl w:ilvl="1">
      <w:lvlJc w:val="left"/>
      <w:lvlText w:val="%2"/>
      <w:numFmt w:val="lowerLetter"/>
      <w:start w:val="1"/>
    </w:lvl>
  </w:abstractNum>
  <w:abstractNum w:abstractNumId="195">
    <w:nsid w:val="15B71329"/>
    <w:multiLevelType w:val="hybridMultilevel"/>
    <w:lvl w:ilvl="0">
      <w:lvlJc w:val="left"/>
      <w:lvlText w:val="(%1)"/>
      <w:numFmt w:val="lowerLetter"/>
      <w:start w:val="1"/>
    </w:lvl>
  </w:abstractNum>
  <w:abstractNum w:abstractNumId="196">
    <w:nsid w:val="3DA97044"/>
    <w:multiLevelType w:val="hybridMultilevel"/>
    <w:lvl w:ilvl="0">
      <w:lvlJc w:val="left"/>
      <w:lvlText w:val="(%1)"/>
      <w:numFmt w:val="lowerLetter"/>
      <w:start w:val="1"/>
    </w:lvl>
  </w:abstractNum>
  <w:abstractNum w:abstractNumId="197">
    <w:nsid w:val="1CDCE2DE"/>
    <w:multiLevelType w:val="hybridMultilevel"/>
    <w:lvl w:ilvl="0">
      <w:lvlJc w:val="left"/>
      <w:lvlText w:val="(%1)"/>
      <w:numFmt w:val="lowerLetter"/>
      <w:start w:val="1"/>
    </w:lvl>
  </w:abstractNum>
  <w:abstractNum w:abstractNumId="198">
    <w:nsid w:val="69D3947C"/>
    <w:multiLevelType w:val="hybridMultilevel"/>
    <w:lvl w:ilvl="0">
      <w:lvlJc w:val="left"/>
      <w:lvlText w:val="(%1)"/>
      <w:numFmt w:val="lowerLetter"/>
      <w:start w:val="1"/>
    </w:lvl>
  </w:abstractNum>
  <w:abstractNum w:abstractNumId="199">
    <w:nsid w:val="2539DFA5"/>
    <w:multiLevelType w:val="hybridMultilevel"/>
    <w:lvl w:ilvl="0">
      <w:lvlJc w:val="left"/>
      <w:lvlText w:val="(%1)"/>
      <w:numFmt w:val="lowerLetter"/>
      <w:start w:val="7"/>
    </w:lvl>
  </w:abstractNum>
  <w:abstractNum w:abstractNumId="200">
    <w:nsid w:val="2DB88089"/>
    <w:multiLevelType w:val="hybridMultilevel"/>
    <w:lvl w:ilvl="0">
      <w:lvlJc w:val="left"/>
      <w:lvlText w:val="(%1)"/>
      <w:numFmt w:val="lowerLetter"/>
      <w:start w:val="1"/>
    </w:lvl>
    <w:lvl w:ilvl="1">
      <w:lvlJc w:val="left"/>
      <w:lvlText w:val="(%2)"/>
      <w:numFmt w:val="lowerRoman"/>
      <w:start w:val="1"/>
    </w:lvl>
  </w:abstractNum>
  <w:abstractNum w:abstractNumId="201">
    <w:nsid w:val="706B674E"/>
    <w:multiLevelType w:val="hybridMultilevel"/>
    <w:lvl w:ilvl="0">
      <w:lvlJc w:val="left"/>
      <w:lvlText w:val="(%1)"/>
      <w:numFmt w:val="lowerLetter"/>
      <w:start w:val="2"/>
    </w:lvl>
  </w:abstractNum>
  <w:abstractNum w:abstractNumId="202">
    <w:nsid w:val="2C106A57"/>
    <w:multiLevelType w:val="hybridMultilevel"/>
    <w:lvl w:ilvl="0">
      <w:lvlJc w:val="left"/>
      <w:lvlText w:val="(%1)"/>
      <w:numFmt w:val="lowerLetter"/>
      <w:start w:val="3"/>
    </w:lvl>
  </w:abstractNum>
  <w:abstractNum w:abstractNumId="203">
    <w:nsid w:val="684EED59"/>
    <w:multiLevelType w:val="hybridMultilevel"/>
    <w:lvl w:ilvl="0">
      <w:lvlJc w:val="left"/>
      <w:lvlText w:val="(%1)"/>
      <w:numFmt w:val="lowerLetter"/>
      <w:start w:val="1"/>
    </w:lvl>
  </w:abstractNum>
  <w:abstractNum w:abstractNumId="204">
    <w:nsid w:val="545EE5D3"/>
    <w:multiLevelType w:val="hybridMultilevel"/>
    <w:lvl w:ilvl="0">
      <w:lvlJc w:val="left"/>
      <w:lvlText w:val="(%1)"/>
      <w:numFmt w:val="lowerLetter"/>
      <w:start w:val="4"/>
    </w:lvl>
  </w:abstractNum>
  <w:abstractNum w:abstractNumId="205">
    <w:nsid w:val="4A66051"/>
    <w:multiLevelType w:val="hybridMultilevel"/>
    <w:lvl w:ilvl="0">
      <w:lvlJc w:val="left"/>
      <w:lvlText w:val="(%1)"/>
      <w:numFmt w:val="lowerLetter"/>
      <w:start w:val="1"/>
    </w:lvl>
    <w:lvl w:ilvl="1">
      <w:lvlJc w:val="left"/>
      <w:lvlText w:val="(%2)"/>
      <w:numFmt w:val="lowerLetter"/>
      <w:start w:val="9"/>
    </w:lvl>
  </w:abstractNum>
  <w:abstractNum w:abstractNumId="206">
    <w:nsid w:val="20F4BDAD"/>
    <w:multiLevelType w:val="hybridMultilevel"/>
    <w:lvl w:ilvl="0">
      <w:lvlJc w:val="left"/>
      <w:lvlText w:val="(%1)"/>
      <w:numFmt w:val="upperLetter"/>
      <w:start w:val="1"/>
    </w:lvl>
  </w:abstractNum>
  <w:abstractNum w:abstractNumId="207">
    <w:nsid w:val="639DEFAC"/>
    <w:multiLevelType w:val="hybridMultilevel"/>
    <w:lvl w:ilvl="0">
      <w:lvlJc w:val="left"/>
      <w:lvlText w:val="(%1)"/>
      <w:numFmt w:val="lowerRoman"/>
      <w:start w:val="2"/>
    </w:lvl>
    <w:lvl w:ilvl="1">
      <w:lvlJc w:val="left"/>
      <w:lvlText w:val="(%2)"/>
      <w:numFmt w:val="upperLetter"/>
      <w:start w:val="1"/>
    </w:lvl>
  </w:abstractNum>
  <w:abstractNum w:abstractNumId="208">
    <w:nsid w:val="501F9786"/>
    <w:multiLevelType w:val="hybridMultilevel"/>
    <w:lvl w:ilvl="0">
      <w:lvlJc w:val="left"/>
      <w:lvlText w:val="%1"/>
      <w:numFmt w:val="lowerRoman"/>
      <w:start w:val="1"/>
    </w:lvl>
    <w:lvl w:ilvl="1">
      <w:lvlJc w:val="left"/>
      <w:lvlText w:val="(%2)"/>
      <w:numFmt w:val="upperLetter"/>
      <w:start w:val="2"/>
    </w:lvl>
  </w:abstractNum>
  <w:abstractNum w:abstractNumId="209">
    <w:nsid w:val="6B057295"/>
    <w:multiLevelType w:val="hybridMultilevel"/>
    <w:lvl w:ilvl="0">
      <w:lvlJc w:val="left"/>
      <w:lvlText w:val="(%1)"/>
      <w:numFmt w:val="lowerRoman"/>
      <w:start w:val="4"/>
    </w:lvl>
    <w:lvl w:ilvl="1">
      <w:lvlJc w:val="left"/>
      <w:lvlText w:val="%2"/>
      <w:numFmt w:val="upperLetter"/>
      <w:start w:val="1"/>
    </w:lvl>
  </w:abstractNum>
  <w:abstractNum w:abstractNumId="210">
    <w:nsid w:val="2771AC80"/>
    <w:multiLevelType w:val="hybridMultilevel"/>
    <w:lvl w:ilvl="0">
      <w:lvlJc w:val="left"/>
      <w:lvlText w:val="(%1)"/>
      <w:numFmt w:val="lowerLetter"/>
      <w:start w:val="3"/>
    </w:lvl>
  </w:abstractNum>
  <w:abstractNum w:abstractNumId="211">
    <w:nsid w:val="1C4A08EC"/>
    <w:multiLevelType w:val="hybridMultilevel"/>
    <w:lvl w:ilvl="0">
      <w:lvlJc w:val="left"/>
      <w:lvlText w:val="(%1)"/>
      <w:numFmt w:val="upperLetter"/>
      <w:start w:val="1"/>
    </w:lvl>
  </w:abstractNum>
  <w:abstractNum w:abstractNumId="212">
    <w:nsid w:val="1958BD17"/>
    <w:multiLevelType w:val="hybridMultilevel"/>
    <w:lvl w:ilvl="0">
      <w:lvlJc w:val="left"/>
      <w:lvlText w:val="(%1)"/>
      <w:numFmt w:val="lowerLetter"/>
      <w:start w:val="5"/>
    </w:lvl>
  </w:abstractNum>
  <w:abstractNum w:abstractNumId="213">
    <w:nsid w:val="4E647FE4"/>
    <w:multiLevelType w:val="hybridMultilevel"/>
    <w:lvl w:ilvl="0">
      <w:lvlJc w:val="left"/>
      <w:lvlText w:val="(%1)"/>
      <w:numFmt w:val="lowerRoman"/>
      <w:start w:val="1"/>
    </w:lvl>
  </w:abstractNum>
  <w:abstractNum w:abstractNumId="214">
    <w:nsid w:val="E0BB885"/>
    <w:multiLevelType w:val="hybridMultilevel"/>
    <w:lvl w:ilvl="0">
      <w:lvlJc w:val="left"/>
      <w:lvlText w:val="(%1)"/>
      <w:numFmt w:val="lowerLetter"/>
      <w:start w:val="25"/>
    </w:lvl>
  </w:abstractNum>
  <w:abstractNum w:abstractNumId="215">
    <w:nsid w:val="565976F1"/>
    <w:multiLevelType w:val="hybridMultilevel"/>
    <w:lvl w:ilvl="0">
      <w:lvlJc w:val="left"/>
      <w:lvlText w:val="(%1)"/>
      <w:numFmt w:val="lowerLetter"/>
      <w:start w:val="1"/>
    </w:lvl>
  </w:abstractNum>
  <w:abstractNum w:abstractNumId="216">
    <w:nsid w:val="64212B8C"/>
    <w:multiLevelType w:val="hybridMultilevel"/>
    <w:lvl w:ilvl="0">
      <w:lvlJc w:val="left"/>
      <w:lvlText w:val="(%1)"/>
      <w:numFmt w:val="lowerLetter"/>
      <w:start w:val="2"/>
    </w:lvl>
  </w:abstractNum>
  <w:abstractNum w:abstractNumId="217">
    <w:nsid w:val="5C17530C"/>
    <w:multiLevelType w:val="hybridMultilevel"/>
    <w:lvl w:ilvl="0">
      <w:lvlJc w:val="left"/>
      <w:lvlText w:val="(%1)"/>
      <w:numFmt w:val="lowerLetter"/>
      <w:start w:val="1"/>
    </w:lvl>
  </w:abstractNum>
  <w:abstractNum w:abstractNumId="218">
    <w:nsid w:val="19A52566"/>
    <w:multiLevelType w:val="hybridMultilevel"/>
    <w:lvl w:ilvl="0">
      <w:lvlJc w:val="left"/>
      <w:lvlText w:val="(%1)"/>
      <w:numFmt w:val="lowerLetter"/>
      <w:start w:val="1"/>
    </w:lvl>
  </w:abstractNum>
  <w:abstractNum w:abstractNumId="219">
    <w:nsid w:val="335A1DF1"/>
    <w:multiLevelType w:val="hybridMultilevel"/>
    <w:lvl w:ilvl="0">
      <w:lvlJc w:val="left"/>
      <w:lvlText w:val="(%1)"/>
      <w:numFmt w:val="lowerLetter"/>
      <w:start w:val="2"/>
    </w:lvl>
  </w:abstractNum>
  <w:abstractNum w:abstractNumId="220">
    <w:nsid w:val="28677B7C"/>
    <w:multiLevelType w:val="hybridMultilevel"/>
    <w:lvl w:ilvl="0">
      <w:lvlJc w:val="left"/>
      <w:lvlText w:val="(%1)"/>
      <w:numFmt w:val="upperLetter"/>
      <w:start w:val="1"/>
    </w:lvl>
  </w:abstractNum>
  <w:abstractNum w:abstractNumId="221">
    <w:nsid w:val="378D97C0"/>
    <w:multiLevelType w:val="hybridMultilevel"/>
    <w:lvl w:ilvl="0">
      <w:lvlJc w:val="left"/>
      <w:lvlText w:val="(%1)"/>
      <w:numFmt w:val="lowerLetter"/>
      <w:start w:val="1"/>
    </w:lvl>
  </w:abstractNum>
  <w:abstractNum w:abstractNumId="222">
    <w:nsid w:val="1D91467C"/>
    <w:multiLevelType w:val="hybridMultilevel"/>
    <w:lvl w:ilvl="0">
      <w:lvlJc w:val="left"/>
      <w:lvlText w:val="(%1)"/>
      <w:numFmt w:val="lowerLetter"/>
      <w:start w:val="2"/>
    </w:lvl>
    <w:lvl w:ilvl="1">
      <w:lvlJc w:val="left"/>
      <w:lvlText w:val="(%2)"/>
      <w:numFmt w:val="lowerRoman"/>
      <w:start w:val="1"/>
    </w:lvl>
  </w:abstractNum>
  <w:abstractNum w:abstractNumId="223">
    <w:nsid w:val="316032BB"/>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2019-12-28T00:55:10Z</dcterms:created>
  <dcterms:modified xsi:type="dcterms:W3CDTF">2019-12-28T00:55:10Z</dcterms:modified>
</cp:coreProperties>
</file>