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0"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Registration No. 333-216737</w:t>
      </w:r>
    </w:p>
    <w:p>
      <w:pPr>
        <w:spacing w:after="0" w:line="174" w:lineRule="exact"/>
        <w:rPr>
          <w:sz w:val="24"/>
          <w:szCs w:val="24"/>
          <w:color w:val="auto"/>
        </w:rPr>
      </w:pPr>
    </w:p>
    <w:p>
      <w:pPr>
        <w:ind w:left="200" w:right="220"/>
        <w:spacing w:after="0" w:line="258" w:lineRule="auto"/>
        <w:rPr>
          <w:sz w:val="20"/>
          <w:szCs w:val="20"/>
          <w:color w:val="auto"/>
        </w:rPr>
      </w:pPr>
      <w:r>
        <w:rPr>
          <w:rFonts w:ascii="Arial" w:cs="Arial" w:eastAsia="Arial" w:hAnsi="Arial"/>
          <w:sz w:val="18"/>
          <w:szCs w:val="18"/>
          <w:b w:val="1"/>
          <w:bCs w:val="1"/>
          <w:color w:val="8B3F4E"/>
        </w:rPr>
        <w:t>The information in this preliminary prospectus supplement and the accompanying prospectus is not complete and may be changed. This preliminary prospectus supplement and the accompanying prospectus are not an offer to sell the securities nor do they seek an offer to buy these securities in any jurisdiction where the offer or sale is not permitted.</w:t>
      </w:r>
    </w:p>
    <w:p>
      <w:pPr>
        <w:spacing w:after="0" w:line="8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8B3F4E"/>
        </w:rPr>
        <w:t>Subject to completion, dated September 10, 2018</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April 19, 2017)</w:t>
      </w:r>
    </w:p>
    <w:p>
      <w:pPr>
        <w:spacing w:after="0" w:line="64" w:lineRule="exact"/>
        <w:rPr>
          <w:sz w:val="24"/>
          <w:szCs w:val="24"/>
          <w:color w:val="auto"/>
        </w:rPr>
      </w:pPr>
    </w:p>
    <w:p>
      <w:pPr>
        <w:ind w:left="200"/>
        <w:spacing w:after="0"/>
        <w:rPr>
          <w:sz w:val="20"/>
          <w:szCs w:val="20"/>
          <w:color w:val="auto"/>
        </w:rPr>
      </w:pPr>
      <w:r>
        <w:rPr>
          <w:rFonts w:ascii="Arial" w:cs="Arial" w:eastAsia="Arial" w:hAnsi="Arial"/>
          <w:sz w:val="32"/>
          <w:szCs w:val="32"/>
          <w:b w:val="1"/>
          <w:bCs w:val="1"/>
          <w:i w:val="1"/>
          <w:iCs w:val="1"/>
          <w:color w:val="auto"/>
        </w:rPr>
        <w:t>12,500,000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54864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00"/>
        <w:spacing w:after="0"/>
        <w:rPr>
          <w:sz w:val="20"/>
          <w:szCs w:val="20"/>
          <w:color w:val="auto"/>
        </w:rPr>
      </w:pPr>
      <w:r>
        <w:rPr>
          <w:rFonts w:ascii="Arial" w:cs="Arial" w:eastAsia="Arial" w:hAnsi="Arial"/>
          <w:sz w:val="43"/>
          <w:szCs w:val="43"/>
          <w:b w:val="1"/>
          <w:bCs w:val="1"/>
          <w:color w:val="auto"/>
        </w:rPr>
        <w:t>NN, Inc.</w:t>
      </w:r>
    </w:p>
    <w:p>
      <w:pPr>
        <w:spacing w:after="0" w:line="245" w:lineRule="exact"/>
        <w:rPr>
          <w:sz w:val="24"/>
          <w:szCs w:val="24"/>
          <w:color w:val="auto"/>
        </w:rPr>
      </w:pPr>
    </w:p>
    <w:p>
      <w:pPr>
        <w:ind w:left="200"/>
        <w:spacing w:after="0"/>
        <w:rPr>
          <w:sz w:val="20"/>
          <w:szCs w:val="20"/>
          <w:color w:val="auto"/>
        </w:rPr>
      </w:pPr>
      <w:r>
        <w:rPr>
          <w:rFonts w:ascii="Arial" w:cs="Arial" w:eastAsia="Arial" w:hAnsi="Arial"/>
          <w:sz w:val="32"/>
          <w:szCs w:val="32"/>
          <w:b w:val="1"/>
          <w:bCs w:val="1"/>
          <w:i w:val="1"/>
          <w:iCs w:val="1"/>
          <w:color w:val="auto"/>
        </w:rPr>
        <w:t>Common stock</w:t>
      </w:r>
    </w:p>
    <w:p>
      <w:pPr>
        <w:spacing w:after="0" w:line="136" w:lineRule="exact"/>
        <w:rPr>
          <w:sz w:val="24"/>
          <w:szCs w:val="24"/>
          <w:color w:val="auto"/>
        </w:rPr>
      </w:pPr>
    </w:p>
    <w:p>
      <w:pPr>
        <w:ind w:left="200" w:right="320"/>
        <w:spacing w:after="0" w:line="269" w:lineRule="auto"/>
        <w:rPr>
          <w:sz w:val="20"/>
          <w:szCs w:val="20"/>
          <w:color w:val="auto"/>
        </w:rPr>
      </w:pPr>
      <w:r>
        <w:rPr>
          <w:rFonts w:ascii="Arial" w:cs="Arial" w:eastAsia="Arial" w:hAnsi="Arial"/>
          <w:sz w:val="18"/>
          <w:szCs w:val="18"/>
          <w:color w:val="auto"/>
        </w:rPr>
        <w:t>We are offering 12,500,000 shares of our common stock, par value $0.01 per share, which we refer to as our “common stock,” pursuant to this prospectus supplement and the accompanying prospectus.</w:t>
      </w:r>
    </w:p>
    <w:p>
      <w:pPr>
        <w:spacing w:after="0" w:line="49" w:lineRule="exact"/>
        <w:rPr>
          <w:sz w:val="24"/>
          <w:szCs w:val="24"/>
          <w:color w:val="auto"/>
        </w:rPr>
      </w:pPr>
    </w:p>
    <w:p>
      <w:pPr>
        <w:ind w:left="200" w:right="540"/>
        <w:spacing w:after="0" w:line="269" w:lineRule="auto"/>
        <w:rPr>
          <w:sz w:val="20"/>
          <w:szCs w:val="20"/>
          <w:color w:val="auto"/>
        </w:rPr>
      </w:pPr>
      <w:r>
        <w:rPr>
          <w:rFonts w:ascii="Arial" w:cs="Arial" w:eastAsia="Arial" w:hAnsi="Arial"/>
          <w:sz w:val="18"/>
          <w:szCs w:val="18"/>
          <w:color w:val="auto"/>
        </w:rPr>
        <w:t>Our common stock is listed on The Nasdaq Global Select Market, which we refer to as “Nasdaq,” under the trading symbol “NNBR.” On September 7, 2018, the last sale price of our common stock as reported on Nasdaq was $19.95 per share.</w:t>
      </w:r>
    </w:p>
    <w:p>
      <w:pPr>
        <w:spacing w:after="0" w:line="49" w:lineRule="exact"/>
        <w:rPr>
          <w:sz w:val="24"/>
          <w:szCs w:val="24"/>
          <w:color w:val="auto"/>
        </w:rPr>
      </w:pPr>
    </w:p>
    <w:p>
      <w:pPr>
        <w:ind w:left="200" w:right="60"/>
        <w:spacing w:after="0" w:line="278"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This investment involves risks. See “</w:t>
      </w:r>
      <w:hyperlink w:anchor="page17">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S-12 of this prospectus supplement and in the documents we incorporate by reference into this prospectus supplement and the accompanying prospectus.</w:t>
      </w:r>
    </w:p>
    <w:p>
      <w:pPr>
        <w:spacing w:after="0" w:line="32" w:lineRule="exact"/>
        <w:rPr>
          <w:sz w:val="24"/>
          <w:szCs w:val="24"/>
          <w:color w:val="auto"/>
        </w:rPr>
      </w:pPr>
    </w:p>
    <w:p>
      <w:pPr>
        <w:ind w:left="200" w:right="420"/>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of anyone’s investment in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52705</wp:posOffset>
            </wp:positionV>
            <wp:extent cx="69977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9" w:lineRule="exact"/>
        <w:rPr>
          <w:sz w:val="24"/>
          <w:szCs w:val="24"/>
          <w:color w:val="auto"/>
        </w:rPr>
      </w:pPr>
    </w:p>
    <w:tbl>
      <w:tblPr>
        <w:tblLayout w:type="fixed"/>
        <w:tblInd w:w="2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Per share</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920" w:type="dxa"/>
            <w:vAlign w:val="bottom"/>
            <w:shd w:val="clear" w:color="auto" w:fill="CCEEFF"/>
          </w:tcPr>
          <w:p>
            <w:pPr>
              <w:ind w:left="27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61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3920" w:type="dxa"/>
            <w:vAlign w:val="bottom"/>
          </w:tcPr>
          <w:p>
            <w:pPr>
              <w:ind w:left="2780"/>
              <w:spacing w:after="0"/>
              <w:rPr>
                <w:sz w:val="20"/>
                <w:szCs w:val="20"/>
                <w:color w:val="auto"/>
              </w:rPr>
            </w:pPr>
            <w:r>
              <w:rPr>
                <w:rFonts w:ascii="Arial" w:cs="Arial" w:eastAsia="Arial" w:hAnsi="Arial"/>
                <w:sz w:val="18"/>
                <w:szCs w:val="18"/>
                <w:color w:val="auto"/>
              </w:rPr>
              <w:t>$</w:t>
            </w:r>
          </w:p>
        </w:tc>
        <w:tc>
          <w:tcPr>
            <w:tcW w:w="96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1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the Company before expenses</w:t>
            </w:r>
          </w:p>
        </w:tc>
        <w:tc>
          <w:tcPr>
            <w:tcW w:w="3920" w:type="dxa"/>
            <w:vAlign w:val="bottom"/>
            <w:tcBorders>
              <w:bottom w:val="single" w:sz="8" w:color="auto"/>
            </w:tcBorders>
            <w:shd w:val="clear" w:color="auto" w:fill="CCEEFF"/>
          </w:tcPr>
          <w:p>
            <w:pPr>
              <w:ind w:left="2780"/>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incurred in this offering. See “Underwriting (conflicts of interest).”</w:t>
      </w:r>
    </w:p>
    <w:p>
      <w:pPr>
        <w:spacing w:after="0" w:line="93" w:lineRule="exact"/>
        <w:rPr>
          <w:sz w:val="24"/>
          <w:szCs w:val="24"/>
          <w:color w:val="auto"/>
        </w:rPr>
      </w:pPr>
    </w:p>
    <w:p>
      <w:pPr>
        <w:ind w:left="200" w:right="240"/>
        <w:spacing w:after="0" w:line="269" w:lineRule="auto"/>
        <w:rPr>
          <w:sz w:val="20"/>
          <w:szCs w:val="20"/>
          <w:color w:val="auto"/>
        </w:rPr>
      </w:pPr>
      <w:r>
        <w:rPr>
          <w:rFonts w:ascii="Arial" w:cs="Arial" w:eastAsia="Arial" w:hAnsi="Arial"/>
          <w:sz w:val="18"/>
          <w:szCs w:val="18"/>
          <w:color w:val="auto"/>
        </w:rPr>
        <w:t>The underwriters may also purchase up to an additional 1,875,000 shares of our common stock from us, at the public offering price less the underwriting discount, within 30 days from the date of this prospectus supplement.</w:t>
      </w:r>
    </w:p>
    <w:p>
      <w:pPr>
        <w:spacing w:after="0" w:line="49" w:lineRule="exact"/>
        <w:rPr>
          <w:sz w:val="24"/>
          <w:szCs w:val="24"/>
          <w:color w:val="auto"/>
        </w:rPr>
      </w:pPr>
    </w:p>
    <w:tbl>
      <w:tblPr>
        <w:tblLayout w:type="fixed"/>
        <w:tblInd w:w="20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We expect the shares to be delivered against payment in New York, New York on</w:t>
            </w:r>
          </w:p>
        </w:tc>
        <w:tc>
          <w:tcPr>
            <w:tcW w:w="104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145" w:lineRule="exact"/>
        <w:rPr>
          <w:sz w:val="24"/>
          <w:szCs w:val="24"/>
          <w:color w:val="auto"/>
        </w:rPr>
      </w:pPr>
    </w:p>
    <w:p>
      <w:pPr>
        <w:ind w:left="200"/>
        <w:spacing w:after="0"/>
        <w:rPr>
          <w:sz w:val="20"/>
          <w:szCs w:val="20"/>
          <w:color w:val="auto"/>
        </w:rPr>
      </w:pPr>
      <w:r>
        <w:rPr>
          <w:rFonts w:ascii="Arial" w:cs="Arial" w:eastAsia="Arial" w:hAnsi="Arial"/>
          <w:sz w:val="32"/>
          <w:szCs w:val="32"/>
          <w:b w:val="1"/>
          <w:bCs w:val="1"/>
          <w:color w:val="auto"/>
        </w:rPr>
        <w:t>J.P. Morgan</w:t>
      </w:r>
    </w:p>
    <w:p>
      <w:pPr>
        <w:spacing w:after="0" w:line="226" w:lineRule="exact"/>
        <w:rPr>
          <w:sz w:val="24"/>
          <w:szCs w:val="24"/>
          <w:color w:val="auto"/>
        </w:rPr>
      </w:pPr>
    </w:p>
    <w:p>
      <w:pPr>
        <w:ind w:left="200"/>
        <w:spacing w:after="0"/>
        <w:rPr>
          <w:sz w:val="20"/>
          <w:szCs w:val="20"/>
          <w:color w:val="auto"/>
        </w:rPr>
      </w:pPr>
      <w:r>
        <w:rPr>
          <w:rFonts w:ascii="Arial" w:cs="Arial" w:eastAsia="Arial" w:hAnsi="Arial"/>
          <w:sz w:val="32"/>
          <w:szCs w:val="32"/>
          <w:b w:val="1"/>
          <w:bCs w:val="1"/>
          <w:color w:val="auto"/>
        </w:rPr>
        <w:t>Baird</w:t>
      </w:r>
    </w:p>
    <w:p>
      <w:pPr>
        <w:spacing w:after="0" w:line="118" w:lineRule="exact"/>
        <w:rPr>
          <w:sz w:val="24"/>
          <w:szCs w:val="24"/>
          <w:color w:val="auto"/>
        </w:rPr>
      </w:pPr>
    </w:p>
    <w:p>
      <w:pPr>
        <w:ind w:left="2320"/>
        <w:spacing w:after="0"/>
        <w:rPr>
          <w:sz w:val="20"/>
          <w:szCs w:val="20"/>
          <w:color w:val="auto"/>
        </w:rPr>
      </w:pPr>
      <w:r>
        <w:rPr>
          <w:rFonts w:ascii="Arial" w:cs="Arial" w:eastAsia="Arial" w:hAnsi="Arial"/>
          <w:sz w:val="32"/>
          <w:szCs w:val="32"/>
          <w:b w:val="1"/>
          <w:bCs w:val="1"/>
          <w:color w:val="auto"/>
        </w:rPr>
        <w:t>KeyBanc Capital Markets</w:t>
      </w:r>
    </w:p>
    <w:p>
      <w:pPr>
        <w:spacing w:after="0" w:line="118" w:lineRule="exact"/>
        <w:rPr>
          <w:sz w:val="24"/>
          <w:szCs w:val="24"/>
          <w:color w:val="auto"/>
        </w:rPr>
      </w:pPr>
    </w:p>
    <w:p>
      <w:pPr>
        <w:jc w:val="right"/>
        <w:ind w:right="20"/>
        <w:spacing w:after="0"/>
        <w:rPr>
          <w:sz w:val="20"/>
          <w:szCs w:val="20"/>
          <w:color w:val="auto"/>
        </w:rPr>
      </w:pPr>
      <w:r>
        <w:rPr>
          <w:rFonts w:ascii="Arial" w:cs="Arial" w:eastAsia="Arial" w:hAnsi="Arial"/>
          <w:sz w:val="32"/>
          <w:szCs w:val="32"/>
          <w:b w:val="1"/>
          <w:bCs w:val="1"/>
          <w:color w:val="auto"/>
        </w:rPr>
        <w:t>SunTrust Robinson Humphrey</w:t>
      </w:r>
    </w:p>
    <w:p>
      <w:pPr>
        <w:spacing w:after="0" w:line="140" w:lineRule="exact"/>
        <w:rPr>
          <w:sz w:val="24"/>
          <w:szCs w:val="24"/>
          <w:color w:val="auto"/>
        </w:rPr>
      </w:pPr>
    </w:p>
    <w:tbl>
      <w:tblPr>
        <w:tblLayout w:type="fixed"/>
        <w:tblInd w:w="200" w:type="dxa"/>
        <w:tblCellMar>
          <w:top w:w="0" w:type="dxa"/>
          <w:left w:w="0" w:type="dxa"/>
          <w:bottom w:w="0" w:type="dxa"/>
          <w:right w:w="0" w:type="dxa"/>
        </w:tblCellMar>
      </w:tblPr>
      <w:tr>
        <w:trPr>
          <w:trHeight w:val="247"/>
        </w:trPr>
        <w:tc>
          <w:tcPr>
            <w:tcW w:w="3020" w:type="dxa"/>
            <w:vAlign w:val="bottom"/>
          </w:tcPr>
          <w:p>
            <w:pPr>
              <w:spacing w:after="0"/>
              <w:rPr>
                <w:sz w:val="20"/>
                <w:szCs w:val="20"/>
                <w:color w:val="auto"/>
              </w:rPr>
            </w:pPr>
            <w:r>
              <w:rPr>
                <w:rFonts w:ascii="Arial" w:cs="Arial" w:eastAsia="Arial" w:hAnsi="Arial"/>
                <w:sz w:val="18"/>
                <w:szCs w:val="18"/>
                <w:b w:val="1"/>
                <w:bCs w:val="1"/>
                <w:color w:val="auto"/>
              </w:rPr>
              <w:t>Prospectus supplement dated</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ectPr>
          <w:pgSz w:w="11900" w:h="16838" w:orient="portrait"/>
          <w:cols w:equalWidth="0" w:num="1">
            <w:col w:w="11240"/>
          </w:cols>
          <w:pgMar w:left="240" w:top="226" w:right="4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Table of contents</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0"/>
        </w:trPr>
        <w:tc>
          <w:tcPr>
            <w:tcW w:w="682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2640" w:type="dxa"/>
            <w:vAlign w:val="bottom"/>
            <w:tcBorders>
              <w:top w:val="single" w:sz="8" w:color="0000EE"/>
            </w:tcBorders>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4180" w:type="dxa"/>
            <w:vAlign w:val="bottom"/>
            <w:gridSpan w:val="5"/>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3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Trademarks and trade names</w:t>
              </w:r>
            </w:hyperlink>
          </w:p>
        </w:tc>
        <w:tc>
          <w:tcPr>
            <w:tcW w:w="4500" w:type="dxa"/>
            <w:vAlign w:val="bottom"/>
            <w:gridSpan w:val="9"/>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S-iv</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2600" w:type="dxa"/>
            <w:vAlign w:val="bottom"/>
            <w:tcBorders>
              <w:top w:val="single" w:sz="8" w:color="0000EE"/>
            </w:tcBorders>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220" w:type="dxa"/>
            <w:vAlign w:val="bottom"/>
            <w:gridSpan w:val="7"/>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Cautionary statement regarding forward-looking statements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Market price of common stock</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Capitalization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682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Material United States federal income and estate tax consequences to non-U.S. holders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Underwriting (conflicts of interest)</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8"/>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Incorporation by reference</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5"/>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59"/>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0"/>
        </w:trPr>
        <w:tc>
          <w:tcPr>
            <w:tcW w:w="170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About this prospectus</w:t>
              </w:r>
            </w:hyperlink>
          </w:p>
        </w:tc>
        <w:tc>
          <w:tcPr>
            <w:tcW w:w="5120" w:type="dxa"/>
            <w:vAlign w:val="bottom"/>
            <w:gridSpan w:val="17"/>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78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Disclosure regarding forward-looking statements</w:t>
              </w:r>
            </w:hyperlink>
          </w:p>
        </w:tc>
        <w:tc>
          <w:tcPr>
            <w:tcW w:w="3040" w:type="dxa"/>
            <w:vAlign w:val="bottom"/>
            <w:gridSpan w:val="2"/>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NN, Inc.</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14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5680" w:type="dxa"/>
            <w:vAlign w:val="bottom"/>
            <w:gridSpan w:val="22"/>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62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Ratio of earnings to fixed charges</w:t>
              </w:r>
            </w:hyperlink>
          </w:p>
        </w:tc>
        <w:tc>
          <w:tcPr>
            <w:tcW w:w="4200" w:type="dxa"/>
            <w:vAlign w:val="bottom"/>
            <w:gridSpan w:val="6"/>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the securities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28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Description of debt securities</w:t>
              </w:r>
            </w:hyperlink>
          </w:p>
        </w:tc>
        <w:tc>
          <w:tcPr>
            <w:tcW w:w="4540" w:type="dxa"/>
            <w:vAlign w:val="bottom"/>
            <w:gridSpan w:val="11"/>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30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Description of preferred stock</w:t>
              </w:r>
            </w:hyperlink>
          </w:p>
        </w:tc>
        <w:tc>
          <w:tcPr>
            <w:tcW w:w="4520" w:type="dxa"/>
            <w:vAlign w:val="bottom"/>
            <w:gridSpan w:val="10"/>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22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Description of common stock</w:t>
              </w:r>
            </w:hyperlink>
          </w:p>
        </w:tc>
        <w:tc>
          <w:tcPr>
            <w:tcW w:w="4560" w:type="dxa"/>
            <w:vAlign w:val="bottom"/>
            <w:gridSpan w:val="12"/>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18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Description of warrants</w:t>
              </w:r>
            </w:hyperlink>
          </w:p>
        </w:tc>
        <w:tc>
          <w:tcPr>
            <w:tcW w:w="5020" w:type="dxa"/>
            <w:vAlign w:val="bottom"/>
            <w:gridSpan w:val="16"/>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15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Description of units</w:t>
              </w:r>
            </w:hyperlink>
          </w:p>
        </w:tc>
        <w:tc>
          <w:tcPr>
            <w:tcW w:w="5320" w:type="dxa"/>
            <w:vAlign w:val="bottom"/>
            <w:gridSpan w:val="18"/>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Plan of distribution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0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500" w:type="dxa"/>
            <w:vAlign w:val="bottom"/>
            <w:gridSpan w:val="16"/>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94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Information incorporated by reference</w:t>
              </w:r>
            </w:hyperlink>
          </w:p>
        </w:tc>
        <w:tc>
          <w:tcPr>
            <w:tcW w:w="3880" w:type="dxa"/>
            <w:vAlign w:val="bottom"/>
            <w:gridSpan w:val="3"/>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Where you can find more information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Experts</w:t>
              </w:r>
            </w:hyperlink>
          </w:p>
        </w:tc>
        <w:tc>
          <w:tcPr>
            <w:tcW w:w="2280" w:type="dxa"/>
            <w:vAlign w:val="bottom"/>
            <w:tcBorders>
              <w:top w:val="single" w:sz="8" w:color="0000EE"/>
            </w:tcBorders>
            <w:gridSpan w:val="21"/>
          </w:tcPr>
          <w:p>
            <w:pPr>
              <w:spacing w:after="0"/>
              <w:rPr>
                <w:sz w:val="21"/>
                <w:szCs w:val="21"/>
                <w:color w:val="auto"/>
              </w:rPr>
            </w:pPr>
          </w:p>
        </w:tc>
        <w:tc>
          <w:tcPr>
            <w:tcW w:w="3940" w:type="dxa"/>
            <w:vAlign w:val="bottom"/>
            <w:gridSpan w:val="4"/>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4"/>
        </w:trPr>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ind w:left="780"/>
              <w:spacing w:after="0"/>
              <w:rPr>
                <w:sz w:val="20"/>
                <w:szCs w:val="20"/>
                <w:color w:val="auto"/>
              </w:rPr>
            </w:pPr>
            <w:r>
              <w:rPr>
                <w:rFonts w:ascii="Arial" w:cs="Arial" w:eastAsia="Arial" w:hAnsi="Arial"/>
                <w:sz w:val="18"/>
                <w:szCs w:val="18"/>
                <w:color w:val="auto"/>
              </w:rPr>
              <w:t>S-i</w:t>
            </w:r>
          </w:p>
        </w:tc>
        <w:tc>
          <w:tcPr>
            <w:tcW w:w="4160" w:type="dxa"/>
            <w:vAlign w:val="bottom"/>
          </w:tcPr>
          <w:p>
            <w:pPr>
              <w:spacing w:after="0"/>
              <w:rPr>
                <w:sz w:val="24"/>
                <w:szCs w:val="24"/>
                <w:color w:val="auto"/>
              </w:rPr>
            </w:pPr>
          </w:p>
        </w:tc>
      </w:tr>
    </w:tbl>
    <w:p>
      <w:pPr>
        <w:sectPr>
          <w:pgSz w:w="11900" w:h="16838" w:orient="portrait"/>
          <w:cols w:equalWidth="0" w:num="1">
            <w:col w:w="11180"/>
          </w:cols>
          <w:pgMar w:left="240" w:top="455" w:right="4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b w:val="1"/>
          <w:bCs w:val="1"/>
          <w:color w:val="auto"/>
        </w:rPr>
        <w:t>We have not, and the underwriters have not, authorized anyone to provide any information or to make any representations other than those contained or incorporated by reference in this prospectus supplement, the accompanying prospectus or in any free writing prospectuses we have prepared and take no responsibility for, and can provide no assurance as to the reliability of, any other information that others may give you. This prospectus supplement and the accompanying prospectus are an offer to sell only the shares offered hereby, but only under circumstances and in jurisdictions where it is lawful to do so. The information contained in this prospectus supplement and the accompanying prospectus is current only as of its date. Our business, financial condition, results of operation and prospects may have changed since that date.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80"/>
          </w:cols>
          <w:pgMar w:left="24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About this prospectus supplement</w:t>
      </w:r>
    </w:p>
    <w:p>
      <w:pPr>
        <w:spacing w:after="0" w:line="14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This document has two parts, a prospectus supplement and an accompanying prospectus dated April 19, 2017. This prospectus supplement and the accompanying prospectus are part of a registration statement that we filed with the Securities and Exchange Commission, which we refer to as the SEC, utilizing the SEC’s “shelf” registration process. This prospectus supplement, which describes certain matters relating to us and the specific terms of this offering of shares of common stock, adds to and updates information contained in the accompanying prospectus and the documents incorporated by reference herein and in the accompanying prospectus.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The accompanying prospectus gives more general information, some of which may not apply to the shares of common stock offered by this prospectus supplement.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76" w:lineRule="exact"/>
        <w:rPr>
          <w:sz w:val="20"/>
          <w:szCs w:val="20"/>
          <w:color w:val="auto"/>
        </w:rPr>
      </w:pPr>
    </w:p>
    <w:p>
      <w:pPr>
        <w:ind w:left="200" w:right="220"/>
        <w:spacing w:after="0" w:line="333" w:lineRule="auto"/>
        <w:rPr>
          <w:sz w:val="20"/>
          <w:szCs w:val="20"/>
          <w:color w:val="auto"/>
        </w:rPr>
      </w:pPr>
      <w:r>
        <w:rPr>
          <w:rFonts w:ascii="Arial" w:cs="Arial" w:eastAsia="Arial" w:hAnsi="Arial"/>
          <w:sz w:val="16"/>
          <w:szCs w:val="16"/>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3" w:lineRule="exact"/>
        <w:rPr>
          <w:sz w:val="20"/>
          <w:szCs w:val="20"/>
          <w:color w:val="auto"/>
        </w:rPr>
      </w:pPr>
    </w:p>
    <w:p>
      <w:pPr>
        <w:ind w:left="200" w:right="20"/>
        <w:spacing w:after="0" w:line="278" w:lineRule="auto"/>
        <w:rPr>
          <w:sz w:val="20"/>
          <w:szCs w:val="20"/>
          <w:color w:val="auto"/>
        </w:rPr>
      </w:pPr>
      <w:r>
        <w:rPr>
          <w:rFonts w:ascii="Arial" w:cs="Arial" w:eastAsia="Arial" w:hAnsi="Arial"/>
          <w:sz w:val="16"/>
          <w:szCs w:val="16"/>
          <w:color w:val="auto"/>
        </w:rPr>
        <w:t>The distribution of this prospectus supplement and the accompanying prospectus and the offering of the common stock in certain jurisdictions may be restricted by law. Neither we nor the underwriters are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45"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Neither we nor the underwriters are making any representation to you regarding the legality of an investment in the common stock by you under applicable investment or similar laws.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Industry and market data</w:t>
      </w:r>
    </w:p>
    <w:p>
      <w:pPr>
        <w:spacing w:after="0" w:line="142"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Some market data and other statistical information presented or incorporated by reference in this prospectus supplement are based on data from various independent third-party sources, including independent industry publications, reports by market research firms and other independent sources. Other data is based on management’s estimates and calculations, which are derived from our review and interpretation of internal analyses, as well as third party sources. Although we believe these third party sources are reliable, we have not independently verified any information and cannot guarantee its accuracy and completeness. To the extent that we have been unable to obtain information from third party sources, we have expressed our belief on the basis of our own internal analyses of our products and capabilities in comparison to our competitors.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80"/>
          </w:cols>
          <w:pgMar w:left="24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Trademarks and trade names</w:t>
      </w:r>
    </w:p>
    <w:p>
      <w:pPr>
        <w:spacing w:after="0" w:line="142" w:lineRule="exact"/>
        <w:rPr>
          <w:sz w:val="20"/>
          <w:szCs w:val="20"/>
          <w:color w:val="auto"/>
        </w:rPr>
      </w:pPr>
    </w:p>
    <w:p>
      <w:pPr>
        <w:ind w:left="200"/>
        <w:spacing w:after="0" w:line="232" w:lineRule="auto"/>
        <w:rPr>
          <w:sz w:val="20"/>
          <w:szCs w:val="20"/>
          <w:color w:val="auto"/>
        </w:rPr>
      </w:pPr>
      <w:r>
        <w:rPr>
          <w:rFonts w:ascii="Arial" w:cs="Arial" w:eastAsia="Arial" w:hAnsi="Arial"/>
          <w:sz w:val="18"/>
          <w:szCs w:val="18"/>
          <w:color w:val="auto"/>
        </w:rPr>
        <w:t xml:space="preserve">This prospectus supplement contains references to our trademarks and service marks and to those belonging to other entities. Solely for convenience, trademarks and trade names referred to in this prospectus may appear without the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60"/>
          </w:cols>
          <w:pgMar w:left="24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492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54927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Prospectus supplement summary</w:t>
      </w:r>
    </w:p>
    <w:p>
      <w:pPr>
        <w:spacing w:after="0" w:line="144" w:lineRule="exact"/>
        <w:rPr>
          <w:sz w:val="20"/>
          <w:szCs w:val="20"/>
          <w:color w:val="auto"/>
        </w:rPr>
      </w:pPr>
    </w:p>
    <w:p>
      <w:pPr>
        <w:ind w:left="380" w:right="200"/>
        <w:spacing w:after="0" w:line="280" w:lineRule="auto"/>
        <w:rPr>
          <w:sz w:val="20"/>
          <w:szCs w:val="20"/>
          <w:color w:val="auto"/>
        </w:rPr>
      </w:pPr>
      <w:r>
        <w:rPr>
          <w:rFonts w:ascii="Arial" w:cs="Arial" w:eastAsia="Arial" w:hAnsi="Arial"/>
          <w:sz w:val="16"/>
          <w:szCs w:val="16"/>
          <w:i w:val="1"/>
          <w:iCs w:val="1"/>
          <w:color w:val="auto"/>
        </w:rPr>
        <w:t>This summary highlights information contained elsewhere or incorporated by reference in this prospectus supplement or the accompanying prospectus and does not contain all of the information you should consider before investing in shares of our common stock. You should carefully read this entire prospectus supplement and the accompanying prospectus, including the information incorporated by reference herein, the information included under the section entitled “Risk factors” and the financial statements and the related notes thereto included elsewhere in this prospectus supplement, before you decide to invest in shares of our common stock.</w:t>
      </w:r>
    </w:p>
    <w:p>
      <w:pPr>
        <w:spacing w:after="0" w:line="48" w:lineRule="exact"/>
        <w:rPr>
          <w:sz w:val="20"/>
          <w:szCs w:val="20"/>
          <w:color w:val="auto"/>
        </w:rPr>
      </w:pPr>
    </w:p>
    <w:p>
      <w:pPr>
        <w:ind w:left="380" w:right="300"/>
        <w:spacing w:after="0" w:line="267" w:lineRule="auto"/>
        <w:rPr>
          <w:sz w:val="20"/>
          <w:szCs w:val="20"/>
          <w:color w:val="auto"/>
        </w:rPr>
      </w:pPr>
      <w:r>
        <w:rPr>
          <w:rFonts w:ascii="Arial" w:cs="Arial" w:eastAsia="Arial" w:hAnsi="Arial"/>
          <w:sz w:val="18"/>
          <w:szCs w:val="18"/>
          <w:i w:val="1"/>
          <w:iCs w:val="1"/>
          <w:color w:val="auto"/>
        </w:rPr>
        <w:t>Except where the context requires otherwise, references in this prospectus supplement to “the Company,” “we,” “us” and “our” refer to NN, Inc., together with its consolidated subsidiaries.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business</w:t>
      </w:r>
    </w:p>
    <w:p>
      <w:pPr>
        <w:spacing w:after="0" w:line="116" w:lineRule="exact"/>
        <w:rPr>
          <w:sz w:val="20"/>
          <w:szCs w:val="20"/>
          <w:color w:val="auto"/>
        </w:rPr>
      </w:pPr>
    </w:p>
    <w:p>
      <w:pPr>
        <w:ind w:left="380" w:right="200"/>
        <w:spacing w:after="0" w:line="246" w:lineRule="auto"/>
        <w:rPr>
          <w:sz w:val="20"/>
          <w:szCs w:val="20"/>
          <w:color w:val="auto"/>
        </w:rPr>
      </w:pPr>
      <w:r>
        <w:rPr>
          <w:rFonts w:ascii="Arial" w:cs="Arial" w:eastAsia="Arial" w:hAnsi="Arial"/>
          <w:sz w:val="18"/>
          <w:szCs w:val="18"/>
          <w:color w:val="auto"/>
        </w:rPr>
        <w:t>We are a global diversified industrial company that combines advanced engineering and production capabilities with in-depth materials science expertise to design and manufacture high-precision solutions, components and assemblies for the medical, aerospace and defense, electrical, automotive and general industrial markets. As of September 1, 2018, we had 51 facilities in North America, Europe, South America and China.</w:t>
      </w:r>
    </w:p>
    <w:p>
      <w:pPr>
        <w:spacing w:after="0" w:line="70" w:lineRule="exact"/>
        <w:rPr>
          <w:sz w:val="20"/>
          <w:szCs w:val="20"/>
          <w:color w:val="auto"/>
        </w:rPr>
      </w:pPr>
    </w:p>
    <w:p>
      <w:pPr>
        <w:ind w:left="380"/>
        <w:spacing w:after="0" w:line="243" w:lineRule="auto"/>
        <w:rPr>
          <w:sz w:val="20"/>
          <w:szCs w:val="20"/>
          <w:color w:val="auto"/>
        </w:rPr>
      </w:pPr>
      <w:r>
        <w:rPr>
          <w:rFonts w:ascii="Arial" w:cs="Arial" w:eastAsia="Arial" w:hAnsi="Arial"/>
          <w:sz w:val="18"/>
          <w:szCs w:val="18"/>
          <w:color w:val="auto"/>
        </w:rPr>
        <w:t>Prior to the fiscal quarter ended March 31, 2018, we had reported results of operations in three reportable segments: the Precision Bearing Components Group, the Precision Engineered Products Group and the Autocam Precision Components Group. As described in the Recent Developments section of this prospectus supplement, effective January 1, 2018, our businesses were reorganized into the Mobile Solutions, Power Solutions and Life Sciences groups, which are based principally on the end markets they serve. Starting with the fiscal quarter ended March 31, 2018, we have reported our results of operations using the new segments.</w:t>
      </w:r>
    </w:p>
    <w:p>
      <w:pPr>
        <w:spacing w:after="0" w:line="73" w:lineRule="exact"/>
        <w:rPr>
          <w:sz w:val="20"/>
          <w:szCs w:val="20"/>
          <w:color w:val="auto"/>
        </w:rPr>
      </w:pPr>
    </w:p>
    <w:p>
      <w:pPr>
        <w:ind w:left="380"/>
        <w:spacing w:after="0" w:line="243"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to TSUBAKI NAKASHIMA Co., Ltd. for approximately $388.5 million. The sale of the PBC Business furthers management’s long-term strategy to build a diversified industrial business with a comprehensive geographic footprint in attractive high-growth market segments. As of May 7, 2018, we have reinvested the after-tax proceeds of the sale of our PBC Business with acquisitions in the life sciences end market described under the caption “Recent developments.”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Business segments and products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Mobile solutions</w:t>
      </w:r>
    </w:p>
    <w:p>
      <w:pPr>
        <w:spacing w:after="0" w:line="104" w:lineRule="exact"/>
        <w:rPr>
          <w:sz w:val="20"/>
          <w:szCs w:val="20"/>
          <w:color w:val="auto"/>
        </w:rPr>
      </w:pPr>
    </w:p>
    <w:p>
      <w:pPr>
        <w:ind w:left="380"/>
        <w:spacing w:after="0" w:line="281" w:lineRule="auto"/>
        <w:rPr>
          <w:sz w:val="20"/>
          <w:szCs w:val="20"/>
          <w:color w:val="auto"/>
        </w:rPr>
      </w:pPr>
      <w:r>
        <w:rPr>
          <w:rFonts w:ascii="Arial" w:cs="Arial" w:eastAsia="Arial" w:hAnsi="Arial"/>
          <w:sz w:val="16"/>
          <w:szCs w:val="16"/>
          <w:color w:val="auto"/>
        </w:rPr>
        <w:t>Our Mobile Solutions group is focused on growth in the industrial and automotive end markets. Within this segment, we manufacture highly engineered, difficult-to-manufacture precision metal components and subassemblies for the automotive and general industrial end markets. Our entry into the precision metal components market began in 2006 with the acquisition of Whirlaway Corporation. We dramatically expanded the segment in 2014 with the acquisitions of Autocam Corporation and V-S Industries, Inc. These acquisitions furthered our strategy to diversify our end markets and build upon our core manufacturing competency of high-precision metal machining.</w:t>
      </w:r>
    </w:p>
    <w:p>
      <w:pPr>
        <w:spacing w:after="0" w:line="44" w:lineRule="exact"/>
        <w:rPr>
          <w:sz w:val="20"/>
          <w:szCs w:val="20"/>
          <w:color w:val="auto"/>
        </w:rPr>
      </w:pPr>
    </w:p>
    <w:p>
      <w:pPr>
        <w:ind w:left="380" w:right="360"/>
        <w:spacing w:after="0" w:line="246" w:lineRule="auto"/>
        <w:rPr>
          <w:sz w:val="20"/>
          <w:szCs w:val="20"/>
          <w:color w:val="auto"/>
        </w:rPr>
      </w:pPr>
      <w:r>
        <w:rPr>
          <w:rFonts w:ascii="Arial" w:cs="Arial" w:eastAsia="Arial" w:hAnsi="Arial"/>
          <w:sz w:val="18"/>
          <w:szCs w:val="18"/>
          <w:color w:val="auto"/>
        </w:rPr>
        <w:t>We sell a wide range of highly engineered, extremely close tolerance, precision-machined metal components and subassemblies primarily to the automotive and general industrial end markets. We have developed an expertise in manufacturing highly complex, system critical components for fuel systems, engines and transmissions, power steering systems and electromechanical motors on a high-volume basis. This expertise</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40"/>
          </w:cols>
          <w:pgMar w:left="240" w:top="455" w:right="6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4909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4909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80" w:right="340"/>
        <w:spacing w:after="0" w:line="269" w:lineRule="auto"/>
        <w:rPr>
          <w:sz w:val="20"/>
          <w:szCs w:val="20"/>
          <w:color w:val="auto"/>
        </w:rPr>
      </w:pPr>
      <w:r>
        <w:rPr>
          <w:rFonts w:ascii="Arial" w:cs="Arial" w:eastAsia="Arial" w:hAnsi="Arial"/>
          <w:sz w:val="18"/>
          <w:szCs w:val="18"/>
          <w:color w:val="auto"/>
        </w:rPr>
        <w:t>has been gained through investment in technical capabilities, processes and systems, and skilled program management and product launch capabilities.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Power solutions</w:t>
      </w:r>
    </w:p>
    <w:p>
      <w:pPr>
        <w:spacing w:after="0" w:line="104" w:lineRule="exact"/>
        <w:rPr>
          <w:sz w:val="20"/>
          <w:szCs w:val="20"/>
          <w:color w:val="auto"/>
        </w:rPr>
      </w:pPr>
    </w:p>
    <w:p>
      <w:pPr>
        <w:jc w:val="both"/>
        <w:ind w:left="380" w:right="200"/>
        <w:spacing w:after="0" w:line="246" w:lineRule="auto"/>
        <w:rPr>
          <w:sz w:val="20"/>
          <w:szCs w:val="20"/>
          <w:color w:val="auto"/>
        </w:rPr>
      </w:pPr>
      <w:r>
        <w:rPr>
          <w:rFonts w:ascii="Arial" w:cs="Arial" w:eastAsia="Arial" w:hAnsi="Arial"/>
          <w:sz w:val="18"/>
          <w:szCs w:val="18"/>
          <w:color w:val="auto"/>
        </w:rPr>
        <w:t>Our Power Solutions group is focused on growth in the electrical and aerospace and defense end markets. Within our Power Solutions segment,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70" w:lineRule="exact"/>
        <w:rPr>
          <w:sz w:val="20"/>
          <w:szCs w:val="20"/>
          <w:color w:val="auto"/>
        </w:rPr>
      </w:pPr>
    </w:p>
    <w:p>
      <w:pPr>
        <w:jc w:val="both"/>
        <w:ind w:left="380" w:right="300"/>
        <w:spacing w:after="0" w:line="252" w:lineRule="auto"/>
        <w:rPr>
          <w:sz w:val="20"/>
          <w:szCs w:val="20"/>
          <w:color w:val="auto"/>
        </w:rPr>
      </w:pPr>
      <w:r>
        <w:rPr>
          <w:rFonts w:ascii="Arial" w:cs="Arial" w:eastAsia="Arial" w:hAnsi="Arial"/>
          <w:sz w:val="18"/>
          <w:szCs w:val="18"/>
          <w:color w:val="auto"/>
        </w:rPr>
        <w:t>We manufacture a variety of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Life sciences</w:t>
      </w:r>
    </w:p>
    <w:p>
      <w:pPr>
        <w:spacing w:after="0" w:line="104" w:lineRule="exact"/>
        <w:rPr>
          <w:sz w:val="20"/>
          <w:szCs w:val="20"/>
          <w:color w:val="auto"/>
        </w:rPr>
      </w:pPr>
    </w:p>
    <w:p>
      <w:pPr>
        <w:jc w:val="both"/>
        <w:ind w:left="380" w:right="480"/>
        <w:spacing w:after="0" w:line="252" w:lineRule="auto"/>
        <w:rPr>
          <w:sz w:val="20"/>
          <w:szCs w:val="20"/>
          <w:color w:val="auto"/>
        </w:rPr>
      </w:pPr>
      <w:r>
        <w:rPr>
          <w:rFonts w:ascii="Arial" w:cs="Arial" w:eastAsia="Arial" w:hAnsi="Arial"/>
          <w:sz w:val="18"/>
          <w:szCs w:val="18"/>
          <w:color w:val="auto"/>
        </w:rPr>
        <w:t>The Life Sciences group is focused on growth in the medical end market. Within our Life Sciences segment, we combine advanced engineering and production capabilities to design and manufacture a broad range of high-precision metal and plastic components, assemblies and finished devices.</w:t>
      </w:r>
    </w:p>
    <w:p>
      <w:pPr>
        <w:spacing w:after="0" w:line="64" w:lineRule="exact"/>
        <w:rPr>
          <w:sz w:val="20"/>
          <w:szCs w:val="20"/>
          <w:color w:val="auto"/>
        </w:rPr>
      </w:pPr>
    </w:p>
    <w:p>
      <w:pPr>
        <w:ind w:left="380" w:right="40"/>
        <w:spacing w:after="0" w:line="269" w:lineRule="auto"/>
        <w:rPr>
          <w:sz w:val="20"/>
          <w:szCs w:val="20"/>
          <w:color w:val="auto"/>
        </w:rPr>
      </w:pPr>
      <w:r>
        <w:rPr>
          <w:rFonts w:ascii="Arial" w:cs="Arial" w:eastAsia="Arial" w:hAnsi="Arial"/>
          <w:sz w:val="18"/>
          <w:szCs w:val="18"/>
          <w:color w:val="auto"/>
        </w:rPr>
        <w:t>We manufacture a variety of components, assemblies and instruments, such as surgical knives, bioresorbable implants, surgical staples, orthopedic system tools, laparoscopic devices and drug delivery devices for the medical and life sciences end market.</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competitive strengths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High-precision manufacturing capabilities</w:t>
      </w:r>
    </w:p>
    <w:p>
      <w:pPr>
        <w:spacing w:after="0" w:line="104" w:lineRule="exact"/>
        <w:rPr>
          <w:sz w:val="20"/>
          <w:szCs w:val="20"/>
          <w:color w:val="auto"/>
        </w:rPr>
      </w:pPr>
    </w:p>
    <w:p>
      <w:pPr>
        <w:ind w:left="380"/>
        <w:spacing w:after="0" w:line="270" w:lineRule="auto"/>
        <w:rPr>
          <w:sz w:val="20"/>
          <w:szCs w:val="20"/>
          <w:color w:val="auto"/>
        </w:rPr>
      </w:pPr>
      <w:r>
        <w:rPr>
          <w:rFonts w:ascii="Arial" w:cs="Arial" w:eastAsia="Arial" w:hAnsi="Arial"/>
          <w:sz w:val="16"/>
          <w:szCs w:val="16"/>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Unique specialty machine building capabilities,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level requested by our customers. As the need for tight-tolerance precision parts, subassemblies, and devices continue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3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252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252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Differentiated, system-critical products</w:t>
      </w:r>
    </w:p>
    <w:p>
      <w:pPr>
        <w:spacing w:after="0" w:line="104" w:lineRule="exact"/>
        <w:rPr>
          <w:sz w:val="20"/>
          <w:szCs w:val="20"/>
          <w:color w:val="auto"/>
        </w:rPr>
      </w:pPr>
    </w:p>
    <w:p>
      <w:pPr>
        <w:ind w:left="380" w:right="180"/>
        <w:spacing w:after="0" w:line="241" w:lineRule="auto"/>
        <w:rPr>
          <w:sz w:val="20"/>
          <w:szCs w:val="20"/>
          <w:color w:val="auto"/>
        </w:rPr>
      </w:pPr>
      <w:r>
        <w:rPr>
          <w:rFonts w:ascii="Arial" w:cs="Arial" w:eastAsia="Arial" w:hAnsi="Arial"/>
          <w:sz w:val="18"/>
          <w:szCs w:val="18"/>
          <w:color w:val="auto"/>
        </w:rPr>
        <w:t>The tight-tolerance and high-quality nature of our precision products are specifically suited for use in the most demanding applications that require superior reliability. Our products are critical components to the operation and reliability of larger mechanical 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76" w:lineRule="exact"/>
        <w:rPr>
          <w:sz w:val="20"/>
          <w:szCs w:val="20"/>
          <w:color w:val="auto"/>
        </w:rPr>
      </w:pPr>
    </w:p>
    <w:p>
      <w:pPr>
        <w:ind w:left="380" w:right="20"/>
        <w:spacing w:after="0" w:line="243" w:lineRule="auto"/>
        <w:rPr>
          <w:sz w:val="20"/>
          <w:szCs w:val="20"/>
          <w:color w:val="auto"/>
        </w:rPr>
      </w:pPr>
      <w:r>
        <w:rPr>
          <w:rFonts w:ascii="Arial" w:cs="Arial" w:eastAsia="Arial" w:hAnsi="Arial"/>
          <w:sz w:val="18"/>
          <w:szCs w:val="18"/>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Food and Drug Administration (“FDA”), Underwriters Laboratories (“UL”) and the National Aerospace and Defense Contractors Accreditation Program (“NADCAP”).</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Complete product lifecycle focus</w:t>
      </w:r>
    </w:p>
    <w:p>
      <w:pPr>
        <w:spacing w:after="0" w:line="104"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metal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76" w:lineRule="exact"/>
        <w:rPr>
          <w:sz w:val="20"/>
          <w:szCs w:val="20"/>
          <w:color w:val="auto"/>
        </w:rPr>
      </w:pPr>
    </w:p>
    <w:p>
      <w:pPr>
        <w:ind w:left="380" w:right="140"/>
        <w:spacing w:after="0"/>
        <w:rPr>
          <w:sz w:val="20"/>
          <w:szCs w:val="20"/>
          <w:color w:val="auto"/>
        </w:rPr>
      </w:pPr>
      <w:r>
        <w:rPr>
          <w:rFonts w:ascii="Arial" w:cs="Arial" w:eastAsia="Arial" w:hAnsi="Arial"/>
          <w:sz w:val="18"/>
          <w:szCs w:val="18"/>
          <w:color w:val="auto"/>
        </w:rPr>
        <w:t>Prototype products are developed for testing and process validation procedures are instituted. In many instances, we will file for regulatory production approval and include the customer’s proprietary processes, further discouraging supplier changes. We will assist the customer with continuous supply chain management,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the company.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Long-term blue-chip customer base</w:t>
      </w:r>
    </w:p>
    <w:p>
      <w:pPr>
        <w:spacing w:after="0" w:line="104" w:lineRule="exact"/>
        <w:rPr>
          <w:sz w:val="20"/>
          <w:szCs w:val="20"/>
          <w:color w:val="auto"/>
        </w:rPr>
      </w:pPr>
    </w:p>
    <w:p>
      <w:pPr>
        <w:ind w:left="380" w:right="100"/>
        <w:spacing w:after="0" w:line="243" w:lineRule="auto"/>
        <w:rPr>
          <w:sz w:val="20"/>
          <w:szCs w:val="20"/>
          <w:color w:val="auto"/>
        </w:rPr>
      </w:pPr>
      <w:r>
        <w:rPr>
          <w:rFonts w:ascii="Arial" w:cs="Arial" w:eastAsia="Arial" w:hAnsi="Arial"/>
          <w:sz w:val="18"/>
          <w:szCs w:val="18"/>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our top ten customers, in terms of revenue, average more than ten years. We have significant exposure to emerging markets in Asia, South America and Eastern Europe through these global customers as well as key local manufacturers. The diverse nature, size and reach of our</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240" w:top="455" w:right="7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4060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4060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customer base provides resistance to localized market and geographic fluctuations and help stabilizes overall product demand.</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Strategic global footprint</w:t>
      </w:r>
    </w:p>
    <w:p>
      <w:pPr>
        <w:spacing w:after="0" w:line="104" w:lineRule="exact"/>
        <w:rPr>
          <w:sz w:val="20"/>
          <w:szCs w:val="20"/>
          <w:color w:val="auto"/>
        </w:rPr>
      </w:pPr>
    </w:p>
    <w:p>
      <w:pPr>
        <w:ind w:left="380" w:right="120"/>
        <w:spacing w:after="0" w:line="274" w:lineRule="auto"/>
        <w:rPr>
          <w:sz w:val="20"/>
          <w:szCs w:val="20"/>
          <w:color w:val="auto"/>
        </w:rPr>
      </w:pPr>
      <w:r>
        <w:rPr>
          <w:rFonts w:ascii="Arial" w:cs="Arial" w:eastAsia="Arial" w:hAnsi="Arial"/>
          <w:sz w:val="16"/>
          <w:szCs w:val="16"/>
          <w:color w:val="auto"/>
        </w:rPr>
        <w:t>Our 51 facilities as of September 1, 2018,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2.7 million square feet of manufacturing space in six countries.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The Asian and South American facilities, we believe, have significant growth potential as local customer bases expand and the markets for high-precision products grow in those regions.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Proven and experienced management team</w:t>
      </w:r>
    </w:p>
    <w:p>
      <w:pPr>
        <w:spacing w:after="0" w:line="104"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color w:val="auto"/>
        </w:rPr>
        <w:t>We believe that we are led by one of the strongest management teams in our industry, with significant proven experience in precision manufacturing and the diversified industrial sector. Rich Holder was named Chief Executive Officer and director in 2013. Mr. Holder joined us from Eaton Corporation, where he served as President of Eaton Electrical Components Group, and brings to us a proven record of leadership, successful team building and relevant experience in both organic and acquisition growth. He has since assembled a strong management team through retention of key talent, recent acquisitions and new hires. Thomas C. Burwell, Jr., our Chief Financial Officer, has been with us since 2005, has over 25 years of service in various finance and strategic development roles. Our management team has successfully executed and integrated into our business nine acquisitions over the last five years, increasing revenue by more than 150% since 2013. We believe that our current management team has the necessary talent and experience to lead our efforts with respect to our organic and acquisition growth goals.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Corporate information</w:t>
      </w:r>
    </w:p>
    <w:p>
      <w:pPr>
        <w:spacing w:after="0" w:line="116" w:lineRule="exact"/>
        <w:rPr>
          <w:sz w:val="20"/>
          <w:szCs w:val="20"/>
          <w:color w:val="auto"/>
        </w:rPr>
      </w:pPr>
    </w:p>
    <w:p>
      <w:pPr>
        <w:ind w:left="380" w:right="80"/>
        <w:spacing w:after="0" w:line="246" w:lineRule="auto"/>
        <w:rPr>
          <w:sz w:val="20"/>
          <w:szCs w:val="20"/>
          <w:color w:val="auto"/>
        </w:rPr>
      </w:pPr>
      <w:r>
        <w:rPr>
          <w:rFonts w:ascii="Arial" w:cs="Arial" w:eastAsia="Arial" w:hAnsi="Arial"/>
          <w:sz w:val="18"/>
          <w:szCs w:val="18"/>
          <w:color w:val="auto"/>
        </w:rPr>
        <w:t>We were founded in October 1980 and are incorporated in Delaware. Our principal executive offices are located at 6210 Ardrey Kell Road, Charlotte, North Carolina, and our telephone number is (980) 264-4300. Our website address is www.nninc.com. The information contained on our website or that can be accessed through our website does not constitute part of this prospectus supplement other than documents that we file with the SEC that are incorporated by reference into this prospectus supplement.</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20"/>
          </w:cols>
          <w:pgMar w:left="24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449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44957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Recent developments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Segment realignment</w:t>
      </w:r>
    </w:p>
    <w:p>
      <w:pPr>
        <w:spacing w:after="0" w:line="116" w:lineRule="exact"/>
        <w:rPr>
          <w:sz w:val="20"/>
          <w:szCs w:val="20"/>
          <w:color w:val="auto"/>
        </w:rPr>
      </w:pPr>
    </w:p>
    <w:p>
      <w:pPr>
        <w:ind w:left="380"/>
        <w:spacing w:after="0" w:line="241" w:lineRule="auto"/>
        <w:rPr>
          <w:sz w:val="20"/>
          <w:szCs w:val="20"/>
          <w:color w:val="auto"/>
        </w:rPr>
      </w:pPr>
      <w:r>
        <w:rPr>
          <w:rFonts w:ascii="Arial" w:cs="Arial" w:eastAsia="Arial" w:hAnsi="Arial"/>
          <w:sz w:val="18"/>
          <w:szCs w:val="18"/>
          <w:color w:val="auto"/>
        </w:rPr>
        <w:t>In January 2018, we implemented a new enterprise and management structure designed to accelerate growth and further balance our portfolio by aligning our strategic assets and businesses. Therefore, effective January 1, 2018, our businesses were reorganized into the Mobile Solutions, Power Solutions and Life Sciences groups and are based principally on the end markets they serve. The Mobile Solutions group is focused on growth in the industrial and automotive end markets. The Power Solutions group is focused on growth in the electrical and aerospace and defense end markets. The Life Sciences group is focused on growth in the medical end market. Starting with the fiscal quarter ended March 31, 2018, we have reported our results of operations using the new segments.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Acquisitions of DRT Medical and Bridgemedica</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October 2, 2017, we acquired 100% of the membership interests of DRT Medical, LLC, which we subsequently renamed NN Life</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Sciences—Vandalia, LLC (“Vandalia”) for approximately $38.7 million in cash, after preliminary working capital post-closing adjustments</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of $0.3 million. Vandalia is a supplier of precision manufactured medical instruments and orthopedic implants with locations in Ohio and</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Pennsylvania. On February 22, 2018, we completed the acquisition of 100% of the assets of Bridgemedica, LLC (“Bridgemedica”), for</w:t>
      </w:r>
    </w:p>
    <w:p>
      <w:pPr>
        <w:ind w:left="380"/>
        <w:spacing w:after="0"/>
        <w:rPr>
          <w:sz w:val="20"/>
          <w:szCs w:val="20"/>
          <w:color w:val="auto"/>
        </w:rPr>
      </w:pPr>
      <w:r>
        <w:rPr>
          <w:rFonts w:ascii="Arial" w:cs="Arial" w:eastAsia="Arial" w:hAnsi="Arial"/>
          <w:sz w:val="16"/>
          <w:szCs w:val="16"/>
          <w:color w:val="auto"/>
        </w:rPr>
        <w:t>$15.0 million in cash. Bridgemedica is a medical device company that provides concept to supply solutions through design, development</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engineering and manufacturing. We believe the acquisitions of Vandalia and Bridgemedica represent key steps in the growth of our Life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Sciences group through significantly expanding our new product design and development capabilities.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Acquisition of Paragon</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7, 2018, we completed the acquisition of PMG Intermediate Holding Corporation, a Delaware corporation (“Paragon”), the parent company of Paragon Medical, Inc. Pursuant to the terms and conditions of that certain Stock Purchase Agreement (the “Acquisition Agreement”), with Paragon and the seller, Paragon Equity LLC, a Delaware limited liability company, our subsidiary, Precision Engineered Products LLC, a Delaware limited liability company, acquired 100% of the outstanding stock of Paragon (the “Acquisition”). The aggregate purchase price (the “Purchase Price”) payable by us was $375.0 million in cash, adjusted to account for Paragon’s indebtedness, working capital and cash balance at the closing date, as well as for certain Acquisition-related expenses, each as described in the Acquisition Agreement.</w:t>
      </w:r>
    </w:p>
    <w:p>
      <w:pPr>
        <w:spacing w:after="0" w:line="77" w:lineRule="exact"/>
        <w:rPr>
          <w:sz w:val="20"/>
          <w:szCs w:val="20"/>
          <w:color w:val="auto"/>
        </w:rPr>
      </w:pPr>
    </w:p>
    <w:p>
      <w:pPr>
        <w:ind w:left="380" w:right="60"/>
        <w:spacing w:after="0" w:line="281" w:lineRule="auto"/>
        <w:rPr>
          <w:sz w:val="20"/>
          <w:szCs w:val="20"/>
          <w:color w:val="auto"/>
        </w:rPr>
      </w:pPr>
      <w:r>
        <w:rPr>
          <w:rFonts w:ascii="Arial" w:cs="Arial" w:eastAsia="Arial" w:hAnsi="Arial"/>
          <w:sz w:val="16"/>
          <w:szCs w:val="16"/>
          <w:color w:val="auto"/>
        </w:rPr>
        <w:t>In connection with the Acquisition, on May 7, 2018, we, certain of our subsidiaries named therein, SunTrust Bank, as Administrative Agent (“SunTrust”), SunTrust Robinson Humphrey, Inc. as Lead Arranger and Bookrunner, and the lenders named therein entered into that certain Second Lien Credit Agreement, pursuant to which SunTrust and the other lenders extended a $200.0 million secured second lien term loan facility (the “Second Lien Facility”). We utilized the net proceeds from the Second Lien Facility, together with cash on hand and amounts borrowed for our senior secured revolving credit facility, to pay the Purchase Price and fees and expenses related thereto.</w:t>
      </w:r>
    </w:p>
    <w:p>
      <w:pPr>
        <w:spacing w:after="0" w:line="44" w:lineRule="exact"/>
        <w:rPr>
          <w:sz w:val="20"/>
          <w:szCs w:val="20"/>
          <w:color w:val="auto"/>
        </w:rPr>
      </w:pPr>
    </w:p>
    <w:p>
      <w:pPr>
        <w:ind w:left="380" w:right="60"/>
        <w:spacing w:after="0" w:line="269" w:lineRule="auto"/>
        <w:rPr>
          <w:sz w:val="20"/>
          <w:szCs w:val="20"/>
          <w:color w:val="auto"/>
        </w:rPr>
      </w:pPr>
      <w:r>
        <w:rPr>
          <w:rFonts w:ascii="Arial" w:cs="Arial" w:eastAsia="Arial" w:hAnsi="Arial"/>
          <w:sz w:val="18"/>
          <w:szCs w:val="18"/>
          <w:color w:val="auto"/>
        </w:rPr>
        <w:t>We intend to use the net proceeds from this offering to repay the Second Lien Facility and the remaining net proceeds, if any, for general corporate purposes.</w:t>
      </w:r>
    </w:p>
    <w:p>
      <w:pPr>
        <w:spacing w:after="0" w:line="49" w:lineRule="exact"/>
        <w:rPr>
          <w:sz w:val="20"/>
          <w:szCs w:val="20"/>
          <w:color w:val="auto"/>
        </w:rPr>
      </w:pPr>
    </w:p>
    <w:p>
      <w:pPr>
        <w:jc w:val="both"/>
        <w:ind w:left="380" w:right="120"/>
        <w:spacing w:after="0" w:line="252" w:lineRule="auto"/>
        <w:rPr>
          <w:sz w:val="20"/>
          <w:szCs w:val="20"/>
          <w:color w:val="auto"/>
        </w:rPr>
      </w:pPr>
      <w:r>
        <w:rPr>
          <w:rFonts w:ascii="Arial" w:cs="Arial" w:eastAsia="Arial" w:hAnsi="Arial"/>
          <w:sz w:val="18"/>
          <w:szCs w:val="18"/>
          <w:color w:val="auto"/>
        </w:rPr>
        <w:t>For additional information regarding Paragon, see the historical consolidated financial statements and pro forma financial information of Paragon and its consolidated subsidiaries appearing in our Current Report on Form 8-K/A filed on June 4, 2018, which are incorporated by reference into the accompanying prospectus.</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20"/>
          </w:cols>
          <w:pgMar w:left="24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1230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12306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About Paragon</w:t>
      </w:r>
    </w:p>
    <w:p>
      <w:pPr>
        <w:spacing w:after="0" w:line="104" w:lineRule="exact"/>
        <w:rPr>
          <w:sz w:val="20"/>
          <w:szCs w:val="20"/>
          <w:color w:val="auto"/>
        </w:rPr>
      </w:pPr>
    </w:p>
    <w:p>
      <w:pPr>
        <w:jc w:val="both"/>
        <w:ind w:left="380" w:right="220"/>
        <w:spacing w:after="0" w:line="273" w:lineRule="auto"/>
        <w:rPr>
          <w:sz w:val="20"/>
          <w:szCs w:val="20"/>
          <w:color w:val="auto"/>
        </w:rPr>
      </w:pPr>
      <w:r>
        <w:rPr>
          <w:rFonts w:ascii="Arial" w:cs="Arial" w:eastAsia="Arial" w:hAnsi="Arial"/>
          <w:sz w:val="16"/>
          <w:szCs w:val="16"/>
          <w:color w:val="auto"/>
        </w:rPr>
        <w:t>Founded in 1991, Paragon is a leading tier 1, turnkey supplier of world-class solutions for custom and standard surgical cases, trays, surgical instruments (re-usable and single-use), implantable components, and design and development services to the medical device marketplace. Headquartered in the orthopedic capital of the world, Pierceton, Indiana, Paragon has over 1,250 employees and</w:t>
      </w:r>
    </w:p>
    <w:p>
      <w:pPr>
        <w:spacing w:after="0" w:line="2"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370,000 square feet of office and manufacturing space globally with centers of excellence in large joint reconstruction, spine, sports medicine, extremities, and trauma. Paragon partners with its customers to provide services from origin to application, including with respect to design and development, manufacturing, and logistics. With facilities throughout the United States, Asia, and Europe, Paragon is able to meet the critical demands of a dynamic medical device global market.</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5" w:right="6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603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The offering</w:t>
      </w:r>
    </w:p>
    <w:p>
      <w:pPr>
        <w:spacing w:after="0" w:line="144" w:lineRule="exact"/>
        <w:rPr>
          <w:sz w:val="20"/>
          <w:szCs w:val="20"/>
          <w:color w:val="auto"/>
        </w:rPr>
      </w:pPr>
    </w:p>
    <w:p>
      <w:pPr>
        <w:ind w:left="380" w:right="300"/>
        <w:spacing w:after="0" w:line="251" w:lineRule="auto"/>
        <w:rPr>
          <w:sz w:val="20"/>
          <w:szCs w:val="20"/>
          <w:color w:val="auto"/>
        </w:rPr>
      </w:pPr>
      <w:r>
        <w:rPr>
          <w:rFonts w:ascii="Arial" w:cs="Arial" w:eastAsia="Arial" w:hAnsi="Arial"/>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of the accompanying prospectus entitled “Description of capital stock.”</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20" w:type="dxa"/>
            <w:vAlign w:val="bottom"/>
          </w:tcPr>
          <w:p>
            <w:pPr>
              <w:ind w:left="200"/>
              <w:spacing w:after="0"/>
              <w:rPr>
                <w:sz w:val="20"/>
                <w:szCs w:val="20"/>
                <w:color w:val="auto"/>
              </w:rPr>
            </w:pPr>
            <w:r>
              <w:rPr>
                <w:rFonts w:ascii="Arial" w:cs="Arial" w:eastAsia="Arial" w:hAnsi="Arial"/>
                <w:sz w:val="18"/>
                <w:szCs w:val="18"/>
                <w:color w:val="auto"/>
              </w:rPr>
              <w:t>Issuer</w:t>
            </w:r>
          </w:p>
        </w:tc>
        <w:tc>
          <w:tcPr>
            <w:tcW w:w="2280" w:type="dxa"/>
            <w:vAlign w:val="bottom"/>
          </w:tcPr>
          <w:p>
            <w:pPr>
              <w:ind w:left="820"/>
              <w:spacing w:after="0"/>
              <w:rPr>
                <w:sz w:val="20"/>
                <w:szCs w:val="20"/>
                <w:color w:val="auto"/>
              </w:rPr>
            </w:pPr>
            <w:r>
              <w:rPr>
                <w:rFonts w:ascii="Arial" w:cs="Arial" w:eastAsia="Arial" w:hAnsi="Arial"/>
                <w:sz w:val="18"/>
                <w:szCs w:val="18"/>
                <w:color w:val="auto"/>
              </w:rPr>
              <w:t>NN, Inc.</w:t>
            </w:r>
          </w:p>
        </w:tc>
        <w:tc>
          <w:tcPr>
            <w:tcW w:w="2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Common stock offered by us</w:t>
            </w: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12,500,000 shares of common stock (or 14,375,000 shares of</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common stock if the underwriters exercise their option to</w:t>
            </w:r>
          </w:p>
        </w:tc>
      </w:tr>
      <w:tr>
        <w:trPr>
          <w:trHeight w:val="237"/>
        </w:trPr>
        <w:tc>
          <w:tcPr>
            <w:tcW w:w="5020" w:type="dxa"/>
            <w:vAlign w:val="bottom"/>
          </w:tcPr>
          <w:p>
            <w:pPr>
              <w:spacing w:after="0"/>
              <w:rPr>
                <w:sz w:val="20"/>
                <w:szCs w:val="20"/>
                <w:color w:val="auto"/>
              </w:rPr>
            </w:pPr>
          </w:p>
        </w:tc>
        <w:tc>
          <w:tcPr>
            <w:tcW w:w="4800" w:type="dxa"/>
            <w:vAlign w:val="bottom"/>
            <w:gridSpan w:val="2"/>
          </w:tcPr>
          <w:p>
            <w:pPr>
              <w:ind w:left="820"/>
              <w:spacing w:after="0"/>
              <w:rPr>
                <w:sz w:val="20"/>
                <w:szCs w:val="20"/>
                <w:color w:val="auto"/>
              </w:rPr>
            </w:pPr>
            <w:r>
              <w:rPr>
                <w:rFonts w:ascii="Arial" w:cs="Arial" w:eastAsia="Arial" w:hAnsi="Arial"/>
                <w:sz w:val="18"/>
                <w:szCs w:val="18"/>
                <w:color w:val="auto"/>
              </w:rPr>
              <w:t>purchase additional shares in full).</w:t>
            </w:r>
          </w:p>
        </w:tc>
        <w:tc>
          <w:tcPr>
            <w:tcW w:w="1220" w:type="dxa"/>
            <w:vAlign w:val="bottom"/>
          </w:tcPr>
          <w:p>
            <w:pPr>
              <w:spacing w:after="0"/>
              <w:rPr>
                <w:sz w:val="20"/>
                <w:szCs w:val="20"/>
                <w:color w:val="auto"/>
              </w:rPr>
            </w:pPr>
          </w:p>
        </w:tc>
      </w:tr>
      <w:tr>
        <w:trPr>
          <w:trHeight w:val="236"/>
        </w:trPr>
        <w:tc>
          <w:tcPr>
            <w:tcW w:w="5020" w:type="dxa"/>
            <w:vAlign w:val="bottom"/>
          </w:tcPr>
          <w:p>
            <w:pPr>
              <w:ind w:left="200"/>
              <w:spacing w:after="0"/>
              <w:rPr>
                <w:sz w:val="20"/>
                <w:szCs w:val="20"/>
                <w:color w:val="auto"/>
              </w:rPr>
            </w:pPr>
            <w:r>
              <w:rPr>
                <w:rFonts w:ascii="Arial" w:cs="Arial" w:eastAsia="Arial" w:hAnsi="Arial"/>
                <w:sz w:val="18"/>
                <w:szCs w:val="18"/>
                <w:color w:val="auto"/>
              </w:rPr>
              <w:t>Common stock outstanding immediately after this offering</w:t>
            </w:r>
          </w:p>
        </w:tc>
        <w:tc>
          <w:tcPr>
            <w:tcW w:w="6020" w:type="dxa"/>
            <w:vAlign w:val="bottom"/>
            <w:gridSpan w:val="3"/>
          </w:tcPr>
          <w:p>
            <w:pPr>
              <w:ind w:left="820"/>
              <w:spacing w:after="0"/>
              <w:rPr>
                <w:sz w:val="20"/>
                <w:szCs w:val="20"/>
                <w:color w:val="auto"/>
              </w:rPr>
            </w:pPr>
            <w:r>
              <w:rPr>
                <w:rFonts w:ascii="Arial" w:cs="Arial" w:eastAsia="Arial" w:hAnsi="Arial"/>
                <w:sz w:val="18"/>
                <w:szCs w:val="18"/>
                <w:color w:val="auto"/>
              </w:rPr>
              <w:t>40,229,375 shares of common stock (or 42,104,375 shares of</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common stock if the underwriters exercise their option to</w:t>
            </w:r>
          </w:p>
        </w:tc>
      </w:tr>
      <w:tr>
        <w:trPr>
          <w:trHeight w:val="237"/>
        </w:trPr>
        <w:tc>
          <w:tcPr>
            <w:tcW w:w="5020" w:type="dxa"/>
            <w:vAlign w:val="bottom"/>
          </w:tcPr>
          <w:p>
            <w:pPr>
              <w:spacing w:after="0"/>
              <w:rPr>
                <w:sz w:val="20"/>
                <w:szCs w:val="20"/>
                <w:color w:val="auto"/>
              </w:rPr>
            </w:pPr>
          </w:p>
        </w:tc>
        <w:tc>
          <w:tcPr>
            <w:tcW w:w="4800" w:type="dxa"/>
            <w:vAlign w:val="bottom"/>
            <w:gridSpan w:val="2"/>
          </w:tcPr>
          <w:p>
            <w:pPr>
              <w:ind w:left="820"/>
              <w:spacing w:after="0"/>
              <w:rPr>
                <w:sz w:val="20"/>
                <w:szCs w:val="20"/>
                <w:color w:val="auto"/>
              </w:rPr>
            </w:pPr>
            <w:r>
              <w:rPr>
                <w:rFonts w:ascii="Arial" w:cs="Arial" w:eastAsia="Arial" w:hAnsi="Arial"/>
                <w:sz w:val="18"/>
                <w:szCs w:val="18"/>
                <w:color w:val="auto"/>
              </w:rPr>
              <w:t>purchase additional shares in full).</w:t>
            </w:r>
          </w:p>
        </w:tc>
        <w:tc>
          <w:tcPr>
            <w:tcW w:w="1220" w:type="dxa"/>
            <w:vAlign w:val="bottom"/>
          </w:tcPr>
          <w:p>
            <w:pPr>
              <w:spacing w:after="0"/>
              <w:rPr>
                <w:sz w:val="20"/>
                <w:szCs w:val="20"/>
                <w:color w:val="auto"/>
              </w:rPr>
            </w:pPr>
          </w:p>
        </w:tc>
      </w:tr>
      <w:tr>
        <w:trPr>
          <w:trHeight w:val="236"/>
        </w:trPr>
        <w:tc>
          <w:tcPr>
            <w:tcW w:w="5020" w:type="dxa"/>
            <w:vAlign w:val="bottom"/>
          </w:tcPr>
          <w:p>
            <w:pPr>
              <w:ind w:left="200"/>
              <w:spacing w:after="0"/>
              <w:rPr>
                <w:sz w:val="20"/>
                <w:szCs w:val="20"/>
                <w:color w:val="auto"/>
              </w:rPr>
            </w:pPr>
            <w:r>
              <w:rPr>
                <w:rFonts w:ascii="Arial" w:cs="Arial" w:eastAsia="Arial" w:hAnsi="Arial"/>
                <w:sz w:val="18"/>
                <w:szCs w:val="18"/>
                <w:color w:val="auto"/>
              </w:rPr>
              <w:t>Underwriters’ option</w:t>
            </w:r>
          </w:p>
        </w:tc>
        <w:tc>
          <w:tcPr>
            <w:tcW w:w="6020" w:type="dxa"/>
            <w:vAlign w:val="bottom"/>
            <w:gridSpan w:val="3"/>
          </w:tcPr>
          <w:p>
            <w:pPr>
              <w:ind w:left="820"/>
              <w:spacing w:after="0"/>
              <w:rPr>
                <w:sz w:val="20"/>
                <w:szCs w:val="20"/>
                <w:color w:val="auto"/>
              </w:rPr>
            </w:pPr>
            <w:r>
              <w:rPr>
                <w:rFonts w:ascii="Arial" w:cs="Arial" w:eastAsia="Arial" w:hAnsi="Arial"/>
                <w:sz w:val="18"/>
                <w:szCs w:val="18"/>
                <w:color w:val="auto"/>
              </w:rPr>
              <w:t>We have granted an option to the underwriters, exercisable for</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30 days after the date of this prospectus supplement, to</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purchase up to an additional 1,875,000 shares at the public</w:t>
            </w:r>
          </w:p>
        </w:tc>
      </w:tr>
      <w:tr>
        <w:trPr>
          <w:trHeight w:val="237"/>
        </w:trPr>
        <w:tc>
          <w:tcPr>
            <w:tcW w:w="5020" w:type="dxa"/>
            <w:vAlign w:val="bottom"/>
          </w:tcPr>
          <w:p>
            <w:pPr>
              <w:spacing w:after="0"/>
              <w:rPr>
                <w:sz w:val="20"/>
                <w:szCs w:val="20"/>
                <w:color w:val="auto"/>
              </w:rPr>
            </w:pPr>
          </w:p>
        </w:tc>
        <w:tc>
          <w:tcPr>
            <w:tcW w:w="4800" w:type="dxa"/>
            <w:vAlign w:val="bottom"/>
            <w:gridSpan w:val="2"/>
          </w:tcPr>
          <w:p>
            <w:pPr>
              <w:ind w:left="820"/>
              <w:spacing w:after="0"/>
              <w:rPr>
                <w:sz w:val="20"/>
                <w:szCs w:val="20"/>
                <w:color w:val="auto"/>
              </w:rPr>
            </w:pPr>
            <w:r>
              <w:rPr>
                <w:rFonts w:ascii="Arial" w:cs="Arial" w:eastAsia="Arial" w:hAnsi="Arial"/>
                <w:sz w:val="18"/>
                <w:szCs w:val="18"/>
                <w:color w:val="auto"/>
              </w:rPr>
              <w:t>offering price, less the underwriting discount.</w:t>
            </w:r>
          </w:p>
        </w:tc>
        <w:tc>
          <w:tcPr>
            <w:tcW w:w="1220" w:type="dxa"/>
            <w:vAlign w:val="bottom"/>
          </w:tcPr>
          <w:p>
            <w:pPr>
              <w:spacing w:after="0"/>
              <w:rPr>
                <w:sz w:val="20"/>
                <w:szCs w:val="20"/>
                <w:color w:val="auto"/>
              </w:rPr>
            </w:pPr>
          </w:p>
        </w:tc>
      </w:tr>
      <w:tr>
        <w:trPr>
          <w:trHeight w:val="236"/>
        </w:trPr>
        <w:tc>
          <w:tcPr>
            <w:tcW w:w="50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6020" w:type="dxa"/>
            <w:vAlign w:val="bottom"/>
            <w:gridSpan w:val="3"/>
          </w:tcPr>
          <w:p>
            <w:pPr>
              <w:ind w:left="820"/>
              <w:spacing w:after="0"/>
              <w:rPr>
                <w:sz w:val="20"/>
                <w:szCs w:val="20"/>
                <w:color w:val="auto"/>
              </w:rPr>
            </w:pPr>
            <w:r>
              <w:rPr>
                <w:rFonts w:ascii="Arial" w:cs="Arial" w:eastAsia="Arial" w:hAnsi="Arial"/>
                <w:sz w:val="18"/>
                <w:szCs w:val="18"/>
                <w:color w:val="auto"/>
              </w:rPr>
              <w:t>We estimate that the net proceeds to us from the offering will be</w:t>
            </w:r>
          </w:p>
        </w:tc>
      </w:tr>
      <w:tr>
        <w:trPr>
          <w:trHeight w:val="203"/>
        </w:trPr>
        <w:tc>
          <w:tcPr>
            <w:tcW w:w="5020" w:type="dxa"/>
            <w:vAlign w:val="bottom"/>
          </w:tcPr>
          <w:p>
            <w:pPr>
              <w:spacing w:after="0"/>
              <w:rPr>
                <w:sz w:val="17"/>
                <w:szCs w:val="17"/>
                <w:color w:val="auto"/>
              </w:rPr>
            </w:pPr>
          </w:p>
        </w:tc>
        <w:tc>
          <w:tcPr>
            <w:tcW w:w="2280" w:type="dxa"/>
            <w:vAlign w:val="bottom"/>
          </w:tcPr>
          <w:p>
            <w:pPr>
              <w:ind w:left="820"/>
              <w:spacing w:after="0" w:line="202" w:lineRule="exact"/>
              <w:rPr>
                <w:sz w:val="20"/>
                <w:szCs w:val="20"/>
                <w:color w:val="auto"/>
              </w:rPr>
            </w:pPr>
            <w:r>
              <w:rPr>
                <w:rFonts w:ascii="Arial" w:cs="Arial" w:eastAsia="Arial" w:hAnsi="Arial"/>
                <w:sz w:val="18"/>
                <w:szCs w:val="18"/>
                <w:color w:val="auto"/>
              </w:rPr>
              <w:t>approximately $</w:t>
            </w:r>
          </w:p>
        </w:tc>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million (or approximately $</w:t>
            </w:r>
          </w:p>
        </w:tc>
        <w:tc>
          <w:tcPr>
            <w:tcW w:w="1220" w:type="dxa"/>
            <w:vAlign w:val="bottom"/>
          </w:tcPr>
          <w:p>
            <w:pPr>
              <w:ind w:left="180"/>
              <w:spacing w:after="0" w:line="202" w:lineRule="exact"/>
              <w:rPr>
                <w:sz w:val="20"/>
                <w:szCs w:val="20"/>
                <w:color w:val="auto"/>
              </w:rPr>
            </w:pPr>
            <w:r>
              <w:rPr>
                <w:rFonts w:ascii="Arial" w:cs="Arial" w:eastAsia="Arial" w:hAnsi="Arial"/>
                <w:sz w:val="18"/>
                <w:szCs w:val="18"/>
                <w:color w:val="auto"/>
              </w:rPr>
              <w:t>million if</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the underwriters exercise their option to purchase additional</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shares in full), after deducting the underwriting discount and our</w:t>
            </w:r>
          </w:p>
        </w:tc>
      </w:tr>
      <w:tr>
        <w:trPr>
          <w:trHeight w:val="237"/>
        </w:trPr>
        <w:tc>
          <w:tcPr>
            <w:tcW w:w="5020" w:type="dxa"/>
            <w:vAlign w:val="bottom"/>
          </w:tcPr>
          <w:p>
            <w:pPr>
              <w:spacing w:after="0"/>
              <w:rPr>
                <w:sz w:val="20"/>
                <w:szCs w:val="20"/>
                <w:color w:val="auto"/>
              </w:rPr>
            </w:pPr>
          </w:p>
        </w:tc>
        <w:tc>
          <w:tcPr>
            <w:tcW w:w="4800" w:type="dxa"/>
            <w:vAlign w:val="bottom"/>
            <w:gridSpan w:val="2"/>
          </w:tcPr>
          <w:p>
            <w:pPr>
              <w:ind w:left="820"/>
              <w:spacing w:after="0"/>
              <w:rPr>
                <w:sz w:val="20"/>
                <w:szCs w:val="20"/>
                <w:color w:val="auto"/>
              </w:rPr>
            </w:pPr>
            <w:r>
              <w:rPr>
                <w:rFonts w:ascii="Arial" w:cs="Arial" w:eastAsia="Arial" w:hAnsi="Arial"/>
                <w:sz w:val="18"/>
                <w:szCs w:val="18"/>
                <w:color w:val="auto"/>
              </w:rPr>
              <w:t>estimated offering expenses.</w:t>
            </w:r>
          </w:p>
        </w:tc>
        <w:tc>
          <w:tcPr>
            <w:tcW w:w="1220" w:type="dxa"/>
            <w:vAlign w:val="bottom"/>
          </w:tcPr>
          <w:p>
            <w:pPr>
              <w:spacing w:after="0"/>
              <w:rPr>
                <w:sz w:val="20"/>
                <w:szCs w:val="20"/>
                <w:color w:val="auto"/>
              </w:rPr>
            </w:pPr>
          </w:p>
        </w:tc>
      </w:tr>
      <w:tr>
        <w:trPr>
          <w:trHeight w:val="317"/>
        </w:trPr>
        <w:tc>
          <w:tcPr>
            <w:tcW w:w="5020" w:type="dxa"/>
            <w:vAlign w:val="bottom"/>
          </w:tcPr>
          <w:p>
            <w:pPr>
              <w:spacing w:after="0"/>
              <w:rPr>
                <w:sz w:val="24"/>
                <w:szCs w:val="24"/>
                <w:color w:val="auto"/>
              </w:rPr>
            </w:pPr>
          </w:p>
        </w:tc>
        <w:tc>
          <w:tcPr>
            <w:tcW w:w="6020" w:type="dxa"/>
            <w:vAlign w:val="bottom"/>
            <w:gridSpan w:val="3"/>
          </w:tcPr>
          <w:p>
            <w:pPr>
              <w:ind w:left="820"/>
              <w:spacing w:after="0"/>
              <w:rPr>
                <w:sz w:val="20"/>
                <w:szCs w:val="20"/>
                <w:color w:val="auto"/>
              </w:rPr>
            </w:pPr>
            <w:r>
              <w:rPr>
                <w:rFonts w:ascii="Arial" w:cs="Arial" w:eastAsia="Arial" w:hAnsi="Arial"/>
                <w:sz w:val="18"/>
                <w:szCs w:val="18"/>
                <w:color w:val="auto"/>
              </w:rPr>
              <w:t>We intend to use the net proceeds from this offering to repay</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the Second Lien Facility and the remaining net proceeds, if any,</w:t>
            </w:r>
          </w:p>
        </w:tc>
      </w:tr>
      <w:tr>
        <w:trPr>
          <w:trHeight w:val="237"/>
        </w:trPr>
        <w:tc>
          <w:tcPr>
            <w:tcW w:w="5020" w:type="dxa"/>
            <w:vAlign w:val="bottom"/>
          </w:tcPr>
          <w:p>
            <w:pPr>
              <w:spacing w:after="0"/>
              <w:rPr>
                <w:sz w:val="20"/>
                <w:szCs w:val="20"/>
                <w:color w:val="auto"/>
              </w:rPr>
            </w:pPr>
          </w:p>
        </w:tc>
        <w:tc>
          <w:tcPr>
            <w:tcW w:w="4800" w:type="dxa"/>
            <w:vAlign w:val="bottom"/>
            <w:gridSpan w:val="2"/>
          </w:tcPr>
          <w:p>
            <w:pPr>
              <w:ind w:left="820"/>
              <w:spacing w:after="0"/>
              <w:rPr>
                <w:sz w:val="20"/>
                <w:szCs w:val="20"/>
                <w:color w:val="auto"/>
              </w:rPr>
            </w:pPr>
            <w:r>
              <w:rPr>
                <w:rFonts w:ascii="Arial" w:cs="Arial" w:eastAsia="Arial" w:hAnsi="Arial"/>
                <w:sz w:val="18"/>
                <w:szCs w:val="18"/>
                <w:color w:val="auto"/>
              </w:rPr>
              <w:t>for general corporate purposes.</w:t>
            </w:r>
          </w:p>
        </w:tc>
        <w:tc>
          <w:tcPr>
            <w:tcW w:w="1220" w:type="dxa"/>
            <w:vAlign w:val="bottom"/>
          </w:tcPr>
          <w:p>
            <w:pPr>
              <w:spacing w:after="0"/>
              <w:rPr>
                <w:sz w:val="20"/>
                <w:szCs w:val="20"/>
                <w:color w:val="auto"/>
              </w:rPr>
            </w:pPr>
          </w:p>
        </w:tc>
      </w:tr>
      <w:tr>
        <w:trPr>
          <w:trHeight w:val="249"/>
        </w:trPr>
        <w:tc>
          <w:tcPr>
            <w:tcW w:w="5020" w:type="dxa"/>
            <w:vAlign w:val="bottom"/>
          </w:tcPr>
          <w:p>
            <w:pPr>
              <w:ind w:left="200"/>
              <w:spacing w:after="0"/>
              <w:rPr>
                <w:sz w:val="20"/>
                <w:szCs w:val="20"/>
                <w:color w:val="auto"/>
              </w:rPr>
            </w:pPr>
            <w:r>
              <w:rPr>
                <w:rFonts w:ascii="Arial" w:cs="Arial" w:eastAsia="Arial" w:hAnsi="Arial"/>
                <w:sz w:val="18"/>
                <w:szCs w:val="18"/>
                <w:color w:val="auto"/>
              </w:rPr>
              <w:t>Dividend policy</w:t>
            </w:r>
          </w:p>
        </w:tc>
        <w:tc>
          <w:tcPr>
            <w:tcW w:w="6020" w:type="dxa"/>
            <w:vAlign w:val="bottom"/>
            <w:gridSpan w:val="3"/>
          </w:tcPr>
          <w:p>
            <w:pPr>
              <w:ind w:left="820"/>
              <w:spacing w:after="0"/>
              <w:rPr>
                <w:sz w:val="20"/>
                <w:szCs w:val="20"/>
                <w:color w:val="auto"/>
              </w:rPr>
            </w:pPr>
            <w:r>
              <w:rPr>
                <w:rFonts w:ascii="Arial" w:cs="Arial" w:eastAsia="Arial" w:hAnsi="Arial"/>
                <w:sz w:val="18"/>
                <w:szCs w:val="18"/>
                <w:color w:val="auto"/>
              </w:rPr>
              <w:t>The declaration and payment of dividends are subject to the</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sole discretion of our Board of Directors and depend upon our</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profitability, financial condition, capital needs, credit agreement</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restrictions, future prospects and other factors deemed relevant</w:t>
            </w:r>
          </w:p>
        </w:tc>
      </w:tr>
      <w:tr>
        <w:trPr>
          <w:trHeight w:val="203"/>
        </w:trPr>
        <w:tc>
          <w:tcPr>
            <w:tcW w:w="5020" w:type="dxa"/>
            <w:vAlign w:val="bottom"/>
          </w:tcPr>
          <w:p>
            <w:pPr>
              <w:spacing w:after="0"/>
              <w:rPr>
                <w:sz w:val="17"/>
                <w:szCs w:val="17"/>
                <w:color w:val="auto"/>
              </w:rPr>
            </w:pPr>
          </w:p>
        </w:tc>
        <w:tc>
          <w:tcPr>
            <w:tcW w:w="48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by the Board of Directors.</w:t>
            </w:r>
          </w:p>
        </w:tc>
        <w:tc>
          <w:tcPr>
            <w:tcW w:w="12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We paid quarterly cash dividends of $0.07 per share of common</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stock each quarter for the last two fiscal years and for the first</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and second quarters of 2018. On August 9, 2018, we declared a</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quarterly dividend of $0.07 per share of common stock for the</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quarter ended September 30, 2018, payable on September 17,</w:t>
            </w:r>
          </w:p>
        </w:tc>
      </w:tr>
      <w:tr>
        <w:trPr>
          <w:trHeight w:val="237"/>
        </w:trPr>
        <w:tc>
          <w:tcPr>
            <w:tcW w:w="5020" w:type="dxa"/>
            <w:vAlign w:val="bottom"/>
          </w:tcPr>
          <w:p>
            <w:pPr>
              <w:spacing w:after="0"/>
              <w:rPr>
                <w:sz w:val="20"/>
                <w:szCs w:val="20"/>
                <w:color w:val="auto"/>
              </w:rPr>
            </w:pPr>
          </w:p>
        </w:tc>
        <w:tc>
          <w:tcPr>
            <w:tcW w:w="4800" w:type="dxa"/>
            <w:vAlign w:val="bottom"/>
            <w:gridSpan w:val="2"/>
          </w:tcPr>
          <w:p>
            <w:pPr>
              <w:ind w:left="820"/>
              <w:spacing w:after="0"/>
              <w:rPr>
                <w:sz w:val="20"/>
                <w:szCs w:val="20"/>
                <w:color w:val="auto"/>
              </w:rPr>
            </w:pPr>
            <w:r>
              <w:rPr>
                <w:rFonts w:ascii="Arial" w:cs="Arial" w:eastAsia="Arial" w:hAnsi="Arial"/>
                <w:sz w:val="18"/>
                <w:szCs w:val="18"/>
                <w:color w:val="auto"/>
              </w:rPr>
              <w:t>2018 to holders of record on September 3, 2018.</w:t>
            </w:r>
          </w:p>
        </w:tc>
        <w:tc>
          <w:tcPr>
            <w:tcW w:w="1220" w:type="dxa"/>
            <w:vAlign w:val="bottom"/>
          </w:tcPr>
          <w:p>
            <w:pPr>
              <w:spacing w:after="0"/>
              <w:rPr>
                <w:sz w:val="20"/>
                <w:szCs w:val="20"/>
                <w:color w:val="auto"/>
              </w:rPr>
            </w:pPr>
          </w:p>
        </w:tc>
      </w:tr>
      <w:tr>
        <w:trPr>
          <w:trHeight w:val="249"/>
        </w:trPr>
        <w:tc>
          <w:tcPr>
            <w:tcW w:w="5020" w:type="dxa"/>
            <w:vAlign w:val="bottom"/>
          </w:tcPr>
          <w:p>
            <w:pPr>
              <w:ind w:left="200"/>
              <w:spacing w:after="0"/>
              <w:rPr>
                <w:sz w:val="20"/>
                <w:szCs w:val="20"/>
                <w:color w:val="auto"/>
              </w:rPr>
            </w:pPr>
            <w:r>
              <w:rPr>
                <w:rFonts w:ascii="Arial" w:cs="Arial" w:eastAsia="Arial" w:hAnsi="Arial"/>
                <w:sz w:val="18"/>
                <w:szCs w:val="18"/>
                <w:color w:val="auto"/>
              </w:rPr>
              <w:t>Conflicts of interest</w:t>
            </w:r>
          </w:p>
        </w:tc>
        <w:tc>
          <w:tcPr>
            <w:tcW w:w="6020" w:type="dxa"/>
            <w:vAlign w:val="bottom"/>
            <w:gridSpan w:val="3"/>
          </w:tcPr>
          <w:p>
            <w:pPr>
              <w:ind w:left="820"/>
              <w:spacing w:after="0"/>
              <w:rPr>
                <w:sz w:val="20"/>
                <w:szCs w:val="20"/>
                <w:color w:val="auto"/>
              </w:rPr>
            </w:pPr>
            <w:r>
              <w:rPr>
                <w:rFonts w:ascii="Arial" w:cs="Arial" w:eastAsia="Arial" w:hAnsi="Arial"/>
                <w:sz w:val="18"/>
                <w:szCs w:val="18"/>
                <w:color w:val="auto"/>
              </w:rPr>
              <w:t>One or more underwriters or their affiliates will receive more</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than 5% of the net proceeds of this offering by reason of the</w:t>
            </w:r>
          </w:p>
        </w:tc>
      </w:tr>
      <w:tr>
        <w:trPr>
          <w:trHeight w:val="203"/>
        </w:trPr>
        <w:tc>
          <w:tcPr>
            <w:tcW w:w="5020" w:type="dxa"/>
            <w:vAlign w:val="bottom"/>
          </w:tcPr>
          <w:p>
            <w:pPr>
              <w:spacing w:after="0"/>
              <w:rPr>
                <w:sz w:val="17"/>
                <w:szCs w:val="17"/>
                <w:color w:val="auto"/>
              </w:rPr>
            </w:pPr>
          </w:p>
        </w:tc>
        <w:tc>
          <w:tcPr>
            <w:tcW w:w="602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repayment of a portion of the borrowings outstanding under the</w:t>
            </w:r>
          </w:p>
        </w:tc>
      </w:tr>
      <w:tr>
        <w:trPr>
          <w:trHeight w:val="218"/>
        </w:trPr>
        <w:tc>
          <w:tcPr>
            <w:tcW w:w="502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Second Lien Facility. See “Use of proceeds.” Therefore, this</w:t>
            </w:r>
          </w:p>
        </w:tc>
      </w:tr>
      <w:tr>
        <w:trPr>
          <w:trHeight w:val="363"/>
        </w:trPr>
        <w:tc>
          <w:tcPr>
            <w:tcW w:w="5020" w:type="dxa"/>
            <w:vAlign w:val="bottom"/>
          </w:tcPr>
          <w:p>
            <w:pPr>
              <w:spacing w:after="0"/>
              <w:rPr>
                <w:sz w:val="24"/>
                <w:szCs w:val="24"/>
                <w:color w:val="auto"/>
              </w:rPr>
            </w:pPr>
          </w:p>
        </w:tc>
        <w:tc>
          <w:tcPr>
            <w:tcW w:w="2280" w:type="dxa"/>
            <w:vAlign w:val="bottom"/>
          </w:tcPr>
          <w:p>
            <w:pPr>
              <w:ind w:left="360"/>
              <w:spacing w:after="0"/>
              <w:rPr>
                <w:sz w:val="20"/>
                <w:szCs w:val="20"/>
                <w:color w:val="auto"/>
              </w:rPr>
            </w:pPr>
            <w:r>
              <w:rPr>
                <w:rFonts w:ascii="Arial" w:cs="Arial" w:eastAsia="Arial" w:hAnsi="Arial"/>
                <w:sz w:val="18"/>
                <w:szCs w:val="18"/>
                <w:color w:val="auto"/>
              </w:rPr>
              <w:t>S-7</w:t>
            </w:r>
          </w:p>
        </w:tc>
        <w:tc>
          <w:tcPr>
            <w:tcW w:w="25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240" w:top="455" w:right="4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2645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26454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offering will be conducted in accordance with Rule 5121 of the</w:t>
      </w:r>
    </w:p>
    <w:p>
      <w:pPr>
        <w:spacing w:after="0" w:line="4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Financial Industry Regulatory Authority, Inc., or “FINRA.” See</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“Underwriting (conflicts of interest).”</w:t>
      </w:r>
    </w:p>
    <w:p>
      <w:pPr>
        <w:sectPr>
          <w:pgSz w:w="11900" w:h="16838" w:orient="portrait"/>
          <w:cols w:equalWidth="0" w:num="1">
            <w:col w:w="10900"/>
          </w:cols>
          <w:pgMar w:left="240" w:top="455" w:right="759" w:bottom="1440" w:gutter="0" w:footer="0" w:header="0"/>
        </w:sectPr>
      </w:pPr>
    </w:p>
    <w:p>
      <w:pPr>
        <w:spacing w:after="0" w:line="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See “Risk factors” for a discussion of risks you should carefully consider before deciding to invest in our common stock.</w:t>
      </w:r>
    </w:p>
    <w:p>
      <w:pPr>
        <w:spacing w:after="0" w:line="1" w:lineRule="exact"/>
        <w:rPr>
          <w:sz w:val="20"/>
          <w:szCs w:val="20"/>
          <w:color w:val="auto"/>
        </w:rPr>
      </w:pPr>
    </w:p>
    <w:p>
      <w:pPr>
        <w:sectPr>
          <w:pgSz w:w="11900" w:h="16838" w:orient="portrait"/>
          <w:cols w:equalWidth="0" w:num="2">
            <w:col w:w="5320" w:space="720"/>
            <w:col w:w="4860"/>
          </w:cols>
          <w:pgMar w:left="240" w:top="455" w:right="75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listed on Nasdaq under the symbol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“NNBR”.</w:t>
      </w:r>
    </w:p>
    <w:p>
      <w:pPr>
        <w:spacing w:after="0" w:line="82" w:lineRule="exact"/>
        <w:rPr>
          <w:sz w:val="20"/>
          <w:szCs w:val="20"/>
          <w:color w:val="auto"/>
        </w:rPr>
      </w:pPr>
    </w:p>
    <w:p>
      <w:pPr>
        <w:sectPr>
          <w:pgSz w:w="11900" w:h="16838" w:orient="portrait"/>
          <w:cols w:equalWidth="0" w:num="2">
            <w:col w:w="5320" w:space="720"/>
            <w:col w:w="4860"/>
          </w:cols>
          <w:pgMar w:left="240" w:top="455" w:right="759" w:bottom="1440" w:gutter="0" w:footer="0" w:header="0"/>
          <w:type w:val="continuous"/>
        </w:sectPr>
      </w:pPr>
    </w:p>
    <w:p>
      <w:pPr>
        <w:ind w:left="380" w:right="60"/>
        <w:spacing w:after="0" w:line="252" w:lineRule="auto"/>
        <w:rPr>
          <w:sz w:val="20"/>
          <w:szCs w:val="20"/>
          <w:color w:val="auto"/>
        </w:rPr>
      </w:pPr>
      <w:r>
        <w:rPr>
          <w:rFonts w:ascii="Arial" w:cs="Arial" w:eastAsia="Arial" w:hAnsi="Arial"/>
          <w:sz w:val="18"/>
          <w:szCs w:val="18"/>
          <w:color w:val="auto"/>
        </w:rPr>
        <w:t>Unless otherwise indicated, information in this prospectus supplement and the accompanying prospectus with respect to the number of shares of our common stock to be outstanding immediately after the consummation of this offering is based on 27,729,375 shares of common stock outstanding as of August 31, 2018 and does not reflect:</w:t>
      </w:r>
    </w:p>
    <w:p>
      <w:pPr>
        <w:spacing w:after="0" w:line="77" w:lineRule="exact"/>
        <w:rPr>
          <w:sz w:val="20"/>
          <w:szCs w:val="20"/>
          <w:color w:val="auto"/>
        </w:rPr>
      </w:pPr>
    </w:p>
    <w:p>
      <w:pPr>
        <w:ind w:left="580" w:hanging="19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778,048 shares of common stock issuable upon the exercise of outstanding stock options;</w:t>
      </w:r>
    </w:p>
    <w:p>
      <w:pPr>
        <w:spacing w:after="0" w:line="117" w:lineRule="exact"/>
        <w:rPr>
          <w:rFonts w:ascii="Arial" w:cs="Arial" w:eastAsia="Arial" w:hAnsi="Arial"/>
          <w:sz w:val="18"/>
          <w:szCs w:val="18"/>
          <w:color w:val="auto"/>
        </w:rPr>
      </w:pPr>
    </w:p>
    <w:p>
      <w:pPr>
        <w:ind w:left="580" w:right="320" w:hanging="194"/>
        <w:spacing w:after="0" w:line="26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352,121 additional shares of common stock reserved for issuance pursuant to outstanding equity awards issued under our equity compensation plans; and</w:t>
      </w:r>
    </w:p>
    <w:p>
      <w:pPr>
        <w:spacing w:after="0" w:line="62" w:lineRule="exact"/>
        <w:rPr>
          <w:rFonts w:ascii="Arial" w:cs="Arial" w:eastAsia="Arial" w:hAnsi="Arial"/>
          <w:sz w:val="18"/>
          <w:szCs w:val="18"/>
          <w:color w:val="auto"/>
        </w:rPr>
      </w:pPr>
    </w:p>
    <w:p>
      <w:pPr>
        <w:ind w:left="580" w:hanging="19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1,550,170 shares of common stock available for future awards pursuant to our equity compensation plans.</w:t>
      </w:r>
    </w:p>
    <w:p>
      <w:pPr>
        <w:spacing w:after="0" w:line="104" w:lineRule="exact"/>
        <w:rPr>
          <w:sz w:val="20"/>
          <w:szCs w:val="20"/>
          <w:color w:val="auto"/>
        </w:rPr>
      </w:pPr>
    </w:p>
    <w:p>
      <w:pPr>
        <w:ind w:left="380" w:right="60"/>
        <w:spacing w:after="0" w:line="269" w:lineRule="auto"/>
        <w:rPr>
          <w:sz w:val="20"/>
          <w:szCs w:val="20"/>
          <w:color w:val="auto"/>
        </w:rPr>
      </w:pPr>
      <w:r>
        <w:rPr>
          <w:rFonts w:ascii="Arial" w:cs="Arial" w:eastAsia="Arial" w:hAnsi="Arial"/>
          <w:sz w:val="18"/>
          <w:szCs w:val="18"/>
          <w:color w:val="auto"/>
        </w:rPr>
        <w:t>Unless otherwise indicated, all information in this prospectus supplement assumes that the underwriters will not exercise their option to purchase up to an additional 1,875,000 shares of common stock from us.</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00"/>
          </w:cols>
          <w:pgMar w:left="240" w:top="455" w:right="75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3983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39833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Summary historical financial data</w:t>
      </w:r>
    </w:p>
    <w:p>
      <w:pPr>
        <w:spacing w:after="0" w:line="142" w:lineRule="exact"/>
        <w:rPr>
          <w:sz w:val="20"/>
          <w:szCs w:val="20"/>
          <w:color w:val="auto"/>
        </w:rPr>
      </w:pPr>
    </w:p>
    <w:p>
      <w:pPr>
        <w:ind w:left="380" w:right="40"/>
        <w:spacing w:after="0" w:line="237" w:lineRule="auto"/>
        <w:rPr>
          <w:sz w:val="20"/>
          <w:szCs w:val="20"/>
          <w:color w:val="auto"/>
        </w:rPr>
      </w:pPr>
      <w:r>
        <w:rPr>
          <w:rFonts w:ascii="Arial" w:cs="Arial" w:eastAsia="Arial" w:hAnsi="Arial"/>
          <w:sz w:val="18"/>
          <w:szCs w:val="18"/>
          <w:color w:val="auto"/>
        </w:rPr>
        <w:t>We derived the summary statement of operations data and the summary statement of cash flows data for the fiscal years ended December 31, 2017, 2016 and 2015 and the summary balance sheet data as of December 31, 2017 and 2016 in the summary table below from our audited consolidated financial statements incorporated by reference in this prospectus supplement and the accompanying prospectus. The summary balance sheet data as of December 31, 2015 is derived from our audited consolidated financial statements not included or incorporated by reference, as recasted for discontinued operations and the revisions disclosed within Note 1 in our Annual Report on Form 10-K for the fiscal year ended December 31, 2017, in this prospectus supplement. The summary statement of operations data for the fiscal quarters ended June 30, 2018 and 2017, the summary statements of cash flows data for the six-months ended June 30, 2018 and 2017, and the summary balance sheet data as of June 30, 2018 and 2017 are derived from our unaudited condensed consolidated financial statements incorporated by reference, as recasted for discontinued operations and the revisions disclosed within Note 1 in our Annual Report on Form 10-K for the fiscal year ended December 31, 2017, into this prospectus supplement and the accompanying prospectus. The summary statement of cash flows data for fiscal years ended December 31, 2017, 2016 and 2015 does not include the impacts of our adoption of ASU 2016-15, Statement of Cash Flows (Topic 230): Classification of Certain Cash Receipts and Cash Payments (a consensus of the Emerging Issues Task Force). Our historical results are not necessarily indicative of the results expected for any future period. You should read the summary historical financial data below, together with our audited consolidated financial statements and related notes thereto incorporated by reference in this prospectus supplement and the accompanying prospectus, as well as “Management’s Discussion and Analysis of Financial Condition and Results of Operations” in our Annual Report on Form 10-K for the fiscal year ended December 31, 2017 and Quarterly Report on Form 10-Q for the quarter ended June 30, 2018, each of which is incorporated by reference herein.</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previously discussed, on August 17, 2017, we completed the sale of our PBC Business to TSUBAKI NAKASHIMA, Co., Ltd. for a</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 purchase price of $375.0 million in cash, subject to certain adjustments. After working capital and other closing adjustments, the</w:t>
      </w:r>
    </w:p>
    <w:p>
      <w:pPr>
        <w:ind w:left="380"/>
        <w:spacing w:after="0" w:line="234" w:lineRule="auto"/>
        <w:rPr>
          <w:sz w:val="20"/>
          <w:szCs w:val="20"/>
          <w:color w:val="auto"/>
        </w:rPr>
      </w:pPr>
      <w:r>
        <w:rPr>
          <w:rFonts w:ascii="Arial" w:cs="Arial" w:eastAsia="Arial" w:hAnsi="Arial"/>
          <w:sz w:val="18"/>
          <w:szCs w:val="18"/>
          <w:color w:val="auto"/>
        </w:rPr>
        <w:t>final cash purchase price was approximately $388.5 million. We received cash proceeds at closing of $387.6 million and recorded a</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$0.8 million receivable at December 31, 2017, for the balance. We recorded an after-tax gain on sale of $127.7 million, which is included</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the “Income from discontinued operations, net of tax” line on the consolidated statements of operations and comprehensive income</w:t>
      </w:r>
    </w:p>
    <w:p>
      <w:pPr>
        <w:ind w:left="380"/>
        <w:spacing w:after="0" w:line="234" w:lineRule="auto"/>
        <w:rPr>
          <w:sz w:val="20"/>
          <w:szCs w:val="20"/>
          <w:color w:val="auto"/>
        </w:rPr>
      </w:pPr>
      <w:r>
        <w:rPr>
          <w:rFonts w:ascii="Arial" w:cs="Arial" w:eastAsia="Arial" w:hAnsi="Arial"/>
          <w:sz w:val="18"/>
          <w:szCs w:val="18"/>
          <w:color w:val="auto"/>
        </w:rPr>
        <w:t>(loss) for the year ended December 31, 2017. The gain includes the effects of reclassifying $9.3 million in cumulative foreign currency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translation gain from accumulated comprehensive income and eliminating the non-controlling interest attributable to the PBC Business as</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 August 17, 2017. In accordance with ASC 205-20, Presentation of Financial Statements—Discontinued Operations, the operating</w:t>
      </w:r>
    </w:p>
    <w:p>
      <w:pPr>
        <w:ind w:left="380"/>
        <w:spacing w:after="0"/>
        <w:rPr>
          <w:sz w:val="20"/>
          <w:szCs w:val="20"/>
          <w:color w:val="auto"/>
        </w:rPr>
      </w:pPr>
      <w:r>
        <w:rPr>
          <w:rFonts w:ascii="Arial" w:cs="Arial" w:eastAsia="Arial" w:hAnsi="Arial"/>
          <w:sz w:val="18"/>
          <w:szCs w:val="18"/>
          <w:color w:val="auto"/>
        </w:rPr>
        <w:t>results of our PBC Business are classified as discontinued operations.</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40"/>
          </w:cols>
          <w:pgMar w:left="240" w:top="455" w:right="6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402"/>
        </w:trPr>
        <w:tc>
          <w:tcPr>
            <w:tcW w:w="180" w:type="dxa"/>
            <w:vAlign w:val="bottom"/>
            <w:tcBorders>
              <w:top w:val="single" w:sz="8" w:color="auto"/>
              <w:left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4"/>
          </w:tcPr>
          <w:p>
            <w:pPr>
              <w:jc w:val="right"/>
              <w:ind w:right="360"/>
              <w:spacing w:after="0" w:line="182" w:lineRule="exact"/>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 except per share data)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3300" w:type="dxa"/>
            <w:vAlign w:val="bottom"/>
            <w:tcBorders>
              <w:right w:val="single" w:sz="8" w:color="auto"/>
            </w:tcBorders>
            <w:gridSpan w:val="7"/>
          </w:tcPr>
          <w:p>
            <w:pPr>
              <w:ind w:left="320"/>
              <w:spacing w:after="0"/>
              <w:rPr>
                <w:sz w:val="20"/>
                <w:szCs w:val="20"/>
                <w:color w:val="auto"/>
              </w:rPr>
            </w:pPr>
            <w:r>
              <w:rPr>
                <w:rFonts w:ascii="Arial" w:cs="Arial" w:eastAsia="Arial" w:hAnsi="Arial"/>
                <w:sz w:val="18"/>
                <w:szCs w:val="18"/>
                <w:b w:val="1"/>
                <w:bCs w:val="1"/>
                <w:color w:val="auto"/>
              </w:rPr>
              <w:t>Fiscal year ended December 31,</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left w:val="single" w:sz="8" w:color="auto"/>
            </w:tcBorders>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(audited)</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0" w:type="dxa"/>
            <w:vAlign w:val="bottom"/>
            <w:tcBorders>
              <w:left w:val="single" w:sz="8" w:color="auto"/>
            </w:tcBorders>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Statements of Operations Data: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8"/>
              </w:rPr>
              <w:t>196,349</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157,947</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8"/>
              </w:rPr>
              <w:t>619,793</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584,954</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405,443</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4940" w:type="dxa"/>
            <w:vAlign w:val="bottom"/>
            <w:shd w:val="clear" w:color="auto" w:fill="CCEEFF"/>
          </w:tcPr>
          <w:p>
            <w:pPr>
              <w:ind w:left="220"/>
              <w:spacing w:after="0" w:line="184" w:lineRule="exact"/>
              <w:rPr>
                <w:sz w:val="20"/>
                <w:szCs w:val="20"/>
                <w:color w:val="auto"/>
              </w:rPr>
            </w:pPr>
            <w:r>
              <w:rPr>
                <w:rFonts w:ascii="Arial" w:cs="Arial" w:eastAsia="Arial" w:hAnsi="Arial"/>
                <w:sz w:val="18"/>
                <w:szCs w:val="18"/>
                <w:color w:val="auto"/>
              </w:rPr>
              <w:t>Cost of sales (exclusive of depreciation and amortization</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shown separately below)</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148,640</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114,514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459,080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428,843</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320,632</w:t>
            </w:r>
          </w:p>
        </w:tc>
        <w:tc>
          <w:tcPr>
            <w:tcW w:w="100" w:type="dxa"/>
            <w:vAlign w:val="bottom"/>
            <w:shd w:val="clear" w:color="auto" w:fill="CCEEFF"/>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26,641</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18,004</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74,112</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64,144</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34,873</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4940" w:type="dxa"/>
            <w:vAlign w:val="bottom"/>
            <w:shd w:val="clear" w:color="auto" w:fill="CCEEFF"/>
          </w:tcPr>
          <w:p>
            <w:pPr>
              <w:ind w:left="220"/>
              <w:spacing w:after="0" w:line="184" w:lineRule="exact"/>
              <w:rPr>
                <w:sz w:val="20"/>
                <w:szCs w:val="20"/>
                <w:color w:val="auto"/>
              </w:rPr>
            </w:pPr>
            <w:r>
              <w:rPr>
                <w:rFonts w:ascii="Arial" w:cs="Arial" w:eastAsia="Arial" w:hAnsi="Arial"/>
                <w:sz w:val="18"/>
                <w:szCs w:val="18"/>
                <w:color w:val="auto"/>
              </w:rPr>
              <w:t>Acquisition related costs excluded from selling general</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administrative expense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3,437</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shd w:val="clear" w:color="auto" w:fill="CCEEFF"/>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16,258</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13,051</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52,406</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50,721</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32,973</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operating expense (income)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809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Restructuring and integration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1,591</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386</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5,658</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5,249</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(292)</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12,642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33,114</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34,779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15,988</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12,338</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52,085</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62,870</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29,582</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4940" w:type="dxa"/>
            <w:vAlign w:val="bottom"/>
            <w:shd w:val="clear" w:color="auto" w:fill="CCEEFF"/>
          </w:tcPr>
          <w:p>
            <w:pPr>
              <w:ind w:left="220"/>
              <w:spacing w:after="0" w:line="184" w:lineRule="exact"/>
              <w:rPr>
                <w:sz w:val="20"/>
                <w:szCs w:val="20"/>
                <w:color w:val="auto"/>
              </w:rPr>
            </w:pPr>
            <w:r>
              <w:rPr>
                <w:rFonts w:ascii="Arial" w:cs="Arial" w:eastAsia="Arial" w:hAnsi="Arial"/>
                <w:sz w:val="18"/>
                <w:szCs w:val="18"/>
                <w:color w:val="auto"/>
              </w:rPr>
              <w:t>Loss on extinguishment of debt and write-off of</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unamortized debt issuance costs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12,938</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39,639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42,087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100" w:type="dxa"/>
            <w:vAlign w:val="bottom"/>
            <w:shd w:val="clear" w:color="auto" w:fill="CCEEFF"/>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4940" w:type="dxa"/>
            <w:vAlign w:val="bottom"/>
          </w:tcPr>
          <w:p>
            <w:pPr>
              <w:ind w:left="220"/>
              <w:spacing w:after="0" w:line="184" w:lineRule="exact"/>
              <w:rPr>
                <w:sz w:val="20"/>
                <w:szCs w:val="20"/>
                <w:color w:val="auto"/>
              </w:rPr>
            </w:pPr>
            <w:r>
              <w:rPr>
                <w:rFonts w:ascii="Arial" w:cs="Arial" w:eastAsia="Arial" w:hAnsi="Arial"/>
                <w:sz w:val="18"/>
                <w:szCs w:val="18"/>
                <w:color w:val="auto"/>
              </w:rPr>
              <w:t>Derivative loss (gain) on change in interest rate swap</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2,448</w:t>
            </w:r>
          </w:p>
        </w:tc>
        <w:tc>
          <w:tcPr>
            <w:tcW w:w="300" w:type="dxa"/>
            <w:vAlign w:val="bottom"/>
          </w:tcPr>
          <w:p>
            <w:pPr>
              <w:spacing w:after="0"/>
              <w:rPr>
                <w:sz w:val="19"/>
                <w:szCs w:val="19"/>
                <w:color w:val="auto"/>
              </w:rPr>
            </w:pPr>
          </w:p>
        </w:tc>
        <w:tc>
          <w:tcPr>
            <w:tcW w:w="100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1,887</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(2,084)</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(2,262)</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4940" w:type="dxa"/>
            <w:vAlign w:val="bottom"/>
          </w:tcPr>
          <w:p>
            <w:pPr>
              <w:ind w:left="20"/>
              <w:spacing w:after="0" w:line="184" w:lineRule="exact"/>
              <w:rPr>
                <w:sz w:val="20"/>
                <w:szCs w:val="20"/>
                <w:color w:val="auto"/>
              </w:rPr>
            </w:pPr>
            <w:r>
              <w:rPr>
                <w:rFonts w:ascii="Arial" w:cs="Arial" w:eastAsia="Arial" w:hAnsi="Arial"/>
                <w:sz w:val="18"/>
                <w:szCs w:val="18"/>
                <w:color w:val="auto"/>
              </w:rPr>
              <w:t>Loss from continuing operations before provision (benefit) for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income taxes and share of net income from joint venture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5"/>
              </w:rPr>
              <w:t>(31,105)</w:t>
            </w:r>
          </w:p>
        </w:tc>
        <w:tc>
          <w:tcPr>
            <w:tcW w:w="4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(39,721)</w:t>
            </w:r>
          </w:p>
        </w:tc>
        <w:tc>
          <w:tcPr>
            <w:tcW w:w="12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5"/>
              </w:rPr>
              <w:t>(58,873)</w:t>
            </w:r>
          </w:p>
        </w:tc>
        <w:tc>
          <w:tcPr>
            <w:tcW w:w="2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w w:val="98"/>
              </w:rPr>
              <w:t>(30,866)</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(49,218)</w:t>
            </w:r>
          </w:p>
        </w:tc>
        <w:tc>
          <w:tcPr>
            <w:tcW w:w="1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(5,947)</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5"/>
              </w:rPr>
              <w:t>(12,103)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(79,026)</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(15,438)</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(19,842)</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Share of net income from joint venture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647</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1,244</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5,211</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5,938</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5"/>
              </w:rPr>
              <w:t>(24,511)</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5"/>
              </w:rPr>
              <w:t>(26,374)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25,364</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(9,490)</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(24,375)</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Income (loss) from continuing operations per share, basic</w:t>
            </w:r>
          </w:p>
        </w:tc>
        <w:tc>
          <w:tcPr>
            <w:tcW w:w="3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(0.89)</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(0.96)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0.92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(0.35)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from continuing operations per share, diluted</w:t>
            </w: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(0.89)</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0.91</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S-10</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402"/>
        </w:trPr>
        <w:tc>
          <w:tcPr>
            <w:tcW w:w="180" w:type="dxa"/>
            <w:vAlign w:val="bottom"/>
            <w:tcBorders>
              <w:top w:val="single" w:sz="8" w:color="auto"/>
              <w:left w:val="single" w:sz="8" w:color="auto"/>
            </w:tcBorders>
          </w:tcPr>
          <w:p>
            <w:pPr>
              <w:spacing w:after="0"/>
              <w:rPr>
                <w:sz w:val="24"/>
                <w:szCs w:val="24"/>
                <w:color w:val="auto"/>
              </w:rPr>
            </w:pPr>
          </w:p>
        </w:tc>
        <w:tc>
          <w:tcPr>
            <w:tcW w:w="49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4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180"/>
              <w:spacing w:after="0" w:line="182" w:lineRule="exact"/>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Borders>
              <w:right w:val="single" w:sz="8" w:color="auto"/>
            </w:tcBorders>
            <w:gridSpan w:val="5"/>
          </w:tcPr>
          <w:p>
            <w:pPr>
              <w:jc w:val="right"/>
              <w:ind w:right="320"/>
              <w:spacing w:after="0" w:line="182" w:lineRule="exact"/>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June 30,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00" w:type="dxa"/>
            <w:vAlign w:val="bottom"/>
            <w:tcBorders>
              <w:right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2017</w:t>
            </w:r>
          </w:p>
        </w:tc>
        <w:tc>
          <w:tcPr>
            <w:tcW w:w="940" w:type="dxa"/>
            <w:vAlign w:val="bottom"/>
            <w:tcBorders>
              <w:top w:val="single" w:sz="8" w:color="auto"/>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2016</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5"/>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rPr>
              <w:t>(unaudited)</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(audited)</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80" w:type="dxa"/>
            <w:vAlign w:val="bottom"/>
            <w:tcBorders>
              <w:left w:val="single" w:sz="8" w:color="auto"/>
            </w:tcBorders>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Statement of Cash Flows Data:</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80" w:type="dxa"/>
            <w:vAlign w:val="bottom"/>
            <w:tcBorders>
              <w:left w:val="single" w:sz="8" w:color="auto"/>
            </w:tcBorders>
          </w:tcPr>
          <w:p>
            <w:pPr>
              <w:spacing w:after="0"/>
              <w:rPr>
                <w:sz w:val="3"/>
                <w:szCs w:val="3"/>
                <w:color w:val="auto"/>
              </w:rPr>
            </w:pPr>
          </w:p>
        </w:tc>
        <w:tc>
          <w:tcPr>
            <w:tcW w:w="4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(19,425)</w:t>
            </w:r>
          </w:p>
        </w:tc>
        <w:tc>
          <w:tcPr>
            <w:tcW w:w="20" w:type="dxa"/>
            <w:vAlign w:val="bottom"/>
          </w:tcPr>
          <w:p>
            <w:pPr>
              <w:spacing w:after="0"/>
              <w:rPr>
                <w:sz w:val="17"/>
                <w:szCs w:val="17"/>
                <w:color w:val="auto"/>
              </w:rPr>
            </w:pPr>
          </w:p>
        </w:tc>
        <w:tc>
          <w:tcPr>
            <w:tcW w:w="9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15,765</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(59,818)</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69,352</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33,328</w:t>
            </w:r>
          </w:p>
        </w:tc>
        <w:tc>
          <w:tcPr>
            <w:tcW w:w="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(421,744)</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(20,034)</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282,471</w:t>
            </w: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(41,224)</w:t>
            </w:r>
          </w:p>
        </w:tc>
        <w:tc>
          <w:tcPr>
            <w:tcW w:w="940" w:type="dxa"/>
            <w:vAlign w:val="bottom"/>
            <w:tcBorders>
              <w:righ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(665,838)</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240,736</w:t>
            </w: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8,177</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(14,251)</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(24,481)</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611,620</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 w:type="dxa"/>
            <w:vAlign w:val="bottom"/>
            <w:tcBorders>
              <w:left w:val="single" w:sz="8" w:color="auto"/>
            </w:tcBorders>
          </w:tcPr>
          <w:p>
            <w:pPr>
              <w:spacing w:after="0"/>
              <w:rPr>
                <w:sz w:val="21"/>
                <w:szCs w:val="21"/>
                <w:color w:val="auto"/>
              </w:rPr>
            </w:pPr>
          </w:p>
        </w:tc>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00" w:type="dxa"/>
            <w:vAlign w:val="bottom"/>
            <w:tcBorders>
              <w:right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80" w:type="dxa"/>
            <w:vAlign w:val="bottom"/>
            <w:tcBorders>
              <w:bottom w:val="single" w:sz="8" w:color="auto"/>
            </w:tcBorders>
            <w:vMerge w:val="continue"/>
          </w:tcPr>
          <w:p>
            <w:pPr>
              <w:spacing w:after="0"/>
              <w:rPr>
                <w:sz w:val="17"/>
                <w:szCs w:val="17"/>
                <w:color w:val="auto"/>
              </w:rPr>
            </w:pPr>
          </w:p>
        </w:tc>
        <w:tc>
          <w:tcPr>
            <w:tcW w:w="102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2018</w:t>
            </w:r>
          </w:p>
        </w:tc>
        <w:tc>
          <w:tcPr>
            <w:tcW w:w="10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2016</w:t>
            </w:r>
          </w:p>
        </w:tc>
        <w:tc>
          <w:tcPr>
            <w:tcW w:w="940" w:type="dxa"/>
            <w:vAlign w:val="bottom"/>
            <w:tcBorders>
              <w:top w:val="single" w:sz="8" w:color="auto"/>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2015</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left w:val="single" w:sz="8" w:color="auto"/>
            </w:tcBorders>
          </w:tcPr>
          <w:p>
            <w:pPr>
              <w:spacing w:after="0"/>
              <w:rPr>
                <w:sz w:val="4"/>
                <w:szCs w:val="4"/>
                <w:color w:val="auto"/>
              </w:rPr>
            </w:pPr>
          </w:p>
        </w:tc>
        <w:tc>
          <w:tcPr>
            <w:tcW w:w="4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(unaudited)</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(audited)</w:t>
            </w:r>
          </w:p>
        </w:tc>
        <w:tc>
          <w:tcPr>
            <w:tcW w:w="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0" w:type="dxa"/>
            <w:vAlign w:val="bottom"/>
            <w:tcBorders>
              <w:left w:val="single" w:sz="8" w:color="auto"/>
            </w:tcBorders>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w:t>
            </w: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23,207</w:t>
            </w:r>
          </w:p>
        </w:tc>
        <w:tc>
          <w:tcPr>
            <w:tcW w:w="10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7,075</w:t>
            </w:r>
          </w:p>
        </w:tc>
        <w:tc>
          <w:tcPr>
            <w:tcW w:w="11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224,446</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6,271</w:t>
            </w: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15,087</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Total assets</w:t>
            </w: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1,761,084</w:t>
            </w:r>
          </w:p>
        </w:tc>
        <w:tc>
          <w:tcPr>
            <w:tcW w:w="10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1,406,709</w:t>
            </w:r>
          </w:p>
        </w:tc>
        <w:tc>
          <w:tcPr>
            <w:tcW w:w="1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1,475,003</w:t>
            </w:r>
          </w:p>
        </w:tc>
        <w:tc>
          <w:tcPr>
            <w:tcW w:w="144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1,358,274</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1,388,337</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liabilities</w:t>
            </w: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1,317,770</w:t>
            </w:r>
          </w:p>
        </w:tc>
        <w:tc>
          <w:tcPr>
            <w:tcW w:w="10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1,095,251</w:t>
            </w:r>
          </w:p>
        </w:tc>
        <w:tc>
          <w:tcPr>
            <w:tcW w:w="11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988,899</w:t>
            </w:r>
          </w:p>
        </w:tc>
        <w:tc>
          <w:tcPr>
            <w:tcW w:w="144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1,048,883</w:t>
            </w: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1,075,906</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bottom w:val="single" w:sz="8" w:color="auto"/>
            </w:tcBorders>
          </w:tcPr>
          <w:p>
            <w:pPr>
              <w:spacing w:after="0"/>
              <w:rPr>
                <w:sz w:val="19"/>
                <w:szCs w:val="19"/>
                <w:color w:val="auto"/>
              </w:rPr>
            </w:pPr>
          </w:p>
        </w:tc>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443,314</w:t>
            </w: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311,458</w:t>
            </w: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486,104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5"/>
              </w:rPr>
              <w:t>309,391</w:t>
            </w: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312,431</w:t>
            </w:r>
          </w:p>
        </w:tc>
        <w:tc>
          <w:tcPr>
            <w:tcW w:w="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S-11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Risk factors</w:t>
      </w:r>
    </w:p>
    <w:p>
      <w:pPr>
        <w:spacing w:after="0" w:line="144" w:lineRule="exact"/>
        <w:rPr>
          <w:sz w:val="20"/>
          <w:szCs w:val="20"/>
          <w:color w:val="auto"/>
        </w:rPr>
      </w:pPr>
    </w:p>
    <w:p>
      <w:pPr>
        <w:ind w:left="200" w:right="200"/>
        <w:spacing w:after="0" w:line="242" w:lineRule="auto"/>
        <w:rPr>
          <w:sz w:val="20"/>
          <w:szCs w:val="20"/>
          <w:color w:val="auto"/>
        </w:rPr>
      </w:pPr>
      <w:r>
        <w:rPr>
          <w:rFonts w:ascii="Arial" w:cs="Arial" w:eastAsia="Arial" w:hAnsi="Arial"/>
          <w:sz w:val="18"/>
          <w:szCs w:val="18"/>
          <w:i w:val="1"/>
          <w:iCs w:val="1"/>
          <w:color w:val="auto"/>
        </w:rPr>
        <w:t>Investing in our common stock involves risks. You should carefully consider the risks and uncertainties described below as well as those contained in our Annual Report on Form 10-K for the fiscal year ended December 31, 2017, including our consolidated financial statements and the related notes, which are incorporated by reference into this prospectus supplement and the accompanying prospectus. These risks could materially affect our business, results of operations or financial condition and cause the value of our common stock to decline. You could lose all or part of your investment.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the acquisition</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realize the growth opportunities, operational synergies and other benefits that are anticipated from the Acquisition.</w:t>
      </w:r>
    </w:p>
    <w:p>
      <w:pPr>
        <w:spacing w:after="0" w:line="10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benefits that are expected to result from the Acquisition will depend, in part, on our ability to realize the growth opportunities and operational synergies we anticipate from the Acquisition. Our success in realizing these growth opportunities and operational synergies, and the timing of this realization, depends, in part, on the successful integration of Paragon. Even if we are able to integrate Paragon successfully, this integration may not result in the realization of the full benefits of the growth opportunities and operational synergies that we currently expect, nor can we give assurances that these benefits will be achieved when expected or at all. For example, we may not be able to eliminate duplicative costs. Moreover, we also expect to incur expenses in connection with the integration of Paragon. While it is anticipated that certain expenses will be incurred to achieve operational synergies, such expenses are difficult to estimate accurately, and may exceed current estimates. Accordingly, the benefits from the Acquisition may be offset by costs incurred or delays in integrating the businesses. In addition, the integration of Paragon may result in material unanticipated problems, expenses, liabilities, regulatory risks, competitive responses, and diversion of management’s attention.</w:t>
      </w:r>
    </w:p>
    <w:p>
      <w:pPr>
        <w:spacing w:after="0" w:line="81" w:lineRule="exact"/>
        <w:rPr>
          <w:sz w:val="20"/>
          <w:szCs w:val="20"/>
          <w:color w:val="auto"/>
        </w:rPr>
      </w:pPr>
    </w:p>
    <w:p>
      <w:pPr>
        <w:ind w:left="200" w:right="100"/>
        <w:spacing w:after="0" w:line="269" w:lineRule="auto"/>
        <w:rPr>
          <w:sz w:val="20"/>
          <w:szCs w:val="20"/>
          <w:color w:val="auto"/>
        </w:rPr>
      </w:pPr>
      <w:r>
        <w:rPr>
          <w:rFonts w:ascii="Arial" w:cs="Arial" w:eastAsia="Arial" w:hAnsi="Arial"/>
          <w:sz w:val="18"/>
          <w:szCs w:val="18"/>
          <w:color w:val="auto"/>
        </w:rPr>
        <w:t>The following factors, among others, may negatively affect the anticipated benefits of the Acquisition and our ability to integrate Paragon into our operations:</w:t>
      </w:r>
    </w:p>
    <w:p>
      <w:pPr>
        <w:spacing w:after="0" w:line="63" w:lineRule="exact"/>
        <w:rPr>
          <w:sz w:val="20"/>
          <w:szCs w:val="20"/>
          <w:color w:val="auto"/>
        </w:rPr>
      </w:pPr>
    </w:p>
    <w:p>
      <w:pPr>
        <w:ind w:left="420" w:hanging="2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may be in excess of the value of the business;</w:t>
      </w:r>
    </w:p>
    <w:p>
      <w:pPr>
        <w:spacing w:after="0" w:line="17" w:lineRule="exact"/>
        <w:rPr>
          <w:rFonts w:ascii="Arial" w:cs="Arial" w:eastAsia="Arial" w:hAnsi="Arial"/>
          <w:sz w:val="18"/>
          <w:szCs w:val="18"/>
          <w:color w:val="auto"/>
        </w:rPr>
      </w:pP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than expected growth of Paragon’s market share;</w:t>
      </w: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realize expected revenue and cost synergies, tax benefits, margins of scale and cross-selling opportunities;</w:t>
      </w: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the customers of each business;</w:t>
      </w: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integration of Paragon’s accounting and operating systems with our own; and</w:t>
      </w:r>
    </w:p>
    <w:p>
      <w:pPr>
        <w:ind w:left="420" w:hanging="2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assumed contingent liabilities of Paragon.</w:t>
      </w:r>
    </w:p>
    <w:p>
      <w:pPr>
        <w:spacing w:after="0" w:line="82" w:lineRule="exact"/>
        <w:rPr>
          <w:sz w:val="20"/>
          <w:szCs w:val="20"/>
          <w:color w:val="auto"/>
        </w:rPr>
      </w:pPr>
    </w:p>
    <w:p>
      <w:pPr>
        <w:ind w:left="200" w:right="120"/>
        <w:spacing w:after="0" w:line="278" w:lineRule="auto"/>
        <w:rPr>
          <w:sz w:val="20"/>
          <w:szCs w:val="20"/>
          <w:color w:val="auto"/>
        </w:rPr>
      </w:pPr>
      <w:r>
        <w:rPr>
          <w:rFonts w:ascii="Arial" w:cs="Arial" w:eastAsia="Arial" w:hAnsi="Arial"/>
          <w:sz w:val="18"/>
          <w:szCs w:val="18"/>
          <w:b w:val="1"/>
          <w:bCs w:val="1"/>
          <w:i w:val="1"/>
          <w:iCs w:val="1"/>
          <w:color w:val="auto"/>
        </w:rPr>
        <w:t>The integration of Paragon could adversely affect our business, financial results, and operations and the market price of shares of our common stock.</w:t>
      </w:r>
    </w:p>
    <w:p>
      <w:pPr>
        <w:spacing w:after="0" w:line="34"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The integration of Paragon could cause disruptions and create uncertainty surrounding our business and affect our relationships with our customers and employees. In addition, we have diverted, and will continue to divert, significant management resources to complete the work associated with the Acquisition, which could have a negative impact on our ability to manage existing operations or pursue alternative strategic transactions, which could adversely affect our business, financial condition and results of operations. As a result of investor perceptions about the terms or benefits of the Acquisition, the market price of shares of our common stock may decline.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this offering and ownership of our common stock</w:t>
      </w:r>
    </w:p>
    <w:p>
      <w:pPr>
        <w:spacing w:after="0" w:line="116" w:lineRule="exact"/>
        <w:rPr>
          <w:sz w:val="20"/>
          <w:szCs w:val="20"/>
          <w:color w:val="auto"/>
        </w:rPr>
      </w:pPr>
    </w:p>
    <w:p>
      <w:pPr>
        <w:ind w:left="200" w:right="660"/>
        <w:spacing w:after="0" w:line="278" w:lineRule="auto"/>
        <w:rPr>
          <w:sz w:val="20"/>
          <w:szCs w:val="20"/>
          <w:color w:val="auto"/>
        </w:rPr>
      </w:pPr>
      <w:r>
        <w:rPr>
          <w:rFonts w:ascii="Arial" w:cs="Arial" w:eastAsia="Arial" w:hAnsi="Arial"/>
          <w:sz w:val="18"/>
          <w:szCs w:val="18"/>
          <w:b w:val="1"/>
          <w:bCs w:val="1"/>
          <w:i w:val="1"/>
          <w:iCs w:val="1"/>
          <w:color w:val="auto"/>
        </w:rPr>
        <w:t>Management will have broad discretion over the use of the remaining net proceeds from this offering and may apply the net proceeds in ways that do not improve our operating results or increase the value of your investment.</w:t>
      </w:r>
    </w:p>
    <w:p>
      <w:pPr>
        <w:spacing w:after="0" w:line="34"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We intend to use the net proceeds from this offering to repay a portion of the debt financing that was provided in connection with the Acquisition. Our management will have broad discretion in the application of any remaining net proceeds from this offering and could spend such net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04" w:lineRule="exact"/>
        <w:rPr>
          <w:sz w:val="20"/>
          <w:szCs w:val="20"/>
          <w:color w:val="auto"/>
        </w:rPr>
      </w:pPr>
    </w:p>
    <w:p>
      <w:pPr>
        <w:ind w:left="200" w:right="260"/>
        <w:spacing w:after="0" w:line="269" w:lineRule="auto"/>
        <w:rPr>
          <w:sz w:val="20"/>
          <w:szCs w:val="20"/>
          <w:color w:val="auto"/>
        </w:rPr>
      </w:pPr>
      <w:r>
        <w:rPr>
          <w:rFonts w:ascii="Arial" w:cs="Arial" w:eastAsia="Arial" w:hAnsi="Arial"/>
          <w:sz w:val="18"/>
          <w:szCs w:val="18"/>
          <w:color w:val="auto"/>
        </w:rPr>
        <w:t>The market price of our common stock could be subject to significant fluctuations and may decline. Among the factors that could affect our stock price are:</w:t>
      </w:r>
    </w:p>
    <w:p>
      <w:pPr>
        <w:spacing w:after="0" w:line="63" w:lineRule="exact"/>
        <w:rPr>
          <w:sz w:val="20"/>
          <w:szCs w:val="20"/>
          <w:color w:val="auto"/>
        </w:rPr>
      </w:pPr>
    </w:p>
    <w:p>
      <w:pPr>
        <w:ind w:left="420" w:hanging="2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17" w:lineRule="exact"/>
        <w:rPr>
          <w:rFonts w:ascii="Arial" w:cs="Arial" w:eastAsia="Arial" w:hAnsi="Arial"/>
          <w:sz w:val="18"/>
          <w:szCs w:val="18"/>
          <w:color w:val="auto"/>
        </w:rPr>
      </w:pP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unknown or threatened investigations, proceedings or litigation that involve or affect us;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 major customer; and</w:t>
      </w:r>
    </w:p>
    <w:p>
      <w:pPr>
        <w:ind w:left="420" w:hanging="2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82"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You may not be able to sell your shares of our common stock at or above the public offering price, or at all. In addition, due to the market capitalization of our stock, our stock tends to be more volatile than large capitalization stocks that comprise the Dow Jones Industrial Average or Standard and Poor’s 500 Index. Any volatility of or a significant decrease in the market price of our common stock could also negatively affect our ability to make acquisitions using our common stock.</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able to issue shares of preferred stock with greater rights than our common stock.</w:t>
      </w:r>
    </w:p>
    <w:p>
      <w:pPr>
        <w:spacing w:after="0" w:line="104"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Our Board of Directors is authorized to issue one or more series of preferred stock from time to time without any action on the part of our stockholders. Our Board of Directors also has the power, without stockholder approval, to set the terms of any such series of preferred stock that may be issued, including voting rights, dividend rights and preferences over our common stock with respect to dividends and other terms. If we issue preferred stock in the future that has a preference over our common stock with respect to the payment of dividends or other terms, or if we issue preferred stock with voting rights that dilute the voting power of our common stock, the rights of holders of our common stock or the market price of our common stock could be adversely affected.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80"/>
          </w:cols>
          <w:pgMar w:left="240" w:top="455" w:right="4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our common and preferred stock may depress the price of our common stock.</w:t>
      </w:r>
    </w:p>
    <w:p>
      <w:pPr>
        <w:spacing w:after="0" w:line="10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 of August 31, 2018, there were 27,729,375 shares of our common stock outstanding, 778,048 shares of common stock issuable upon the exercise of outstanding stock options, and an additional 352,121 shares of our common stock that may be issued in connection with outstanding equity awards held by management, other employees and directors. As of August 31, 2018, 1,550,170 shares of our common stock were available for future awards pursuant to our equity compensation plans without stockholder approval. We also have the authority to issue up to 5,000,000 shares of preferred stock upon terms that are determined by our Board of Directors. In addition, in 2017, we registered with the SEC the potential issuance of debt securities, shares of preferred stock, shares of common stock, warrants and units of the Company in an amount up to $400,000,000 on a registration statement on Form S-3 (which amount includes the shares of common stock that may be issued and sold pursuant to this offering). These securities, if issued, may be used for working capital and general corporate purposes, or used in future acquisitions, subject to the covenants of any existing and future outstanding indebtedness. Sales of a substantial number of these securities in the public market, or factors relating to the terms we may determine for our common stock, preferred stock, debt securities, warrants, units and options, could decrease the market price of our common stock. In addition, the perception that such sales might occur may cause the market price of our common stock to decline. Future issuances or sales of our common stock could have an adverse effect on the market price of our common stock or make it more difficult for you to sell your shares of our common stock at a time and price that you deem appropriate.</w:t>
      </w:r>
    </w:p>
    <w:p>
      <w:pPr>
        <w:spacing w:after="0" w:line="83" w:lineRule="exact"/>
        <w:rPr>
          <w:sz w:val="20"/>
          <w:szCs w:val="20"/>
          <w:color w:val="auto"/>
        </w:rPr>
      </w:pPr>
    </w:p>
    <w:p>
      <w:pPr>
        <w:jc w:val="both"/>
        <w:ind w:left="200" w:right="100"/>
        <w:spacing w:after="0" w:line="243" w:lineRule="auto"/>
        <w:rPr>
          <w:sz w:val="20"/>
          <w:szCs w:val="20"/>
          <w:color w:val="auto"/>
        </w:rPr>
      </w:pPr>
      <w:r>
        <w:rPr>
          <w:rFonts w:ascii="Arial" w:cs="Arial" w:eastAsia="Arial" w:hAnsi="Arial"/>
          <w:sz w:val="18"/>
          <w:szCs w:val="18"/>
          <w:color w:val="auto"/>
        </w:rPr>
        <w:t>In addition, as described under the caption “Underwriting (conflicts of interest),” our directors and executive officers have agreed, subject to certain exceptions, not to offer, sell or contract to sell, directly or indirectly, any shares of our common stock for a period of 90 days from the date of this prospectus supplement. Sales of a substantial number of such shares upon expiration of such period, or the perception that such sales might occur, could have an adverse effect on the market price of our common stock or make it more difficult for you to sell your shares of our common stock at a time and price that you deem appropriate.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104" w:lineRule="exact"/>
        <w:rPr>
          <w:sz w:val="20"/>
          <w:szCs w:val="20"/>
          <w:color w:val="auto"/>
        </w:rPr>
      </w:pPr>
    </w:p>
    <w:p>
      <w:pPr>
        <w:ind w:left="200" w:right="380"/>
        <w:spacing w:after="0" w:line="252" w:lineRule="auto"/>
        <w:rPr>
          <w:sz w:val="20"/>
          <w:szCs w:val="20"/>
          <w:color w:val="auto"/>
        </w:rPr>
      </w:pPr>
      <w:r>
        <w:rPr>
          <w:rFonts w:ascii="Arial" w:cs="Arial" w:eastAsia="Arial" w:hAnsi="Arial"/>
          <w:sz w:val="18"/>
          <w:szCs w:val="18"/>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64" w:lineRule="exact"/>
        <w:rPr>
          <w:sz w:val="20"/>
          <w:szCs w:val="20"/>
          <w:color w:val="auto"/>
        </w:rPr>
      </w:pPr>
    </w:p>
    <w:p>
      <w:pPr>
        <w:ind w:left="200" w:right="700"/>
        <w:spacing w:after="0" w:line="278" w:lineRule="auto"/>
        <w:rPr>
          <w:sz w:val="20"/>
          <w:szCs w:val="20"/>
          <w:color w:val="auto"/>
        </w:rPr>
      </w:pPr>
      <w:r>
        <w:rPr>
          <w:rFonts w:ascii="Arial" w:cs="Arial" w:eastAsia="Arial" w:hAnsi="Arial"/>
          <w:sz w:val="18"/>
          <w:szCs w:val="18"/>
          <w:b w:val="1"/>
          <w:bCs w:val="1"/>
          <w:i w:val="1"/>
          <w:iCs w:val="1"/>
          <w:color w:val="auto"/>
        </w:rPr>
        <w:t>Provisions in our charter documents and Delaware law may inhibit a takeover, which could adversely affect the value of our common stock.</w:t>
      </w:r>
    </w:p>
    <w:p>
      <w:pPr>
        <w:spacing w:after="0" w:line="34" w:lineRule="exact"/>
        <w:rPr>
          <w:sz w:val="20"/>
          <w:szCs w:val="20"/>
          <w:color w:val="auto"/>
        </w:rPr>
      </w:pPr>
    </w:p>
    <w:p>
      <w:pPr>
        <w:ind w:left="200" w:right="60"/>
        <w:spacing w:after="0" w:line="243" w:lineRule="auto"/>
        <w:rPr>
          <w:sz w:val="20"/>
          <w:szCs w:val="20"/>
          <w:color w:val="auto"/>
        </w:rPr>
      </w:pPr>
      <w:r>
        <w:rPr>
          <w:rFonts w:ascii="Arial" w:cs="Arial" w:eastAsia="Arial" w:hAnsi="Arial"/>
          <w:sz w:val="18"/>
          <w:szCs w:val="18"/>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73" w:lineRule="exact"/>
        <w:rPr>
          <w:sz w:val="20"/>
          <w:szCs w:val="20"/>
          <w:color w:val="auto"/>
        </w:rPr>
      </w:pPr>
    </w:p>
    <w:p>
      <w:pPr>
        <w:ind w:left="200" w:right="100"/>
        <w:spacing w:after="0" w:line="243"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 These provisions apply even if the offer may be considered beneficial by some of our stockholders. If a change of control or change in management is delayed or prevented, the market price of our common stock could decline.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240" w:top="455" w:right="5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Cautionary statement regarding forward-looking statements</w:t>
      </w:r>
    </w:p>
    <w:p>
      <w:pPr>
        <w:spacing w:after="0" w:line="142"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This prospectus supplement and the accompanying prospectus contain or incorporate by reference “forward-looking statements” within the meaning of Section 27A of the Securities Act of 1933, as amended (the “Securities Act”), Section 21E of the Securities Exchange Act of 1934, as amended (the “Exchange Act”), and the Private Securities Litigation Reform Act of 1995, that reflect our current views with respect to, among other things, our operations and financial performance. These forward-looking statements include statements concerning our plans, objectives, goals, strategies, future events, future revenue or performance, capital expenditures, financing needs, plans or intentions relating to acquisitions, business trends, and other information that is not historical information and, in particular, appear under “Business,” “Risk Factors” and “Management’s Discussion and Analysis of Financial Condition and Results of Operations.” Forward-looking statements include all statements that are not historical facts. In some cases, you can identify these forward-looking statements by the use of words such as “outlook,” “believes,” “expects,” “potential,” “continues,” “may,” “will,” “should,” “could,” “seeks,” “predicts,” “intends,” “plans,” “estimates,” “anticipates,” “projects,” “forecasts” or the negative version of these words or other comparable words. All forward-looking statements, including, without limitation, management’s examination of historical operating trends and data are based upon our current expectations and various assumptions. Our expectations, beliefs, and projections are expressed in good faith and we believe there is a reasonable basis for them. However, we cannot assure you that these expectations, beliefs and projections will be achieved. Forward-looking statements are not guarantees of future performance and are subject to significant risks and uncertainties that may cause actual outcomes, results or achievements to be materially different from the future results or achievements expressed or implied by the forward-looking statements. Factors that could materially affect actual results include, but are not limited to: general economic conditions and economic conditions in the industrial sector, inventory levels, regulatory compliance costs and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our source(s) of financing, the future performance and prospects of an acquired business, the expected benefits of an acquisition on our future business and operations and our ability to successfully integrate recently acquired businesses.</w:t>
      </w:r>
    </w:p>
    <w:p>
      <w:pPr>
        <w:spacing w:after="0" w:line="200" w:lineRule="exact"/>
        <w:rPr>
          <w:sz w:val="20"/>
          <w:szCs w:val="20"/>
          <w:color w:val="auto"/>
        </w:rPr>
      </w:pPr>
    </w:p>
    <w:p>
      <w:pPr>
        <w:spacing w:after="0" w:line="267"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or incorporated by reference in this prospectus supplement and the accompanying prospectus. We operate in a very competitive and challenging environment. New risks and uncertainties emerge from time to time, and it is not possible for us to predict all risks and uncertainties that could have an impact on the forward-looking statements contained or incorporated by reference in this prospectus supplement and the accompanying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7"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The forward-looking statements made or incorporated by reference in this prospectus supplement and the accompanying prospectus relate only to events as of the date on which the statements are made. We undertake no obligation to publicly update or review any forward-looking statement, whether as a result of new information, future developments or otherwise, except as required by law. We may not actually achieve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200"/>
        <w:spacing w:after="0" w:line="252" w:lineRule="auto"/>
        <w:rPr>
          <w:sz w:val="20"/>
          <w:szCs w:val="20"/>
          <w:color w:val="auto"/>
        </w:rPr>
      </w:pPr>
      <w:r>
        <w:rPr>
          <w:rFonts w:ascii="Arial" w:cs="Arial" w:eastAsia="Arial" w:hAnsi="Arial"/>
          <w:sz w:val="18"/>
          <w:szCs w:val="18"/>
          <w:color w:val="auto"/>
        </w:rPr>
        <w:t>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w:t>
      </w:r>
    </w:p>
    <w:p>
      <w:pPr>
        <w:spacing w:after="0" w:line="64" w:lineRule="exact"/>
        <w:rPr>
          <w:sz w:val="20"/>
          <w:szCs w:val="20"/>
          <w:color w:val="auto"/>
        </w:rPr>
      </w:pPr>
    </w:p>
    <w:p>
      <w:pPr>
        <w:ind w:left="200" w:right="120"/>
        <w:spacing w:after="0" w:line="252"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this prospectus supplement as well as in our Annual Report on Form 10-K for the fiscal year ended December 31, 2017 and our other reports on file with the SEC.</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Use of proceeds</w:t>
      </w:r>
    </w:p>
    <w:p>
      <w:pPr>
        <w:spacing w:after="0" w:line="142" w:lineRule="exact"/>
        <w:rPr>
          <w:sz w:val="20"/>
          <w:szCs w:val="20"/>
          <w:color w:val="auto"/>
        </w:rPr>
      </w:pPr>
    </w:p>
    <w:p>
      <w:pPr>
        <w:jc w:val="both"/>
        <w:ind w:left="200" w:right="780"/>
        <w:spacing w:after="0" w:line="252" w:lineRule="auto"/>
        <w:rPr>
          <w:sz w:val="20"/>
          <w:szCs w:val="20"/>
          <w:color w:val="auto"/>
        </w:rPr>
      </w:pPr>
      <w:r>
        <w:rPr>
          <w:rFonts w:ascii="Arial" w:cs="Arial" w:eastAsia="Arial" w:hAnsi="Arial"/>
          <w:sz w:val="18"/>
          <w:szCs w:val="18"/>
          <w:color w:val="auto"/>
        </w:rPr>
        <w:t>We estimate the net proceeds to us from the offering to be approximately $ million (approximately $ million if the underwriters exercise their option to purchase additional shares of common stock), after deducting the underwriting discount and our estimated offering expenses.</w:t>
      </w:r>
    </w:p>
    <w:p>
      <w:pPr>
        <w:spacing w:after="0" w:line="64" w:lineRule="exact"/>
        <w:rPr>
          <w:sz w:val="20"/>
          <w:szCs w:val="20"/>
          <w:color w:val="auto"/>
        </w:rPr>
      </w:pPr>
    </w:p>
    <w:p>
      <w:pPr>
        <w:ind w:left="200" w:right="460"/>
        <w:spacing w:after="0" w:line="269" w:lineRule="auto"/>
        <w:rPr>
          <w:sz w:val="20"/>
          <w:szCs w:val="20"/>
          <w:color w:val="auto"/>
        </w:rPr>
      </w:pPr>
      <w:r>
        <w:rPr>
          <w:rFonts w:ascii="Arial" w:cs="Arial" w:eastAsia="Arial" w:hAnsi="Arial"/>
          <w:sz w:val="18"/>
          <w:szCs w:val="18"/>
          <w:color w:val="auto"/>
        </w:rPr>
        <w:t>We intend to use the net proceeds from this offering to repay the Second Lien Facility and the remaining net proceeds, if any, for general corporate purposes.</w:t>
      </w:r>
    </w:p>
    <w:p>
      <w:pPr>
        <w:spacing w:after="0" w:line="49"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As of August 31, 2018, approximately $200 million of borrowings were outstanding under the Second Lien Facility, which bears interest at a variable interest rate, which as of August 31, 2018, was 10.1% per annum, and matures on April 19, 2023. Borrowings under the Second Lien Facility were used to pay a portion of the purchase price of the Acquisition. Pending application of the net proceeds for the purposes described above, we may temporarily invest the net proceeds in short term securities.</w:t>
      </w:r>
    </w:p>
    <w:p>
      <w:pPr>
        <w:spacing w:after="0" w:line="70" w:lineRule="exact"/>
        <w:rPr>
          <w:sz w:val="20"/>
          <w:szCs w:val="20"/>
          <w:color w:val="auto"/>
        </w:rPr>
      </w:pPr>
    </w:p>
    <w:p>
      <w:pPr>
        <w:ind w:left="200" w:right="320"/>
        <w:spacing w:after="0" w:line="252" w:lineRule="auto"/>
        <w:rPr>
          <w:sz w:val="20"/>
          <w:szCs w:val="20"/>
          <w:color w:val="auto"/>
        </w:rPr>
      </w:pPr>
      <w:r>
        <w:rPr>
          <w:rFonts w:ascii="Arial" w:cs="Arial" w:eastAsia="Arial" w:hAnsi="Arial"/>
          <w:sz w:val="18"/>
          <w:szCs w:val="18"/>
          <w:color w:val="auto"/>
        </w:rPr>
        <w:t>Affiliates of some or all of the underwriters participating in this offering are lenders under the Second Lien Facility and, accordingly, such affiliates will receive a portion of the net proceeds of this offering through the repayment of borrowings under the Second Lien Facility. See “Underwriting (conflicts of interest).”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Market price of common stock</w:t>
      </w:r>
    </w:p>
    <w:p>
      <w:pPr>
        <w:spacing w:after="0" w:line="142" w:lineRule="exact"/>
        <w:rPr>
          <w:sz w:val="20"/>
          <w:szCs w:val="20"/>
          <w:color w:val="auto"/>
        </w:rPr>
      </w:pPr>
    </w:p>
    <w:p>
      <w:pPr>
        <w:ind w:left="200" w:right="360"/>
        <w:spacing w:after="0" w:line="269" w:lineRule="auto"/>
        <w:rPr>
          <w:sz w:val="20"/>
          <w:szCs w:val="20"/>
          <w:color w:val="auto"/>
        </w:rPr>
      </w:pPr>
      <w:r>
        <w:rPr>
          <w:rFonts w:ascii="Arial" w:cs="Arial" w:eastAsia="Arial" w:hAnsi="Arial"/>
          <w:sz w:val="18"/>
          <w:szCs w:val="18"/>
          <w:color w:val="auto"/>
        </w:rPr>
        <w:t>Our common stock is traded on The Nasdaq Global Select Market under the symbol “NNBR.” The following table sets forth for the periods indicated the high and low intra-day sale prices per share of our common stock as reported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52070</wp:posOffset>
            </wp:positionV>
            <wp:extent cx="69977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High</w:t>
            </w: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jc w:val="right"/>
              <w:ind w:right="8672"/>
              <w:spacing w:after="0" w:line="202" w:lineRule="exact"/>
              <w:rPr>
                <w:sz w:val="20"/>
                <w:szCs w:val="20"/>
                <w:color w:val="auto"/>
              </w:rPr>
            </w:pPr>
            <w:r>
              <w:rPr>
                <w:rFonts w:ascii="Arial" w:cs="Arial" w:eastAsia="Arial" w:hAnsi="Arial"/>
                <w:sz w:val="18"/>
                <w:szCs w:val="18"/>
                <w:b w:val="1"/>
                <w:bCs w:val="1"/>
                <w:color w:val="auto"/>
                <w:w w:val="89"/>
              </w:rPr>
              <w:t>2016</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First Quarter 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$16.06</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$10.34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$19.30</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Third Quarter 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$19.00</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$20.39</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160" w:type="dxa"/>
            <w:vAlign w:val="bottom"/>
            <w:gridSpan w:val="2"/>
          </w:tcPr>
          <w:p>
            <w:pPr>
              <w:jc w:val="right"/>
              <w:ind w:right="8672"/>
              <w:spacing w:after="0"/>
              <w:rPr>
                <w:sz w:val="20"/>
                <w:szCs w:val="20"/>
                <w:color w:val="auto"/>
              </w:rPr>
            </w:pPr>
            <w:r>
              <w:rPr>
                <w:rFonts w:ascii="Arial" w:cs="Arial" w:eastAsia="Arial" w:hAnsi="Arial"/>
                <w:sz w:val="18"/>
                <w:szCs w:val="18"/>
                <w:b w:val="1"/>
                <w:bCs w:val="1"/>
                <w:color w:val="auto"/>
                <w:w w:val="94"/>
              </w:rPr>
              <w:t>2017</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$25.75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Second Quarter 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$31.65</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$24.55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$30.85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Fourth Quarter 2017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$32.90</w:t>
            </w: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jc w:val="right"/>
              <w:ind w:right="8672"/>
              <w:spacing w:after="0" w:line="202" w:lineRule="exact"/>
              <w:rPr>
                <w:sz w:val="20"/>
                <w:szCs w:val="20"/>
                <w:color w:val="auto"/>
              </w:rPr>
            </w:pPr>
            <w:r>
              <w:rPr>
                <w:rFonts w:ascii="Arial" w:cs="Arial" w:eastAsia="Arial" w:hAnsi="Arial"/>
                <w:sz w:val="18"/>
                <w:szCs w:val="18"/>
                <w:b w:val="1"/>
                <w:bCs w:val="1"/>
                <w:color w:val="auto"/>
                <w:w w:val="89"/>
              </w:rPr>
              <w:t>2018</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First Quarter 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$29.50</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Third Quarter 2018 (through September 7, 2018)</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22.15</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On September 7, 2018, the last reported sale price of our common stock on Nasdaq was $19.95 per share. As of August 31, 2018, we had 60 holders of record of our common stock. The actual number of holders of common stock is greater than this number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240" w:top="455" w:right="4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Dividend policy</w:t>
      </w:r>
    </w:p>
    <w:p>
      <w:pPr>
        <w:spacing w:after="0" w:line="142"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auto"/>
        </w:rPr>
        <w:t>The holders of our common stock are entitled to receive dividends when and if declared by the Board of Directors out of legally available funds. The declaration and payment of dividends are subject to the sole discretion of our Board of Directors and depend upon our profitability, financial condition, capital needs, credit agreement restrictions, future prospects and other factors deemed relevant by the Board of Directors. The following table sets forth the dividends per share paid during the last two fiscal years and the first and second quarters of 2018:</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5960" w:type="dxa"/>
            <w:vAlign w:val="bottom"/>
            <w:gridSpan w:val="2"/>
          </w:tcPr>
          <w:p>
            <w:pPr>
              <w:jc w:val="right"/>
              <w:ind w:right="5472"/>
              <w:spacing w:after="0"/>
              <w:rPr>
                <w:sz w:val="20"/>
                <w:szCs w:val="20"/>
                <w:color w:val="auto"/>
              </w:rPr>
            </w:pPr>
            <w:r>
              <w:rPr>
                <w:rFonts w:ascii="Arial" w:cs="Arial" w:eastAsia="Arial" w:hAnsi="Arial"/>
                <w:sz w:val="18"/>
                <w:szCs w:val="18"/>
                <w:b w:val="1"/>
                <w:bCs w:val="1"/>
                <w:color w:val="auto"/>
                <w:w w:val="94"/>
              </w:rPr>
              <w:t>2016</w:t>
            </w:r>
          </w:p>
        </w:tc>
        <w:tc>
          <w:tcPr>
            <w:tcW w:w="5080" w:type="dxa"/>
            <w:vAlign w:val="bottom"/>
            <w:gridSpan w:val="2"/>
          </w:tcPr>
          <w:p>
            <w:pPr>
              <w:ind w:left="4260"/>
              <w:spacing w:after="0"/>
              <w:rPr>
                <w:sz w:val="20"/>
                <w:szCs w:val="20"/>
                <w:color w:val="auto"/>
              </w:rPr>
            </w:pPr>
            <w:r>
              <w:rPr>
                <w:rFonts w:ascii="Arial" w:cs="Arial" w:eastAsia="Arial" w:hAnsi="Arial"/>
                <w:sz w:val="18"/>
                <w:szCs w:val="18"/>
                <w:b w:val="1"/>
                <w:bCs w:val="1"/>
                <w:color w:val="auto"/>
              </w:rPr>
              <w:t>Dividend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2016</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Second Quarter 2016</w:t>
            </w:r>
          </w:p>
        </w:tc>
        <w:tc>
          <w:tcPr>
            <w:tcW w:w="4520" w:type="dxa"/>
            <w:vAlign w:val="bottom"/>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2016</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Fourth Quarter 2016</w:t>
            </w:r>
          </w:p>
        </w:tc>
        <w:tc>
          <w:tcPr>
            <w:tcW w:w="4520" w:type="dxa"/>
            <w:vAlign w:val="bottom"/>
          </w:tcPr>
          <w:p>
            <w:pPr>
              <w:ind w:left="4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jc w:val="right"/>
              <w:ind w:right="5472"/>
              <w:spacing w:after="0" w:line="202" w:lineRule="exact"/>
              <w:rPr>
                <w:sz w:val="20"/>
                <w:szCs w:val="20"/>
                <w:color w:val="auto"/>
              </w:rPr>
            </w:pPr>
            <w:r>
              <w:rPr>
                <w:rFonts w:ascii="Arial" w:cs="Arial" w:eastAsia="Arial" w:hAnsi="Arial"/>
                <w:sz w:val="18"/>
                <w:szCs w:val="18"/>
                <w:b w:val="1"/>
                <w:bCs w:val="1"/>
                <w:color w:val="auto"/>
                <w:w w:val="89"/>
              </w:rPr>
              <w:t>2017</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First Quarter 2017</w:t>
            </w:r>
          </w:p>
        </w:tc>
        <w:tc>
          <w:tcPr>
            <w:tcW w:w="4520" w:type="dxa"/>
            <w:vAlign w:val="bottom"/>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2017</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Third Quarter 2017</w:t>
            </w:r>
          </w:p>
        </w:tc>
        <w:tc>
          <w:tcPr>
            <w:tcW w:w="4520" w:type="dxa"/>
            <w:vAlign w:val="bottom"/>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2017</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0"/>
        </w:trPr>
        <w:tc>
          <w:tcPr>
            <w:tcW w:w="5960" w:type="dxa"/>
            <w:vAlign w:val="bottom"/>
            <w:gridSpan w:val="2"/>
          </w:tcPr>
          <w:p>
            <w:pPr>
              <w:jc w:val="right"/>
              <w:ind w:right="5472"/>
              <w:spacing w:after="0"/>
              <w:rPr>
                <w:sz w:val="20"/>
                <w:szCs w:val="20"/>
                <w:color w:val="auto"/>
              </w:rPr>
            </w:pPr>
            <w:r>
              <w:rPr>
                <w:rFonts w:ascii="Arial" w:cs="Arial" w:eastAsia="Arial" w:hAnsi="Arial"/>
                <w:sz w:val="18"/>
                <w:szCs w:val="18"/>
                <w:b w:val="1"/>
                <w:bCs w:val="1"/>
                <w:color w:val="auto"/>
                <w:w w:val="94"/>
              </w:rPr>
              <w:t>2018</w:t>
            </w:r>
          </w:p>
        </w:tc>
        <w:tc>
          <w:tcPr>
            <w:tcW w:w="4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2018</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Second Quarter 2018</w:t>
            </w:r>
          </w:p>
        </w:tc>
        <w:tc>
          <w:tcPr>
            <w:tcW w:w="4520" w:type="dxa"/>
            <w:vAlign w:val="bottom"/>
          </w:tcPr>
          <w:p>
            <w:pPr>
              <w:ind w:left="4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200" w:right="60"/>
        <w:spacing w:after="0" w:line="269" w:lineRule="auto"/>
        <w:rPr>
          <w:sz w:val="20"/>
          <w:szCs w:val="20"/>
          <w:color w:val="auto"/>
        </w:rPr>
      </w:pPr>
      <w:r>
        <w:rPr>
          <w:rFonts w:ascii="Arial" w:cs="Arial" w:eastAsia="Arial" w:hAnsi="Arial"/>
          <w:sz w:val="18"/>
          <w:szCs w:val="18"/>
          <w:color w:val="auto"/>
        </w:rPr>
        <w:t>On August 9, 2018, we declared a quarterly dividend of $0.07 per share of common stock for the quarter ended September 30, 2018, payable on September 17, 2018 to holders of record on September 3, 2018.</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240" w:top="455" w:right="4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Capitalization</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on an actual basis; and</w:t>
      </w:r>
    </w:p>
    <w:p>
      <w:pPr>
        <w:spacing w:after="0" w:line="117" w:lineRule="exact"/>
        <w:rPr>
          <w:sz w:val="20"/>
          <w:szCs w:val="20"/>
          <w:color w:val="auto"/>
        </w:rPr>
      </w:pPr>
    </w:p>
    <w:p>
      <w:pPr>
        <w:ind w:left="200"/>
        <w:spacing w:after="0"/>
        <w:tabs>
          <w:tab w:leader="none" w:pos="6640" w:val="left"/>
        </w:tabs>
        <w:rPr>
          <w:sz w:val="20"/>
          <w:szCs w:val="20"/>
          <w:color w:val="auto"/>
        </w:rPr>
      </w:pPr>
      <w:r>
        <w:rPr>
          <w:rFonts w:ascii="Arial" w:cs="Arial" w:eastAsia="Arial" w:hAnsi="Arial"/>
          <w:sz w:val="18"/>
          <w:szCs w:val="18"/>
          <w:color w:val="auto"/>
        </w:rPr>
        <w:t>•  as adjusted to give effect to the receipt of estimated net proceeds of $</w:t>
      </w:r>
      <w:r>
        <w:rPr>
          <w:sz w:val="20"/>
          <w:szCs w:val="20"/>
          <w:color w:val="auto"/>
        </w:rPr>
        <w:tab/>
      </w:r>
      <w:r>
        <w:rPr>
          <w:rFonts w:ascii="Arial" w:cs="Arial" w:eastAsia="Arial" w:hAnsi="Arial"/>
          <w:sz w:val="16"/>
          <w:szCs w:val="16"/>
          <w:color w:val="auto"/>
        </w:rPr>
        <w:t>million from this offering at an offering price of</w:t>
      </w:r>
    </w:p>
    <w:p>
      <w:pPr>
        <w:spacing w:after="0" w:line="18" w:lineRule="exact"/>
        <w:rPr>
          <w:sz w:val="20"/>
          <w:szCs w:val="20"/>
          <w:color w:val="auto"/>
        </w:rPr>
      </w:pPr>
    </w:p>
    <w:p>
      <w:pPr>
        <w:ind w:left="420" w:right="440"/>
        <w:spacing w:after="0" w:line="239" w:lineRule="auto"/>
        <w:tabs>
          <w:tab w:leader="none" w:pos="1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share of common stock, after deducting the underwriting discount and our estimated offering expenses (but not the application of the net proceeds therefrom), assuming no exercise of the underwriters’ option to purchase additional shares of common stock.</w:t>
      </w:r>
    </w:p>
    <w:p>
      <w:pPr>
        <w:spacing w:after="0" w:line="75" w:lineRule="exact"/>
        <w:rPr>
          <w:sz w:val="20"/>
          <w:szCs w:val="20"/>
          <w:color w:val="auto"/>
        </w:rPr>
      </w:pPr>
    </w:p>
    <w:p>
      <w:pPr>
        <w:ind w:left="200" w:right="400"/>
        <w:spacing w:after="0" w:line="269" w:lineRule="auto"/>
        <w:rPr>
          <w:sz w:val="20"/>
          <w:szCs w:val="20"/>
          <w:color w:val="auto"/>
        </w:rPr>
      </w:pPr>
      <w:r>
        <w:rPr>
          <w:rFonts w:ascii="Arial" w:cs="Arial" w:eastAsia="Arial" w:hAnsi="Arial"/>
          <w:sz w:val="18"/>
          <w:szCs w:val="18"/>
          <w:color w:val="auto"/>
        </w:rPr>
        <w:t>You should read this information in conjunction with the information provided in the sections titled “Use of proceeds” and our consolidated financial statements and related notes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52070</wp:posOffset>
            </wp:positionV>
            <wp:extent cx="69977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As of June 30,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As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23,207</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ind w:right="578"/>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28,429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78"/>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1,040,434</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560" w:type="dxa"/>
            <w:vAlign w:val="bottom"/>
            <w:shd w:val="clear" w:color="auto" w:fill="CCEEFF"/>
          </w:tcPr>
          <w:p>
            <w:pPr>
              <w:ind w:left="420"/>
              <w:spacing w:after="0" w:line="184" w:lineRule="exact"/>
              <w:rPr>
                <w:sz w:val="20"/>
                <w:szCs w:val="20"/>
                <w:color w:val="auto"/>
              </w:rPr>
            </w:pPr>
            <w:r>
              <w:rPr>
                <w:rFonts w:ascii="Arial" w:cs="Arial" w:eastAsia="Arial" w:hAnsi="Arial"/>
                <w:sz w:val="18"/>
                <w:szCs w:val="18"/>
                <w:color w:val="auto"/>
              </w:rPr>
              <w:t>Common stock—$0.01 par value, 45,000,000 shares authorized, 27,729,375 issued and outstanding,</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actual; 40,229,375 issued and outstanding, as adjusted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294,380</w:t>
            </w:r>
          </w:p>
        </w:tc>
        <w:tc>
          <w:tcPr>
            <w:tcW w:w="240" w:type="dxa"/>
            <w:vAlign w:val="bottom"/>
          </w:tcPr>
          <w:p>
            <w:pPr>
              <w:spacing w:after="0"/>
              <w:rPr>
                <w:sz w:val="17"/>
                <w:szCs w:val="17"/>
                <w:color w:val="auto"/>
              </w:rPr>
            </w:pPr>
          </w:p>
        </w:tc>
        <w:tc>
          <w:tcPr>
            <w:tcW w:w="940" w:type="dxa"/>
            <w:vAlign w:val="bottom"/>
            <w:gridSpan w:val="2"/>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176,718</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4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(28,061)</w:t>
            </w:r>
          </w:p>
        </w:tc>
        <w:tc>
          <w:tcPr>
            <w:tcW w:w="940" w:type="dxa"/>
            <w:vAlign w:val="bottom"/>
            <w:gridSpan w:val="2"/>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443,314</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78"/>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Total capitalization</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1,761,084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bottom w:val="single" w:sz="8" w:color="auto"/>
            </w:tcBorders>
          </w:tcPr>
          <w:p>
            <w:pPr>
              <w:jc w:val="right"/>
              <w:ind w:right="578"/>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560" w:type="dxa"/>
            <w:vAlign w:val="bottom"/>
          </w:tcPr>
          <w:p>
            <w:pPr>
              <w:ind w:left="5300"/>
              <w:spacing w:after="0"/>
              <w:rPr>
                <w:sz w:val="20"/>
                <w:szCs w:val="20"/>
                <w:color w:val="auto"/>
              </w:rPr>
            </w:pPr>
            <w:r>
              <w:rPr>
                <w:rFonts w:ascii="Arial" w:cs="Arial" w:eastAsia="Arial" w:hAnsi="Arial"/>
                <w:sz w:val="18"/>
                <w:szCs w:val="18"/>
                <w:color w:val="auto"/>
              </w:rPr>
              <w:t>S-20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right="260"/>
        <w:spacing w:after="0" w:line="289" w:lineRule="auto"/>
        <w:rPr>
          <w:sz w:val="20"/>
          <w:szCs w:val="20"/>
          <w:color w:val="auto"/>
        </w:rPr>
      </w:pPr>
      <w:r>
        <w:rPr>
          <w:rFonts w:ascii="Arial" w:cs="Arial" w:eastAsia="Arial" w:hAnsi="Arial"/>
          <w:sz w:val="32"/>
          <w:szCs w:val="32"/>
          <w:b w:val="1"/>
          <w:bCs w:val="1"/>
          <w:color w:val="auto"/>
        </w:rPr>
        <w:t>Material United States federal income and estate tax consequences to non-U.S. holders</w:t>
      </w:r>
    </w:p>
    <w:p>
      <w:pPr>
        <w:spacing w:after="0" w:line="2"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The following is a summary of material United States federal income and estate tax consequences to a non-U.S. holder (as defined below) of the purchase, ownership and disposition of our common stock purchased in this offering. Except where noted, this summary deals only with common stock that is held as a capital asset within the meaning of Section 1221 of the Internal Revenue Code of 1986, as amended, or the Code.</w:t>
      </w:r>
    </w:p>
    <w:p>
      <w:pPr>
        <w:spacing w:after="0" w:line="70" w:lineRule="exact"/>
        <w:rPr>
          <w:sz w:val="20"/>
          <w:szCs w:val="20"/>
          <w:color w:val="auto"/>
        </w:rPr>
      </w:pPr>
    </w:p>
    <w:p>
      <w:pPr>
        <w:ind w:left="200" w:right="140"/>
        <w:spacing w:after="0" w:line="269" w:lineRule="auto"/>
        <w:rPr>
          <w:sz w:val="20"/>
          <w:szCs w:val="20"/>
          <w:color w:val="auto"/>
        </w:rPr>
      </w:pPr>
      <w:r>
        <w:rPr>
          <w:rFonts w:ascii="Arial" w:cs="Arial" w:eastAsia="Arial" w:hAnsi="Arial"/>
          <w:sz w:val="18"/>
          <w:szCs w:val="18"/>
          <w:color w:val="auto"/>
        </w:rPr>
        <w:t>A “non-U.S. holder” means any beneficial owner of our common stock (other than an entity treated as a partnership for United States federal income tax purposes) that is not for United States federal income tax purposes any of the following:</w:t>
      </w:r>
    </w:p>
    <w:p>
      <w:pPr>
        <w:spacing w:after="0" w:line="63" w:lineRule="exact"/>
        <w:rPr>
          <w:sz w:val="20"/>
          <w:szCs w:val="20"/>
          <w:color w:val="auto"/>
        </w:rPr>
      </w:pPr>
    </w:p>
    <w:p>
      <w:pPr>
        <w:ind w:left="420" w:hanging="2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420" w:right="140" w:hanging="216"/>
        <w:spacing w:after="0" w:line="26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420" w:hanging="2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420" w:right="420" w:hanging="216"/>
        <w:spacing w:after="0" w:line="252"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modified definition of “non-U.S. holder” applies for United States federal estate tax purposes (as discussed below).</w:t>
      </w:r>
    </w:p>
    <w:p>
      <w:pPr>
        <w:spacing w:after="0" w:line="104"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This summary is based upon provisions of the Code and United States Treasury regulations, rulings and judicial decisions, in each case in effect as of the date hereof. Those authorities may be changed or be subject to differing interpretations, perhaps retroactively, so as to result in United States federal income and estate tax consequences different from those summarized below and which may adversely affect a non-U.S. holder of our common stock. This summary does not address all aspects of United States federal income and estate taxes and does not deal with foreign, state, local or other tax considerations that may be relevant to you in light of your particular circumstances. In addition, it does not represent a detailed description of the United States federal income tax consequences applicable to you if you are subject to special treatment under the United States federal income tax laws (including, without limitation, if you are a United States expatriate or a “controlled foreign corporation”).</w:t>
      </w:r>
    </w:p>
    <w:p>
      <w:pPr>
        <w:spacing w:after="0" w:line="80" w:lineRule="exact"/>
        <w:rPr>
          <w:sz w:val="20"/>
          <w:szCs w:val="20"/>
          <w:color w:val="auto"/>
        </w:rPr>
      </w:pPr>
    </w:p>
    <w:p>
      <w:pPr>
        <w:jc w:val="both"/>
        <w:ind w:left="200" w:right="60"/>
        <w:spacing w:after="0" w:line="252" w:lineRule="auto"/>
        <w:rPr>
          <w:sz w:val="20"/>
          <w:szCs w:val="20"/>
          <w:color w:val="auto"/>
        </w:rPr>
      </w:pPr>
      <w:r>
        <w:rPr>
          <w:rFonts w:ascii="Arial" w:cs="Arial" w:eastAsia="Arial" w:hAnsi="Arial"/>
          <w:sz w:val="18"/>
          <w:szCs w:val="18"/>
          <w:color w:val="auto"/>
        </w:rPr>
        <w:t>If an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own tax advisors.</w:t>
      </w:r>
    </w:p>
    <w:p>
      <w:pPr>
        <w:spacing w:after="0" w:line="62" w:lineRule="exact"/>
        <w:rPr>
          <w:sz w:val="20"/>
          <w:szCs w:val="20"/>
          <w:color w:val="auto"/>
        </w:rPr>
      </w:pPr>
    </w:p>
    <w:p>
      <w:pPr>
        <w:ind w:left="200"/>
        <w:spacing w:after="0" w:line="258"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United States federal income and estate tax consequences to you of the purchase, ownership and disposition of the common stock, as well as the consequences to you arising under the laws of any other taxing jurisdiction.</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Dividends</w:t>
      </w:r>
    </w:p>
    <w:p>
      <w:pPr>
        <w:spacing w:after="0" w:line="116"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 xml:space="preserve">In the event that we make a distribution of cash or other property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return of capital, causing a reduction in the adjusted tax basis of your common stock (but not below zero), and to the extent the amount of the distribution exceeds your adjusted tax basis in our common stock, the excess will be treated as gain from the disposition of our common stock (the tax treatment of which is discussed below under “—Gain on Disposition of Common Stock”).</w:t>
      </w:r>
    </w:p>
    <w:p>
      <w:pPr>
        <w:spacing w:after="0" w:line="77" w:lineRule="exact"/>
        <w:rPr>
          <w:sz w:val="20"/>
          <w:szCs w:val="20"/>
          <w:color w:val="auto"/>
        </w:rPr>
      </w:pPr>
    </w:p>
    <w:p>
      <w:pPr>
        <w:ind w:left="200" w:right="40"/>
        <w:spacing w:after="0" w:line="274" w:lineRule="auto"/>
        <w:rPr>
          <w:sz w:val="20"/>
          <w:szCs w:val="20"/>
          <w:color w:val="auto"/>
        </w:rPr>
      </w:pPr>
      <w:r>
        <w:rPr>
          <w:rFonts w:ascii="Arial" w:cs="Arial" w:eastAsia="Arial" w:hAnsi="Arial"/>
          <w:sz w:val="16"/>
          <w:szCs w:val="16"/>
          <w:color w:val="auto"/>
        </w:rPr>
        <w:t>Dividends paid to you generally will be subject to withholding of United States federal income tax at a 30% rate or such lower rate as may be specified by an applicable income tax treaty. However, dividends that are effectively connected with the conduct of a trade or business within the United States (and, if required by an applicable income tax treaty, are attributable to a United States permanent establishment) are not subject to the withholding tax, provided that you must provide a properly executed Internal Revenue Service Form W-8ECI (or other applicable form) in accordance with the applicable certification requirements in order to establish an exemption from this withholding. Instead, such dividends are subject to United States federal income tax on a net-income basis generally in the same manner as if you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48"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If you wish to claim the benefit of an applicable treaty rate and avoid backup withholding, as discussed below, for dividends, you will be required (a) to provide the applicable withholding agent with a properly executed Internal Revenue Service Form W-8BEN or Form W-8BEN-E (or other applicable form) certifying under penalty of perjury that you are not a United States person as defined under the Code and are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76" w:lineRule="exact"/>
        <w:rPr>
          <w:sz w:val="20"/>
          <w:szCs w:val="20"/>
          <w:color w:val="auto"/>
        </w:rPr>
      </w:pPr>
    </w:p>
    <w:p>
      <w:pPr>
        <w:ind w:left="200" w:right="80"/>
        <w:spacing w:after="0" w:line="269" w:lineRule="auto"/>
        <w:rPr>
          <w:sz w:val="20"/>
          <w:szCs w:val="20"/>
          <w:color w:val="auto"/>
        </w:rPr>
      </w:pPr>
      <w:r>
        <w:rPr>
          <w:rFonts w:ascii="Arial" w:cs="Arial" w:eastAsia="Arial" w:hAnsi="Arial"/>
          <w:sz w:val="18"/>
          <w:szCs w:val="18"/>
          <w:color w:val="auto"/>
        </w:rPr>
        <w:t>If you are eligible for a reduced rate of United States withholding tax pursuant to an income tax treaty, you may obtain a refund of any excess amounts withheld by timely filing an appropriate claim for refund with the Internal Revenue Service.</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Gain on disposition of common stock</w:t>
      </w:r>
    </w:p>
    <w:p>
      <w:pPr>
        <w:spacing w:after="0" w:line="116" w:lineRule="exact"/>
        <w:rPr>
          <w:sz w:val="20"/>
          <w:szCs w:val="20"/>
          <w:color w:val="auto"/>
        </w:rPr>
      </w:pPr>
    </w:p>
    <w:p>
      <w:pPr>
        <w:ind w:left="200" w:right="180"/>
        <w:spacing w:after="0" w:line="269" w:lineRule="auto"/>
        <w:rPr>
          <w:sz w:val="20"/>
          <w:szCs w:val="20"/>
          <w:color w:val="auto"/>
        </w:rPr>
      </w:pPr>
      <w:r>
        <w:rPr>
          <w:rFonts w:ascii="Arial" w:cs="Arial" w:eastAsia="Arial" w:hAnsi="Arial"/>
          <w:sz w:val="18"/>
          <w:szCs w:val="18"/>
          <w:color w:val="auto"/>
        </w:rPr>
        <w:t>Subject to the discussion of backup withholding and FATCA below, any gain realized by you on the taxable disposition of our common stock generally will not be subject to United States federal income tax unless:</w:t>
      </w:r>
    </w:p>
    <w:p>
      <w:pPr>
        <w:spacing w:after="0" w:line="63" w:lineRule="exact"/>
        <w:rPr>
          <w:sz w:val="20"/>
          <w:szCs w:val="20"/>
          <w:color w:val="auto"/>
        </w:rPr>
      </w:pPr>
    </w:p>
    <w:p>
      <w:pPr>
        <w:ind w:left="420" w:right="620" w:hanging="216"/>
        <w:spacing w:after="0" w:line="26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in the United States (and, if required by an applicable income tax treaty, is attributable to a United States permanent establishment);</w:t>
      </w:r>
    </w:p>
    <w:p>
      <w:pPr>
        <w:spacing w:after="0" w:line="62" w:lineRule="exact"/>
        <w:rPr>
          <w:rFonts w:ascii="Arial" w:cs="Arial" w:eastAsia="Arial" w:hAnsi="Arial"/>
          <w:sz w:val="18"/>
          <w:szCs w:val="18"/>
          <w:color w:val="auto"/>
        </w:rPr>
      </w:pPr>
    </w:p>
    <w:p>
      <w:pPr>
        <w:ind w:left="420" w:right="420" w:hanging="216"/>
        <w:spacing w:after="0" w:line="26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in the taxable year of that disposition, and certain other conditions are met; or</w:t>
      </w:r>
    </w:p>
    <w:p>
      <w:pPr>
        <w:spacing w:after="0" w:line="62" w:lineRule="exact"/>
        <w:rPr>
          <w:rFonts w:ascii="Arial" w:cs="Arial" w:eastAsia="Arial" w:hAnsi="Arial"/>
          <w:sz w:val="18"/>
          <w:szCs w:val="18"/>
          <w:color w:val="auto"/>
        </w:rPr>
      </w:pPr>
    </w:p>
    <w:p>
      <w:pPr>
        <w:ind w:left="420" w:right="260" w:hanging="216"/>
        <w:spacing w:after="0" w:line="26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A non-U.S. holder described in the first bullet point immediately above generally will be subject to tax on the net gain derived from the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generally will be subject to a flat 30% (or such lower rate as may be specified by an applicable income tax treaty) tax on the gain derived from the disposition, which gain may be offset by United States-source capital losses, even though the individual is not considered a resident of the United States.</w:t>
      </w:r>
    </w:p>
    <w:p>
      <w:pPr>
        <w:spacing w:after="0" w:line="77" w:lineRule="exact"/>
        <w:rPr>
          <w:sz w:val="20"/>
          <w:szCs w:val="20"/>
          <w:color w:val="auto"/>
        </w:rPr>
      </w:pPr>
    </w:p>
    <w:p>
      <w:pPr>
        <w:ind w:left="200" w:right="940"/>
        <w:spacing w:after="0" w:line="269" w:lineRule="auto"/>
        <w:rPr>
          <w:sz w:val="20"/>
          <w:szCs w:val="20"/>
          <w:color w:val="auto"/>
        </w:rPr>
      </w:pPr>
      <w:r>
        <w:rPr>
          <w:rFonts w:ascii="Arial" w:cs="Arial" w:eastAsia="Arial" w:hAnsi="Arial"/>
          <w:sz w:val="18"/>
          <w:szCs w:val="18"/>
          <w:color w:val="auto"/>
        </w:rPr>
        <w:t>Although there can be no assurance, we believe we are not and do not anticipate becoming a “United States real property holding corporation” for United States federal income tax purposes.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Federal estate tax</w:t>
      </w:r>
    </w:p>
    <w:p>
      <w:pPr>
        <w:spacing w:after="0" w:line="116"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Our common stock that is owned (or treated as owned) by an individual who is not a citizen or resident of the United States (as specially defined for United States federal estate tax purposes) at the time of death will be included in his or her gross estate for United States federal estate tax purposes, unless an applicable estate tax treaty provides otherwise, and, therefore, may be subject to United States federal estate tax.</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16"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Distributions paid to you and the amount of tax withheld, if any, with respect to such distributions generally will be reported to the Internal Revenue Service. Copies of the information returns reporting such dividends and any withholding may also be made available to the tax authorities in the country in which the you reside under the provisions of an applicable income tax treaty or exchange of information agreement.</w:t>
      </w:r>
    </w:p>
    <w:p>
      <w:pPr>
        <w:spacing w:after="0" w:line="70" w:lineRule="exact"/>
        <w:rPr>
          <w:sz w:val="20"/>
          <w:szCs w:val="20"/>
          <w:color w:val="auto"/>
        </w:rPr>
      </w:pPr>
    </w:p>
    <w:p>
      <w:pPr>
        <w:ind w:left="200" w:right="120"/>
        <w:spacing w:after="0" w:line="269" w:lineRule="auto"/>
        <w:rPr>
          <w:sz w:val="20"/>
          <w:szCs w:val="20"/>
          <w:color w:val="auto"/>
        </w:rPr>
      </w:pPr>
      <w:r>
        <w:rPr>
          <w:rFonts w:ascii="Arial" w:cs="Arial" w:eastAsia="Arial" w:hAnsi="Arial"/>
          <w:sz w:val="18"/>
          <w:szCs w:val="18"/>
          <w:color w:val="auto"/>
        </w:rPr>
        <w:t>You may be subject to backup withholding on dividends paid to you unless you certify, on an applicable Internal Revenue Service Form W-8, under penalty of perjury that you are a non-U.S. person, or otherwise establish an exemption.</w:t>
      </w:r>
    </w:p>
    <w:p>
      <w:pPr>
        <w:spacing w:after="0" w:line="49"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Information reporting and, depending on the circumstances, backup withholding generally will apply to the proceeds of a sale or other disposition of our common stock within the United States or conducted through certain United States-related financial intermediaries, unless the beneficial owner certifies, on an applicable Internal Revenue Service Form W-8, under penalty of perjury that it is a non-U.S. person, or otherwise establishes an exemption.</w:t>
      </w:r>
    </w:p>
    <w:p>
      <w:pPr>
        <w:spacing w:after="0" w:line="70" w:lineRule="exact"/>
        <w:rPr>
          <w:sz w:val="20"/>
          <w:szCs w:val="20"/>
          <w:color w:val="auto"/>
        </w:rPr>
      </w:pPr>
    </w:p>
    <w:p>
      <w:pPr>
        <w:ind w:left="200" w:right="80"/>
        <w:spacing w:after="0" w:line="252"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United States federal income tax liability provided the required information is timely furnished to the Internal Revenue Service.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Additional withholding requirements</w:t>
      </w:r>
    </w:p>
    <w:p>
      <w:pPr>
        <w:spacing w:after="0" w:line="116"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Under Sections 1471 through 1474 of the Code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defined by the Code to include, in addition to banks and traditional financial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institutions, entities such as investment funds and certain holding companies) which does not provide sufficient documentation, typically on Internal Revenue Service Form W-8BEN-E, evidencing either (x) an exemption from FATCA, or (y) its compliance (or deemed compliance) with FATCA (which may alternatively be in the form of compliance with an intergovernmental agreement with the United States) in a manner that avoids withholding, or (ii) a “non-financial foreign entity” (as specifically defined in the Code) which does not provide sufficient documentation, typically on Internal Revenue Service Form W-8BEN-E, evidencing either (x) an exemption from FATCA, or (y) adequate information regarding certain substantial United States beneficial owners of such entity (if any). Accordingly, entities through which our common stock is held may affect the determination of whether such withholding is required. If a dividend payment is both subject to withholding under FATCA and subject to the withholding tax discussed above under “—Dividends,” the withholding under FATCA may be credited against, and therefore reduce, such other withholding tax. The FATCA withholding tax will apply to all withholdable payments, however, without regard to whether the beneficial owner of the payment would otherwise be entitled to an exemption from imposition of withholding tax pursuant to an applicable tax treaty with the United States or U.S. domestic law. You should consult your own tax advisors regarding these requirements and whether they may be relevant to your ownership and disposition of our common stock.</w:t>
      </w:r>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40"/>
          </w:cols>
          <w:pgMar w:left="240" w:top="455" w:right="6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Underwriting (conflicts of interest)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 J.P.</w:t>
      </w:r>
    </w:p>
    <w:p>
      <w:pPr>
        <w:ind w:left="200"/>
        <w:spacing w:after="0"/>
        <w:rPr>
          <w:sz w:val="20"/>
          <w:szCs w:val="20"/>
          <w:color w:val="auto"/>
        </w:rPr>
      </w:pPr>
      <w:r>
        <w:rPr>
          <w:rFonts w:ascii="Arial" w:cs="Arial" w:eastAsia="Arial" w:hAnsi="Arial"/>
          <w:sz w:val="18"/>
          <w:szCs w:val="18"/>
          <w:color w:val="auto"/>
        </w:rPr>
        <w:t>Morgan Securities LLC is acting as representative of the underwriters.</w:t>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Number of</w:t>
            </w:r>
          </w:p>
        </w:tc>
      </w:tr>
      <w:tr>
        <w:trPr>
          <w:trHeight w:val="223"/>
        </w:trPr>
        <w:tc>
          <w:tcPr>
            <w:tcW w:w="9900" w:type="dxa"/>
            <w:vAlign w:val="bottom"/>
            <w:gridSpan w:val="3"/>
          </w:tcPr>
          <w:p>
            <w:pPr>
              <w:spacing w:after="0"/>
              <w:rPr>
                <w:sz w:val="20"/>
                <w:szCs w:val="20"/>
                <w:color w:val="auto"/>
              </w:rPr>
            </w:pPr>
            <w:r>
              <w:rPr>
                <w:rFonts w:ascii="Arial" w:cs="Arial" w:eastAsia="Arial" w:hAnsi="Arial"/>
                <w:sz w:val="18"/>
                <w:szCs w:val="18"/>
                <w:b w:val="1"/>
                <w:bCs w:val="1"/>
                <w:color w:val="auto"/>
              </w:rPr>
              <w:t>Underwriters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shares</w:t>
            </w:r>
          </w:p>
        </w:tc>
      </w:tr>
      <w:tr>
        <w:trPr>
          <w:trHeight w:val="196"/>
        </w:trPr>
        <w:tc>
          <w:tcPr>
            <w:tcW w:w="20" w:type="dxa"/>
            <w:vAlign w:val="bottom"/>
          </w:tcPr>
          <w:p>
            <w:pPr>
              <w:spacing w:after="0"/>
              <w:rPr>
                <w:sz w:val="17"/>
                <w:szCs w:val="17"/>
                <w:color w:val="auto"/>
              </w:rPr>
            </w:pPr>
          </w:p>
        </w:tc>
        <w:tc>
          <w:tcPr>
            <w:tcW w:w="98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80" w:type="dxa"/>
            <w:vAlign w:val="bottom"/>
            <w:gridSpan w:val="2"/>
          </w:tcPr>
          <w:p>
            <w:pPr>
              <w:spacing w:after="0" w:line="202" w:lineRule="exact"/>
              <w:rPr>
                <w:sz w:val="20"/>
                <w:szCs w:val="20"/>
                <w:color w:val="auto"/>
              </w:rPr>
            </w:pPr>
            <w:r>
              <w:rPr>
                <w:rFonts w:ascii="Arial" w:cs="Arial" w:eastAsia="Arial" w:hAnsi="Arial"/>
                <w:sz w:val="18"/>
                <w:szCs w:val="18"/>
                <w:color w:val="auto"/>
              </w:rPr>
              <w:t>Robert W. Baird &amp; Co. Incorporated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KeyBanc Capital Markets Inc.</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880" w:type="dxa"/>
            <w:vAlign w:val="bottom"/>
            <w:gridSpan w:val="2"/>
          </w:tcPr>
          <w:p>
            <w:pPr>
              <w:spacing w:after="0" w:line="202" w:lineRule="exact"/>
              <w:rPr>
                <w:sz w:val="20"/>
                <w:szCs w:val="20"/>
                <w:color w:val="auto"/>
              </w:rPr>
            </w:pPr>
            <w:r>
              <w:rPr>
                <w:rFonts w:ascii="Arial" w:cs="Arial" w:eastAsia="Arial" w:hAnsi="Arial"/>
                <w:sz w:val="18"/>
                <w:szCs w:val="18"/>
                <w:color w:val="auto"/>
              </w:rPr>
              <w:t>SunTrust Robinson Humphrey, Inc.</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8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12,500,000</w:t>
            </w:r>
          </w:p>
        </w:tc>
        <w:tc>
          <w:tcPr>
            <w:tcW w:w="80" w:type="dxa"/>
            <w:vAlign w:val="bottom"/>
            <w:shd w:val="clear" w:color="auto" w:fill="CCEEFF"/>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ind w:left="200" w:right="440"/>
        <w:spacing w:after="0" w:line="26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49" w:lineRule="exact"/>
        <w:rPr>
          <w:sz w:val="20"/>
          <w:szCs w:val="20"/>
          <w:color w:val="auto"/>
        </w:rPr>
      </w:pPr>
    </w:p>
    <w:p>
      <w:pPr>
        <w:jc w:val="both"/>
        <w:ind w:left="200" w:right="40"/>
        <w:spacing w:after="0" w:line="252" w:lineRule="auto"/>
        <w:rPr>
          <w:sz w:val="20"/>
          <w:szCs w:val="20"/>
          <w:color w:val="auto"/>
        </w:rPr>
      </w:pPr>
      <w:r>
        <w:rPr>
          <w:rFonts w:ascii="Arial" w:cs="Arial" w:eastAsia="Arial" w:hAnsi="Arial"/>
          <w:sz w:val="18"/>
          <w:szCs w:val="18"/>
          <w:color w:val="auto"/>
        </w:rPr>
        <w:t>The underwriters have an option to buy up to an additional 1,875,000 shares from the Company. They may exercise that option for 30 days. If any shares are purchased pursuant to this option, the underwriters will severally purchase shares in approximately the same proportion as set forth in the table above.</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Company.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1,875,000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Paid by the company</w:t>
            </w:r>
          </w:p>
        </w:tc>
      </w:t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No</w:t>
            </w: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Full</w:t>
            </w:r>
          </w:p>
        </w:tc>
        <w:tc>
          <w:tcPr>
            <w:tcW w:w="6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exercise</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9"/>
              </w:rPr>
              <w:t>exercise</w:t>
            </w: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080" w:type="dxa"/>
            <w:vAlign w:val="bottom"/>
            <w:gridSpan w:val="2"/>
            <w:shd w:val="clear" w:color="auto" w:fill="CCEEFF"/>
          </w:tcPr>
          <w:p>
            <w:pPr>
              <w:jc w:val="right"/>
              <w:ind w:right="572"/>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7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7"/>
        </w:trPr>
        <w:tc>
          <w:tcPr>
            <w:tcW w:w="9860" w:type="dxa"/>
            <w:vAlign w:val="bottom"/>
            <w:gridSpan w:val="4"/>
          </w:tcPr>
          <w:p>
            <w:pPr>
              <w:spacing w:after="0"/>
              <w:rPr>
                <w:sz w:val="20"/>
                <w:szCs w:val="20"/>
                <w:color w:val="auto"/>
              </w:rPr>
            </w:pPr>
            <w:r>
              <w:rPr>
                <w:rFonts w:ascii="Arial" w:cs="Arial" w:eastAsia="Arial" w:hAnsi="Arial"/>
                <w:sz w:val="18"/>
                <w:szCs w:val="18"/>
                <w:color w:val="auto"/>
                <w:w w:val="97"/>
              </w:rPr>
              <w:t>We estimate that our total expenses of the offering, excluding underwriting discounts and commissions, will be approximately $</w:t>
            </w:r>
          </w:p>
        </w:tc>
        <w:tc>
          <w:tcPr>
            <w:tcW w:w="38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 We</w:t>
            </w:r>
          </w:p>
        </w:tc>
      </w:tr>
    </w:tbl>
    <w:p>
      <w:pPr>
        <w:jc w:val="both"/>
        <w:ind w:left="200" w:right="360"/>
        <w:spacing w:after="0" w:line="304" w:lineRule="auto"/>
        <w:rPr>
          <w:sz w:val="20"/>
          <w:szCs w:val="20"/>
          <w:color w:val="auto"/>
        </w:rPr>
      </w:pPr>
      <w:r>
        <w:rPr>
          <w:rFonts w:ascii="Arial" w:cs="Arial" w:eastAsia="Arial" w:hAnsi="Arial"/>
          <w:sz w:val="16"/>
          <w:szCs w:val="16"/>
          <w:color w:val="auto"/>
        </w:rPr>
        <w:t>have agreed to reimburse the underwriters for any filing fees incident to, and the reasonable and documented fees and disbursements of counsel in connection with, any required reviews by the Financial Industry Regulatory Authority, Inc. (“FINRA”) of the terms of the offering.</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w:t>
      </w:r>
    </w:p>
    <w:p>
      <w:pPr>
        <w:spacing w:after="0" w:line="4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Any shares sold by the underwriters to securities dealers may be sold at a discount of up to $ per share from the initial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75"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 to underwriters and selling group members that may make Internet distributions on the same basis as other allocations.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240" w:top="455" w:right="4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We, our directors and executive officers have agreed with the underwriters, for a period of 90 days after the date of this prospectus supplement, subject to certain exceptions, not to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without the prior written consent of J.P. Morgan Securities LLC. These restrictions do not prohibit sales by our Chief Executive Officer, Richard D. Holder, of up to 100,000 shares of common stock, our Chief Financial Officer, Thomas C. Burwell, Jr., of up to 34,000 shares of common stock, a member of our Board of Directors, and the Non-Executive Chairman of our Board of Directors, Robert E. Brunner, of up to 7,300 shares of common stock pursuant to trading plans established pursuant to Rule 10b5-1 under the Exchange Act entered into prior to the date of this prospectus supplement.</w:t>
      </w:r>
    </w:p>
    <w:p>
      <w:pPr>
        <w:spacing w:after="0" w:line="76"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58" w:lineRule="exact"/>
        <w:rPr>
          <w:sz w:val="20"/>
          <w:szCs w:val="20"/>
          <w:color w:val="auto"/>
        </w:rPr>
      </w:pPr>
    </w:p>
    <w:p>
      <w:pPr>
        <w:ind w:left="200" w:right="380"/>
        <w:spacing w:after="0" w:line="252"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64"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44"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In addition, in connection with this offering, certain of the underwriters (and selling group members) may engage in passive market making transactions in the Company’s common stock on Nasdaq prior to the pricing and completion of this offering. Passive market making consists of displaying bids on Nasdaq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our common stock during a specified period and must be discontinued when such limit is reached. Passive market making</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80"/>
          </w:cols>
          <w:pgMar w:left="240" w:top="455"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right="240"/>
        <w:spacing w:after="0" w:line="269" w:lineRule="auto"/>
        <w:rPr>
          <w:sz w:val="20"/>
          <w:szCs w:val="20"/>
          <w:color w:val="auto"/>
        </w:rPr>
      </w:pPr>
      <w:r>
        <w:rPr>
          <w:rFonts w:ascii="Arial" w:cs="Arial" w:eastAsia="Arial" w:hAnsi="Arial"/>
          <w:sz w:val="18"/>
          <w:szCs w:val="18"/>
          <w:color w:val="auto"/>
        </w:rPr>
        <w:t>may cause the price of our common stock to be higher than the price that otherwise would exist in the open market in the absence of these transactions. If passive market making is commenced, it may be discontinued at any time.</w:t>
      </w:r>
    </w:p>
    <w:p>
      <w:pPr>
        <w:spacing w:after="0" w:line="49" w:lineRule="exact"/>
        <w:rPr>
          <w:sz w:val="20"/>
          <w:szCs w:val="20"/>
          <w:color w:val="auto"/>
        </w:rPr>
      </w:pPr>
    </w:p>
    <w:p>
      <w:pPr>
        <w:ind w:left="200" w:right="20"/>
        <w:spacing w:after="0" w:line="273" w:lineRule="auto"/>
        <w:rPr>
          <w:sz w:val="20"/>
          <w:szCs w:val="20"/>
          <w:color w:val="auto"/>
        </w:rPr>
      </w:pPr>
      <w:r>
        <w:rPr>
          <w:rFonts w:ascii="Arial" w:cs="Arial" w:eastAsia="Arial" w:hAnsi="Arial"/>
          <w:sz w:val="16"/>
          <w:szCs w:val="16"/>
          <w:color w:val="auto"/>
        </w:rPr>
        <w:t>Affiliates of some or all of the underwriters are lenders and, in some cases, some of the underwriters and/or their affiliates are agents, arrangers and/or book-running managers, under the Second Lien Facility. Net proceeds of this offering will be used to repay a portion of the borrowings outstanding under the Second Lien Facility. Because affiliates of some or all of the underwriters are lenders under the Second Lien Facility, to the extent that net proceeds of this offering are applied to repay borrowings under the Second Lien Facility, such affiliates will receive a portion of the net proceeds of this offering through the repayment of those borrowings. The aggregate amount of any such repayments received by any individual underwriter or its affiliates will, in the case of one or more underwriters, exceed 5% of the net proceeds of this offering (not including the underwriting discount). Therefore, this offering will be conducted in accordance with Rule 5121 of FINRA. None of the underwriters affiliated with a lender receiving 5% or more of the net proceeds of this offering will confirm sales of the Company’s common stock to accounts over which it exercises discretionary authority without the prior written consent of the customer.</w:t>
      </w:r>
    </w:p>
    <w:p>
      <w:pPr>
        <w:spacing w:after="0" w:line="257" w:lineRule="exact"/>
        <w:rPr>
          <w:sz w:val="20"/>
          <w:szCs w:val="20"/>
          <w:color w:val="auto"/>
        </w:rPr>
      </w:pPr>
    </w:p>
    <w:p>
      <w:pPr>
        <w:ind w:left="200" w:right="20"/>
        <w:spacing w:after="0" w:line="243" w:lineRule="auto"/>
        <w:rPr>
          <w:sz w:val="20"/>
          <w:szCs w:val="20"/>
          <w:color w:val="auto"/>
        </w:rPr>
      </w:pPr>
      <w:r>
        <w:rPr>
          <w:rFonts w:ascii="Arial" w:cs="Arial" w:eastAsia="Arial" w:hAnsi="Arial"/>
          <w:sz w:val="18"/>
          <w:szCs w:val="18"/>
          <w:color w:val="auto"/>
        </w:rPr>
        <w:t>In addition,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7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10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04" w:lineRule="exact"/>
        <w:rPr>
          <w:sz w:val="20"/>
          <w:szCs w:val="20"/>
          <w:color w:val="auto"/>
        </w:rPr>
      </w:pPr>
    </w:p>
    <w:p>
      <w:pPr>
        <w:ind w:left="200" w:right="80"/>
        <w:spacing w:after="0" w:line="252"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77" w:lineRule="exact"/>
        <w:rPr>
          <w:sz w:val="20"/>
          <w:szCs w:val="20"/>
          <w:color w:val="auto"/>
        </w:rPr>
      </w:pPr>
    </w:p>
    <w:p>
      <w:pPr>
        <w:ind w:left="480" w:hanging="27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80" w:right="160" w:hanging="276"/>
        <w:spacing w:after="0" w:line="26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or</w:t>
      </w:r>
    </w:p>
    <w:p>
      <w:pPr>
        <w:spacing w:after="0" w:line="62" w:lineRule="exact"/>
        <w:rPr>
          <w:rFonts w:ascii="Arial" w:cs="Arial" w:eastAsia="Arial" w:hAnsi="Arial"/>
          <w:sz w:val="18"/>
          <w:szCs w:val="18"/>
          <w:color w:val="auto"/>
        </w:rPr>
      </w:pPr>
    </w:p>
    <w:p>
      <w:pPr>
        <w:ind w:left="480" w:hanging="27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ind w:left="200" w:right="300"/>
        <w:spacing w:after="0" w:line="243"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representative and the Company that it is a “qualified investor” within the meaning of the law in that Relevant Member State implementing Article 2(1)(e) of the Prospectus Directive.</w:t>
      </w:r>
    </w:p>
    <w:p>
      <w:pPr>
        <w:spacing w:after="0" w:line="73"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76" w:lineRule="exact"/>
        <w:rPr>
          <w:sz w:val="20"/>
          <w:szCs w:val="20"/>
          <w:color w:val="auto"/>
        </w:rPr>
      </w:pPr>
    </w:p>
    <w:p>
      <w:pPr>
        <w:jc w:val="both"/>
        <w:ind w:left="200" w:right="220"/>
        <w:spacing w:after="0" w:line="281" w:lineRule="auto"/>
        <w:rPr>
          <w:sz w:val="20"/>
          <w:szCs w:val="20"/>
          <w:color w:val="auto"/>
        </w:rPr>
      </w:pPr>
      <w:r>
        <w:rPr>
          <w:rFonts w:ascii="Arial" w:cs="Arial" w:eastAsia="Arial" w:hAnsi="Arial"/>
          <w:sz w:val="16"/>
          <w:szCs w:val="16"/>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such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77" w:lineRule="exact"/>
        <w:rPr>
          <w:sz w:val="20"/>
          <w:szCs w:val="20"/>
          <w:color w:val="auto"/>
        </w:rPr>
      </w:pPr>
    </w:p>
    <w:p>
      <w:pPr>
        <w:jc w:val="both"/>
        <w:ind w:left="200" w:right="40"/>
        <w:spacing w:after="0" w:line="252"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04"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3" w:lineRule="exact"/>
        <w:rPr>
          <w:sz w:val="20"/>
          <w:szCs w:val="20"/>
          <w:color w:val="auto"/>
        </w:rPr>
      </w:pPr>
    </w:p>
    <w:p>
      <w:pPr>
        <w:ind w:left="200" w:right="200"/>
        <w:spacing w:after="0" w:line="24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3" w:lineRule="exact"/>
        <w:rPr>
          <w:sz w:val="20"/>
          <w:szCs w:val="20"/>
          <w:color w:val="auto"/>
        </w:rPr>
      </w:pPr>
    </w:p>
    <w:p>
      <w:pPr>
        <w:ind w:left="200" w:right="200"/>
        <w:spacing w:after="0" w:line="26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04"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6"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04"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80"/>
          </w:cols>
          <w:pgMar w:left="24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Australia</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prospectus supplement:</w:t>
      </w:r>
    </w:p>
    <w:p>
      <w:pPr>
        <w:spacing w:after="0" w:line="117" w:lineRule="exact"/>
        <w:rPr>
          <w:sz w:val="20"/>
          <w:szCs w:val="20"/>
          <w:color w:val="auto"/>
        </w:rPr>
      </w:pPr>
    </w:p>
    <w:p>
      <w:pPr>
        <w:ind w:left="420" w:right="940" w:hanging="216"/>
        <w:spacing w:after="0" w:line="26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62" w:lineRule="exact"/>
        <w:rPr>
          <w:rFonts w:ascii="Arial" w:cs="Arial" w:eastAsia="Arial" w:hAnsi="Arial"/>
          <w:sz w:val="18"/>
          <w:szCs w:val="18"/>
          <w:color w:val="auto"/>
        </w:rPr>
      </w:pPr>
    </w:p>
    <w:p>
      <w:pPr>
        <w:ind w:left="420" w:right="240" w:hanging="216"/>
        <w:spacing w:after="0" w:line="252"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77" w:lineRule="exact"/>
        <w:rPr>
          <w:rFonts w:ascii="Arial" w:cs="Arial" w:eastAsia="Arial" w:hAnsi="Arial"/>
          <w:sz w:val="18"/>
          <w:szCs w:val="18"/>
          <w:color w:val="auto"/>
        </w:rPr>
      </w:pPr>
    </w:p>
    <w:p>
      <w:pPr>
        <w:jc w:val="both"/>
        <w:ind w:left="420" w:right="20" w:hanging="216"/>
        <w:spacing w:after="0" w:line="252"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77" w:lineRule="exact"/>
        <w:rPr>
          <w:rFonts w:ascii="Arial" w:cs="Arial" w:eastAsia="Arial" w:hAnsi="Arial"/>
          <w:sz w:val="18"/>
          <w:szCs w:val="18"/>
          <w:color w:val="auto"/>
        </w:rPr>
      </w:pPr>
    </w:p>
    <w:p>
      <w:pPr>
        <w:ind w:left="420" w:right="440" w:hanging="216"/>
        <w:spacing w:after="0" w:line="26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49" w:lineRule="exact"/>
        <w:rPr>
          <w:sz w:val="20"/>
          <w:szCs w:val="20"/>
          <w:color w:val="auto"/>
        </w:rPr>
      </w:pPr>
    </w:p>
    <w:p>
      <w:pPr>
        <w:ind w:left="200" w:right="60"/>
        <w:spacing w:after="0" w:line="24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3"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04"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04" w:lineRule="exact"/>
        <w:rPr>
          <w:sz w:val="20"/>
          <w:szCs w:val="20"/>
          <w:color w:val="auto"/>
        </w:rPr>
      </w:pPr>
    </w:p>
    <w:p>
      <w:pPr>
        <w:ind w:left="200" w:right="120"/>
        <w:spacing w:after="0" w:line="287"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04"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640" w:right="540" w:hanging="436"/>
        <w:spacing w:after="0" w:line="333"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 w:lineRule="exact"/>
        <w:rPr>
          <w:rFonts w:ascii="Arial" w:cs="Arial" w:eastAsia="Arial" w:hAnsi="Arial"/>
          <w:sz w:val="16"/>
          <w:szCs w:val="16"/>
          <w:color w:val="auto"/>
        </w:rPr>
      </w:pPr>
    </w:p>
    <w:p>
      <w:pPr>
        <w:ind w:left="640" w:hanging="436"/>
        <w:spacing w:after="0" w:line="26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49" w:lineRule="exact"/>
        <w:rPr>
          <w:sz w:val="20"/>
          <w:szCs w:val="20"/>
          <w:color w:val="auto"/>
        </w:rPr>
      </w:pPr>
    </w:p>
    <w:p>
      <w:pPr>
        <w:ind w:left="200" w:right="180"/>
        <w:spacing w:after="0" w:line="252"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7" w:lineRule="exact"/>
        <w:rPr>
          <w:sz w:val="20"/>
          <w:szCs w:val="20"/>
          <w:color w:val="auto"/>
        </w:rPr>
      </w:pPr>
    </w:p>
    <w:p>
      <w:pPr>
        <w:ind w:left="640" w:right="80" w:hanging="436"/>
        <w:spacing w:after="0" w:line="26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640" w:right="560" w:hanging="436"/>
        <w:spacing w:after="0" w:line="26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Legal matters</w:t>
      </w:r>
    </w:p>
    <w:p>
      <w:pPr>
        <w:spacing w:after="0" w:line="142" w:lineRule="exact"/>
        <w:rPr>
          <w:sz w:val="20"/>
          <w:szCs w:val="20"/>
          <w:color w:val="auto"/>
        </w:rPr>
      </w:pPr>
    </w:p>
    <w:p>
      <w:pPr>
        <w:ind w:left="200" w:right="620"/>
        <w:spacing w:after="0" w:line="333" w:lineRule="auto"/>
        <w:rPr>
          <w:sz w:val="20"/>
          <w:szCs w:val="20"/>
          <w:color w:val="auto"/>
        </w:rPr>
      </w:pPr>
      <w:r>
        <w:rPr>
          <w:rFonts w:ascii="Arial" w:cs="Arial" w:eastAsia="Arial" w:hAnsi="Arial"/>
          <w:sz w:val="16"/>
          <w:szCs w:val="16"/>
          <w:color w:val="auto"/>
        </w:rPr>
        <w:t>Certain legal matters, including the legality of the securities offered, will be passed upon for us by Bass, Berry &amp; Sims, PLC, Memphis, Tennessee. The underwriters have been represented in this offering by Davis Polk &amp; Wardwell LLP, New York, New York.</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Experts</w:t>
      </w:r>
    </w:p>
    <w:p>
      <w:pPr>
        <w:spacing w:after="0" w:line="142"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The financial statements of NN, Inc. and management’s assessment of the effectiveness of internal control over financial reporting (which is included in Management’s Report on Internal Control over Financial Reporting) incorporated in this prospectus supplement by reference to the Annual Report on Form 10-K of NN, Inc. for the year ended December 31, 2017, except as they relate to the financial statements of Wuxi Weifu Autocam Precision Machinery Co., Ltd. as of and for the year ended December 31, 2016, have been so incorporated in reliance on the report (which contains an adverse opinion on the effectiveness of internal control over financial reporting as of December 31, 2017) of PricewaterhouseCoopers LLP, an independent registered public accounting firm, given on the authority of said firm as experts in auditing and accounting.</w:t>
      </w:r>
    </w:p>
    <w:p>
      <w:pPr>
        <w:spacing w:after="0" w:line="77"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The consolidated balance sheets of PMG Intermediate Holding Corporation and Subsidiaries as of December 31, 2017 and the related consolidated statements of income, comprehensive income, stockholders’ equity, and cash flows for the year then ended, included in this prospectus, have been so included in reliance on the report of RSM US LLP, independent auditors, given on the authority of that firm as experts in auditing and accounting.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42" w:lineRule="exact"/>
        <w:rPr>
          <w:sz w:val="20"/>
          <w:szCs w:val="20"/>
          <w:color w:val="auto"/>
        </w:rPr>
      </w:pPr>
    </w:p>
    <w:p>
      <w:pPr>
        <w:ind w:left="200" w:right="260"/>
        <w:spacing w:after="0" w:line="287" w:lineRule="auto"/>
        <w:rPr>
          <w:sz w:val="20"/>
          <w:szCs w:val="20"/>
          <w:color w:val="auto"/>
        </w:rPr>
      </w:pPr>
      <w:r>
        <w:rPr>
          <w:rFonts w:ascii="Arial" w:cs="Arial" w:eastAsia="Arial" w:hAnsi="Arial"/>
          <w:sz w:val="16"/>
          <w:szCs w:val="16"/>
          <w:color w:val="auto"/>
        </w:rPr>
        <w:t>We have filed a registration statement on Form S-3 with respect to the common stock offered by this prospectus supplement with the SEC. This prospectus supplement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w:t>
      </w:r>
    </w:p>
    <w:p>
      <w:pPr>
        <w:spacing w:after="0" w:line="38" w:lineRule="exact"/>
        <w:rPr>
          <w:sz w:val="20"/>
          <w:szCs w:val="20"/>
          <w:color w:val="auto"/>
        </w:rPr>
      </w:pPr>
    </w:p>
    <w:p>
      <w:pPr>
        <w:ind w:left="200" w:right="20"/>
        <w:spacing w:after="0" w:line="274" w:lineRule="auto"/>
        <w:rPr>
          <w:sz w:val="20"/>
          <w:szCs w:val="20"/>
          <w:color w:val="auto"/>
        </w:rPr>
      </w:pPr>
      <w:r>
        <w:rPr>
          <w:rFonts w:ascii="Arial" w:cs="Arial" w:eastAsia="Arial" w:hAnsi="Arial"/>
          <w:sz w:val="16"/>
          <w:szCs w:val="16"/>
          <w:color w:val="auto"/>
        </w:rPr>
        <w:t>We are subject to the informational reporting requirements of the Exchange Act and, in accordance with the Exchange Act, we file annual, quarterly and special reports and other information with the SEC. Our filings with the SEC are available to the public on the SEC’s website at http://www.sec.gov. Those filings are also available to the public on, or accessible through, our website under the heading “Investors.” The information we file with the SEC or contained on or accessible through our corporate website or any other website that we may maintain is not part of this prospectus supplement, the accompanying prospectus or the registration statement of which this prospectus supplement is a part. You may also read and copy, at SEC prescribed rates, any document we file with the SEC, including the registration statement (and its exhibits) of which this prospectus supplement is a part, at the SEC’s Public Reference Room located at 100 F Street, N.E., Washington D.C. 20549. You can call the SEC at 1-800-SEC-0330 to obtain information on the operation of the Public Reference Room.</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Incorporation by reference</w:t>
      </w:r>
    </w:p>
    <w:p>
      <w:pPr>
        <w:spacing w:after="0" w:line="142"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SEC’s rules allow us to “incorporate by reference” information into this prospectus supplement. This means that we can disclose important information to you by referring you to another document. Any information referred to in this way is considered part of this prospectus supplement from the date we file that document. Any reports filed by us pursuant to Sections 13(a), 13(c), 14 and 15 of the Exchange Act with the SEC after the date of this prospectus supplement and prior to the termination of this offering shall be deemed to be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0" w:right="180"/>
        <w:spacing w:after="0" w:line="333" w:lineRule="auto"/>
        <w:rPr>
          <w:sz w:val="20"/>
          <w:szCs w:val="20"/>
          <w:color w:val="auto"/>
        </w:rPr>
      </w:pPr>
      <w:r>
        <w:rPr>
          <w:rFonts w:ascii="Arial" w:cs="Arial" w:eastAsia="Arial" w:hAnsi="Arial"/>
          <w:sz w:val="16"/>
          <w:szCs w:val="16"/>
          <w:color w:val="auto"/>
        </w:rPr>
        <w:t>incorporated by reference in this prospectus supplement and to be a part hereof from the date of filing of such documents and, where applicable, supersede any information contained in this prospectus supplement or incorporated by reference in this prospectus supplement.</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incorporate by reference into this prospectus supplement the following documents or information filed with the SEC:</w:t>
      </w:r>
    </w:p>
    <w:p>
      <w:pPr>
        <w:spacing w:after="0" w:line="117" w:lineRule="exact"/>
        <w:rPr>
          <w:sz w:val="20"/>
          <w:szCs w:val="20"/>
          <w:color w:val="auto"/>
        </w:rPr>
      </w:pPr>
    </w:p>
    <w:p>
      <w:pPr>
        <w:ind w:left="420" w:right="220" w:hanging="216"/>
        <w:spacing w:after="0" w:line="33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2017, filed with the SEC on April 2, 2018, including information incorporated therein by reference to the Definitive Proxy Statement for the Company’s 2018 Annual Meeting of Stockholders;</w:t>
      </w:r>
    </w:p>
    <w:p>
      <w:pPr>
        <w:spacing w:after="0" w:line="16" w:lineRule="exact"/>
        <w:rPr>
          <w:rFonts w:ascii="Arial" w:cs="Arial" w:eastAsia="Arial" w:hAnsi="Arial"/>
          <w:sz w:val="16"/>
          <w:szCs w:val="16"/>
          <w:color w:val="auto"/>
        </w:rPr>
      </w:pPr>
    </w:p>
    <w:p>
      <w:pPr>
        <w:ind w:left="420" w:right="140" w:hanging="216"/>
        <w:spacing w:after="0" w:line="26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and June 30, 2018, filed with the SEC on May 10, 2018, and August 9, 2018, respectively.</w:t>
      </w:r>
    </w:p>
    <w:p>
      <w:pPr>
        <w:spacing w:after="0" w:line="62" w:lineRule="exact"/>
        <w:rPr>
          <w:rFonts w:ascii="Arial" w:cs="Arial" w:eastAsia="Arial" w:hAnsi="Arial"/>
          <w:sz w:val="18"/>
          <w:szCs w:val="18"/>
          <w:color w:val="auto"/>
        </w:rPr>
      </w:pPr>
    </w:p>
    <w:p>
      <w:pPr>
        <w:ind w:left="420" w:right="400" w:hanging="216"/>
        <w:spacing w:after="0" w:line="33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January 5, 2018, April 3, 2018 (except with respect to Item 7.01), May 7, 2018 (except with respect to Item 7.01), and May 23, 2018 and our Current Report on Form 8-K/A filed with the SEC on June 4, 2018; and</w:t>
      </w:r>
    </w:p>
    <w:p>
      <w:pPr>
        <w:spacing w:after="0" w:line="16" w:lineRule="exact"/>
        <w:rPr>
          <w:rFonts w:ascii="Arial" w:cs="Arial" w:eastAsia="Arial" w:hAnsi="Arial"/>
          <w:sz w:val="16"/>
          <w:szCs w:val="16"/>
          <w:color w:val="auto"/>
        </w:rPr>
      </w:pPr>
    </w:p>
    <w:p>
      <w:pPr>
        <w:ind w:left="420" w:right="300" w:hanging="216"/>
        <w:spacing w:after="0" w:line="26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49" w:lineRule="exact"/>
        <w:rPr>
          <w:sz w:val="20"/>
          <w:szCs w:val="20"/>
          <w:color w:val="auto"/>
        </w:rPr>
      </w:pPr>
    </w:p>
    <w:p>
      <w:pPr>
        <w:ind w:left="200" w:right="120"/>
        <w:spacing w:after="0" w:line="287" w:lineRule="auto"/>
        <w:rPr>
          <w:sz w:val="20"/>
          <w:szCs w:val="20"/>
          <w:color w:val="auto"/>
        </w:rPr>
      </w:pPr>
      <w:r>
        <w:rPr>
          <w:rFonts w:ascii="Arial" w:cs="Arial" w:eastAsia="Arial" w:hAnsi="Arial"/>
          <w:sz w:val="16"/>
          <w:szCs w:val="16"/>
          <w:color w:val="auto"/>
        </w:rPr>
        <w:t>For purposes of the registration statement of which the accompanying prospectus is a part, any statement contained in a document incorporated or deemed to be incorporated herein by reference shall be deemed to be modified or superseded to the extent that a statement contained herein modifies or supersedes such statement in such document. Any statement so modified or superseded shall not be deemed, except as so modified or superseded, to constitute a part of the registration statement of which the accompanying prospectus is a part.</w:t>
      </w:r>
    </w:p>
    <w:p>
      <w:pPr>
        <w:spacing w:after="0" w:line="38"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We also incorporate by reference any future filings we make with the SEC (other than information furnished pursuant to Item 2.02 or Item 7.01 of Form 8-K or as otherwise permitted by the SEC’s rules) under Section 13(a), 13(c), 14 or 15(d) of the Exchange Act, until we have sold all of the shares of common stock to which this prospectus supplement relates or the offering is otherwise terminated.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obtain a copy of these filings, at no cost, by writing or telephoning us at the following address or telephone number: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NN, Inc.</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6210 Ardrey Kell Road</w:t>
      </w:r>
    </w:p>
    <w:p>
      <w:pPr>
        <w:jc w:val="center"/>
        <w:ind w:right="-219"/>
        <w:spacing w:after="0" w:line="234" w:lineRule="auto"/>
        <w:rPr>
          <w:sz w:val="20"/>
          <w:szCs w:val="20"/>
          <w:color w:val="auto"/>
        </w:rPr>
      </w:pPr>
      <w:r>
        <w:rPr>
          <w:rFonts w:ascii="Arial" w:cs="Arial" w:eastAsia="Arial" w:hAnsi="Arial"/>
          <w:sz w:val="18"/>
          <w:szCs w:val="18"/>
          <w:color w:val="auto"/>
        </w:rPr>
        <w:t>Charlotte, North Carolina 28277</w:t>
      </w:r>
    </w:p>
    <w:p>
      <w:pPr>
        <w:ind w:left="5580" w:hanging="466"/>
        <w:spacing w:after="0" w:line="235" w:lineRule="auto"/>
        <w:tabs>
          <w:tab w:leader="none" w:pos="5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264-4300</w:t>
      </w:r>
    </w:p>
    <w:p>
      <w:pPr>
        <w:ind w:left="4940"/>
        <w:spacing w:after="0"/>
        <w:rPr>
          <w:rFonts w:ascii="Arial" w:cs="Arial" w:eastAsia="Arial" w:hAnsi="Arial"/>
          <w:sz w:val="18"/>
          <w:szCs w:val="18"/>
          <w:color w:val="auto"/>
        </w:rPr>
      </w:pPr>
      <w:r>
        <w:rPr>
          <w:rFonts w:ascii="Arial" w:cs="Arial" w:eastAsia="Arial" w:hAnsi="Arial"/>
          <w:sz w:val="18"/>
          <w:szCs w:val="18"/>
          <w:color w:val="auto"/>
        </w:rPr>
        <w:t>Attention: Secretary</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00"/>
          </w:cols>
          <w:pgMar w:left="24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174625</wp:posOffset>
            </wp:positionV>
            <wp:extent cx="54864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2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$400,000,000</w:t>
      </w: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200"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sell up to an aggregate of $400,000,000 of any combination of the securities described in this prospectus. We will specify the terms of any offering of securities by us in a prospectus supplement.</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You should read this prospectus, any prospectus supplement and the information incorporated by reference herein or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ind w:left="200" w:right="2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You should carefully consider the risk factors described in the applicable prospectus supplement and certain of our filings with the Securities and Exchange Commission, as described under “</w:t>
      </w:r>
      <w:hyperlink w:anchor="page43">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212090</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9"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Our common stock is quoted and traded on The NASDAQ Global Select Market under the ticker symbol “NNBR.” On March 13, 2017, the last reported sale price of our common stock on The NASDAQ Global Select Market was $22.45. The applicable prospectus supplement will contain information, where applicable, as to any other listing on The NASDAQ Global Select Market or any securities market or exchange of the securities covered by the prospectus supplement.</w:t>
      </w:r>
    </w:p>
    <w:p>
      <w:pPr>
        <w:spacing w:after="0" w:line="180" w:lineRule="exact"/>
        <w:rPr>
          <w:sz w:val="20"/>
          <w:szCs w:val="20"/>
          <w:color w:val="auto"/>
        </w:rPr>
      </w:pPr>
    </w:p>
    <w:p>
      <w:pPr>
        <w:ind w:left="200" w:right="80"/>
        <w:spacing w:after="0" w:line="258" w:lineRule="auto"/>
        <w:rPr>
          <w:sz w:val="20"/>
          <w:szCs w:val="20"/>
          <w:color w:val="auto"/>
        </w:rPr>
      </w:pPr>
      <w:r>
        <w:rPr>
          <w:rFonts w:ascii="Times New Roman" w:cs="Times New Roman" w:eastAsia="Times New Roman" w:hAnsi="Times New Roman"/>
          <w:sz w:val="18"/>
          <w:szCs w:val="18"/>
          <w:color w:val="auto"/>
        </w:rPr>
        <w:t>The securities may be offered directly by us to investors, to or through underwriters or dealers or through agents. If any underwriters are involved in the sale of any securities offered by this prospectus and any prospectus supplement, their names, and any applicable purchase price, fee, commission or discount arrangement between or among them, and any applicable options to purchase additional securities, will be set forth, or will be calculable from the information set forth, in the applicable prospectus supplement. The price to the public of such securities and the net proceeds we expect to receive from such sale will also be set forth in a prospectus supplement.</w:t>
      </w:r>
    </w:p>
    <w:p>
      <w:pPr>
        <w:spacing w:after="0" w:line="180" w:lineRule="exact"/>
        <w:rPr>
          <w:sz w:val="20"/>
          <w:szCs w:val="20"/>
          <w:color w:val="auto"/>
        </w:rPr>
      </w:pPr>
    </w:p>
    <w:p>
      <w:pPr>
        <w:ind w:left="20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207010</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19, 2017.</w:t>
      </w:r>
    </w:p>
    <w:p>
      <w:pPr>
        <w:sectPr>
          <w:pgSz w:w="11900" w:h="16838" w:orient="portrait"/>
          <w:cols w:equalWidth="0" w:num="1">
            <w:col w:w="11220"/>
          </w:cols>
          <w:pgMar w:left="24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240" w:type="dxa"/>
            <w:vAlign w:val="bottom"/>
            <w:gridSpan w:val="8"/>
            <w:vMerge w:val="restart"/>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ABOUT THIS PROSPECTUS</w:t>
              </w:r>
            </w:hyperlink>
          </w:p>
        </w:tc>
        <w:tc>
          <w:tcPr>
            <w:tcW w:w="5700" w:type="dxa"/>
            <w:vAlign w:val="bottom"/>
            <w:gridSpan w:val="9"/>
            <w:vMerge w:val="restart"/>
          </w:tcPr>
          <w:p>
            <w:pPr>
              <w:spacing w:after="0"/>
              <w:rPr>
                <w:sz w:val="15"/>
                <w:szCs w:val="15"/>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0000EE"/>
            </w:tcBorders>
            <w:gridSpan w:val="8"/>
            <w:vMerge w:val="continue"/>
          </w:tcPr>
          <w:p>
            <w:pPr>
              <w:spacing w:after="0"/>
              <w:rPr>
                <w:sz w:val="13"/>
                <w:szCs w:val="13"/>
                <w:color w:val="auto"/>
              </w:rPr>
            </w:pPr>
          </w:p>
        </w:tc>
        <w:tc>
          <w:tcPr>
            <w:tcW w:w="5700" w:type="dxa"/>
            <w:vAlign w:val="bottom"/>
            <w:gridSpan w:val="9"/>
            <w:vMerge w:val="continue"/>
          </w:tcPr>
          <w:p>
            <w:pPr>
              <w:spacing w:after="0"/>
              <w:rPr>
                <w:sz w:val="13"/>
                <w:szCs w:val="13"/>
                <w:color w:val="auto"/>
              </w:rPr>
            </w:pPr>
          </w:p>
        </w:tc>
        <w:tc>
          <w:tcPr>
            <w:tcW w:w="27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DISCLOSURE REGARDING FORWARD-LOOKING STATEMENTS</w:t>
              </w:r>
            </w:hyperlink>
          </w:p>
        </w:tc>
        <w:tc>
          <w:tcPr>
            <w:tcW w:w="27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ABOUT NN, INC.</w:t>
              </w:r>
            </w:hyperlink>
          </w:p>
        </w:tc>
        <w:tc>
          <w:tcPr>
            <w:tcW w:w="6560" w:type="dxa"/>
            <w:vAlign w:val="bottom"/>
            <w:gridSpan w:val="14"/>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RISK FACTORS</w:t>
              </w:r>
            </w:hyperlink>
          </w:p>
        </w:tc>
        <w:tc>
          <w:tcPr>
            <w:tcW w:w="6680" w:type="dxa"/>
            <w:vAlign w:val="bottom"/>
            <w:gridSpan w:val="15"/>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940" w:type="dxa"/>
            <w:vAlign w:val="bottom"/>
            <w:gridSpan w:val="17"/>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USE OF PROCEEDS</w:t>
              </w:r>
            </w:hyperlink>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gridSpan w:val="17"/>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RATIO OF EARNINGS TO FIXED CHARGES</w:t>
              </w:r>
            </w:hyperlink>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DESCRIPTION OF THE SECURITIES</w:t>
              </w:r>
            </w:hyperlink>
          </w:p>
        </w:tc>
        <w:tc>
          <w:tcPr>
            <w:tcW w:w="4440" w:type="dxa"/>
            <w:vAlign w:val="bottom"/>
            <w:gridSpan w:val="4"/>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gridSpan w:val="17"/>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DESCRIPTION OF DEBT SECURITIES</w:t>
              </w:r>
            </w:hyperlink>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gridSpan w:val="17"/>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DESCRIPTION OF PREFERRED STOCK</w:t>
              </w:r>
            </w:hyperlink>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DESCRIPTION OF COMMON STOCK</w:t>
              </w:r>
            </w:hyperlink>
          </w:p>
        </w:tc>
        <w:tc>
          <w:tcPr>
            <w:tcW w:w="120" w:type="dxa"/>
            <w:vAlign w:val="bottom"/>
            <w:tcBorders>
              <w:top w:val="single" w:sz="8" w:color="0000EE"/>
            </w:tcBorders>
          </w:tcPr>
          <w:p>
            <w:pPr>
              <w:spacing w:after="0"/>
              <w:rPr>
                <w:sz w:val="17"/>
                <w:szCs w:val="17"/>
                <w:color w:val="auto"/>
              </w:rPr>
            </w:pPr>
          </w:p>
        </w:tc>
        <w:tc>
          <w:tcPr>
            <w:tcW w:w="4800" w:type="dxa"/>
            <w:vAlign w:val="bottom"/>
            <w:gridSpan w:val="5"/>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7940" w:type="dxa"/>
            <w:vAlign w:val="bottom"/>
            <w:gridSpan w:val="17"/>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DESCRIPTION OF WARRANTS</w:t>
              </w:r>
            </w:hyperlink>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DESCRIPTION OF UNITS</w:t>
              </w:r>
            </w:hyperlink>
          </w:p>
        </w:tc>
        <w:tc>
          <w:tcPr>
            <w:tcW w:w="5460" w:type="dxa"/>
            <w:vAlign w:val="bottom"/>
            <w:gridSpan w:val="8"/>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PLAN OF DISTRIBUTION</w:t>
              </w:r>
            </w:hyperlink>
          </w:p>
        </w:tc>
        <w:tc>
          <w:tcPr>
            <w:tcW w:w="5880" w:type="dxa"/>
            <w:vAlign w:val="bottom"/>
            <w:gridSpan w:val="10"/>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7940" w:type="dxa"/>
            <w:vAlign w:val="bottom"/>
            <w:gridSpan w:val="17"/>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INFORMATION INCORPORATED BY REFERENCE</w:t>
              </w:r>
            </w:hyperlink>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WHERE YOU CAN FIND MORE INFORMATION</w:t>
              </w:r>
            </w:hyperlink>
          </w:p>
        </w:tc>
        <w:tc>
          <w:tcPr>
            <w:tcW w:w="200" w:type="dxa"/>
            <w:vAlign w:val="bottom"/>
            <w:tcBorders>
              <w:top w:val="single" w:sz="8" w:color="0000EE"/>
            </w:tcBorders>
          </w:tcPr>
          <w:p>
            <w:pPr>
              <w:spacing w:after="0"/>
              <w:rPr>
                <w:sz w:val="17"/>
                <w:szCs w:val="17"/>
                <w:color w:val="auto"/>
              </w:rPr>
            </w:pPr>
          </w:p>
        </w:tc>
        <w:tc>
          <w:tcPr>
            <w:tcW w:w="3920" w:type="dxa"/>
            <w:vAlign w:val="bottom"/>
            <w:gridSpan w:val="2"/>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71">
              <w:r>
                <w:rPr>
                  <w:rFonts w:ascii="Times New Roman" w:cs="Times New Roman" w:eastAsia="Times New Roman" w:hAnsi="Times New Roman"/>
                  <w:sz w:val="18"/>
                  <w:szCs w:val="18"/>
                  <w:color w:val="0000EE"/>
                  <w:w w:val="97"/>
                </w:rPr>
                <w:t>EXPERTS</w:t>
              </w:r>
            </w:hyperlink>
          </w:p>
        </w:tc>
        <w:tc>
          <w:tcPr>
            <w:tcW w:w="7160" w:type="dxa"/>
            <w:vAlign w:val="bottom"/>
            <w:gridSpan w:val="16"/>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71">
              <w:r>
                <w:rPr>
                  <w:rFonts w:ascii="Times New Roman" w:cs="Times New Roman" w:eastAsia="Times New Roman" w:hAnsi="Times New Roman"/>
                  <w:sz w:val="18"/>
                  <w:szCs w:val="18"/>
                  <w:color w:val="0000EE"/>
                  <w:w w:val="97"/>
                </w:rPr>
                <w:t>LEGAL MATTERS</w:t>
              </w:r>
            </w:hyperlink>
          </w:p>
        </w:tc>
        <w:tc>
          <w:tcPr>
            <w:tcW w:w="6480" w:type="dxa"/>
            <w:vAlign w:val="bottom"/>
            <w:gridSpan w:val="13"/>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prospectus supplemental shall constitute an offer to sell or a solicitation of an offer to buy offered securities in any jurisdiction in which it is unlawful for such person to make such an offering or solicitation. Neither the delivery of this prospectus or any prospectus supplement nor any sale made hereunder shall under any circumstances imply that the information contained or incorporated by reference in this prospectus or in any prospectus supplement is correct as of any date subsequent to the date of this prospectus supplement or of any prospectus supplement.</w:t>
      </w:r>
    </w:p>
    <w:p>
      <w:pPr>
        <w:spacing w:after="0" w:line="187" w:lineRule="exact"/>
        <w:rPr>
          <w:sz w:val="20"/>
          <w:szCs w:val="20"/>
          <w:color w:val="auto"/>
        </w:rPr>
      </w:pPr>
    </w:p>
    <w:p>
      <w:pPr>
        <w:ind w:left="200" w:right="2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“NN,” “we,” “our,” “us” or “our company” in this prospectus refer to NN, Inc., a Delaware corporation and its consolidated subsidiaries.</w:t>
      </w:r>
    </w:p>
    <w:p>
      <w:pPr>
        <w:sectPr>
          <w:pgSz w:w="11900" w:h="16838" w:orient="portrait"/>
          <w:cols w:equalWidth="0" w:num="1">
            <w:col w:w="11180"/>
          </w:cols>
          <w:pgMar w:left="24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Securities and Exchange Commission, or SEC, utilizing a shelf registration process. Under this shelf registration process, we may sell any combination of the securities described in this prospectus, either individually or in units, in one or more offerings, up to a total dollar amount of $400,000,000.</w:t>
      </w:r>
    </w:p>
    <w:p>
      <w:pPr>
        <w:spacing w:after="0" w:line="176" w:lineRule="exact"/>
        <w:rPr>
          <w:sz w:val="20"/>
          <w:szCs w:val="20"/>
          <w:color w:val="auto"/>
        </w:rPr>
      </w:pPr>
    </w:p>
    <w:p>
      <w:pPr>
        <w:ind w:left="200" w:right="2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specific offering. The prospectus supplement may also add, update or change information contained in this prospectus. You should read this prospectus and the applicable prospectus supplement together with the additional information described under the heading “Where You Can Find More Information.”</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Except for specific historical information, many of the matters discussed in this prospectus, or the information incorporated by reference into this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appearing in this prospectus, including the information incorporated by reference into this prospectus,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196" w:lineRule="exact"/>
        <w:rPr>
          <w:sz w:val="20"/>
          <w:szCs w:val="20"/>
          <w:color w:val="auto"/>
        </w:rPr>
      </w:pPr>
    </w:p>
    <w:p>
      <w:pPr>
        <w:ind w:left="200" w:right="420"/>
        <w:spacing w:after="0" w:line="261"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“Risk Factors” in any prospectus supplement as well as in our Annual Report on Form 10-K for the fiscal year ended December 31, 2016 and our other reports on file with the SEC. Except as required by law, we undertake no obligation to update or revise any forward-looking statements we make in our prospectus, whether as a result of new information, future events or otherwise.</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ABOUT NN, INC.</w:t>
      </w:r>
    </w:p>
    <w:p>
      <w:pPr>
        <w:spacing w:after="0" w:line="229" w:lineRule="exact"/>
        <w:rPr>
          <w:sz w:val="20"/>
          <w:szCs w:val="20"/>
          <w:color w:val="auto"/>
        </w:rPr>
      </w:pPr>
    </w:p>
    <w:p>
      <w:pPr>
        <w:ind w:left="200" w:right="300"/>
        <w:spacing w:after="0" w:line="266" w:lineRule="auto"/>
        <w:rPr>
          <w:sz w:val="20"/>
          <w:szCs w:val="20"/>
          <w:color w:val="auto"/>
        </w:rPr>
      </w:pPr>
      <w:r>
        <w:rPr>
          <w:rFonts w:ascii="Times New Roman" w:cs="Times New Roman" w:eastAsia="Times New Roman" w:hAnsi="Times New Roman"/>
          <w:sz w:val="18"/>
          <w:szCs w:val="18"/>
          <w:color w:val="auto"/>
        </w:rPr>
        <w:t>We are a diversified industrial company and a leading global manufacturer of high precision bearing components, industrial plastic products and precision metal components to a variety of markets on a global basis. We have 40 manufacturing plants in North America, Western Europe, Eastern Europe, South America and China.</w:t>
      </w:r>
    </w:p>
    <w:p>
      <w:pPr>
        <w:spacing w:after="0" w:line="176"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October, 1980. Our principal executive offices are maintained at 207 Mockingbird Lane, Johnson City, Tennessee 37604 and our telephone number is (423) 434-8300. Our common stock is listed on The NASDAQ Global Select Market under the ticker symbol “NNBR.”</w:t>
      </w:r>
    </w:p>
    <w:p>
      <w:pPr>
        <w:spacing w:after="0" w:line="176"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For further discussion of the material elements of our business, please refer to our Annual Report on Form 10-K for the fiscal year ended December 31, 2016 on file with the SEC, and any subsequent reports we file with the SEC, including those incorporated by reference into this prospectus.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240" w:top="455" w:right="5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right="2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Please see the risk factors under the heading “Risk Factors” in any prospectus supplement as well as in our Annual Report on Form 10-K for the fiscal year ended December 31, 2016 on file with the SEC, which are incorporated by reference into this prospectus and which may be amended, supplemented or superseded from time to time by other reports that we subsequently file with the SEC. Before you invest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Unless indicated otherwise in the applicable prospectus supplement, we expect to use the net proceeds for our operations and for other general corporate purposes, including, but not limited to, capital expenditures, repayment or refinancing of borrowings, working capital, investments and acquisitions. We have not allocated any portion of the net proceeds for any particular use at this time. Pending such uses, we may invest the net proceeds in demand deposits, money market accounts or short-term, investment-grade, interest-bearing securities or guaranteed obligations of the United States government or other securities. Additional information on the use of net proceeds may be set forth in the applicable prospectus supplement or other offering material relating to such offering. If net proceeds from a specific offering will be used to repay indebtedness, the applicable prospectus supplement or other offering material will describe the relevant terms of the debt to be repaid.</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in each of the periods indicated. The ratios are calculated by dividing earnings by the fixed charges.</w:t>
      </w:r>
    </w:p>
    <w:p>
      <w:pPr>
        <w:spacing w:after="0" w:line="18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color w:val="auto"/>
        </w:rPr>
        <w:t>Fiscal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6350</wp:posOffset>
            </wp:positionV>
            <wp:extent cx="17494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8380"/>
        <w:spacing w:after="0"/>
        <w:tabs>
          <w:tab w:leader="none" w:pos="9000" w:val="left"/>
          <w:tab w:leader="none" w:pos="9580" w:val="left"/>
          <w:tab w:leader="none" w:pos="10220" w:val="left"/>
          <w:tab w:leader="none" w:pos="10820" w:val="left"/>
        </w:tabs>
        <w:rPr>
          <w:sz w:val="20"/>
          <w:szCs w:val="20"/>
          <w:color w:val="auto"/>
        </w:rPr>
      </w:pP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color w:val="auto"/>
        </w:rPr>
        <w:t>2014</w:t>
      </w:r>
      <w:r>
        <w:rPr>
          <w:sz w:val="20"/>
          <w:szCs w:val="20"/>
          <w:color w:val="auto"/>
        </w:rPr>
        <w:tab/>
      </w:r>
      <w:r>
        <w:rPr>
          <w:rFonts w:ascii="Times New Roman" w:cs="Times New Roman" w:eastAsia="Times New Roman" w:hAnsi="Times New Roman"/>
          <w:sz w:val="14"/>
          <w:szCs w:val="14"/>
          <w:color w:val="auto"/>
        </w:rPr>
        <w:t>2013</w:t>
      </w:r>
      <w:r>
        <w:rPr>
          <w:sz w:val="20"/>
          <w:szCs w:val="20"/>
          <w:color w:val="auto"/>
        </w:rPr>
        <w:tab/>
      </w:r>
      <w:r>
        <w:rPr>
          <w:rFonts w:ascii="Times New Roman" w:cs="Times New Roman" w:eastAsia="Times New Roman" w:hAnsi="Times New Roman"/>
          <w:sz w:val="14"/>
          <w:szCs w:val="14"/>
          <w:color w:val="auto"/>
        </w:rPr>
        <w:t>2012</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60" w:type="dxa"/>
            <w:vAlign w:val="bottom"/>
            <w:vMerge w:val="continue"/>
            <w:shd w:val="clear" w:color="auto" w:fill="CCEEFF"/>
          </w:tcPr>
          <w:p>
            <w:pPr>
              <w:spacing w:after="0"/>
              <w:rPr>
                <w:sz w:val="16"/>
                <w:szCs w:val="16"/>
                <w:color w:val="auto"/>
              </w:rPr>
            </w:pPr>
          </w:p>
        </w:tc>
        <w:tc>
          <w:tcPr>
            <w:tcW w:w="64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1.0x</w:t>
            </w:r>
          </w:p>
        </w:tc>
        <w:tc>
          <w:tcPr>
            <w:tcW w:w="6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0.5x</w:t>
            </w:r>
          </w:p>
        </w:tc>
        <w:tc>
          <w:tcPr>
            <w:tcW w:w="6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2.2x</w:t>
            </w:r>
          </w:p>
        </w:tc>
        <w:tc>
          <w:tcPr>
            <w:tcW w:w="60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9.0x</w:t>
            </w:r>
          </w:p>
        </w:tc>
        <w:tc>
          <w:tcPr>
            <w:tcW w:w="40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5.2x</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55" w:right="4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DESCRIPTION OF THE SECURITIES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may offer, from time to time, in one or more offerings, up to $400,000,000 of the following securities:</w:t>
      </w:r>
    </w:p>
    <w:p>
      <w:pPr>
        <w:spacing w:after="0" w:line="131" w:lineRule="exact"/>
        <w:rPr>
          <w:sz w:val="20"/>
          <w:szCs w:val="20"/>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debt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securities.</w:t>
      </w:r>
    </w:p>
    <w:p>
      <w:pPr>
        <w:spacing w:after="0" w:line="225" w:lineRule="exact"/>
        <w:rPr>
          <w:sz w:val="20"/>
          <w:szCs w:val="20"/>
          <w:color w:val="auto"/>
        </w:rPr>
      </w:pPr>
    </w:p>
    <w:p>
      <w:pPr>
        <w:jc w:val="both"/>
        <w:ind w:left="200" w:right="240"/>
        <w:spacing w:after="0" w:line="266" w:lineRule="auto"/>
        <w:rPr>
          <w:sz w:val="20"/>
          <w:szCs w:val="20"/>
          <w:color w:val="auto"/>
        </w:rPr>
      </w:pPr>
      <w:r>
        <w:rPr>
          <w:rFonts w:ascii="Times New Roman" w:cs="Times New Roman" w:eastAsia="Times New Roman" w:hAnsi="Times New Roman"/>
          <w:sz w:val="18"/>
          <w:szCs w:val="18"/>
          <w:color w:val="auto"/>
        </w:rPr>
        <w:t>The aggregate initial offering price of the offered securities that we may issue will not exceed $400,000,000. 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This prospectus contains a summary of the general terms of the various securities that we may offer.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w:t>
      </w:r>
    </w:p>
    <w:p>
      <w:pPr>
        <w:spacing w:after="0" w:line="184"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also contain the terms of a given offering, the initial offering price and our net proceeds. Where applicable, a prospectus supplement will also describe any material United States federal income tax consequences relating to the securities offered and indicate whether the securities offered are or will be quoted or listed on any quotation system or securities exchange.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200" w:right="460"/>
        <w:spacing w:after="0" w:line="261" w:lineRule="auto"/>
        <w:rPr>
          <w:sz w:val="20"/>
          <w:szCs w:val="20"/>
          <w:color w:val="auto"/>
        </w:rPr>
      </w:pPr>
      <w:r>
        <w:rPr>
          <w:rFonts w:ascii="Times New Roman" w:cs="Times New Roman" w:eastAsia="Times New Roman" w:hAnsi="Times New Roman"/>
          <w:sz w:val="18"/>
          <w:szCs w:val="18"/>
          <w:color w:val="auto"/>
        </w:rPr>
        <w:t>This prospectus describes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w:t>
      </w:r>
    </w:p>
    <w:p>
      <w:pPr>
        <w:spacing w:after="0" w:line="180" w:lineRule="exact"/>
        <w:rPr>
          <w:sz w:val="20"/>
          <w:szCs w:val="20"/>
          <w:color w:val="auto"/>
        </w:rPr>
      </w:pPr>
    </w:p>
    <w:p>
      <w:pPr>
        <w:ind w:left="200" w:right="100"/>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a senior indenture, dated as of or prior to the date of such issuance, between us and a trustee to be named in the senior indenture, as amended or supplemented from time to time. We will refer to any such indenture throughout this prospectus as the “senior indenture.” Any subordinated debt securities will be issued under a separate indenture, dated as of or prior to the date of such issuance, between us and a trustee to be named in the subordinated indenture,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individually referred to in this prospectus as an “indenture” and collectively referred to in this prospectus as the “indentures.” The indentures will be subject to and governed by the Trust Indenture Act of 1939, as amended. We have included copies of the forms of the indentures as exhibits to our registration statement and they are incorporated into this prospectus by reference.</w:t>
      </w:r>
    </w:p>
    <w:p>
      <w:pPr>
        <w:spacing w:after="0" w:line="189" w:lineRule="exact"/>
        <w:rPr>
          <w:sz w:val="20"/>
          <w:szCs w:val="20"/>
          <w:color w:val="auto"/>
        </w:rPr>
      </w:pPr>
    </w:p>
    <w:p>
      <w:pPr>
        <w:ind w:left="200" w:right="220"/>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any other debt securities issued by us under the indentures.</w:t>
      </w:r>
    </w:p>
    <w:p>
      <w:pPr>
        <w:spacing w:after="0" w:line="189" w:lineRule="exact"/>
        <w:rPr>
          <w:sz w:val="20"/>
          <w:szCs w:val="20"/>
          <w:color w:val="auto"/>
        </w:rPr>
      </w:pPr>
    </w:p>
    <w:p>
      <w:pPr>
        <w:jc w:val="both"/>
        <w:ind w:left="200" w:right="280"/>
        <w:spacing w:after="0" w:line="266" w:lineRule="auto"/>
        <w:rPr>
          <w:sz w:val="20"/>
          <w:szCs w:val="20"/>
          <w:color w:val="auto"/>
        </w:rPr>
      </w:pPr>
      <w:r>
        <w:rPr>
          <w:rFonts w:ascii="Times New Roman" w:cs="Times New Roman" w:eastAsia="Times New Roman" w:hAnsi="Times New Roman"/>
          <w:sz w:val="18"/>
          <w:szCs w:val="18"/>
          <w:color w:val="auto"/>
        </w:rPr>
        <w:t>Because this section is a summary of some of the terms of the indentures, it does not describe every aspect of the debt securities. You should read the applicable indentures for a complete description of their provisions and the definitions of the terms used in them, because the indentures, and not this description, will define your rights as a holder of debt securities.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debt securities will be unsecured, except as may be set forth in the applicable prospectus supplement.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6"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130" w:lineRule="exact"/>
        <w:rPr>
          <w:rFonts w:ascii="Times New Roman" w:cs="Times New Roman" w:eastAsia="Times New Roman" w:hAnsi="Times New Roman"/>
          <w:sz w:val="18"/>
          <w:szCs w:val="18"/>
          <w:color w:val="auto"/>
        </w:rPr>
      </w:pPr>
    </w:p>
    <w:p>
      <w:pPr>
        <w:ind w:left="1060" w:right="200" w:hanging="316"/>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1" w:lineRule="exact"/>
        <w:rPr>
          <w:rFonts w:ascii="Times New Roman" w:cs="Times New Roman" w:eastAsia="Times New Roman" w:hAnsi="Times New Roman"/>
          <w:sz w:val="18"/>
          <w:szCs w:val="18"/>
          <w:color w:val="auto"/>
        </w:rPr>
      </w:pPr>
    </w:p>
    <w:p>
      <w:pPr>
        <w:ind w:left="1060" w:right="60" w:hanging="316"/>
        <w:spacing w:after="0" w:line="261"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60" w:right="460" w:hanging="316"/>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preferred stock received on conversion;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we will determine those dates;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130" w:lineRule="exact"/>
        <w:rPr>
          <w:rFonts w:ascii="Times New Roman" w:cs="Times New Roman" w:eastAsia="Times New Roman" w:hAnsi="Times New Roman"/>
          <w:sz w:val="18"/>
          <w:szCs w:val="18"/>
          <w:color w:val="auto"/>
        </w:rPr>
      </w:pPr>
    </w:p>
    <w:p>
      <w:pPr>
        <w:jc w:val="both"/>
        <w:ind w:left="1060" w:right="60" w:hanging="316"/>
        <w:spacing w:after="0" w:line="313" w:lineRule="auto"/>
        <w:tabs>
          <w:tab w:leader="none" w:pos="10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43" w:lineRule="exact"/>
        <w:rPr>
          <w:rFonts w:ascii="Times New Roman" w:cs="Times New Roman" w:eastAsia="Times New Roman" w:hAnsi="Times New Roman"/>
          <w:sz w:val="17"/>
          <w:szCs w:val="17"/>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24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130" w:lineRule="exact"/>
        <w:rPr>
          <w:rFonts w:ascii="Times New Roman" w:cs="Times New Roman" w:eastAsia="Times New Roman" w:hAnsi="Times New Roman"/>
          <w:sz w:val="18"/>
          <w:szCs w:val="18"/>
          <w:color w:val="auto"/>
        </w:rPr>
      </w:pPr>
    </w:p>
    <w:p>
      <w:pPr>
        <w:jc w:val="both"/>
        <w:ind w:left="1060" w:right="60" w:hanging="316"/>
        <w:spacing w:after="0" w:line="266"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1" w:lineRule="exact"/>
        <w:rPr>
          <w:rFonts w:ascii="Times New Roman" w:cs="Times New Roman" w:eastAsia="Times New Roman" w:hAnsi="Times New Roman"/>
          <w:sz w:val="18"/>
          <w:szCs w:val="18"/>
          <w:color w:val="auto"/>
        </w:rPr>
      </w:pPr>
    </w:p>
    <w:p>
      <w:pPr>
        <w:jc w:val="both"/>
        <w:ind w:left="1060" w:right="420" w:hanging="316"/>
        <w:spacing w:after="0" w:line="266"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1"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1" w:lineRule="exact"/>
        <w:rPr>
          <w:rFonts w:ascii="Times New Roman" w:cs="Times New Roman" w:eastAsia="Times New Roman" w:hAnsi="Times New Roman"/>
          <w:sz w:val="18"/>
          <w:szCs w:val="18"/>
          <w:color w:val="auto"/>
        </w:rPr>
      </w:pPr>
    </w:p>
    <w:p>
      <w:pPr>
        <w:ind w:left="1060" w:right="600" w:hanging="316"/>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67" w:lineRule="exact"/>
        <w:rPr>
          <w:rFonts w:ascii="Times New Roman" w:cs="Times New Roman" w:eastAsia="Times New Roman" w:hAnsi="Times New Roman"/>
          <w:sz w:val="18"/>
          <w:szCs w:val="18"/>
          <w:color w:val="auto"/>
        </w:rPr>
      </w:pPr>
    </w:p>
    <w:p>
      <w:pPr>
        <w:ind w:left="1060" w:right="20" w:hanging="316"/>
        <w:spacing w:after="0" w:line="261"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 (2) if in bearer form, the manner in which, or the person to whom, any interest on the security shall be payable if otherwise than upon presentation and surrender upon maturity;</w:t>
      </w:r>
    </w:p>
    <w:p>
      <w:pPr>
        <w:spacing w:after="0" w:line="85" w:lineRule="exact"/>
        <w:rPr>
          <w:rFonts w:ascii="Times New Roman" w:cs="Times New Roman" w:eastAsia="Times New Roman" w:hAnsi="Times New Roman"/>
          <w:sz w:val="18"/>
          <w:szCs w:val="18"/>
          <w:color w:val="auto"/>
        </w:rPr>
      </w:pPr>
    </w:p>
    <w:p>
      <w:pPr>
        <w:jc w:val="both"/>
        <w:ind w:left="1060" w:right="120" w:hanging="316"/>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debt securities in bearer form and the terms upon which securities in bearer form of the series may be exchanged for securities in registered form of the series and vice versa if permitted by applicable laws and regulations;</w:t>
      </w:r>
    </w:p>
    <w:p>
      <w:pPr>
        <w:spacing w:after="0" w:line="67" w:lineRule="exact"/>
        <w:rPr>
          <w:rFonts w:ascii="Times New Roman" w:cs="Times New Roman" w:eastAsia="Times New Roman" w:hAnsi="Times New Roman"/>
          <w:sz w:val="18"/>
          <w:szCs w:val="18"/>
          <w:color w:val="auto"/>
        </w:rPr>
      </w:pPr>
    </w:p>
    <w:p>
      <w:pPr>
        <w:ind w:left="1060" w:right="20" w:hanging="316"/>
        <w:spacing w:after="0" w:line="261"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85"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debt securities in registered form, if such series are to be issuable as a global security;</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130" w:lineRule="exact"/>
        <w:rPr>
          <w:rFonts w:ascii="Times New Roman" w:cs="Times New Roman" w:eastAsia="Times New Roman" w:hAnsi="Times New Roman"/>
          <w:sz w:val="18"/>
          <w:szCs w:val="18"/>
          <w:color w:val="auto"/>
        </w:rPr>
      </w:pPr>
    </w:p>
    <w:p>
      <w:pPr>
        <w:ind w:left="1060" w:right="580" w:hanging="316"/>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67"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1"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67" w:lineRule="exact"/>
        <w:rPr>
          <w:rFonts w:ascii="Times New Roman" w:cs="Times New Roman" w:eastAsia="Times New Roman" w:hAnsi="Times New Roman"/>
          <w:sz w:val="18"/>
          <w:szCs w:val="18"/>
          <w:color w:val="auto"/>
        </w:rPr>
      </w:pPr>
    </w:p>
    <w:p>
      <w:pPr>
        <w:ind w:left="1060" w:right="580" w:hanging="316"/>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42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67"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80" w:lineRule="exact"/>
        <w:rPr>
          <w:sz w:val="20"/>
          <w:szCs w:val="20"/>
          <w:color w:val="auto"/>
        </w:rPr>
      </w:pPr>
    </w:p>
    <w:p>
      <w:pPr>
        <w:ind w:left="200" w:right="80"/>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8"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Neither the New York State laws nor our governing instruments define the term “substantially all” as it relates to the sale of assets. Additionally, New York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80"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121"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after the obligation underlying payment becomes due and payable. After funds have been returned to us, the holder of the debt security may look only to us for payment, without payment of interest for the period which we hold the funds.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Denomination, Interest, Registration and Transfer</w:t>
      </w:r>
    </w:p>
    <w:p>
      <w:pPr>
        <w:spacing w:after="0" w:line="121" w:lineRule="exact"/>
        <w:rPr>
          <w:sz w:val="20"/>
          <w:szCs w:val="20"/>
          <w:color w:val="auto"/>
        </w:rPr>
      </w:pPr>
    </w:p>
    <w:p>
      <w:pPr>
        <w:ind w:left="200" w:right="280"/>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ind w:left="200"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67" w:lineRule="exact"/>
        <w:rPr>
          <w:sz w:val="20"/>
          <w:szCs w:val="20"/>
          <w:color w:val="auto"/>
        </w:rPr>
      </w:pPr>
    </w:p>
    <w:p>
      <w:pPr>
        <w:ind w:left="1060" w:right="20" w:hanging="316"/>
        <w:spacing w:after="0" w:line="26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1" w:lineRule="exact"/>
        <w:rPr>
          <w:rFonts w:ascii="Times New Roman" w:cs="Times New Roman" w:eastAsia="Times New Roman" w:hAnsi="Times New Roman"/>
          <w:sz w:val="18"/>
          <w:szCs w:val="18"/>
          <w:color w:val="auto"/>
        </w:rPr>
      </w:pPr>
    </w:p>
    <w:p>
      <w:pPr>
        <w:ind w:left="1060" w:right="280" w:hanging="316"/>
        <w:spacing w:after="0" w:line="282"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162" w:lineRule="exact"/>
        <w:rPr>
          <w:sz w:val="20"/>
          <w:szCs w:val="20"/>
          <w:color w:val="auto"/>
        </w:rPr>
      </w:pPr>
    </w:p>
    <w:p>
      <w:pPr>
        <w:ind w:left="200" w:right="160"/>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131" w:lineRule="exact"/>
        <w:rPr>
          <w:sz w:val="20"/>
          <w:szCs w:val="20"/>
          <w:color w:val="auto"/>
        </w:rPr>
      </w:pPr>
    </w:p>
    <w:p>
      <w:pPr>
        <w:ind w:left="1060" w:right="140" w:hanging="316"/>
        <w:spacing w:after="0" w:line="266"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1" w:lineRule="exact"/>
        <w:rPr>
          <w:rFonts w:ascii="Times New Roman" w:cs="Times New Roman" w:eastAsia="Times New Roman" w:hAnsi="Times New Roman"/>
          <w:sz w:val="18"/>
          <w:szCs w:val="18"/>
          <w:color w:val="auto"/>
        </w:rPr>
      </w:pPr>
    </w:p>
    <w:p>
      <w:pPr>
        <w:ind w:left="1060" w:right="780" w:hanging="316"/>
        <w:spacing w:after="0" w:line="282"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67" w:lineRule="exact"/>
        <w:rPr>
          <w:rFonts w:ascii="Times New Roman" w:cs="Times New Roman" w:eastAsia="Times New Roman" w:hAnsi="Times New Roman"/>
          <w:sz w:val="18"/>
          <w:szCs w:val="18"/>
          <w:color w:val="auto"/>
        </w:rPr>
      </w:pPr>
    </w:p>
    <w:p>
      <w:pPr>
        <w:ind w:left="1060" w:right="240" w:hanging="316"/>
        <w:spacing w:after="0" w:line="282"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200" w:right="38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consolidate with or sell, lease or convey all or substantially all of our assets to, or merge with or into, any other entity provided that:</w:t>
      </w:r>
    </w:p>
    <w:p>
      <w:pPr>
        <w:spacing w:after="0" w:line="67" w:lineRule="exact"/>
        <w:rPr>
          <w:sz w:val="20"/>
          <w:szCs w:val="20"/>
          <w:color w:val="auto"/>
        </w:rPr>
      </w:pPr>
    </w:p>
    <w:p>
      <w:pPr>
        <w:ind w:left="1060" w:hanging="316"/>
        <w:spacing w:after="0" w:line="266"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corporation, or the successor corporation, if other than us, assumes the obligations (1) to pay the principal of, and any premium (or make-whole amount) and interest on, all of the debt securities, and (2) to duly perform and observe all of the covenants and conditions contained in each indenture;</w:t>
      </w:r>
    </w:p>
    <w:p>
      <w:pPr>
        <w:spacing w:after="0" w:line="81"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9" w:lineRule="exact"/>
        <w:rPr>
          <w:sz w:val="20"/>
          <w:szCs w:val="20"/>
          <w:color w:val="auto"/>
        </w:rPr>
      </w:pPr>
    </w:p>
    <w:p>
      <w:pPr>
        <w:ind w:left="200" w:right="300"/>
        <w:spacing w:after="0" w:line="267"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described under “—Merger, Consolidation or Sale of Assets,” the indentures require us to do or cause to be done all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4" w:lineRule="exact"/>
        <w:rPr>
          <w:sz w:val="20"/>
          <w:szCs w:val="20"/>
          <w:color w:val="auto"/>
        </w:rPr>
      </w:pPr>
    </w:p>
    <w:p>
      <w:pPr>
        <w:ind w:left="200" w:right="240"/>
        <w:spacing w:after="0" w:line="261" w:lineRule="auto"/>
        <w:rPr>
          <w:sz w:val="20"/>
          <w:szCs w:val="20"/>
          <w:color w:val="auto"/>
        </w:rPr>
      </w:pPr>
      <w:r>
        <w:rPr>
          <w:rFonts w:ascii="Times New Roman" w:cs="Times New Roman" w:eastAsia="Times New Roman" w:hAnsi="Times New Roman"/>
          <w:sz w:val="18"/>
          <w:szCs w:val="18"/>
          <w:i w:val="1"/>
          <w:iCs w:val="1"/>
          <w:color w:val="auto"/>
        </w:rPr>
        <w:t>Provision of financial information</w:t>
      </w:r>
      <w:r>
        <w:rPr>
          <w:rFonts w:ascii="Times New Roman" w:cs="Times New Roman" w:eastAsia="Times New Roman" w:hAnsi="Times New Roman"/>
          <w:sz w:val="18"/>
          <w:szCs w:val="18"/>
          <w:color w:val="auto"/>
        </w:rPr>
        <w:t>. The indentures require us to (1) within 15 days of each of the respective dates by which we are required to file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quarterly reports and other documents with the SEC, file with the trustee copies of the annual report, quarterly report and other documents that we file with the SEC under Section 13 or 15(d) of the Exchange Act; and (2) file with the trustee and the SEC any additional information, documents and reports regarding compliance by us with the conditions and covenants of the indentures, as required.</w:t>
      </w:r>
    </w:p>
    <w:p>
      <w:pPr>
        <w:spacing w:after="0" w:line="180" w:lineRule="exact"/>
        <w:rPr>
          <w:sz w:val="20"/>
          <w:szCs w:val="20"/>
          <w:color w:val="auto"/>
        </w:rPr>
      </w:pPr>
    </w:p>
    <w:p>
      <w:pPr>
        <w:ind w:left="200" w:right="20"/>
        <w:spacing w:after="0" w:line="259" w:lineRule="auto"/>
        <w:rPr>
          <w:sz w:val="20"/>
          <w:szCs w:val="20"/>
          <w:color w:val="auto"/>
        </w:rPr>
      </w:pP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The subordinated indenture requires us to pay, discharge or cause to be paid or discharged, before they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delinquent (1) all taxes, 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The applicable prospectus supplement may set forth any additional covenants of NN relating to any series of debt securities.</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Notice and Waiver</w:t>
      </w:r>
    </w:p>
    <w:p>
      <w:pPr>
        <w:spacing w:after="0" w:line="12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30 days;</w:t>
      </w:r>
    </w:p>
    <w:p>
      <w:pPr>
        <w:spacing w:after="0" w:line="130"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when it becomes due and payable at its stated maturity;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when due;</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66"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NN continuing for 60 days after written notice as provided in the applicable indenture, but not of a covenant added to the indenture solely for the benefit of a series of debt securities issued thereunder other than such series;</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bond, debenture, note, mortgage, indenture or instrument:</w:t>
      </w:r>
    </w:p>
    <w:p>
      <w:pPr>
        <w:spacing w:after="0" w:line="117" w:lineRule="exact"/>
        <w:rPr>
          <w:rFonts w:ascii="Times New Roman" w:cs="Times New Roman" w:eastAsia="Times New Roman" w:hAnsi="Times New Roman"/>
          <w:sz w:val="18"/>
          <w:szCs w:val="18"/>
          <w:color w:val="auto"/>
        </w:rPr>
      </w:pPr>
    </w:p>
    <w:p>
      <w:pPr>
        <w:ind w:left="1340" w:hanging="255"/>
        <w:spacing w:after="0"/>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principal amount of at least $30,000,000; or</w:t>
      </w:r>
    </w:p>
    <w:p>
      <w:pPr>
        <w:spacing w:after="0" w:line="117" w:lineRule="exact"/>
        <w:rPr>
          <w:rFonts w:ascii="Times New Roman" w:cs="Times New Roman" w:eastAsia="Times New Roman" w:hAnsi="Times New Roman"/>
          <w:sz w:val="18"/>
          <w:szCs w:val="18"/>
          <w:color w:val="auto"/>
        </w:rPr>
      </w:pPr>
    </w:p>
    <w:p>
      <w:pPr>
        <w:ind w:left="1080" w:firstLine="5"/>
        <w:spacing w:after="0" w:line="255" w:lineRule="auto"/>
        <w:tabs>
          <w:tab w:leader="none" w:pos="13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there may be issued, secured or evidenced any existing or later created indebtedness for money borrowed by us or our subsidiaries, if we are directly responsible or liable as obligor or guarantor, in each case,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316"/>
        <w:spacing w:after="0" w:line="282"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or court appointment of a receiver, liquidator or trustee of NN or any significant subsidiary of NN;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left="200" w:right="280"/>
        <w:spacing w:after="0" w:line="282" w:lineRule="auto"/>
        <w:rPr>
          <w:sz w:val="20"/>
          <w:szCs w:val="20"/>
          <w:color w:val="auto"/>
        </w:rPr>
      </w:pPr>
      <w:r>
        <w:rPr>
          <w:rFonts w:ascii="Times New Roman" w:cs="Times New Roman" w:eastAsia="Times New Roman" w:hAnsi="Times New Roman"/>
          <w:sz w:val="18"/>
          <w:szCs w:val="18"/>
          <w:color w:val="auto"/>
        </w:rPr>
        <w:t>When we use the term “significant subsidiary,” we refer to the meaning ascribed to such term in Rule 1-02 of Regulation S-X promulgated under the Securities Act.</w:t>
      </w:r>
    </w:p>
    <w:p>
      <w:pPr>
        <w:spacing w:after="0" w:line="162"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1" w:lineRule="exact"/>
        <w:rPr>
          <w:sz w:val="20"/>
          <w:szCs w:val="20"/>
          <w:color w:val="auto"/>
        </w:rPr>
      </w:pPr>
    </w:p>
    <w:p>
      <w:pPr>
        <w:ind w:left="1060" w:right="160" w:hanging="316"/>
        <w:spacing w:after="0" w:line="266"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1" w:lineRule="exact"/>
        <w:rPr>
          <w:rFonts w:ascii="Times New Roman" w:cs="Times New Roman" w:eastAsia="Times New Roman" w:hAnsi="Times New Roman"/>
          <w:sz w:val="18"/>
          <w:szCs w:val="18"/>
          <w:color w:val="auto"/>
        </w:rPr>
      </w:pPr>
    </w:p>
    <w:p>
      <w:pPr>
        <w:ind w:left="1060" w:right="200" w:hanging="316"/>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jc w:val="both"/>
        <w:ind w:left="200" w:right="500"/>
        <w:spacing w:after="0" w:line="266" w:lineRule="auto"/>
        <w:rPr>
          <w:sz w:val="20"/>
          <w:szCs w:val="20"/>
          <w:color w:val="auto"/>
        </w:rPr>
      </w:pPr>
      <w:r>
        <w:rPr>
          <w:rFonts w:ascii="Times New Roman" w:cs="Times New Roman" w:eastAsia="Times New Roman" w:hAnsi="Times New Roman"/>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2" w:lineRule="exact"/>
        <w:rPr>
          <w:sz w:val="20"/>
          <w:szCs w:val="20"/>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any premium, or make-whole amount, or interest;</w:t>
      </w:r>
    </w:p>
    <w:p>
      <w:pPr>
        <w:spacing w:after="0" w:line="130" w:lineRule="exact"/>
        <w:rPr>
          <w:rFonts w:ascii="Times New Roman" w:cs="Times New Roman" w:eastAsia="Times New Roman" w:hAnsi="Times New Roman"/>
          <w:sz w:val="18"/>
          <w:szCs w:val="18"/>
          <w:color w:val="auto"/>
        </w:rPr>
      </w:pPr>
    </w:p>
    <w:p>
      <w:pPr>
        <w:ind w:left="1060" w:right="24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left="200" w:right="60"/>
        <w:spacing w:after="0" w:line="261"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0"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8"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24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6" w:lineRule="exact"/>
        <w:rPr>
          <w:sz w:val="20"/>
          <w:szCs w:val="20"/>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200" w:right="10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Indentures</w:t>
      </w:r>
    </w:p>
    <w:p>
      <w:pPr>
        <w:spacing w:after="0" w:line="121" w:lineRule="exact"/>
        <w:rPr>
          <w:sz w:val="20"/>
          <w:szCs w:val="20"/>
          <w:color w:val="auto"/>
        </w:rPr>
      </w:pPr>
    </w:p>
    <w:p>
      <w:pPr>
        <w:ind w:left="200" w:right="180"/>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1060" w:right="80" w:hanging="316"/>
        <w:spacing w:after="0" w:line="261"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85"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130"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67" w:lineRule="exact"/>
        <w:rPr>
          <w:rFonts w:ascii="Times New Roman" w:cs="Times New Roman" w:eastAsia="Times New Roman" w:hAnsi="Times New Roman"/>
          <w:sz w:val="18"/>
          <w:szCs w:val="18"/>
          <w:color w:val="auto"/>
        </w:rPr>
      </w:pPr>
    </w:p>
    <w:p>
      <w:pPr>
        <w:jc w:val="both"/>
        <w:ind w:left="1060" w:right="120" w:hanging="316"/>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 and</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holders’ rights of conversion with respect to any series of debt securities.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6" w:lineRule="auto"/>
        <w:rPr>
          <w:sz w:val="20"/>
          <w:szCs w:val="20"/>
          <w:color w:val="auto"/>
        </w:rPr>
      </w:pPr>
      <w:r>
        <w:rPr>
          <w:rFonts w:ascii="Times New Roman" w:cs="Times New Roman" w:eastAsia="Times New Roman" w:hAnsi="Times New Roman"/>
          <w:sz w:val="18"/>
          <w:szCs w:val="18"/>
          <w:color w:val="auto"/>
        </w:rPr>
        <w:t>The indentures provide that other modifications and amendments may be made only with the consent of the affected holders of at least a majority in principal amount of all outstanding affected debt securities issued under that indenture. However, no such modification or amendment may, without the consent of the holders of the debt securities affected by the modification or amendment:</w:t>
      </w:r>
    </w:p>
    <w:p>
      <w:pPr>
        <w:spacing w:after="0" w:line="82" w:lineRule="exact"/>
        <w:rPr>
          <w:sz w:val="20"/>
          <w:szCs w:val="20"/>
          <w:color w:val="auto"/>
        </w:rPr>
      </w:pPr>
    </w:p>
    <w:p>
      <w:pPr>
        <w:ind w:left="1060" w:right="14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w:t>
      </w:r>
    </w:p>
    <w:p>
      <w:pPr>
        <w:spacing w:after="0" w:line="67" w:lineRule="exact"/>
        <w:rPr>
          <w:rFonts w:ascii="Times New Roman" w:cs="Times New Roman" w:eastAsia="Times New Roman" w:hAnsi="Times New Roman"/>
          <w:sz w:val="18"/>
          <w:szCs w:val="18"/>
          <w:color w:val="auto"/>
        </w:rPr>
      </w:pPr>
    </w:p>
    <w:p>
      <w:pPr>
        <w:ind w:left="1060" w:right="34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rate or amount of interest on or any premium, or make-whole amount, payable on redemption of any such debt security;</w:t>
      </w:r>
    </w:p>
    <w:p>
      <w:pPr>
        <w:spacing w:after="0" w:line="67" w:lineRule="exact"/>
        <w:rPr>
          <w:rFonts w:ascii="Times New Roman" w:cs="Times New Roman" w:eastAsia="Times New Roman" w:hAnsi="Times New Roman"/>
          <w:sz w:val="18"/>
          <w:szCs w:val="18"/>
          <w:color w:val="auto"/>
        </w:rPr>
      </w:pPr>
    </w:p>
    <w:p>
      <w:pPr>
        <w:ind w:left="1060" w:right="20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67"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any premium, or make-whole amount, or interest on, any such debt security;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such debt security;</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1" w:lineRule="exact"/>
        <w:rPr>
          <w:rFonts w:ascii="Times New Roman" w:cs="Times New Roman" w:eastAsia="Times New Roman" w:hAnsi="Times New Roman"/>
          <w:sz w:val="18"/>
          <w:szCs w:val="18"/>
          <w:color w:val="auto"/>
        </w:rPr>
      </w:pPr>
    </w:p>
    <w:p>
      <w:pPr>
        <w:ind w:left="1060" w:right="60" w:hanging="316"/>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76" w:lineRule="exact"/>
        <w:rPr>
          <w:sz w:val="20"/>
          <w:szCs w:val="20"/>
          <w:color w:val="auto"/>
        </w:rPr>
      </w:pPr>
    </w:p>
    <w:p>
      <w:pPr>
        <w:ind w:left="200" w:right="16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2" w:lineRule="exact"/>
        <w:rPr>
          <w:sz w:val="20"/>
          <w:szCs w:val="20"/>
          <w:color w:val="auto"/>
        </w:rPr>
      </w:pPr>
    </w:p>
    <w:p>
      <w:pPr>
        <w:ind w:left="1060" w:right="20" w:hanging="316"/>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60" w:right="260" w:hanging="316"/>
        <w:spacing w:after="0" w:line="261"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85"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67" w:lineRule="exact"/>
        <w:rPr>
          <w:rFonts w:ascii="Times New Roman" w:cs="Times New Roman" w:eastAsia="Times New Roman" w:hAnsi="Times New Roman"/>
          <w:sz w:val="18"/>
          <w:szCs w:val="18"/>
          <w:color w:val="auto"/>
        </w:rPr>
      </w:pPr>
    </w:p>
    <w:p>
      <w:pPr>
        <w:ind w:left="1060" w:right="720" w:hanging="316"/>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by any affiliate of ours or of such other obligor shall be disregarded.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24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6" w:lineRule="auto"/>
        <w:rPr>
          <w:sz w:val="20"/>
          <w:szCs w:val="20"/>
          <w:color w:val="auto"/>
        </w:rPr>
      </w:pPr>
      <w:r>
        <w:rPr>
          <w:rFonts w:ascii="Times New Roman" w:cs="Times New Roman" w:eastAsia="Times New Roman" w:hAnsi="Times New Roman"/>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88" w:lineRule="exact"/>
        <w:rPr>
          <w:sz w:val="20"/>
          <w:szCs w:val="20"/>
          <w:color w:val="auto"/>
        </w:rPr>
      </w:pPr>
    </w:p>
    <w:p>
      <w:pPr>
        <w:ind w:left="200" w:right="60"/>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0" w:lineRule="exact"/>
        <w:rPr>
          <w:sz w:val="20"/>
          <w:szCs w:val="20"/>
          <w:color w:val="auto"/>
        </w:rPr>
      </w:pPr>
    </w:p>
    <w:p>
      <w:pPr>
        <w:ind w:left="200" w:right="140"/>
        <w:spacing w:after="0" w:line="258" w:lineRule="auto"/>
        <w:rPr>
          <w:sz w:val="20"/>
          <w:szCs w:val="20"/>
          <w:color w:val="auto"/>
        </w:rPr>
      </w:pPr>
      <w:r>
        <w:rPr>
          <w:rFonts w:ascii="Times New Roman" w:cs="Times New Roman" w:eastAsia="Times New Roman" w:hAnsi="Times New Roman"/>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4"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86" w:lineRule="exact"/>
        <w:rPr>
          <w:sz w:val="20"/>
          <w:szCs w:val="20"/>
          <w:color w:val="auto"/>
        </w:rPr>
      </w:pPr>
    </w:p>
    <w:p>
      <w:pPr>
        <w:ind w:left="1060" w:hanging="316"/>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130" w:lineRule="exact"/>
        <w:rPr>
          <w:rFonts w:ascii="Times New Roman" w:cs="Times New Roman" w:eastAsia="Times New Roman" w:hAnsi="Times New Roman"/>
          <w:sz w:val="18"/>
          <w:szCs w:val="18"/>
          <w:color w:val="auto"/>
        </w:rPr>
      </w:pPr>
    </w:p>
    <w:p>
      <w:pPr>
        <w:ind w:left="1060" w:right="320" w:hanging="316"/>
        <w:spacing w:after="0" w:line="266"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such series that vote in favor of such request, demand, authorization, direction, notice, consent, waiver or other action shall be taken in account in determining whether such request, demand, authorization, direction, notice, consent, waiver or other action has been made, given or taken under such indenture.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121" w:lineRule="exact"/>
        <w:rPr>
          <w:sz w:val="20"/>
          <w:szCs w:val="20"/>
          <w:color w:val="auto"/>
        </w:rPr>
      </w:pPr>
    </w:p>
    <w:p>
      <w:pPr>
        <w:ind w:left="200" w:right="7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162"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NN and its subsidiaries. As a result of these subordination provisions, in the event of a distribution of assets upon insolvency, holders of subordinated debt securities may recover less, ratably, than our general creditors.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Discharge, Defeasance and Covenant Defeasance</w:t>
      </w:r>
    </w:p>
    <w:p>
      <w:pPr>
        <w:spacing w:after="0" w:line="121" w:lineRule="exact"/>
        <w:rPr>
          <w:sz w:val="20"/>
          <w:szCs w:val="20"/>
          <w:color w:val="auto"/>
        </w:rPr>
      </w:pPr>
    </w:p>
    <w:p>
      <w:pPr>
        <w:ind w:left="200" w:right="8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67" w:lineRule="exact"/>
        <w:rPr>
          <w:sz w:val="20"/>
          <w:szCs w:val="20"/>
          <w:color w:val="auto"/>
        </w:rPr>
      </w:pPr>
    </w:p>
    <w:p>
      <w:pPr>
        <w:ind w:left="1060" w:right="60" w:hanging="316"/>
        <w:spacing w:after="0" w:line="255"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130" w:lineRule="exact"/>
        <w:rPr>
          <w:rFonts w:ascii="Times New Roman" w:cs="Times New Roman" w:eastAsia="Times New Roman" w:hAnsi="Times New Roman"/>
          <w:sz w:val="18"/>
          <w:szCs w:val="18"/>
          <w:color w:val="auto"/>
        </w:rPr>
      </w:pPr>
    </w:p>
    <w:p>
      <w:pPr>
        <w:ind w:left="1060" w:right="580" w:hanging="316"/>
        <w:spacing w:after="0" w:line="282"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16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3" w:lineRule="exact"/>
        <w:rPr>
          <w:sz w:val="20"/>
          <w:szCs w:val="20"/>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130" w:lineRule="exact"/>
        <w:rPr>
          <w:rFonts w:ascii="Times New Roman" w:cs="Times New Roman" w:eastAsia="Times New Roman" w:hAnsi="Times New Roman"/>
          <w:sz w:val="18"/>
          <w:szCs w:val="18"/>
          <w:color w:val="auto"/>
        </w:rPr>
      </w:pPr>
    </w:p>
    <w:p>
      <w:pPr>
        <w:ind w:left="1060" w:right="520" w:hanging="316"/>
        <w:spacing w:after="0" w:line="266"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color w:val="auto"/>
        </w:rPr>
        <w:t>The indentures only permit us to establish the trust described in the paragraph above if, among other things, it has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131" w:lineRule="exact"/>
        <w:rPr>
          <w:sz w:val="20"/>
          <w:szCs w:val="20"/>
          <w:color w:val="auto"/>
        </w:rPr>
      </w:pPr>
    </w:p>
    <w:p>
      <w:pPr>
        <w:ind w:left="1060" w:right="220" w:hanging="316"/>
        <w:spacing w:after="0" w:line="282"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67" w:lineRule="exact"/>
        <w:rPr>
          <w:rFonts w:ascii="Times New Roman" w:cs="Times New Roman" w:eastAsia="Times New Roman" w:hAnsi="Times New Roman"/>
          <w:sz w:val="18"/>
          <w:szCs w:val="18"/>
          <w:color w:val="auto"/>
        </w:rPr>
      </w:pPr>
    </w:p>
    <w:p>
      <w:pPr>
        <w:ind w:left="1060" w:right="120" w:hanging="316"/>
        <w:spacing w:after="0" w:line="254"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w:t>
      </w:r>
    </w:p>
    <w:p>
      <w:pPr>
        <w:jc w:val="both"/>
        <w:ind w:left="108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6"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131" w:lineRule="exact"/>
        <w:rPr>
          <w:sz w:val="20"/>
          <w:szCs w:val="20"/>
          <w:color w:val="auto"/>
        </w:rPr>
      </w:pPr>
    </w:p>
    <w:p>
      <w:pPr>
        <w:ind w:left="1060" w:right="240" w:hanging="316"/>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67"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84"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preferred stock will be set forth in the applicable prospectus supplement. The terms will include whether the debt securities are convertible into shares of common stock or preferred stock,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left="200" w:right="120"/>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88"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4"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9" w:lineRule="exact"/>
        <w:rPr>
          <w:sz w:val="20"/>
          <w:szCs w:val="20"/>
          <w:color w:val="auto"/>
        </w:rPr>
      </w:pPr>
    </w:p>
    <w:p>
      <w:pPr>
        <w:ind w:left="200" w:right="40"/>
        <w:spacing w:after="0" w:line="254"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w:t>
      </w:r>
    </w:p>
    <w:p>
      <w:pPr>
        <w:spacing w:after="0" w:line="186" w:lineRule="exact"/>
        <w:rPr>
          <w:sz w:val="20"/>
          <w:szCs w:val="20"/>
          <w:color w:val="auto"/>
        </w:rPr>
      </w:pPr>
    </w:p>
    <w:p>
      <w:pPr>
        <w:ind w:left="200" w:right="200"/>
        <w:spacing w:after="0" w:line="258" w:lineRule="auto"/>
        <w:rPr>
          <w:sz w:val="20"/>
          <w:szCs w:val="20"/>
          <w:color w:val="auto"/>
        </w:rPr>
      </w:pPr>
      <w:r>
        <w:rPr>
          <w:rFonts w:ascii="Times New Roman" w:cs="Times New Roman" w:eastAsia="Times New Roman" w:hAnsi="Times New Roman"/>
          <w:sz w:val="18"/>
          <w:szCs w:val="18"/>
          <w:color w:val="auto"/>
        </w:rPr>
        <w:t>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84" w:lineRule="exact"/>
        <w:rPr>
          <w:sz w:val="20"/>
          <w:szCs w:val="20"/>
          <w:color w:val="auto"/>
        </w:rPr>
      </w:pPr>
    </w:p>
    <w:p>
      <w:pPr>
        <w:jc w:val="both"/>
        <w:ind w:left="200" w:right="220"/>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2" w:lineRule="auto"/>
        <w:rPr>
          <w:sz w:val="20"/>
          <w:szCs w:val="20"/>
          <w:color w:val="auto"/>
        </w:rPr>
      </w:pPr>
      <w:r>
        <w:rPr>
          <w:rFonts w:ascii="Times New Roman" w:cs="Times New Roman" w:eastAsia="Times New Roman" w:hAnsi="Times New Roman"/>
          <w:sz w:val="18"/>
          <w:szCs w:val="18"/>
          <w:color w:val="auto"/>
        </w:rPr>
        <w:t>will issue individual debt securities in exchange for the global security or securities representing such debt securities. Individual debt securities so issued will be issued in denominations of $2,000 and integral multiples of $1,000.</w:t>
      </w:r>
    </w:p>
    <w:p>
      <w:pPr>
        <w:spacing w:after="0" w:line="162"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 Recourse</w:t>
      </w:r>
    </w:p>
    <w:p>
      <w:pPr>
        <w:spacing w:after="0" w:line="121" w:lineRule="exact"/>
        <w:rPr>
          <w:sz w:val="20"/>
          <w:szCs w:val="20"/>
          <w:color w:val="auto"/>
        </w:rPr>
      </w:pPr>
    </w:p>
    <w:p>
      <w:pPr>
        <w:ind w:left="200" w:right="280"/>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85"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We also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As of March 10, 2017, no shares of preferred stock or Series A preferred stock were issued and outstanding.</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24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is a description of the material terms and provisions of our common stock. It may not contain all the information that is important to you.</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You can access complete information by referring to our certificate of incorporation and bylaws.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Under our certificate of incorporation, we have authority to issue 45,000,000 shares of common stock, par value $.01 per share. As of March 10, 2017, there were 27,302,846 shares of common stock issued and outstanding. All shares of common stock will, when issued, be duly authorized, fully paid and nonassessable. Thus, the full price for the outstanding shares of common stock will have been paid at issuance and any holder of our common stock will not be later required to pay us any additional money for such common stock.</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left="200" w:right="200"/>
        <w:spacing w:after="0" w:line="258" w:lineRule="auto"/>
        <w:rPr>
          <w:sz w:val="20"/>
          <w:szCs w:val="20"/>
          <w:color w:val="auto"/>
        </w:rPr>
      </w:pPr>
      <w:r>
        <w:rPr>
          <w:rFonts w:ascii="Times New Roman" w:cs="Times New Roman" w:eastAsia="Times New Roman" w:hAnsi="Times New Roman"/>
          <w:sz w:val="18"/>
          <w:szCs w:val="18"/>
          <w:color w:val="auto"/>
        </w:rPr>
        <w:t>Subject to preferential rights of any other class or series of preferred stock, holders of common stock may receive dividends pro rata out of assets that we can legally use to pay dividends, when, as and if they are declared by our board of directors.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any other class or series of preferred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200" w:right="38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General Corporation Law of the State of Delaware regulating corporate takeovers. In general, Section 203,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82" w:lineRule="exact"/>
        <w:rPr>
          <w:sz w:val="20"/>
          <w:szCs w:val="20"/>
          <w:color w:val="auto"/>
        </w:rPr>
      </w:pPr>
    </w:p>
    <w:p>
      <w:pPr>
        <w:ind w:left="1060" w:right="40" w:hanging="316"/>
        <w:spacing w:after="0" w:line="282"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455"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620" w:hanging="316"/>
        <w:spacing w:after="0" w:line="266"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general, Section 203 defines “business combination” as:</w:t>
      </w:r>
    </w:p>
    <w:p>
      <w:pPr>
        <w:spacing w:after="0" w:line="131" w:lineRule="exact"/>
        <w:rPr>
          <w:sz w:val="20"/>
          <w:szCs w:val="20"/>
          <w:color w:val="auto"/>
        </w:rPr>
      </w:pPr>
    </w:p>
    <w:p>
      <w:pPr>
        <w:ind w:left="1060" w:hanging="316"/>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60" w:right="480" w:hanging="316"/>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10% or more of the assets of the corporation to or with the interested stockholder;</w:t>
      </w:r>
    </w:p>
    <w:p>
      <w:pPr>
        <w:spacing w:after="0" w:line="67"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which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60" w:right="300" w:hanging="316"/>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general, Section 203 defines an “interested stockholder” as any person that is:</w:t>
      </w:r>
    </w:p>
    <w:p>
      <w:pPr>
        <w:spacing w:after="0" w:line="131" w:lineRule="exact"/>
        <w:rPr>
          <w:sz w:val="20"/>
          <w:szCs w:val="20"/>
          <w:color w:val="auto"/>
        </w:rPr>
      </w:pPr>
    </w:p>
    <w:p>
      <w:pPr>
        <w:ind w:left="1060" w:hanging="31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w:t>
      </w:r>
    </w:p>
    <w:p>
      <w:pPr>
        <w:spacing w:after="0" w:line="130" w:lineRule="exact"/>
        <w:rPr>
          <w:rFonts w:ascii="Times New Roman" w:cs="Times New Roman" w:eastAsia="Times New Roman" w:hAnsi="Times New Roman"/>
          <w:sz w:val="18"/>
          <w:szCs w:val="18"/>
          <w:color w:val="auto"/>
        </w:rPr>
      </w:pPr>
    </w:p>
    <w:p>
      <w:pPr>
        <w:ind w:left="1060" w:right="140" w:hanging="316"/>
        <w:spacing w:after="0" w:line="282"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above.</w:t>
      </w:r>
    </w:p>
    <w:p>
      <w:pPr>
        <w:spacing w:after="0" w:line="225" w:lineRule="exact"/>
        <w:rPr>
          <w:sz w:val="20"/>
          <w:szCs w:val="20"/>
          <w:color w:val="auto"/>
        </w:rPr>
      </w:pPr>
    </w:p>
    <w:p>
      <w:pPr>
        <w:ind w:left="200" w:right="1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and Other Matters</w:t>
      </w:r>
    </w:p>
    <w:p>
      <w:pPr>
        <w:spacing w:after="0" w:line="121"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serves until the third annual meeting of shareholders after their election, with one class being elected each year. Subject to the preferential rights of any other class or series of preferred stock, any director, or the entire board of directors, may be removed from office at any time, with or without cause, by the affirmative vote of the holders of ta majority of the voting power of all the then outstanding shares of voting stock of the company, voting together as a single class. Our bylaws require that shareholders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Times New Roman" w:cs="Times New Roman" w:eastAsia="Times New Roman" w:hAnsi="Times New Roman"/>
          <w:sz w:val="17"/>
          <w:szCs w:val="17"/>
          <w:color w:val="auto"/>
        </w:rPr>
        <w:t>meeting was 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shareholders of our company may be called only by: (i) the Chairman of the board of directors, (ii) by a majority of the board of directors, or (iii) the Chief Executive Officer of our Company. Our certificate of incorporation, as well as applicable provisions of the General Corporation Law of the State of Delaware, provide that no action required or permitted to be taken at any annual or special meeting of our shareholders may be taken without a meeting, unless the consent of two-thirds of the voting power of the then outstanding shares of stock of the company entitled to vote on the matter is obtained. These provisions may diminish the likelihood that a potential acquiror would make an offer for our common stock or that there would otherwise be a change in control of our company.</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24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200" w:right="20"/>
        <w:spacing w:after="0" w:line="256" w:lineRule="auto"/>
        <w:rPr>
          <w:sz w:val="20"/>
          <w:szCs w:val="20"/>
          <w:color w:val="auto"/>
        </w:rPr>
      </w:pPr>
      <w:r>
        <w:rPr>
          <w:rFonts w:ascii="Times New Roman" w:cs="Times New Roman" w:eastAsia="Times New Roman" w:hAnsi="Times New Roman"/>
          <w:sz w:val="18"/>
          <w:szCs w:val="18"/>
          <w:color w:val="auto"/>
        </w:rPr>
        <w:t>We have no warrants outstanding. We may issue warrants for the purchase of preferred stock, common stock or debt securities. Warrants may be issued independently, together with any other securities offered by any prospectus supplement or through a dividend or other distribution to our stockholders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w:t>
      </w:r>
    </w:p>
    <w:p>
      <w:pPr>
        <w:spacing w:after="0" w:line="188"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applicable warrant agreement, including, where applicable, the following:</w:t>
      </w:r>
    </w:p>
    <w:p>
      <w:pPr>
        <w:spacing w:after="0" w:line="82" w:lineRule="exact"/>
        <w:rPr>
          <w:sz w:val="20"/>
          <w:szCs w:val="20"/>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 and the aggregate number of warrants outstanding as of the most practicable date;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issue the warrants;</w:t>
      </w:r>
    </w:p>
    <w:p>
      <w:pPr>
        <w:spacing w:after="0" w:line="130" w:lineRule="exact"/>
        <w:rPr>
          <w:rFonts w:ascii="Times New Roman" w:cs="Times New Roman" w:eastAsia="Times New Roman" w:hAnsi="Times New Roman"/>
          <w:sz w:val="18"/>
          <w:szCs w:val="18"/>
          <w:color w:val="auto"/>
        </w:rPr>
      </w:pPr>
    </w:p>
    <w:p>
      <w:pPr>
        <w:ind w:left="1060" w:right="460" w:hanging="316"/>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stock, common stock or debt securities that can be purchased upon exercise of the warrants and the procedures and conditions relating to the exercise of the warrants;</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issued and the number of warrants issued with each of those securities;</w:t>
      </w:r>
    </w:p>
    <w:p>
      <w:pPr>
        <w:spacing w:after="0" w:line="67" w:lineRule="exact"/>
        <w:rPr>
          <w:rFonts w:ascii="Times New Roman" w:cs="Times New Roman" w:eastAsia="Times New Roman" w:hAnsi="Times New Roman"/>
          <w:sz w:val="18"/>
          <w:szCs w:val="18"/>
          <w:color w:val="auto"/>
        </w:rPr>
      </w:pPr>
    </w:p>
    <w:p>
      <w:pPr>
        <w:ind w:left="1060" w:right="120" w:hanging="316"/>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preferred stock, common stock or debt securities, if any, will be separately transferable;</w:t>
      </w:r>
    </w:p>
    <w:p>
      <w:pPr>
        <w:spacing w:after="0" w:line="6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share of preferred stock, common stock or debt securities that can be purchased upon exercise of such warrants may be purchased;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60" w:right="200" w:hanging="316"/>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warrant certificates will be issued in registered or bearer form, and, if registered, where they may be transferred and registered;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any book-entry procedures;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applicable United States federal income tax consequences;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of the debt warrants, if any; and</w:t>
      </w:r>
    </w:p>
    <w:p>
      <w:pPr>
        <w:spacing w:after="0" w:line="130" w:lineRule="exact"/>
        <w:rPr>
          <w:rFonts w:ascii="Times New Roman" w:cs="Times New Roman" w:eastAsia="Times New Roman" w:hAnsi="Times New Roman"/>
          <w:sz w:val="18"/>
          <w:szCs w:val="18"/>
          <w:color w:val="auto"/>
        </w:rPr>
      </w:pPr>
    </w:p>
    <w:p>
      <w:pPr>
        <w:ind w:left="1060" w:right="200" w:hanging="316"/>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and additional rights, preferences, privileges, procedures and limitations relating to the transferability, exchange and exercise of such warrants.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240" w:top="455" w:right="5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supplement, the specific terms of any series of units may differ from the general description of terms presented below.</w:t>
      </w:r>
    </w:p>
    <w:p>
      <w:pPr>
        <w:spacing w:after="0" w:line="18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shares of preferred stock, shares of common stock, warrants and debt securities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applicable prospectus supplement may describe:</w:t>
      </w:r>
    </w:p>
    <w:p>
      <w:pPr>
        <w:spacing w:after="0" w:line="131" w:lineRule="exact"/>
        <w:rPr>
          <w:sz w:val="20"/>
          <w:szCs w:val="20"/>
          <w:color w:val="auto"/>
        </w:rPr>
      </w:pPr>
    </w:p>
    <w:p>
      <w:pPr>
        <w:ind w:left="1060" w:right="320" w:hanging="316"/>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200" w:right="780"/>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Preferred Stock,” “Description of Common Stock” and “Description of Warrants” will apply to the securities included in each unit, to the extent relevant.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Issuance in Series</w:t>
      </w:r>
    </w:p>
    <w:p>
      <w:pPr>
        <w:spacing w:after="0" w:line="121" w:lineRule="exact"/>
        <w:rPr>
          <w:sz w:val="20"/>
          <w:szCs w:val="20"/>
          <w:color w:val="auto"/>
        </w:rPr>
      </w:pPr>
    </w:p>
    <w:p>
      <w:pPr>
        <w:ind w:left="200" w:right="28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w:t>
      </w:r>
    </w:p>
    <w:p>
      <w:pPr>
        <w:spacing w:after="0" w:line="121" w:lineRule="exact"/>
        <w:rPr>
          <w:sz w:val="20"/>
          <w:szCs w:val="20"/>
          <w:color w:val="auto"/>
        </w:rPr>
      </w:pPr>
    </w:p>
    <w:p>
      <w:pPr>
        <w:jc w:val="both"/>
        <w:ind w:left="200" w:right="4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60" w:hanging="316"/>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240" w:top="455" w:right="5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82"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200" w:right="12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200" w:right="24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60" w:right="300" w:hanging="316"/>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60" w:right="520" w:hanging="316"/>
        <w:spacing w:after="0" w:line="28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60" w:right="280" w:hanging="316"/>
        <w:spacing w:after="0" w:line="313" w:lineRule="auto"/>
        <w:tabs>
          <w:tab w:leader="none" w:pos="10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38" w:lineRule="exact"/>
        <w:rPr>
          <w:sz w:val="20"/>
          <w:szCs w:val="20"/>
          <w:color w:val="auto"/>
        </w:rPr>
      </w:pPr>
    </w:p>
    <w:p>
      <w:pPr>
        <w:ind w:left="200" w:right="74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form only (i.e., book-entry).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20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60" w:right="360" w:hanging="316"/>
        <w:spacing w:after="0" w:line="282"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60" w:right="100" w:hanging="316"/>
        <w:spacing w:after="0" w:line="261"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60" w:right="40" w:hanging="316"/>
        <w:spacing w:after="0" w:line="256"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24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may sell the securities in any one or more of the following methods from time to time:</w:t>
      </w:r>
    </w:p>
    <w:p>
      <w:pPr>
        <w:spacing w:after="0" w:line="131" w:lineRule="exact"/>
        <w:rPr>
          <w:sz w:val="20"/>
          <w:szCs w:val="20"/>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 directly to agents, or to investors through agents;</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underwriting syndicates led by one or more managing underwriters, or through one or more underwriters acting alone, for resale to the public or investors;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own account;</w:t>
      </w:r>
    </w:p>
    <w:p>
      <w:pPr>
        <w:spacing w:after="0" w:line="130"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(which may involve crosses) in which the broker or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60" w:right="300" w:hanging="316"/>
        <w:spacing w:after="0" w:line="282"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not involving market makers or established trading markets, including direct sales or privately negotiated transactions;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distributions and/or secondary distributions;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delayed delivery contracts or by remarketing firms;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options, swaps or other derivatives that may or may not be listed on an exchange;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Any of the prices may represent a discount from the prevailing market prices.</w:t>
      </w:r>
    </w:p>
    <w:p>
      <w:pPr>
        <w:spacing w:after="0" w:line="225"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An offering may be on a best efforts or a firm commitment basis. If underwriters are used in the sale, the securities acquired by the underwriters will be for their own accounts. The underwriters may resell the securities in one or more transactions, including without limitation, negotiated transactions, at a fixed public offering price or at a varying price determined at the time of sale. The obligations, if any, of the underwriter to purchase any securities will be subject to certain conditions. We may offer the securities to the public through underwriting syndicates represented by managing underwriters or by underwriters without a syndicate. Subject to certain conditions, the underwriters will be obligated to purchase all of the securities if any are purchased, other than securities covered by any option to purchase additional securities. Any public offering price and any discounts or concessions allowed, reallowed or paid to dealers may be changed from time to time.</w:t>
      </w:r>
    </w:p>
    <w:p>
      <w:pPr>
        <w:spacing w:after="0" w:line="189"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If a dealer is used in an offering of securities, we may sell the securities to the dealer, as principal. The dealer may then resell the securities to the public at varying prices to be determined by the dealer at the time of sale.</w:t>
      </w:r>
    </w:p>
    <w:p>
      <w:pPr>
        <w:spacing w:after="0" w:line="162"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24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may also sell securities directly to one or more purchasers without using underwriters, dealers or agents.</w:t>
      </w:r>
    </w:p>
    <w:p>
      <w:pPr>
        <w:spacing w:after="0" w:line="225"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applicable prospectus supplement will, where applicable:</w:t>
      </w:r>
    </w:p>
    <w:p>
      <w:pPr>
        <w:spacing w:after="0" w:line="93" w:lineRule="exact"/>
        <w:rPr>
          <w:sz w:val="20"/>
          <w:szCs w:val="20"/>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such underwriter or agent;</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any compensation in the form of discounts, concessions, commissions or otherwise received from us by each of such underwriter, dealer or agent and in the aggregate to all underwriters, dealers and agents;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amounts offered and any public offering price;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nature of the underwriter’s obligation to take the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option under which the underwriters may purchase additional securities from us;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quotation systems or securities exchanges on which the securities may be quoted or listed.</w:t>
      </w:r>
    </w:p>
    <w:p>
      <w:pPr>
        <w:spacing w:after="0" w:line="225" w:lineRule="exact"/>
        <w:rPr>
          <w:sz w:val="20"/>
          <w:szCs w:val="20"/>
          <w:color w:val="auto"/>
        </w:rPr>
      </w:pPr>
    </w:p>
    <w:p>
      <w:pPr>
        <w:ind w:left="200" w:right="20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related prospectus supplement, each series of securities will be a new issue with no established trading market, other than the common stock, which is listed on The NASDAQ Global Select Market under the symbol “NNBR”. Any common stock sold pursuant to a prospectus supplement will be listed on The NASDAQ Global Select Market, subject to applicable notices. We may elect to apply for quotation or listing of any other class or series of our securities, on a quotation system or an exchange but we are not obligated to do so.</w:t>
      </w:r>
    </w:p>
    <w:p>
      <w:pPr>
        <w:spacing w:after="0" w:line="180"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in accordance with Rule 104 of Regulation M. Short covering transactions involve purchases of the securities in the open market after the distribution is completed to cover short positions. Short covering transactions also may be effected through a partial or full over-allotment exercise granted to them by us.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are not obligated to conduct any of these activities and if commenced, the underwriters may discontinue any of the activities at any time. Therefore, no assurance can be given as to the liquidity of, or the trading market for, any other class or series of our securities.</w:t>
      </w:r>
    </w:p>
    <w:p>
      <w:pPr>
        <w:spacing w:after="0" w:line="189"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Global Select Market may engage in passive market making transactions in the securities on the NASDAQ Global Select Market in accordance with</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24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Rule 103 of Regulation M under the Exchange Act during the business day prior to the pricing of the offering and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4" w:lineRule="exact"/>
        <w:rPr>
          <w:sz w:val="20"/>
          <w:szCs w:val="20"/>
          <w:color w:val="auto"/>
        </w:rPr>
      </w:pPr>
    </w:p>
    <w:p>
      <w:pPr>
        <w:ind w:left="200"/>
        <w:spacing w:after="0" w:line="274" w:lineRule="auto"/>
        <w:rPr>
          <w:sz w:val="20"/>
          <w:szCs w:val="20"/>
          <w:color w:val="auto"/>
        </w:rPr>
      </w:pPr>
      <w:r>
        <w:rPr>
          <w:rFonts w:ascii="Times New Roman" w:cs="Times New Roman" w:eastAsia="Times New Roman" w:hAnsi="Times New Roman"/>
          <w:sz w:val="17"/>
          <w:szCs w:val="17"/>
          <w:color w:val="auto"/>
        </w:rPr>
        <w:t>We may sell the securities in exchange in whole or part for consideration other than cash. This consideration may consist of services or products, whether tangible or intangible, and including services or products we may use in our business; outstanding debt or equity securities of our company or one or more of its subsidiaries; debt or equity securities or assets of other companies, including in connection with investments, joint ventures or other strategic transactions, or acquisitions; release of claims or settlement of disputes; and satisfaction of obligations, including obligations to make payments to distributors or other suppliers and payment of interest on outstanding obligations. We may sell the securities as part of a transaction in which outstanding debt or equity securities of our company or one or more of our subsidiaries are surrendered, converted, exercised, canceled or transferred.</w:t>
      </w:r>
    </w:p>
    <w:p>
      <w:pPr>
        <w:spacing w:after="0" w:line="174" w:lineRule="exact"/>
        <w:rPr>
          <w:sz w:val="20"/>
          <w:szCs w:val="20"/>
          <w:color w:val="auto"/>
        </w:rPr>
      </w:pPr>
    </w:p>
    <w:p>
      <w:pPr>
        <w:jc w:val="both"/>
        <w:ind w:left="200" w:right="140"/>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at any time.</w:t>
      </w:r>
    </w:p>
    <w:p>
      <w:pPr>
        <w:spacing w:after="0" w:line="176" w:lineRule="exact"/>
        <w:rPr>
          <w:sz w:val="20"/>
          <w:szCs w:val="20"/>
          <w:color w:val="auto"/>
        </w:rPr>
      </w:pPr>
    </w:p>
    <w:p>
      <w:pPr>
        <w:ind w:left="200" w:right="440"/>
        <w:spacing w:after="0" w:line="266" w:lineRule="auto"/>
        <w:rPr>
          <w:sz w:val="20"/>
          <w:szCs w:val="20"/>
          <w:color w:val="auto"/>
        </w:rPr>
      </w:pPr>
      <w:r>
        <w:rPr>
          <w:rFonts w:ascii="Times New Roman" w:cs="Times New Roman" w:eastAsia="Times New Roman" w:hAnsi="Times New Roman"/>
          <w:sz w:val="18"/>
          <w:szCs w:val="18"/>
          <w:color w:val="auto"/>
        </w:rPr>
        <w:t>Under agreements into which we may enter, underwriters, dealers and agents who participate in the distribution of the securities may be entitled to indemnification by us against certain civil liabilities, including liabilities under the Securities Act, or contribution from us to payments which the underwriters, dealers or agents may be required to make.</w:t>
      </w:r>
    </w:p>
    <w:p>
      <w:pPr>
        <w:spacing w:after="0" w:line="176" w:lineRule="exact"/>
        <w:rPr>
          <w:sz w:val="20"/>
          <w:szCs w:val="20"/>
          <w:color w:val="auto"/>
        </w:rPr>
      </w:pPr>
    </w:p>
    <w:p>
      <w:pPr>
        <w:jc w:val="both"/>
        <w:ind w:left="200" w:right="440"/>
        <w:spacing w:after="0" w:line="266" w:lineRule="auto"/>
        <w:rPr>
          <w:sz w:val="20"/>
          <w:szCs w:val="20"/>
          <w:color w:val="auto"/>
        </w:rPr>
      </w:pPr>
      <w:r>
        <w:rPr>
          <w:rFonts w:ascii="Times New Roman" w:cs="Times New Roman" w:eastAsia="Times New Roman" w:hAnsi="Times New Roman"/>
          <w:sz w:val="18"/>
          <w:szCs w:val="18"/>
          <w:color w:val="auto"/>
        </w:rPr>
        <w:t>Some of the underwriters, dealers and agents and their affiliates may engage in transactions with or perform services for us and our affiliates in the ordinary course of business. Underwriters have from time to time in the past, and may from time to time in the future, provide investment banking services to us for which they have in the past received, and in the future may receive, customary fees.</w:t>
      </w:r>
    </w:p>
    <w:p>
      <w:pPr>
        <w:spacing w:after="0" w:line="176" w:lineRule="exact"/>
        <w:rPr>
          <w:sz w:val="20"/>
          <w:szCs w:val="20"/>
          <w:color w:val="auto"/>
        </w:rPr>
      </w:pPr>
    </w:p>
    <w:p>
      <w:pPr>
        <w:ind w:left="200" w:right="240"/>
        <w:spacing w:after="0" w:line="261" w:lineRule="auto"/>
        <w:rPr>
          <w:sz w:val="20"/>
          <w:szCs w:val="20"/>
          <w:color w:val="auto"/>
        </w:rPr>
      </w:pPr>
      <w:r>
        <w:rPr>
          <w:rFonts w:ascii="Times New Roman" w:cs="Times New Roman" w:eastAsia="Times New Roman" w:hAnsi="Times New Roman"/>
          <w:sz w:val="18"/>
          <w:szCs w:val="18"/>
          <w:color w:val="auto"/>
        </w:rPr>
        <w:t>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w:t>
      </w:r>
    </w:p>
    <w:p>
      <w:pPr>
        <w:spacing w:after="0" w:line="180" w:lineRule="exact"/>
        <w:rPr>
          <w:sz w:val="20"/>
          <w:szCs w:val="20"/>
          <w:color w:val="auto"/>
        </w:rPr>
      </w:pPr>
    </w:p>
    <w:p>
      <w:pPr>
        <w:ind w:left="200" w:right="140"/>
        <w:spacing w:after="0" w:line="253" w:lineRule="auto"/>
        <w:rPr>
          <w:sz w:val="20"/>
          <w:szCs w:val="20"/>
          <w:color w:val="auto"/>
        </w:rPr>
      </w:pPr>
      <w:r>
        <w:rPr>
          <w:rFonts w:ascii="Times New Roman" w:cs="Times New Roman" w:eastAsia="Times New Roman" w:hAnsi="Times New Roman"/>
          <w:sz w:val="18"/>
          <w:szCs w:val="18"/>
          <w:color w:val="auto"/>
        </w:rPr>
        <w:t>If indicated in the applicable prospectus supplement, we will authorize underwriters, dealers or other persons acting as our agents to solicit offers by particular institutions to purchase securities from us at the public offering price set forth in such prospectus supplement pursuant to delayed delivery contracts providing for payment and delivery on such future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delayed delivery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w:t>
      </w:r>
    </w:p>
    <w:p>
      <w:pPr>
        <w:spacing w:after="0" w:line="4" w:lineRule="exact"/>
        <w:rPr>
          <w:sz w:val="20"/>
          <w:szCs w:val="20"/>
          <w:color w:val="auto"/>
        </w:rPr>
      </w:pPr>
    </w:p>
    <w:p>
      <w:pPr>
        <w:jc w:val="both"/>
        <w:ind w:left="200" w:right="460" w:firstLine="4"/>
        <w:spacing w:after="0" w:line="254" w:lineRule="auto"/>
        <w:tabs>
          <w:tab w:leader="none" w:pos="4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the securities shall not at the time of delivery be prohibited under the laws of any jurisdiction in the United States to which the purchaser is subject, and (2) if the securities are being sold to underwriters, we shall have sold to the underwriters the total principal amount of the securities less the principal amount thereof covered by the delayed delivery contracts. The underwriters and such other agents will not have any responsibility in respect of the validity or performance of such delayed delivery contracts.</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24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200" w:right="12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which means that we can disclose important information to you by referring you to these documents. Our SEC file number is 000-23486.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prior to termination to the offering of the securities described in this prospectus except as to any portion of any future report or document that is deemed furnished and not filed under such provisions:</w:t>
      </w:r>
    </w:p>
    <w:p>
      <w:pPr>
        <w:spacing w:after="0" w:line="93" w:lineRule="exact"/>
        <w:rPr>
          <w:sz w:val="20"/>
          <w:szCs w:val="20"/>
          <w:color w:val="auto"/>
        </w:rPr>
      </w:pPr>
    </w:p>
    <w:p>
      <w:pPr>
        <w:ind w:left="1060" w:hanging="316"/>
        <w:spacing w:after="0"/>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2016, filed with the Commission on March 16, 2017.</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Commission on October 27, 2014 and December 30, 2015.</w:t>
      </w:r>
    </w:p>
    <w:p>
      <w:pPr>
        <w:spacing w:after="0" w:line="130" w:lineRule="exact"/>
        <w:rPr>
          <w:rFonts w:ascii="Times New Roman" w:cs="Times New Roman" w:eastAsia="Times New Roman" w:hAnsi="Times New Roman"/>
          <w:sz w:val="18"/>
          <w:szCs w:val="18"/>
          <w:color w:val="auto"/>
        </w:rPr>
      </w:pPr>
    </w:p>
    <w:p>
      <w:pPr>
        <w:ind w:left="1060" w:right="320" w:hanging="316"/>
        <w:spacing w:after="0" w:line="282" w:lineRule="auto"/>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62" w:lineRule="exact"/>
        <w:rPr>
          <w:sz w:val="20"/>
          <w:szCs w:val="20"/>
          <w:color w:val="auto"/>
        </w:rPr>
      </w:pPr>
    </w:p>
    <w:p>
      <w:pPr>
        <w:jc w:val="both"/>
        <w:ind w:left="200" w:right="140"/>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207 Mockingbird Lane</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Johnson City, Tennessee 37604</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(423) 434-8300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Attention: Matthew S. Heiter, Esq, Senior Vice President and General Counsel</w:t>
      </w:r>
    </w:p>
    <w:p>
      <w:pPr>
        <w:spacing w:after="0" w:line="207"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200"/>
        <w:spacing w:after="0" w:line="273" w:lineRule="auto"/>
        <w:rPr>
          <w:sz w:val="20"/>
          <w:szCs w:val="20"/>
          <w:color w:val="auto"/>
        </w:rPr>
      </w:pPr>
      <w:r>
        <w:rPr>
          <w:rFonts w:ascii="Times New Roman" w:cs="Times New Roman" w:eastAsia="Times New Roman" w:hAnsi="Times New Roman"/>
          <w:sz w:val="17"/>
          <w:szCs w:val="17"/>
          <w:color w:val="auto"/>
        </w:rPr>
        <w:t xml:space="preserve">We are subject to the information requirements of the Exchange Act, and in accordance with the Exchange Act,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 Our telephone number is (423) 434-8300. Our website is located at </w:t>
      </w:r>
      <w:r>
        <w:rPr>
          <w:rFonts w:ascii="Times New Roman" w:cs="Times New Roman" w:eastAsia="Times New Roman" w:hAnsi="Times New Roman"/>
          <w:sz w:val="17"/>
          <w:szCs w:val="17"/>
          <w:i w:val="1"/>
          <w:iCs w:val="1"/>
          <w:color w:val="auto"/>
        </w:rPr>
        <w:t>www.nninc.com</w:t>
      </w:r>
      <w:r>
        <w:rPr>
          <w:rFonts w:ascii="Times New Roman" w:cs="Times New Roman" w:eastAsia="Times New Roman" w:hAnsi="Times New Roman"/>
          <w:sz w:val="17"/>
          <w:szCs w:val="17"/>
          <w:color w:val="auto"/>
        </w:rPr>
        <w:t>. Information contained on our website, other than the documents that we file with the SEC that are incorporated by reference in this prospectus, is not incorporated by reference into this prospectus and, therefore, is not part of this prospectus or any accompanying prospectus supplement.</w:t>
      </w:r>
    </w:p>
    <w:p>
      <w:pPr>
        <w:spacing w:after="0" w:line="3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right="2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Autocam Corporation as of December 31, 2013 and 2012, and for each of the years in the three-year period ended December 31, 2013 incorporated in this Prospectus by reference from NN’s Amendment to Current Report on Form 8-K filed with the SEC on October 27, 2014, have been audited by Deloitte &amp; Touche LLP, independent auditors, as stated in their report which is incorporated herein by reference. Such consolidated financial statements have been so incorporated in reliance upon the report of such firm given upon their authority as experts in accounting and auditing.</w:t>
      </w:r>
    </w:p>
    <w:p>
      <w:pPr>
        <w:spacing w:after="0" w:line="184"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Precision Engineered Products Holdings, Inc. at December 31, 2014 and 2013, and for each of the three years in the period ended December 31, 2014, incorporated by reference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financial statements of Wuxi Weifu Autocam Precision Machinery Company, Ltd. as of and for the year ended December 31, 2016 incorporated in this Prospectus by reference from NN’s Annual Report on Form 10-K filed with the SEC on March 16, 2017, have been audited by Deloitte Touche Tohmatsu Certified Public Accountants LLP, an independent registered public accounting firm, as stated in their report which is incorporated herein by reference. Such financial statements have been so incorporated by reference in reliance upon the report of such firm given upon their authority as experts in accounting and auditing.</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Certain legal matters, including the legality of the securities offered, will be passed upon for us by Bass, Berry &amp; Sims PLC, Memphis, Tennessee.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24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1572895</wp:posOffset>
            </wp:positionV>
            <wp:extent cx="548640"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NN, Inc.</w:t>
      </w:r>
    </w:p>
    <w:p>
      <w:pPr>
        <w:spacing w:after="0" w:line="353"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Common stock</w:t>
      </w: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J.P. Morgan</w:t>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24"/>
          <w:szCs w:val="24"/>
          <w:b w:val="1"/>
          <w:bCs w:val="1"/>
          <w:color w:val="auto"/>
        </w:rPr>
        <w:t>Baird</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24"/>
          <w:szCs w:val="24"/>
          <w:b w:val="1"/>
          <w:bCs w:val="1"/>
          <w:color w:val="auto"/>
        </w:rPr>
        <w:t>KeyBanc Capital Markets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2018</w:t>
      </w:r>
    </w:p>
    <w:sectPr>
      <w:pgSz w:w="11900" w:h="16838" w:orient="portrait"/>
      <w:cols w:equalWidth="0" w:num="1">
        <w:col w:w="11220"/>
      </w:cols>
      <w:pgMar w:left="24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upperLetter"/>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980"/>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lvl w:ilvl="1">
      <w:lvlJc w:val="left"/>
      <w:lvlText w:val="(%2)"/>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2019-12-06T02:33:40Z</dcterms:created>
  <dcterms:modified xsi:type="dcterms:W3CDTF">2019-12-06T02:33:40Z</dcterms:modified>
</cp:coreProperties>
</file>