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5"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SECURITIES AND EXCHANGE COMMISSION</w:t>
      </w:r>
    </w:p>
    <w:p>
      <w:pPr>
        <w:spacing w:after="0" w:line="5"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Washington, D.C. 20549</w:t>
      </w:r>
    </w:p>
    <w:p>
      <w:pPr>
        <w:spacing w:after="0" w:line="16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b w:val="1"/>
          <w:bCs w:val="1"/>
          <w:color w:val="auto"/>
        </w:rPr>
        <w:t>-----------</w:t>
      </w:r>
    </w:p>
    <w:p>
      <w:pPr>
        <w:spacing w:after="0" w:line="5"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b w:val="1"/>
          <w:bCs w:val="1"/>
          <w:color w:val="auto"/>
        </w:rPr>
        <w:t>FORM 10-K</w:t>
      </w:r>
    </w:p>
    <w:p>
      <w:pPr>
        <w:sectPr>
          <w:pgSz w:w="11900" w:h="16901" w:orient="portrait"/>
          <w:cols w:equalWidth="0" w:num="1">
            <w:col w:w="10239"/>
          </w:cols>
          <w:pgMar w:left="220" w:top="555" w:right="1440" w:bottom="0" w:gutter="0" w:footer="0" w:header="0"/>
        </w:sectPr>
      </w:pP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|X|</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ANNUAL REPORT PURSUANT TO SECTION 13 OR 15(d) OF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SECURITIES EXCHANGE ACT OF 1934</w:t>
      </w:r>
    </w:p>
    <w:p>
      <w:pPr>
        <w:spacing w:after="0" w:line="168" w:lineRule="exact"/>
        <w:rPr>
          <w:sz w:val="24"/>
          <w:szCs w:val="24"/>
          <w:color w:val="auto"/>
        </w:rPr>
      </w:pPr>
    </w:p>
    <w:p>
      <w:pPr>
        <w:sectPr>
          <w:pgSz w:w="11900" w:h="16901" w:orient="portrait"/>
          <w:cols w:equalWidth="0" w:num="2">
            <w:col w:w="260" w:space="520"/>
            <w:col w:w="9459"/>
          </w:cols>
          <w:pgMar w:left="220" w:top="555" w:right="1440" w:bottom="0" w:gutter="0" w:footer="0" w:header="0"/>
          <w:type w:val="continuous"/>
        </w:sectPr>
      </w:pPr>
    </w:p>
    <w:p>
      <w:pPr>
        <w:spacing w:after="0" w:line="327"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|_|</w:t>
      </w:r>
    </w:p>
    <w:p>
      <w:pPr>
        <w:spacing w:after="0" w:line="20" w:lineRule="exact"/>
        <w:rPr>
          <w:sz w:val="24"/>
          <w:szCs w:val="24"/>
          <w:color w:val="auto"/>
        </w:rPr>
      </w:pPr>
      <w:r>
        <w:rPr>
          <w:sz w:val="24"/>
          <w:szCs w:val="24"/>
          <w:color w:val="auto"/>
        </w:rPr>
        <w:br w:type="column"/>
      </w:r>
    </w:p>
    <w:p>
      <w:pPr>
        <w:ind w:left="840"/>
        <w:spacing w:after="0"/>
        <w:rPr>
          <w:sz w:val="20"/>
          <w:szCs w:val="20"/>
          <w:color w:val="auto"/>
        </w:rPr>
      </w:pPr>
      <w:r>
        <w:rPr>
          <w:rFonts w:ascii="Courier New" w:cs="Courier New" w:eastAsia="Courier New" w:hAnsi="Courier New"/>
          <w:sz w:val="14"/>
          <w:szCs w:val="14"/>
          <w:b w:val="1"/>
          <w:bCs w:val="1"/>
          <w:color w:val="auto"/>
        </w:rPr>
        <w:t>For the fiscal year ended December 31, 2003</w:t>
      </w:r>
    </w:p>
    <w:p>
      <w:pPr>
        <w:spacing w:after="0" w:line="5" w:lineRule="exact"/>
        <w:rPr>
          <w:sz w:val="24"/>
          <w:szCs w:val="24"/>
          <w:color w:val="auto"/>
        </w:rPr>
      </w:pPr>
    </w:p>
    <w:p>
      <w:pPr>
        <w:ind w:left="2540"/>
        <w:spacing w:after="0"/>
        <w:rPr>
          <w:sz w:val="20"/>
          <w:szCs w:val="20"/>
          <w:color w:val="auto"/>
        </w:rPr>
      </w:pPr>
      <w:r>
        <w:rPr>
          <w:rFonts w:ascii="Courier New" w:cs="Courier New" w:eastAsia="Courier New" w:hAnsi="Courier New"/>
          <w:sz w:val="14"/>
          <w:szCs w:val="14"/>
          <w:b w:val="1"/>
          <w:bCs w:val="1"/>
          <w:color w:val="auto"/>
        </w:rPr>
        <w:t>OR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TRANSITION REPORT PURSUANT TO SECTION 13 OR 15(d) OF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SECURITIES EXCHANGE ACT OF 1934</w:t>
      </w:r>
    </w:p>
    <w:p>
      <w:pPr>
        <w:spacing w:after="0" w:line="5" w:lineRule="exact"/>
        <w:rPr>
          <w:sz w:val="24"/>
          <w:szCs w:val="24"/>
          <w:color w:val="auto"/>
        </w:rPr>
      </w:pPr>
    </w:p>
    <w:p>
      <w:pPr>
        <w:ind w:left="1260"/>
        <w:spacing w:after="0"/>
        <w:rPr>
          <w:sz w:val="20"/>
          <w:szCs w:val="20"/>
          <w:color w:val="auto"/>
        </w:rPr>
      </w:pPr>
      <w:r>
        <w:rPr>
          <w:rFonts w:ascii="Courier New" w:cs="Courier New" w:eastAsia="Courier New" w:hAnsi="Courier New"/>
          <w:sz w:val="14"/>
          <w:szCs w:val="14"/>
          <w:b w:val="1"/>
          <w:bCs w:val="1"/>
          <w:color w:val="auto"/>
        </w:rPr>
        <w:t>For the transition period from to</w:t>
      </w:r>
    </w:p>
    <w:p>
      <w:pPr>
        <w:spacing w:after="0" w:line="168" w:lineRule="exact"/>
        <w:rPr>
          <w:sz w:val="24"/>
          <w:szCs w:val="24"/>
          <w:color w:val="auto"/>
        </w:rPr>
      </w:pPr>
    </w:p>
    <w:p>
      <w:pPr>
        <w:sectPr>
          <w:pgSz w:w="11900" w:h="16901" w:orient="portrait"/>
          <w:cols w:equalWidth="0" w:num="2">
            <w:col w:w="260" w:space="520"/>
            <w:col w:w="9459"/>
          </w:cols>
          <w:pgMar w:left="220" w:top="555" w:right="1440" w:bottom="0" w:gutter="0" w:footer="0" w:header="0"/>
          <w:type w:val="continuous"/>
        </w:sectPr>
      </w:pPr>
    </w:p>
    <w:p>
      <w:pPr>
        <w:jc w:val="right"/>
        <w:ind w:right="5559"/>
        <w:spacing w:after="0"/>
        <w:rPr>
          <w:sz w:val="20"/>
          <w:szCs w:val="20"/>
          <w:color w:val="auto"/>
        </w:rPr>
      </w:pPr>
      <w:r>
        <w:rPr>
          <w:rFonts w:ascii="Courier New" w:cs="Courier New" w:eastAsia="Courier New" w:hAnsi="Courier New"/>
          <w:sz w:val="14"/>
          <w:szCs w:val="14"/>
          <w:b w:val="1"/>
          <w:bCs w:val="1"/>
          <w:color w:val="auto"/>
        </w:rPr>
        <w:t>Commission file number 0-23486</w:t>
      </w:r>
    </w:p>
    <w:p>
      <w:pPr>
        <w:spacing w:after="0" w:line="5" w:lineRule="exact"/>
        <w:rPr>
          <w:sz w:val="24"/>
          <w:szCs w:val="24"/>
          <w:color w:val="auto"/>
        </w:rPr>
      </w:pPr>
    </w:p>
    <w:p>
      <w:pPr>
        <w:jc w:val="right"/>
        <w:ind w:right="5559"/>
        <w:spacing w:after="0"/>
        <w:rPr>
          <w:sz w:val="20"/>
          <w:szCs w:val="20"/>
          <w:color w:val="auto"/>
        </w:rPr>
      </w:pPr>
      <w:r>
        <w:rPr>
          <w:rFonts w:ascii="Courier New" w:cs="Courier New" w:eastAsia="Courier New" w:hAnsi="Courier New"/>
          <w:sz w:val="14"/>
          <w:szCs w:val="14"/>
          <w:b w:val="1"/>
          <w:bCs w:val="1"/>
          <w:color w:val="auto"/>
        </w:rPr>
        <w:t>-------</w:t>
      </w:r>
    </w:p>
    <w:p>
      <w:pPr>
        <w:spacing w:after="0" w:line="5" w:lineRule="exact"/>
        <w:rPr>
          <w:sz w:val="24"/>
          <w:szCs w:val="24"/>
          <w:color w:val="auto"/>
        </w:rPr>
      </w:pPr>
    </w:p>
    <w:p>
      <w:pPr>
        <w:ind w:left="2980"/>
        <w:spacing w:after="0"/>
        <w:rPr>
          <w:sz w:val="20"/>
          <w:szCs w:val="20"/>
          <w:color w:val="auto"/>
        </w:rPr>
      </w:pPr>
      <w:r>
        <w:rPr>
          <w:rFonts w:ascii="Courier New" w:cs="Courier New" w:eastAsia="Courier New" w:hAnsi="Courier New"/>
          <w:sz w:val="14"/>
          <w:szCs w:val="14"/>
          <w:b w:val="1"/>
          <w:bCs w:val="1"/>
          <w:color w:val="auto"/>
        </w:rPr>
        <w:t>-----------</w:t>
      </w:r>
    </w:p>
    <w:p>
      <w:pPr>
        <w:spacing w:after="0" w:line="5" w:lineRule="exact"/>
        <w:rPr>
          <w:sz w:val="24"/>
          <w:szCs w:val="24"/>
          <w:color w:val="auto"/>
        </w:rPr>
      </w:pPr>
    </w:p>
    <w:p>
      <w:pPr>
        <w:ind w:left="306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b w:val="1"/>
          <w:bCs w:val="1"/>
          <w:color w:val="auto"/>
        </w:rPr>
        <w:t>(Exact name of registrant as specified in its charter)</w:t>
      </w:r>
    </w:p>
    <w:p>
      <w:pPr>
        <w:spacing w:after="0" w:line="5" w:lineRule="exact"/>
        <w:rPr>
          <w:sz w:val="24"/>
          <w:szCs w:val="24"/>
          <w:color w:val="auto"/>
        </w:rPr>
      </w:pPr>
    </w:p>
    <w:p>
      <w:pPr>
        <w:ind w:left="1360"/>
        <w:spacing w:after="0"/>
        <w:tabs>
          <w:tab w:leader="none" w:pos="5080" w:val="left"/>
        </w:tabs>
        <w:rPr>
          <w:sz w:val="20"/>
          <w:szCs w:val="20"/>
          <w:color w:val="auto"/>
        </w:rPr>
      </w:pPr>
      <w:r>
        <w:rPr>
          <w:rFonts w:ascii="Courier New" w:cs="Courier New" w:eastAsia="Courier New" w:hAnsi="Courier New"/>
          <w:sz w:val="14"/>
          <w:szCs w:val="14"/>
          <w:b w:val="1"/>
          <w:bCs w:val="1"/>
          <w:color w:val="auto"/>
        </w:rPr>
        <w:t>Delaware</w:t>
      </w:r>
      <w:r>
        <w:rPr>
          <w:sz w:val="20"/>
          <w:szCs w:val="20"/>
          <w:color w:val="auto"/>
        </w:rPr>
        <w:tab/>
      </w:r>
      <w:r>
        <w:rPr>
          <w:rFonts w:ascii="Courier New" w:cs="Courier New" w:eastAsia="Courier New" w:hAnsi="Courier New"/>
          <w:sz w:val="14"/>
          <w:szCs w:val="14"/>
          <w:b w:val="1"/>
          <w:bCs w:val="1"/>
          <w:color w:val="auto"/>
        </w:rPr>
        <w:t>62-1096725</w:t>
      </w:r>
    </w:p>
    <w:p>
      <w:pPr>
        <w:spacing w:after="0" w:line="5" w:lineRule="exact"/>
        <w:rPr>
          <w:sz w:val="24"/>
          <w:szCs w:val="24"/>
          <w:color w:val="auto"/>
        </w:rPr>
      </w:pPr>
    </w:p>
    <w:p>
      <w:pPr>
        <w:ind w:left="440"/>
        <w:spacing w:after="0"/>
        <w:tabs>
          <w:tab w:leader="none" w:pos="4820" w:val="left"/>
        </w:tabs>
        <w:rPr>
          <w:sz w:val="20"/>
          <w:szCs w:val="20"/>
          <w:color w:val="auto"/>
        </w:rPr>
      </w:pPr>
      <w:r>
        <w:rPr>
          <w:rFonts w:ascii="Courier New" w:cs="Courier New" w:eastAsia="Courier New" w:hAnsi="Courier New"/>
          <w:sz w:val="14"/>
          <w:szCs w:val="14"/>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line="5" w:lineRule="exact"/>
        <w:rPr>
          <w:sz w:val="24"/>
          <w:szCs w:val="24"/>
          <w:color w:val="auto"/>
        </w:rPr>
      </w:pPr>
    </w:p>
    <w:p>
      <w:pPr>
        <w:ind w:left="520"/>
        <w:spacing w:after="0"/>
        <w:tabs>
          <w:tab w:leader="none" w:pos="4740" w:val="left"/>
        </w:tabs>
        <w:rPr>
          <w:sz w:val="20"/>
          <w:szCs w:val="20"/>
          <w:color w:val="auto"/>
        </w:rPr>
      </w:pPr>
      <w:r>
        <w:rPr>
          <w:rFonts w:ascii="Courier New" w:cs="Courier New" w:eastAsia="Courier New" w:hAnsi="Courier New"/>
          <w:sz w:val="14"/>
          <w:szCs w:val="14"/>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ectPr>
          <w:pgSz w:w="11900" w:h="16901" w:orient="portrait"/>
          <w:cols w:equalWidth="0" w:num="1">
            <w:col w:w="10239"/>
          </w:cols>
          <w:pgMar w:left="220" w:top="555" w:right="1440" w:bottom="0" w:gutter="0" w:footer="0" w:header="0"/>
          <w:type w:val="continuous"/>
        </w:sectPr>
      </w:pPr>
    </w:p>
    <w:p>
      <w:pPr>
        <w:spacing w:after="0" w:line="168"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b w:val="1"/>
          <w:bCs w:val="1"/>
          <w:color w:val="auto"/>
        </w:rPr>
        <w:t>2000 Waters Edge Drive</w:t>
      </w:r>
    </w:p>
    <w:p>
      <w:pPr>
        <w:spacing w:after="0" w:line="5"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b w:val="1"/>
          <w:bCs w:val="1"/>
          <w:color w:val="auto"/>
        </w:rPr>
        <w:t>Johnson City, Tennessee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b w:val="1"/>
          <w:bCs w:val="1"/>
          <w:color w:val="auto"/>
        </w:rPr>
        <w:t>37604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68" w:lineRule="exact"/>
        <w:rPr>
          <w:sz w:val="24"/>
          <w:szCs w:val="24"/>
          <w:color w:val="auto"/>
        </w:rPr>
      </w:pPr>
    </w:p>
    <w:p>
      <w:pPr>
        <w:sectPr>
          <w:pgSz w:w="11900" w:h="16901" w:orient="portrait"/>
          <w:cols w:equalWidth="0" w:num="2">
            <w:col w:w="4380" w:space="720"/>
            <w:col w:w="5139"/>
          </w:cols>
          <w:pgMar w:left="220" w:top="555" w:right="1440" w:bottom="0" w:gutter="0" w:footer="0" w:header="0"/>
          <w:type w:val="continuous"/>
        </w:sectPr>
      </w:pPr>
    </w:p>
    <w:p>
      <w:pPr>
        <w:ind w:left="600"/>
        <w:spacing w:after="0"/>
        <w:rPr>
          <w:sz w:val="20"/>
          <w:szCs w:val="20"/>
          <w:color w:val="auto"/>
        </w:rPr>
      </w:pPr>
      <w:r>
        <w:rPr>
          <w:rFonts w:ascii="Courier New" w:cs="Courier New" w:eastAsia="Courier New" w:hAnsi="Courier New"/>
          <w:sz w:val="14"/>
          <w:szCs w:val="14"/>
          <w:color w:val="auto"/>
        </w:rPr>
        <w:t>Registrant's telephone number, including area code: (423) 743-9151</w:t>
      </w:r>
    </w:p>
    <w:p>
      <w:pPr>
        <w:spacing w:after="0" w:line="200" w:lineRule="exact"/>
        <w:rPr>
          <w:sz w:val="24"/>
          <w:szCs w:val="24"/>
          <w:color w:val="auto"/>
        </w:rPr>
      </w:pPr>
    </w:p>
    <w:p>
      <w:pPr>
        <w:spacing w:after="0" w:line="295" w:lineRule="exact"/>
        <w:rPr>
          <w:sz w:val="24"/>
          <w:szCs w:val="24"/>
          <w:color w:val="auto"/>
        </w:rPr>
      </w:pPr>
    </w:p>
    <w:p>
      <w:pPr>
        <w:ind w:left="94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68" w:lineRule="exact"/>
        <w:rPr>
          <w:sz w:val="24"/>
          <w:szCs w:val="24"/>
          <w:color w:val="auto"/>
        </w:rPr>
      </w:pPr>
    </w:p>
    <w:tbl>
      <w:tblPr>
        <w:tblLayout w:type="fixed"/>
        <w:tblInd w:w="1020" w:type="dxa"/>
        <w:tblCellMar>
          <w:top w:w="0" w:type="dxa"/>
          <w:left w:w="0" w:type="dxa"/>
          <w:bottom w:w="0" w:type="dxa"/>
          <w:right w:w="0" w:type="dxa"/>
        </w:tblCellMar>
      </w:tblPr>
      <w:tr>
        <w:trPr>
          <w:trHeight w:val="160"/>
        </w:trPr>
        <w:tc>
          <w:tcPr>
            <w:tcW w:w="1960" w:type="dxa"/>
            <w:vAlign w:val="bottom"/>
          </w:tcPr>
          <w:p>
            <w:pPr>
              <w:jc w:val="center"/>
              <w:ind w:right="1009"/>
              <w:spacing w:after="0"/>
              <w:rPr>
                <w:sz w:val="20"/>
                <w:szCs w:val="20"/>
                <w:color w:val="auto"/>
              </w:rPr>
            </w:pPr>
            <w:r>
              <w:rPr>
                <w:rFonts w:ascii="Courier New" w:cs="Courier New" w:eastAsia="Courier New" w:hAnsi="Courier New"/>
                <w:sz w:val="14"/>
                <w:szCs w:val="14"/>
                <w:color w:val="auto"/>
              </w:rPr>
              <w:t>Title of</w:t>
            </w:r>
          </w:p>
        </w:tc>
        <w:tc>
          <w:tcPr>
            <w:tcW w:w="2880" w:type="dxa"/>
            <w:vAlign w:val="bottom"/>
          </w:tcPr>
          <w:p>
            <w:pPr>
              <w:jc w:val="center"/>
              <w:ind w:left="1029"/>
              <w:spacing w:after="0"/>
              <w:rPr>
                <w:sz w:val="20"/>
                <w:szCs w:val="20"/>
                <w:color w:val="auto"/>
              </w:rPr>
            </w:pPr>
            <w:r>
              <w:rPr>
                <w:rFonts w:ascii="Courier New" w:cs="Courier New" w:eastAsia="Courier New" w:hAnsi="Courier New"/>
                <w:sz w:val="14"/>
                <w:szCs w:val="14"/>
                <w:color w:val="auto"/>
              </w:rPr>
              <w:t>Name of each exchange</w:t>
            </w:r>
          </w:p>
        </w:tc>
      </w:tr>
      <w:tr>
        <w:trPr>
          <w:trHeight w:val="163"/>
        </w:trPr>
        <w:tc>
          <w:tcPr>
            <w:tcW w:w="1960" w:type="dxa"/>
            <w:vAlign w:val="bottom"/>
          </w:tcPr>
          <w:p>
            <w:pPr>
              <w:jc w:val="center"/>
              <w:ind w:right="1029"/>
              <w:spacing w:after="0"/>
              <w:rPr>
                <w:sz w:val="20"/>
                <w:szCs w:val="20"/>
                <w:color w:val="auto"/>
              </w:rPr>
            </w:pPr>
            <w:r>
              <w:rPr>
                <w:rFonts w:ascii="Courier New" w:cs="Courier New" w:eastAsia="Courier New" w:hAnsi="Courier New"/>
                <w:sz w:val="14"/>
                <w:szCs w:val="14"/>
                <w:color w:val="auto"/>
              </w:rPr>
              <w:t>each class</w:t>
            </w:r>
          </w:p>
        </w:tc>
        <w:tc>
          <w:tcPr>
            <w:tcW w:w="2880" w:type="dxa"/>
            <w:vAlign w:val="bottom"/>
          </w:tcPr>
          <w:p>
            <w:pPr>
              <w:jc w:val="center"/>
              <w:ind w:left="1029"/>
              <w:spacing w:after="0"/>
              <w:rPr>
                <w:sz w:val="20"/>
                <w:szCs w:val="20"/>
                <w:color w:val="auto"/>
              </w:rPr>
            </w:pPr>
            <w:r>
              <w:rPr>
                <w:rFonts w:ascii="Courier New" w:cs="Courier New" w:eastAsia="Courier New" w:hAnsi="Courier New"/>
                <w:sz w:val="14"/>
                <w:szCs w:val="14"/>
                <w:color w:val="auto"/>
              </w:rPr>
              <w:t>on which registered</w:t>
            </w:r>
          </w:p>
        </w:tc>
      </w:tr>
      <w:tr>
        <w:trPr>
          <w:trHeight w:val="327"/>
        </w:trPr>
        <w:tc>
          <w:tcPr>
            <w:tcW w:w="1960" w:type="dxa"/>
            <w:vAlign w:val="bottom"/>
          </w:tcPr>
          <w:p>
            <w:pPr>
              <w:jc w:val="center"/>
              <w:ind w:right="1029"/>
              <w:spacing w:after="0"/>
              <w:rPr>
                <w:sz w:val="20"/>
                <w:szCs w:val="20"/>
                <w:color w:val="auto"/>
              </w:rPr>
            </w:pPr>
            <w:r>
              <w:rPr>
                <w:rFonts w:ascii="Courier New" w:cs="Courier New" w:eastAsia="Courier New" w:hAnsi="Courier New"/>
                <w:sz w:val="14"/>
                <w:szCs w:val="14"/>
                <w:color w:val="auto"/>
              </w:rPr>
              <w:t>None</w:t>
            </w:r>
          </w:p>
        </w:tc>
        <w:tc>
          <w:tcPr>
            <w:tcW w:w="2880" w:type="dxa"/>
            <w:vAlign w:val="bottom"/>
          </w:tcPr>
          <w:p>
            <w:pPr>
              <w:ind w:left="1780"/>
              <w:spacing w:after="0"/>
              <w:rPr>
                <w:sz w:val="20"/>
                <w:szCs w:val="20"/>
                <w:color w:val="auto"/>
              </w:rPr>
            </w:pPr>
            <w:r>
              <w:rPr>
                <w:rFonts w:ascii="Courier New" w:cs="Courier New" w:eastAsia="Courier New" w:hAnsi="Courier New"/>
                <w:sz w:val="14"/>
                <w:szCs w:val="14"/>
                <w:color w:val="auto"/>
              </w:rPr>
              <w:t>None</w:t>
            </w:r>
          </w:p>
        </w:tc>
      </w:tr>
    </w:tbl>
    <w:p>
      <w:pPr>
        <w:spacing w:after="0" w:line="16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6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Common Stock, par value $.01</w:t>
      </w:r>
    </w:p>
    <w:p>
      <w:pPr>
        <w:spacing w:after="0" w:line="5"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(Title of class)</w:t>
      </w:r>
    </w:p>
    <w:p>
      <w:pPr>
        <w:spacing w:after="0" w:line="168" w:lineRule="exact"/>
        <w:rPr>
          <w:sz w:val="24"/>
          <w:szCs w:val="24"/>
          <w:color w:val="auto"/>
        </w:rPr>
      </w:pPr>
    </w:p>
    <w:p>
      <w:pPr>
        <w:jc w:val="both"/>
        <w:ind w:right="3439" w:firstLine="425"/>
        <w:spacing w:after="0" w:line="247"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164" w:lineRule="exact"/>
        <w:rPr>
          <w:sz w:val="24"/>
          <w:szCs w:val="24"/>
          <w:color w:val="auto"/>
        </w:rPr>
      </w:pPr>
    </w:p>
    <w:p>
      <w:pPr>
        <w:spacing w:after="0"/>
        <w:tabs>
          <w:tab w:leader="none" w:pos="580" w:val="left"/>
          <w:tab w:leader="none" w:pos="1440" w:val="left"/>
          <w:tab w:leader="none" w:pos="194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|_|</w:t>
      </w:r>
    </w:p>
    <w:p>
      <w:pPr>
        <w:spacing w:after="0" w:line="331" w:lineRule="exact"/>
        <w:rPr>
          <w:sz w:val="24"/>
          <w:szCs w:val="24"/>
          <w:color w:val="auto"/>
        </w:rPr>
      </w:pPr>
    </w:p>
    <w:p>
      <w:pPr>
        <w:jc w:val="both"/>
        <w:ind w:right="3439" w:firstLine="425"/>
        <w:spacing w:after="0" w:line="247"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4" w:lineRule="exact"/>
        <w:rPr>
          <w:sz w:val="24"/>
          <w:szCs w:val="24"/>
          <w:color w:val="auto"/>
        </w:rPr>
      </w:pPr>
    </w:p>
    <w:p>
      <w:pPr>
        <w:jc w:val="both"/>
        <w:ind w:right="3439" w:firstLine="425"/>
        <w:spacing w:after="0" w:line="249" w:lineRule="auto"/>
        <w:rPr>
          <w:sz w:val="20"/>
          <w:szCs w:val="20"/>
          <w:color w:val="auto"/>
        </w:rPr>
      </w:pPr>
      <w:r>
        <w:rPr>
          <w:rFonts w:ascii="Courier New" w:cs="Courier New" w:eastAsia="Courier New" w:hAnsi="Courier New"/>
          <w:sz w:val="14"/>
          <w:szCs w:val="14"/>
          <w:color w:val="auto"/>
        </w:rPr>
        <w:t>Indicate by check mark whether the registrant is an accelerated filer (as defined in Rule 12b-2 of the Exchange Act).</w:t>
      </w:r>
    </w:p>
    <w:p>
      <w:pPr>
        <w:spacing w:after="0" w:line="161" w:lineRule="exact"/>
        <w:rPr>
          <w:sz w:val="24"/>
          <w:szCs w:val="24"/>
          <w:color w:val="auto"/>
        </w:rPr>
      </w:pPr>
    </w:p>
    <w:p>
      <w:pPr>
        <w:spacing w:after="0"/>
        <w:tabs>
          <w:tab w:leader="none" w:pos="580" w:val="left"/>
          <w:tab w:leader="none" w:pos="1440" w:val="left"/>
          <w:tab w:leader="none" w:pos="194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|_|</w:t>
      </w:r>
    </w:p>
    <w:p>
      <w:pPr>
        <w:spacing w:after="0" w:line="331" w:lineRule="exact"/>
        <w:rPr>
          <w:sz w:val="24"/>
          <w:szCs w:val="24"/>
          <w:color w:val="auto"/>
        </w:rPr>
      </w:pPr>
    </w:p>
    <w:p>
      <w:pPr>
        <w:jc w:val="both"/>
        <w:ind w:right="3439" w:firstLine="425"/>
        <w:spacing w:after="0" w:line="249" w:lineRule="auto"/>
        <w:rPr>
          <w:sz w:val="20"/>
          <w:szCs w:val="20"/>
          <w:color w:val="auto"/>
        </w:rPr>
      </w:pPr>
      <w:r>
        <w:rPr>
          <w:rFonts w:ascii="Courier New" w:cs="Courier New" w:eastAsia="Courier New" w:hAnsi="Courier New"/>
          <w:sz w:val="14"/>
          <w:szCs w:val="14"/>
          <w:color w:val="auto"/>
        </w:rPr>
        <w:t>The number of shares of the registrant's common stock outstanding on March 11, 2004 was 16,711,958.</w:t>
      </w:r>
    </w:p>
    <w:p>
      <w:pPr>
        <w:spacing w:after="0" w:line="161" w:lineRule="exact"/>
        <w:rPr>
          <w:sz w:val="24"/>
          <w:szCs w:val="24"/>
          <w:color w:val="auto"/>
        </w:rPr>
      </w:pPr>
    </w:p>
    <w:p>
      <w:pPr>
        <w:jc w:val="both"/>
        <w:ind w:right="3439" w:firstLine="425"/>
        <w:spacing w:after="0" w:line="248"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at March 11, 2004, based on the closing price on the NASDAQ National Market System on that date was approximately $125,809,512.</w:t>
      </w:r>
    </w:p>
    <w:p>
      <w:pPr>
        <w:spacing w:after="0" w:line="162" w:lineRule="exact"/>
        <w:rPr>
          <w:sz w:val="24"/>
          <w:szCs w:val="24"/>
          <w:color w:val="auto"/>
        </w:rPr>
      </w:pPr>
    </w:p>
    <w:p>
      <w:pPr>
        <w:ind w:left="1960"/>
        <w:spacing w:after="0"/>
        <w:rPr>
          <w:sz w:val="20"/>
          <w:szCs w:val="20"/>
          <w:color w:val="auto"/>
        </w:rPr>
      </w:pPr>
      <w:r>
        <w:rPr>
          <w:rFonts w:ascii="Courier New" w:cs="Courier New" w:eastAsia="Courier New" w:hAnsi="Courier New"/>
          <w:sz w:val="14"/>
          <w:szCs w:val="14"/>
          <w:b w:val="1"/>
          <w:bCs w:val="1"/>
          <w:color w:val="auto"/>
        </w:rPr>
        <w:t>DOCUMENTS INCORPORATED BY REFERENCE</w:t>
      </w:r>
    </w:p>
    <w:p>
      <w:pPr>
        <w:spacing w:after="0" w:line="168" w:lineRule="exact"/>
        <w:rPr>
          <w:sz w:val="24"/>
          <w:szCs w:val="24"/>
          <w:color w:val="auto"/>
        </w:rPr>
      </w:pPr>
    </w:p>
    <w:p>
      <w:pPr>
        <w:jc w:val="both"/>
        <w:ind w:right="3439" w:firstLine="425"/>
        <w:spacing w:after="0" w:line="249" w:lineRule="auto"/>
        <w:rPr>
          <w:sz w:val="20"/>
          <w:szCs w:val="20"/>
          <w:color w:val="auto"/>
        </w:rPr>
      </w:pPr>
      <w:r>
        <w:rPr>
          <w:rFonts w:ascii="Courier New" w:cs="Courier New" w:eastAsia="Courier New" w:hAnsi="Courier New"/>
          <w:sz w:val="14"/>
          <w:szCs w:val="14"/>
          <w:color w:val="auto"/>
        </w:rPr>
        <w:t>Portions of the Proxy Statement with respect to the 2004 Annual Meeting of Stockholders are incorporated by reference in Part III of this Form 10-K.</w:t>
      </w:r>
    </w:p>
    <w:p>
      <w:pPr>
        <w:spacing w:after="0" w:line="161"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b w:val="1"/>
          <w:bCs w:val="1"/>
          <w:color w:val="auto"/>
        </w:rPr>
        <w:t>PART I</w:t>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4"/>
          <w:szCs w:val="14"/>
          <w:b w:val="1"/>
          <w:bCs w:val="1"/>
          <w:color w:val="auto"/>
        </w:rPr>
        <w:t>Item 1. Business Overview</w:t>
      </w:r>
    </w:p>
    <w:p>
      <w:pPr>
        <w:spacing w:after="0" w:line="168" w:lineRule="exact"/>
        <w:rPr>
          <w:sz w:val="24"/>
          <w:szCs w:val="24"/>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NN, Inc. manufactures and supplies high precision bearing components, consisting of balls, cylindrical rollers, tapered rollers, seals, and plastic and metal retainers, for leading bearing manufacturers on a global basis. We are a leading independent manufacturer of precision steel bearing balls for the North American and European markets. In 1998, we began implementing a strategic plan designed to position us as a worldwide supplier of a broad line of bearing components and other precision plastic components. Through a series of acquisitions executed as part of that plan, we have built on our strong core ball business and expanded our bearing component product offering. Today, we offer among the industry's most complete line of commercially available bearing</w:t>
      </w:r>
    </w:p>
    <w:p>
      <w:pPr>
        <w:sectPr>
          <w:pgSz w:w="11900" w:h="16901" w:orient="portrait"/>
          <w:cols w:equalWidth="0" w:num="1">
            <w:col w:w="10239"/>
          </w:cols>
          <w:pgMar w:left="220" w:top="555" w:right="1440" w:bottom="0" w:gutter="0" w:footer="0" w:header="0"/>
          <w:type w:val="continuous"/>
        </w:sectPr>
      </w:pPr>
    </w:p>
    <w:bookmarkStart w:id="1" w:name="page2"/>
    <w:bookmarkEnd w:id="1"/>
    <w:p>
      <w:pPr>
        <w:ind w:right="3519"/>
        <w:spacing w:after="0" w:line="247" w:lineRule="auto"/>
        <w:rPr>
          <w:sz w:val="20"/>
          <w:szCs w:val="20"/>
          <w:color w:val="auto"/>
        </w:rPr>
      </w:pPr>
      <w:r>
        <w:rPr>
          <w:rFonts w:ascii="Courier New" w:cs="Courier New" w:eastAsia="Courier New" w:hAnsi="Courier New"/>
          <w:sz w:val="14"/>
          <w:szCs w:val="14"/>
          <w:color w:val="auto"/>
        </w:rPr>
        <w:t>components. We emphasize engineered products that take advantage of our competencies in product design and tight tolerance manufacturing processes. Our bearing customers use our components in fully assembled ball and roller bearings, which serve a wide variety of industrial applications in the transportation, electrical, agricultural, construction, machinery, mining and aerospace markets. As used in this Annual Report on Form 10-K, the terms "NN", "the Company", "we", "our", or "us" mean NN, Inc. and its subsidiaries.</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For managerial and financial analysis purposes, management views the Company's operation in three segments: the domestic ball and roller operations of Erwin, Tennessee and Mountain City, Tennessee ("Domestic Ball and Roller Segment"), the European facilities of Kilkenny, Ireland, Eltmann, Germany and Pinerolo, Italy, Veenendaal, The Netherlands and Kysucke Nove Mesto, Slovakia ("NN Europe Segment" or "NN Europe") and the operations of Industrial Molding Corporation ("IMC"), The Delta Rubber Company ("Delta") and NN Arte ("Plastic and Rubber Components Segment"). Financial information about the Domestic Ball and Roller Segment, the NN Europe Segment and the Plastic and Rubber Components Segment is set forth in Note 11 of the Notes to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Recent Developments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On May 2, 2003, we acquired the 23 percent interest in NN Euroball, ApS ("Euroball") held by AB SKF ("SKF"). Euroball was formed in 2000 by the Company, FAG Kugelfischer George Schaefer AG, which was subsequently acquired by INA - Schaeffler KG (collectively, "INA/FAG"), and AB SKF ("SKF"). SKF is a global bearing manufacturer and one of our largest customers. We paid approximately</w:t>
      </w:r>
    </w:p>
    <w:p>
      <w:pPr>
        <w:ind w:right="3439"/>
        <w:spacing w:after="0" w:line="248" w:lineRule="auto"/>
        <w:rPr>
          <w:sz w:val="20"/>
          <w:szCs w:val="20"/>
          <w:color w:val="auto"/>
        </w:rPr>
      </w:pPr>
      <w:r>
        <w:rPr>
          <w:rFonts w:ascii="Courier New" w:cs="Courier New" w:eastAsia="Courier New" w:hAnsi="Courier New"/>
          <w:sz w:val="14"/>
          <w:szCs w:val="14"/>
          <w:color w:val="auto"/>
        </w:rPr>
        <w:t>13.8 million Euros ($15.6 million) for SKF's interest in Euroball. Following the closing of the transaction, we own 100 percent of the outstanding shares of Euroball.</w:t>
      </w:r>
    </w:p>
    <w:p>
      <w:pPr>
        <w:spacing w:after="0" w:line="162"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On May 2, 2003 we acquired 100 percent of the tapered roller and metal cage manufacturing operation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 tapered roller and spherical roller bearings allowing us to expand our bearing component offering. The financial results of the Veenendaal operation are included in the NN Europe Segment.</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will be utilized by our newly established subsidiary AKMCH ("NN Slovakia") based in Kysucke Nove Mesto, Slovakia, which is expected to begin production in 2004. The financial results of the operations are included in our NN Europe Segment.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Corporate Information</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NN, originally organized in October 1980, is incorporated in Delaware, with our principal executive offices located at 2000 Water's Edge Drive, Johnson City, Tennessee 37604 and our telephone number is (423) 743-9151. Our web site address is www.nnbr.com. Information contained on our web site is not part of this Annual Report. Our annual report on Form 10-K, as amended, quarterly reports on Form 10-Q, as amended, current reports on Form 8-K and amendments thereto are available on our web site under "SEC Reports." Prior to February 5, 2003, these reports were available through a hyperlink to a third-party service which provided limited free access to such reports. We believed that such hyperlink</w:t>
      </w: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provided unlimited free access to our filings with the Commission; however, this hyperlink did not provide unlimited free access to the reports. Therefore, the amendments to our Form 10-Q and Form 10-K filed on November 22, 2002 and our Forms 8-K filed December 9, 2002 and December 20, 2002 were not available free of charge to all viewers through our web site. After February 5, 2003, our hyperlink provides unlimited free access to our filings with the Commission on our web site under "SEC Reports".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Products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Precision Steel Balls</w:t>
      </w:r>
      <w:r>
        <w:rPr>
          <w:rFonts w:ascii="Courier New" w:cs="Courier New" w:eastAsia="Courier New" w:hAnsi="Courier New"/>
          <w:sz w:val="14"/>
          <w:szCs w:val="14"/>
          <w:color w:val="auto"/>
        </w:rPr>
        <w:t>. At our Domestic Ball and Roller Segment facilities</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and our NN Europe Segment facilities, we manufacture and sell high quality, precision steel balls in sizes ranging in diameter from 1/8 of an inch to 12 1/2 inches. We produce and sell balls in grades ranging from grade 3 to grade 1000, as established by the American Bearing Manufacturers Association. The grade number for a ball or a roller indicates the degree of spherical or cylindrical precision of the ball or roller; for example, grade 3 balls are manufactured to within three-millionths of an inch of roundness and grade 50 rollers are manufactured to within fifty-millionths of an inch of roundness. Our steel balls are used primarily by manufacturers of anti-friction bearings where precise spherical, tolerance and surface finish accuracies are required. At our Domestic Ball and Roller Segment, sales of steel balls accounted for approximately 86%, 88% and 89% of the segment's net sales in 2003, 2002 and 2001, respectively. At our NN Europe Segment, sales of steel balls accounted for approximately 76%, 100% and 100% of the segment's net sales in 2003, 2002 and 2001, respectively.</w:t>
      </w:r>
    </w:p>
    <w:p>
      <w:pPr>
        <w:spacing w:after="0" w:line="165" w:lineRule="exact"/>
        <w:rPr>
          <w:sz w:val="20"/>
          <w:szCs w:val="20"/>
          <w:color w:val="auto"/>
        </w:rPr>
      </w:pPr>
    </w:p>
    <w:p>
      <w:pPr>
        <w:ind w:right="3599" w:firstLine="425"/>
        <w:spacing w:after="0" w:line="249" w:lineRule="auto"/>
        <w:rPr>
          <w:sz w:val="20"/>
          <w:szCs w:val="20"/>
          <w:color w:val="auto"/>
        </w:rPr>
      </w:pPr>
      <w:r>
        <w:rPr>
          <w:rFonts w:ascii="Courier New" w:cs="Courier New" w:eastAsia="Courier New" w:hAnsi="Courier New"/>
          <w:sz w:val="14"/>
          <w:szCs w:val="14"/>
          <w:i w:val="1"/>
          <w:iCs w:val="1"/>
          <w:color w:val="auto"/>
        </w:rPr>
        <w:t>Steel Rollers</w:t>
      </w:r>
      <w:r>
        <w:rPr>
          <w:rFonts w:ascii="Courier New" w:cs="Courier New" w:eastAsia="Courier New" w:hAnsi="Courier New"/>
          <w:sz w:val="14"/>
          <w:szCs w:val="14"/>
          <w:color w:val="auto"/>
        </w:rPr>
        <w:t>. We manufacture cylindrical rollers at our Erwin, Tennessee</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facility. These cylindrical rollers are produced in a wide variety of sizes,</w:t>
      </w:r>
    </w:p>
    <w:p>
      <w:pPr>
        <w:sectPr>
          <w:pgSz w:w="11900" w:h="16838" w:orient="portrait"/>
          <w:cols w:equalWidth="0" w:num="1">
            <w:col w:w="10239"/>
          </w:cols>
          <w:pgMar w:left="220" w:top="141" w:right="1440" w:bottom="0" w:gutter="0" w:footer="0" w:header="0"/>
        </w:sectPr>
      </w:pPr>
    </w:p>
    <w:bookmarkStart w:id="2" w:name="page3"/>
    <w:bookmarkEnd w:id="2"/>
    <w:p>
      <w:pPr>
        <w:ind w:right="3439"/>
        <w:spacing w:after="0" w:line="247" w:lineRule="auto"/>
        <w:rPr>
          <w:sz w:val="20"/>
          <w:szCs w:val="20"/>
          <w:color w:val="auto"/>
        </w:rPr>
      </w:pPr>
      <w:r>
        <w:rPr>
          <w:rFonts w:ascii="Courier New" w:cs="Courier New" w:eastAsia="Courier New" w:hAnsi="Courier New"/>
          <w:sz w:val="14"/>
          <w:szCs w:val="14"/>
          <w:color w:val="auto"/>
        </w:rPr>
        <w:t>ranging from grade 50 to grade 1000. Rollers are used in place of balls in anti-friction bearings that are subjected to heavy load conditions. Our roller products are used primarily for applications similar to those of our ball product lines, plus certain non-bearing applications such as hydraulic pumps and motors. We manufacture tapered rollers at our Veenendaal, The Netherlands facility. These tapered rollers are used in tapered roller bearings that are used in a variety of applications including automotive gearbox applications, automotive wheel bearings and a wide variety of industrial applications.</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i w:val="1"/>
          <w:iCs w:val="1"/>
          <w:color w:val="auto"/>
        </w:rPr>
        <w:t>Bearing Seals</w:t>
      </w:r>
      <w:r>
        <w:rPr>
          <w:rFonts w:ascii="Courier New" w:cs="Courier New" w:eastAsia="Courier New" w:hAnsi="Courier New"/>
          <w:sz w:val="14"/>
          <w:szCs w:val="14"/>
          <w:color w:val="auto"/>
        </w:rPr>
        <w:t>. We manufacture and sell a wide range of precision bearing</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seals produced through a variety of compression and injection molding processes and adhesion technologies to create rubber-to-metal bonded bearing seals. The seals are used in applications for automotive, industrial, agricultural, mining and aerospace markets.</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i w:val="1"/>
          <w:iCs w:val="1"/>
          <w:color w:val="auto"/>
        </w:rPr>
        <w:t>Retainers</w:t>
      </w:r>
      <w:r>
        <w:rPr>
          <w:rFonts w:ascii="Courier New" w:cs="Courier New" w:eastAsia="Courier New" w:hAnsi="Courier New"/>
          <w:sz w:val="14"/>
          <w:szCs w:val="14"/>
          <w:color w:val="auto"/>
        </w:rPr>
        <w:t>: We manufacture and sell precision metal and plastic retainers</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for ball and roller bearings used in a wide variety of industrial applications. Retainers are used to separate and space balls or rollers within a fully assembled bearing. We manufacture plastic retainers at our Lubbock, Texas facility and metal retainers at our Veenendaal, The Netherlands facility.</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i w:val="1"/>
          <w:iCs w:val="1"/>
          <w:color w:val="auto"/>
        </w:rPr>
        <w:t>Precision Plastic Components</w:t>
      </w:r>
      <w:r>
        <w:rPr>
          <w:rFonts w:ascii="Courier New" w:cs="Courier New" w:eastAsia="Courier New" w:hAnsi="Courier New"/>
          <w:sz w:val="14"/>
          <w:szCs w:val="14"/>
          <w:color w:val="auto"/>
        </w:rPr>
        <w:t>. We also manufacture and sell a wide range of</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specialized plastic products including automotive under-the-hood components, electronic instrument cases and precision electronic connectors and lenses, as well as a variety of other specialized parts.</w:t>
      </w:r>
    </w:p>
    <w:p>
      <w:pPr>
        <w:spacing w:after="0" w:line="164" w:lineRule="exact"/>
        <w:rPr>
          <w:sz w:val="20"/>
          <w:szCs w:val="20"/>
          <w:color w:val="auto"/>
        </w:rPr>
      </w:pPr>
    </w:p>
    <w:p>
      <w:pPr>
        <w:ind w:right="3699" w:firstLine="425"/>
        <w:spacing w:after="0" w:line="249" w:lineRule="auto"/>
        <w:rPr>
          <w:sz w:val="20"/>
          <w:szCs w:val="20"/>
          <w:color w:val="auto"/>
        </w:rPr>
      </w:pPr>
      <w:r>
        <w:rPr>
          <w:rFonts w:ascii="Courier New" w:cs="Courier New" w:eastAsia="Courier New" w:hAnsi="Courier New"/>
          <w:sz w:val="14"/>
          <w:szCs w:val="14"/>
          <w:i w:val="1"/>
          <w:iCs w:val="1"/>
          <w:color w:val="auto"/>
        </w:rPr>
        <w:t>Research and Development</w:t>
      </w:r>
      <w:r>
        <w:rPr>
          <w:rFonts w:ascii="Courier New" w:cs="Courier New" w:eastAsia="Courier New" w:hAnsi="Courier New"/>
          <w:sz w:val="14"/>
          <w:szCs w:val="14"/>
          <w:color w:val="auto"/>
        </w:rPr>
        <w:t>. The amount spent on research and development</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activities by us during each of the last three fiscal years are not material.</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Customers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Our bearing component products are supplied primarily to bearing manufacturers for use in a broad range of industrial applications, including transportation, electrical, agricultural, construction, machinery, mining and aerospace. We supply over 500 customers; however, our top 10 customers account for approximately 77% of our revenue. These top 10 customers include SKF, INA/FAG, Timken, Torrington, GKN, SNR, Iljin, NTN, Delphi, Automotive Products and NSK. In 2003, 34% of our products were sold to customers in North America, 53% to customers in Europe, and the remaining 13% to customers located throughout the rest of the world, primarily Asia. Sales to various U.S. and foreign divisions of SKF accounted for approximately 42% of net sales in 2003 and sales to INA/FAG accounted for approximately 16% of net sales in 2003, demonstrating our long-term, strategic relationships with these key customers. Historically, we have increased our supply to SKF and INA/FAG on an annual basis and we have more than tripled our sales to these two companies since 1999. These gains are directly attributed to the success of Euroball, Veenendaal and our efforts to develop a closer partnering relationship with our global bearing customers. None of our other customers accounted for more than 5% of our net sales in 2003.</w:t>
      </w: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599" w:firstLine="425"/>
        <w:spacing w:after="0" w:line="247" w:lineRule="auto"/>
        <w:rPr>
          <w:sz w:val="20"/>
          <w:szCs w:val="20"/>
          <w:color w:val="auto"/>
        </w:rPr>
      </w:pPr>
      <w:r>
        <w:rPr>
          <w:rFonts w:ascii="Courier New" w:cs="Courier New" w:eastAsia="Courier New" w:hAnsi="Courier New"/>
          <w:sz w:val="14"/>
          <w:szCs w:val="14"/>
          <w:color w:val="auto"/>
        </w:rPr>
        <w:t>Certain customers have contracted to purchase all or a majority of their bearing component requirements from us, although only a few are contractually obligated to purchase any specific amounts. While firm orders are generally received on a monthly basis, we are normally aware of future order levels well in advance of the placement of a firm order. For our domestic ball and roller operations, we maintain a computerized, bar coded inventory management system with most of our major customers that enables us to determine on a day-to-day basis the amount of these components remaining in a customer's inventory. When such inventories fall below certain levels, we automatically ship additional product.</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Euroball has entered into six-year supply agreements with SKF and INA/FAG providing for the purchase of Euroball products in amounts and at prices that are subject to adjustment on an annual basis. The agreements contain provisions obligating Euroball to maintain specified quality standards and comply with various ordering and delivery procedures, as well as other customary provisions. SKF may terminate its agreement if, among other things, Euroball acquires or becomes acquired by a competitor of SKF. INA/FAG may terminate its agreement if, among other things, Euroball assigns its rights under the agreement, whether voluntarily or by operation of law. These agreements expire during 2006.</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Veenendaal has entered into a five-year supply agreement with SKF providing for the purchase of Veenendaal products in amounts and at prices that are subject to adjustment on an annual basis. The agreement contains provisions obligating Veenendaal to maintain specified quality standards and comply with various ordering and delivery procedures, as well as other customary provisions. This agreement expires during 2008.</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We ordinarily ship our products directly to customers within 60 days, and in some cases, during the same calendar month, of the date on which a sales order is placed. Accordingly, we generally have an insignificant amount of open (backlog) orders from customers at month end. Certain of our customers have entered into contracts with us pursuant to which they have agreed to purchase all of their requirements of specified balls and rollers and plastic molded products from us, although only a few are contractually obligated to purchase any specific amounts. Certain agreements are in effect with some of our largest customers, which provide for targeted, annual price adjustments that may be offset by material cost fluctuations.</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During 2003, the Domestic Ball and Roller Segment sold its products to more than 250 customers located in more than 25 different countries. Approximately</w:t>
      </w:r>
    </w:p>
    <w:p>
      <w:pPr>
        <w:ind w:right="3439"/>
        <w:spacing w:after="0" w:line="249" w:lineRule="auto"/>
        <w:rPr>
          <w:sz w:val="20"/>
          <w:szCs w:val="20"/>
          <w:color w:val="auto"/>
        </w:rPr>
      </w:pPr>
      <w:r>
        <w:rPr>
          <w:rFonts w:ascii="Courier New" w:cs="Courier New" w:eastAsia="Courier New" w:hAnsi="Courier New"/>
          <w:sz w:val="14"/>
          <w:szCs w:val="14"/>
          <w:color w:val="auto"/>
        </w:rPr>
        <w:t>54% of the Domestic Ball and Roller Segments net sales in 2003 were to customers outside the United States. Sales to the Domestic Ball &amp; Roller Segment's top ten</w:t>
      </w:r>
    </w:p>
    <w:p>
      <w:pPr>
        <w:sectPr>
          <w:pgSz w:w="11900" w:h="16838" w:orient="portrait"/>
          <w:cols w:equalWidth="0" w:num="1">
            <w:col w:w="10239"/>
          </w:cols>
          <w:pgMar w:left="220" w:top="141" w:right="1440" w:bottom="0" w:gutter="0" w:footer="0" w:header="0"/>
        </w:sectPr>
      </w:pPr>
    </w:p>
    <w:bookmarkStart w:id="3" w:name="page4"/>
    <w:bookmarkEnd w:id="3"/>
    <w:p>
      <w:pPr>
        <w:ind w:right="3699"/>
        <w:spacing w:after="0" w:line="248" w:lineRule="auto"/>
        <w:rPr>
          <w:sz w:val="20"/>
          <w:szCs w:val="20"/>
          <w:color w:val="auto"/>
        </w:rPr>
      </w:pPr>
      <w:r>
        <w:rPr>
          <w:rFonts w:ascii="Courier New" w:cs="Courier New" w:eastAsia="Courier New" w:hAnsi="Courier New"/>
          <w:sz w:val="14"/>
          <w:szCs w:val="14"/>
          <w:color w:val="auto"/>
        </w:rPr>
        <w:t>customers accounted for approximately 72% of the segment's net sales in 2003. Sales to SKF and INA/FAG accounted for approximately 26% and 14% of the segment's net sales in 2003, respectively.</w:t>
      </w:r>
    </w:p>
    <w:p>
      <w:pPr>
        <w:spacing w:after="0" w:line="162"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During 2003, the NN Europe Segment sold its products to more than 70 customers located in more than 30 different countries. Approximately 87% of its net sales in 2003 were to customers within Europe. Sales to the segment's top ten customers accounted for approximately 95% of the segment's net sales in 2003. Sales to SKF and INA/FAG accounted for approximately 63% and 18% of the segment's net sales in 2003, respectively. Sales to SKF and INA/FAG are made pursuant to the terms of supply agreements which expire in 2006 and 2008.</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During 2003, the Plastic and Rubber Components Segment sold its products to more than 100 customers located in more than 10 different countries. Approximately 20% of the Plastics Segment's net sales were to customers outside the United States. Sales to the segment's top ten customers accounted for approximately 67% of the Plastics Segment's net sales in 2003.</w:t>
      </w:r>
    </w:p>
    <w:p>
      <w:pPr>
        <w:spacing w:after="0" w:line="164" w:lineRule="exact"/>
        <w:rPr>
          <w:sz w:val="20"/>
          <w:szCs w:val="20"/>
          <w:color w:val="auto"/>
        </w:rPr>
      </w:pPr>
    </w:p>
    <w:p>
      <w:pPr>
        <w:ind w:right="3599" w:firstLine="425"/>
        <w:spacing w:after="0" w:line="247" w:lineRule="auto"/>
        <w:rPr>
          <w:sz w:val="20"/>
          <w:szCs w:val="20"/>
          <w:color w:val="auto"/>
        </w:rPr>
      </w:pPr>
      <w:r>
        <w:rPr>
          <w:rFonts w:ascii="Courier New" w:cs="Courier New" w:eastAsia="Courier New" w:hAnsi="Courier New"/>
          <w:sz w:val="14"/>
          <w:szCs w:val="14"/>
          <w:color w:val="auto"/>
        </w:rPr>
        <w:t>See Note 11 of the Notes to Consolidated Financial Statements and "Management's Discussion and Analysis of Financial Condition and Results of Operations -- Results of Operations" for additional segment financial information. In both the foreign and domestic markets, the Company principally sells its products directly to manufacturers and not to distributors.</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519" w:firstLine="425"/>
        <w:spacing w:after="0" w:line="249" w:lineRule="auto"/>
        <w:rPr>
          <w:sz w:val="20"/>
          <w:szCs w:val="20"/>
          <w:color w:val="auto"/>
        </w:rPr>
      </w:pPr>
      <w:r>
        <w:rPr>
          <w:rFonts w:ascii="Courier New" w:cs="Courier New" w:eastAsia="Courier New" w:hAnsi="Courier New"/>
          <w:sz w:val="14"/>
          <w:szCs w:val="14"/>
          <w:color w:val="auto"/>
        </w:rPr>
        <w:t>The following table presents a breakdown of our net sales for fiscal years 2001 through 2003:</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160"/>
        </w:trPr>
        <w:tc>
          <w:tcPr>
            <w:tcW w:w="3360" w:type="dxa"/>
            <w:vAlign w:val="bottom"/>
          </w:tcPr>
          <w:p>
            <w:pPr>
              <w:spacing w:after="0"/>
              <w:rPr>
                <w:sz w:val="20"/>
                <w:szCs w:val="20"/>
                <w:color w:val="auto"/>
              </w:rPr>
            </w:pPr>
            <w:r>
              <w:rPr>
                <w:rFonts w:ascii="Courier New" w:cs="Courier New" w:eastAsia="Courier New" w:hAnsi="Courier New"/>
                <w:sz w:val="14"/>
                <w:szCs w:val="14"/>
                <w:b w:val="1"/>
                <w:bCs w:val="1"/>
                <w:color w:val="auto"/>
              </w:rPr>
              <w:t>(In Thousands)</w:t>
            </w:r>
          </w:p>
        </w:tc>
        <w:tc>
          <w:tcPr>
            <w:tcW w:w="1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3"/>
        </w:trPr>
        <w:tc>
          <w:tcPr>
            <w:tcW w:w="3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2003</w:t>
            </w: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b w:val="1"/>
                <w:bCs w:val="1"/>
                <w:color w:val="auto"/>
              </w:rPr>
              <w:t>2002</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b w:val="1"/>
                <w:bCs w:val="1"/>
                <w:color w:val="auto"/>
              </w:rPr>
              <w:t>2001</w:t>
            </w:r>
          </w:p>
        </w:tc>
      </w:tr>
      <w:tr>
        <w:trPr>
          <w:trHeight w:val="163"/>
        </w:trPr>
        <w:tc>
          <w:tcPr>
            <w:tcW w:w="3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b w:val="1"/>
                <w:bCs w:val="1"/>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3360" w:type="dxa"/>
            <w:vAlign w:val="bottom"/>
          </w:tcPr>
          <w:p>
            <w:pPr>
              <w:spacing w:after="0"/>
              <w:rPr>
                <w:sz w:val="20"/>
                <w:szCs w:val="20"/>
                <w:color w:val="auto"/>
              </w:rPr>
            </w:pPr>
            <w:r>
              <w:rPr>
                <w:rFonts w:ascii="Courier New" w:cs="Courier New" w:eastAsia="Courier New" w:hAnsi="Courier New"/>
                <w:sz w:val="14"/>
                <w:szCs w:val="14"/>
                <w:color w:val="auto"/>
              </w:rPr>
              <w:t>Domestic Ball and Roller Segment</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$ 55,437</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52,634</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52,692</w:t>
            </w:r>
          </w:p>
        </w:tc>
      </w:tr>
      <w:tr>
        <w:trPr>
          <w:trHeight w:val="163"/>
        </w:trPr>
        <w:tc>
          <w:tcPr>
            <w:tcW w:w="3360" w:type="dxa"/>
            <w:vAlign w:val="bottom"/>
          </w:tcPr>
          <w:p>
            <w:pPr>
              <w:spacing w:after="0"/>
              <w:rPr>
                <w:sz w:val="14"/>
                <w:szCs w:val="14"/>
                <w:color w:val="auto"/>
              </w:rPr>
            </w:pP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21.9%</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27.3%</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29.3%</w:t>
            </w:r>
          </w:p>
        </w:tc>
      </w:tr>
      <w:tr>
        <w:trPr>
          <w:trHeight w:val="327"/>
        </w:trPr>
        <w:tc>
          <w:tcPr>
            <w:tcW w:w="3360" w:type="dxa"/>
            <w:vAlign w:val="bottom"/>
          </w:tcPr>
          <w:p>
            <w:pPr>
              <w:spacing w:after="0"/>
              <w:rPr>
                <w:sz w:val="20"/>
                <w:szCs w:val="20"/>
                <w:color w:val="auto"/>
              </w:rPr>
            </w:pPr>
            <w:r>
              <w:rPr>
                <w:rFonts w:ascii="Courier New" w:cs="Courier New" w:eastAsia="Courier New" w:hAnsi="Courier New"/>
                <w:sz w:val="14"/>
                <w:szCs w:val="14"/>
                <w:color w:val="auto"/>
              </w:rPr>
              <w:t>NN Europe Segment</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147,127</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90,653</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86,719</w:t>
            </w:r>
          </w:p>
        </w:tc>
      </w:tr>
      <w:tr>
        <w:trPr>
          <w:trHeight w:val="163"/>
        </w:trPr>
        <w:tc>
          <w:tcPr>
            <w:tcW w:w="3360" w:type="dxa"/>
            <w:vAlign w:val="bottom"/>
          </w:tcPr>
          <w:p>
            <w:pPr>
              <w:spacing w:after="0"/>
              <w:rPr>
                <w:sz w:val="14"/>
                <w:szCs w:val="14"/>
                <w:color w:val="auto"/>
              </w:rPr>
            </w:pP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58.0%</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47.0%</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48.1%</w:t>
            </w:r>
          </w:p>
        </w:tc>
      </w:tr>
      <w:tr>
        <w:trPr>
          <w:trHeight w:val="32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Plastic and Rubber Components Segment</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50,898</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49,569</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40,740</w:t>
            </w:r>
          </w:p>
        </w:tc>
      </w:tr>
      <w:tr>
        <w:trPr>
          <w:trHeight w:val="163"/>
        </w:trPr>
        <w:tc>
          <w:tcPr>
            <w:tcW w:w="3360" w:type="dxa"/>
            <w:vAlign w:val="bottom"/>
          </w:tcPr>
          <w:p>
            <w:pPr>
              <w:spacing w:after="0"/>
              <w:rPr>
                <w:sz w:val="14"/>
                <w:szCs w:val="14"/>
                <w:color w:val="auto"/>
              </w:rPr>
            </w:pP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20.1%</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25.7%</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22.6%</w:t>
            </w:r>
          </w:p>
        </w:tc>
      </w:tr>
      <w:tr>
        <w:trPr>
          <w:trHeight w:val="163"/>
        </w:trPr>
        <w:tc>
          <w:tcPr>
            <w:tcW w:w="3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$253,462</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$ 192,856</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$ 180,151</w:t>
            </w:r>
          </w:p>
        </w:tc>
      </w:tr>
      <w:tr>
        <w:trPr>
          <w:trHeight w:val="163"/>
        </w:trPr>
        <w:tc>
          <w:tcPr>
            <w:tcW w:w="3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3360" w:type="dxa"/>
            <w:vAlign w:val="bottom"/>
          </w:tcPr>
          <w:p>
            <w:pPr>
              <w:spacing w:after="0"/>
              <w:rPr>
                <w:sz w:val="24"/>
                <w:szCs w:val="24"/>
                <w:color w:val="auto"/>
              </w:rPr>
            </w:pPr>
          </w:p>
        </w:tc>
        <w:tc>
          <w:tcPr>
            <w:tcW w:w="14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w:t>
            </w: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w:t>
            </w:r>
          </w:p>
        </w:tc>
      </w:tr>
      <w:tr>
        <w:trPr>
          <w:trHeight w:val="163"/>
        </w:trPr>
        <w:tc>
          <w:tcPr>
            <w:tcW w:w="3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Sales and Marketing</w:t>
      </w:r>
    </w:p>
    <w:p>
      <w:pPr>
        <w:spacing w:after="0" w:line="168"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A primary emphasis of our marketing strategy is to expand key customer relationships by offering them the value of a single supply chain partner for a wide variety of components. As a result, we have progressed toward integrating our sales organization on a global basis across all of our product lines. Our sales organization includes eight direct sales and 12 customer service representatives. Due to the technical nature of many of our products, our engineers and manufacturing management personnel also provide technical sales support functions, while internal sales employees handle customer orders and other general sales support activities.</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Our bearing component marketing strategy focuses on increasing our outsourcing relationships with global bearing manufacturers that maintain captive bearing component manufacturing operations. Our marketing strategy for our other precision plastic products is to offer custom manufactured, high quality, precision parts to niche markets with high value-added characteristics at competitive price levels. This strategy focuses on relationships with key customers that require the production of technically difficult parts, enabling us to take advantage of our strengths in custom product development, tool design, and precision molding processes.</w:t>
      </w:r>
    </w:p>
    <w:p>
      <w:pPr>
        <w:spacing w:after="0" w:line="164" w:lineRule="exact"/>
        <w:rPr>
          <w:sz w:val="20"/>
          <w:szCs w:val="20"/>
          <w:color w:val="auto"/>
        </w:rPr>
      </w:pPr>
    </w:p>
    <w:p>
      <w:pPr>
        <w:ind w:right="3699" w:firstLine="425"/>
        <w:spacing w:after="0" w:line="247" w:lineRule="auto"/>
        <w:rPr>
          <w:sz w:val="20"/>
          <w:szCs w:val="20"/>
          <w:color w:val="auto"/>
        </w:rPr>
      </w:pPr>
      <w:r>
        <w:rPr>
          <w:rFonts w:ascii="Courier New" w:cs="Courier New" w:eastAsia="Courier New" w:hAnsi="Courier New"/>
          <w:sz w:val="14"/>
          <w:szCs w:val="14"/>
          <w:color w:val="auto"/>
        </w:rPr>
        <w:t>As shown in the chart below, the addition of the plastic and metal retainer, tapered roller and seal product lines have further enhanced many of our key customer relationships, making us a more complete and integrated supplier of bearing component parts.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Courier New" w:cs="Courier New" w:eastAsia="Courier New" w:hAnsi="Courier New"/>
                <w:sz w:val="14"/>
                <w:szCs w:val="14"/>
                <w:b w:val="1"/>
                <w:bCs w:val="1"/>
                <w:color w:val="auto"/>
                <w:w w:val="98"/>
              </w:rPr>
              <w:t>Products</w:t>
            </w:r>
          </w:p>
        </w:tc>
        <w:tc>
          <w:tcPr>
            <w:tcW w:w="6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r>
      <w:tr>
        <w:trPr>
          <w:trHeight w:val="143"/>
        </w:trPr>
        <w:tc>
          <w:tcPr>
            <w:tcW w:w="1120" w:type="dxa"/>
            <w:vAlign w:val="bottom"/>
            <w:gridSpan w:val="2"/>
          </w:tcPr>
          <w:p>
            <w:pPr>
              <w:spacing w:after="0" w:line="143" w:lineRule="exact"/>
              <w:rPr>
                <w:sz w:val="20"/>
                <w:szCs w:val="20"/>
                <w:color w:val="auto"/>
              </w:rPr>
            </w:pPr>
            <w:r>
              <w:rPr>
                <w:rFonts w:ascii="Courier New" w:cs="Courier New" w:eastAsia="Courier New" w:hAnsi="Courier New"/>
                <w:sz w:val="14"/>
                <w:szCs w:val="14"/>
                <w:b w:val="1"/>
                <w:bCs w:val="1"/>
                <w:color w:val="auto"/>
              </w:rPr>
              <w:t>Name</w:t>
            </w:r>
          </w:p>
        </w:tc>
        <w:tc>
          <w:tcPr>
            <w:tcW w:w="920" w:type="dxa"/>
            <w:vAlign w:val="bottom"/>
            <w:gridSpan w:val="2"/>
          </w:tcPr>
          <w:p>
            <w:pPr>
              <w:spacing w:after="0" w:line="143" w:lineRule="exact"/>
              <w:rPr>
                <w:sz w:val="20"/>
                <w:szCs w:val="20"/>
                <w:color w:val="auto"/>
              </w:rPr>
            </w:pPr>
            <w:r>
              <w:rPr>
                <w:rFonts w:ascii="Courier New" w:cs="Courier New" w:eastAsia="Courier New" w:hAnsi="Courier New"/>
                <w:sz w:val="14"/>
                <w:szCs w:val="14"/>
                <w:b w:val="1"/>
                <w:bCs w:val="1"/>
                <w:color w:val="auto"/>
              </w:rPr>
              <w:t>Country</w:t>
            </w:r>
          </w:p>
        </w:tc>
        <w:tc>
          <w:tcPr>
            <w:tcW w:w="2940" w:type="dxa"/>
            <w:vAlign w:val="bottom"/>
            <w:gridSpan w:val="3"/>
          </w:tcPr>
          <w:p>
            <w:pPr>
              <w:ind w:left="340"/>
              <w:spacing w:after="0" w:line="143" w:lineRule="exact"/>
              <w:rPr>
                <w:sz w:val="20"/>
                <w:szCs w:val="20"/>
                <w:color w:val="auto"/>
              </w:rPr>
            </w:pPr>
            <w:r>
              <w:rPr>
                <w:rFonts w:ascii="Courier New" w:cs="Courier New" w:eastAsia="Courier New" w:hAnsi="Courier New"/>
                <w:sz w:val="14"/>
                <w:szCs w:val="14"/>
                <w:b w:val="1"/>
                <w:bCs w:val="1"/>
                <w:color w:val="auto"/>
              </w:rPr>
              <w:t>Description</w:t>
            </w:r>
          </w:p>
        </w:tc>
        <w:tc>
          <w:tcPr>
            <w:tcW w:w="1400" w:type="dxa"/>
            <w:vAlign w:val="bottom"/>
            <w:gridSpan w:val="2"/>
          </w:tcPr>
          <w:p>
            <w:pPr>
              <w:jc w:val="center"/>
              <w:ind w:left="49"/>
              <w:spacing w:after="0" w:line="143" w:lineRule="exact"/>
              <w:rPr>
                <w:sz w:val="20"/>
                <w:szCs w:val="20"/>
                <w:color w:val="auto"/>
              </w:rPr>
            </w:pPr>
            <w:r>
              <w:rPr>
                <w:rFonts w:ascii="Courier New" w:cs="Courier New" w:eastAsia="Courier New" w:hAnsi="Courier New"/>
                <w:sz w:val="14"/>
                <w:szCs w:val="14"/>
                <w:b w:val="1"/>
                <w:bCs w:val="1"/>
                <w:color w:val="auto"/>
              </w:rPr>
              <w:t>Balls &amp; Rollers</w:t>
            </w:r>
          </w:p>
        </w:tc>
        <w:tc>
          <w:tcPr>
            <w:tcW w:w="1280" w:type="dxa"/>
            <w:vAlign w:val="bottom"/>
            <w:gridSpan w:val="4"/>
          </w:tcPr>
          <w:p>
            <w:pPr>
              <w:ind w:left="420"/>
              <w:spacing w:after="0" w:line="143" w:lineRule="exact"/>
              <w:rPr>
                <w:sz w:val="20"/>
                <w:szCs w:val="20"/>
                <w:color w:val="auto"/>
              </w:rPr>
            </w:pPr>
            <w:r>
              <w:rPr>
                <w:rFonts w:ascii="Courier New" w:cs="Courier New" w:eastAsia="Courier New" w:hAnsi="Courier New"/>
                <w:sz w:val="14"/>
                <w:szCs w:val="14"/>
                <w:b w:val="1"/>
                <w:bCs w:val="1"/>
                <w:color w:val="auto"/>
              </w:rPr>
              <w:t>Seals</w:t>
            </w:r>
          </w:p>
        </w:tc>
        <w:tc>
          <w:tcPr>
            <w:tcW w:w="760" w:type="dxa"/>
            <w:vAlign w:val="bottom"/>
          </w:tcPr>
          <w:p>
            <w:pPr>
              <w:jc w:val="center"/>
              <w:spacing w:after="0" w:line="143" w:lineRule="exact"/>
              <w:rPr>
                <w:sz w:val="20"/>
                <w:szCs w:val="20"/>
                <w:color w:val="auto"/>
              </w:rPr>
            </w:pPr>
            <w:r>
              <w:rPr>
                <w:rFonts w:ascii="Courier New" w:cs="Courier New" w:eastAsia="Courier New" w:hAnsi="Courier New"/>
                <w:sz w:val="14"/>
                <w:szCs w:val="14"/>
                <w:b w:val="1"/>
                <w:bCs w:val="1"/>
                <w:color w:val="auto"/>
              </w:rPr>
              <w:t>Retainers</w:t>
            </w:r>
          </w:p>
        </w:tc>
      </w:tr>
      <w:tr>
        <w:trPr>
          <w:trHeight w:val="20"/>
        </w:trPr>
        <w:tc>
          <w:tcPr>
            <w:tcW w:w="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74"/>
        </w:trPr>
        <w:tc>
          <w:tcPr>
            <w:tcW w:w="340" w:type="dxa"/>
            <w:vAlign w:val="bottom"/>
          </w:tcPr>
          <w:p>
            <w:pPr>
              <w:spacing w:after="0"/>
              <w:rPr>
                <w:sz w:val="20"/>
                <w:szCs w:val="20"/>
                <w:color w:val="auto"/>
              </w:rPr>
            </w:pPr>
            <w:r>
              <w:rPr>
                <w:rFonts w:ascii="Courier New" w:cs="Courier New" w:eastAsia="Courier New" w:hAnsi="Courier New"/>
                <w:sz w:val="14"/>
                <w:szCs w:val="14"/>
                <w:color w:val="auto"/>
              </w:rPr>
              <w:t>SKF</w:t>
            </w:r>
          </w:p>
        </w:tc>
        <w:tc>
          <w:tcPr>
            <w:tcW w:w="7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Courier New" w:cs="Courier New" w:eastAsia="Courier New" w:hAnsi="Courier New"/>
                <w:sz w:val="14"/>
                <w:szCs w:val="14"/>
                <w:color w:val="auto"/>
              </w:rPr>
              <w:t>Sweden</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Global bearing manufacturer</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420" w:type="dxa"/>
            <w:vAlign w:val="bottom"/>
          </w:tcPr>
          <w:p>
            <w:pPr>
              <w:spacing w:after="0"/>
              <w:rPr>
                <w:sz w:val="15"/>
                <w:szCs w:val="15"/>
                <w:color w:val="auto"/>
              </w:rPr>
            </w:pPr>
          </w:p>
        </w:tc>
        <w:tc>
          <w:tcPr>
            <w:tcW w:w="860" w:type="dxa"/>
            <w:vAlign w:val="bottom"/>
            <w:gridSpan w:val="3"/>
          </w:tcPr>
          <w:p>
            <w:pPr>
              <w:jc w:val="right"/>
              <w:ind w:right="600"/>
              <w:spacing w:after="0"/>
              <w:rPr>
                <w:sz w:val="20"/>
                <w:szCs w:val="20"/>
                <w:color w:val="auto"/>
              </w:rPr>
            </w:pPr>
            <w:r>
              <w:rPr>
                <w:rFonts w:ascii="Courier New" w:cs="Courier New" w:eastAsia="Courier New" w:hAnsi="Courier New"/>
                <w:sz w:val="14"/>
                <w:szCs w:val="14"/>
                <w:color w:val="auto"/>
              </w:rPr>
              <w:t>X</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r>
      <w:tr>
        <w:trPr>
          <w:trHeight w:val="163"/>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INA/FAG</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Germany</w:t>
            </w:r>
          </w:p>
        </w:tc>
        <w:tc>
          <w:tcPr>
            <w:tcW w:w="29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Global bearing manufacturer</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420" w:type="dxa"/>
            <w:vAlign w:val="bottom"/>
          </w:tcPr>
          <w:p>
            <w:pPr>
              <w:spacing w:after="0"/>
              <w:rPr>
                <w:sz w:val="14"/>
                <w:szCs w:val="14"/>
                <w:color w:val="auto"/>
              </w:rPr>
            </w:pPr>
          </w:p>
        </w:tc>
        <w:tc>
          <w:tcPr>
            <w:tcW w:w="860" w:type="dxa"/>
            <w:vAlign w:val="bottom"/>
            <w:gridSpan w:val="3"/>
          </w:tcPr>
          <w:p>
            <w:pPr>
              <w:jc w:val="right"/>
              <w:ind w:right="600"/>
              <w:spacing w:after="0"/>
              <w:rPr>
                <w:sz w:val="20"/>
                <w:szCs w:val="20"/>
                <w:color w:val="auto"/>
              </w:rPr>
            </w:pPr>
            <w:r>
              <w:rPr>
                <w:rFonts w:ascii="Courier New" w:cs="Courier New" w:eastAsia="Courier New" w:hAnsi="Courier New"/>
                <w:sz w:val="14"/>
                <w:szCs w:val="14"/>
                <w:color w:val="auto"/>
              </w:rPr>
              <w:t>X</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r>
      <w:tr>
        <w:trPr>
          <w:trHeight w:val="163"/>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NTN</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Japan</w:t>
            </w:r>
          </w:p>
        </w:tc>
        <w:tc>
          <w:tcPr>
            <w:tcW w:w="29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Global bearing manufacturer</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420" w:type="dxa"/>
            <w:vAlign w:val="bottom"/>
          </w:tcPr>
          <w:p>
            <w:pPr>
              <w:spacing w:after="0"/>
              <w:rPr>
                <w:sz w:val="14"/>
                <w:szCs w:val="14"/>
                <w:color w:val="auto"/>
              </w:rPr>
            </w:pPr>
          </w:p>
        </w:tc>
        <w:tc>
          <w:tcPr>
            <w:tcW w:w="860" w:type="dxa"/>
            <w:vAlign w:val="bottom"/>
            <w:gridSpan w:val="3"/>
          </w:tcPr>
          <w:p>
            <w:pPr>
              <w:jc w:val="right"/>
              <w:ind w:right="600"/>
              <w:spacing w:after="0"/>
              <w:rPr>
                <w:sz w:val="20"/>
                <w:szCs w:val="20"/>
                <w:color w:val="auto"/>
              </w:rPr>
            </w:pPr>
            <w:r>
              <w:rPr>
                <w:rFonts w:ascii="Courier New" w:cs="Courier New" w:eastAsia="Courier New" w:hAnsi="Courier New"/>
                <w:sz w:val="14"/>
                <w:szCs w:val="14"/>
                <w:color w:val="auto"/>
              </w:rPr>
              <w:t>X</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r>
      <w:tr>
        <w:trPr>
          <w:trHeight w:val="163"/>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SNR</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France</w:t>
            </w:r>
          </w:p>
        </w:tc>
        <w:tc>
          <w:tcPr>
            <w:tcW w:w="29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Global bearing manufacturer</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Timken</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USA</w:t>
            </w:r>
          </w:p>
        </w:tc>
        <w:tc>
          <w:tcPr>
            <w:tcW w:w="29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Global bearing manufacturer</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420" w:type="dxa"/>
            <w:vAlign w:val="bottom"/>
          </w:tcPr>
          <w:p>
            <w:pPr>
              <w:spacing w:after="0"/>
              <w:rPr>
                <w:sz w:val="14"/>
                <w:szCs w:val="14"/>
                <w:color w:val="auto"/>
              </w:rPr>
            </w:pPr>
          </w:p>
        </w:tc>
        <w:tc>
          <w:tcPr>
            <w:tcW w:w="860" w:type="dxa"/>
            <w:vAlign w:val="bottom"/>
            <w:gridSpan w:val="3"/>
          </w:tcPr>
          <w:p>
            <w:pPr>
              <w:jc w:val="right"/>
              <w:ind w:right="600"/>
              <w:spacing w:after="0"/>
              <w:rPr>
                <w:sz w:val="20"/>
                <w:szCs w:val="20"/>
                <w:color w:val="auto"/>
              </w:rPr>
            </w:pPr>
            <w:r>
              <w:rPr>
                <w:rFonts w:ascii="Courier New" w:cs="Courier New" w:eastAsia="Courier New" w:hAnsi="Courier New"/>
                <w:sz w:val="14"/>
                <w:szCs w:val="14"/>
                <w:color w:val="auto"/>
              </w:rPr>
              <w:t>X</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r>
      <w:tr>
        <w:trPr>
          <w:trHeight w:val="163"/>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Delphi</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USA</w:t>
            </w:r>
          </w:p>
        </w:tc>
        <w:tc>
          <w:tcPr>
            <w:tcW w:w="29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Automotive component supplier</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420" w:type="dxa"/>
            <w:vAlign w:val="bottom"/>
          </w:tcPr>
          <w:p>
            <w:pPr>
              <w:spacing w:after="0"/>
              <w:rPr>
                <w:sz w:val="14"/>
                <w:szCs w:val="14"/>
                <w:color w:val="auto"/>
              </w:rPr>
            </w:pPr>
          </w:p>
        </w:tc>
        <w:tc>
          <w:tcPr>
            <w:tcW w:w="860" w:type="dxa"/>
            <w:vAlign w:val="bottom"/>
            <w:gridSpan w:val="3"/>
          </w:tcPr>
          <w:p>
            <w:pPr>
              <w:jc w:val="right"/>
              <w:ind w:right="600"/>
              <w:spacing w:after="0"/>
              <w:rPr>
                <w:sz w:val="20"/>
                <w:szCs w:val="20"/>
                <w:color w:val="auto"/>
              </w:rPr>
            </w:pPr>
            <w:r>
              <w:rPr>
                <w:rFonts w:ascii="Courier New" w:cs="Courier New" w:eastAsia="Courier New" w:hAnsi="Courier New"/>
                <w:sz w:val="14"/>
                <w:szCs w:val="14"/>
                <w:color w:val="auto"/>
              </w:rPr>
              <w:t>X</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r>
      <w:tr>
        <w:trPr>
          <w:trHeight w:val="163"/>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Iljin</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Korea</w:t>
            </w:r>
          </w:p>
        </w:tc>
        <w:tc>
          <w:tcPr>
            <w:tcW w:w="29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Global bearing manufacturer</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3"/>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NSK</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Japan</w:t>
            </w:r>
          </w:p>
        </w:tc>
        <w:tc>
          <w:tcPr>
            <w:tcW w:w="29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Global bearing manufacturer</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r>
      <w:tr>
        <w:trPr>
          <w:trHeight w:val="163"/>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Koyo</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Japan</w:t>
            </w:r>
          </w:p>
        </w:tc>
        <w:tc>
          <w:tcPr>
            <w:tcW w:w="29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Global bearing manufacturer</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420" w:type="dxa"/>
            <w:vAlign w:val="bottom"/>
          </w:tcPr>
          <w:p>
            <w:pPr>
              <w:spacing w:after="0"/>
              <w:rPr>
                <w:sz w:val="14"/>
                <w:szCs w:val="14"/>
                <w:color w:val="auto"/>
              </w:rPr>
            </w:pPr>
          </w:p>
        </w:tc>
        <w:tc>
          <w:tcPr>
            <w:tcW w:w="860" w:type="dxa"/>
            <w:vAlign w:val="bottom"/>
            <w:gridSpan w:val="3"/>
          </w:tcPr>
          <w:p>
            <w:pPr>
              <w:jc w:val="right"/>
              <w:ind w:right="600"/>
              <w:spacing w:after="0"/>
              <w:rPr>
                <w:sz w:val="20"/>
                <w:szCs w:val="20"/>
                <w:color w:val="auto"/>
              </w:rPr>
            </w:pPr>
            <w:r>
              <w:rPr>
                <w:rFonts w:ascii="Courier New" w:cs="Courier New" w:eastAsia="Courier New" w:hAnsi="Courier New"/>
                <w:sz w:val="14"/>
                <w:szCs w:val="14"/>
                <w:color w:val="auto"/>
              </w:rPr>
              <w:t>X</w:t>
            </w:r>
          </w:p>
        </w:tc>
        <w:tc>
          <w:tcPr>
            <w:tcW w:w="76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r>
      <w:tr>
        <w:trPr>
          <w:trHeight w:val="163"/>
        </w:trPr>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GKN</w:t>
            </w: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Germany</w:t>
            </w:r>
          </w:p>
        </w:tc>
        <w:tc>
          <w:tcPr>
            <w:tcW w:w="294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Global bearing manufacturer</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4"/>
              </w:rPr>
              <w:t>X</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30"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Our arrangements with our domestic customers typically provide that payments are due within 30 days following the date of shipment of goods. With respect to foreign customers, payments generally are due within 90 to 120 days following the date of shipment in order to allow for additional freight time and customs clearance. For customers that participate in our Domestic Ball and Roller Segment's inventory management program, sales are recorded when the</w:t>
      </w:r>
    </w:p>
    <w:p>
      <w:pPr>
        <w:sectPr>
          <w:pgSz w:w="11900" w:h="16838" w:orient="portrait"/>
          <w:cols w:equalWidth="0" w:num="1">
            <w:col w:w="10239"/>
          </w:cols>
          <w:pgMar w:left="220" w:top="141" w:right="1440" w:bottom="0" w:gutter="0" w:footer="0" w:header="0"/>
        </w:sectPr>
      </w:pPr>
    </w:p>
    <w:bookmarkStart w:id="4" w:name="page5"/>
    <w:bookmarkEnd w:id="4"/>
    <w:p>
      <w:pPr>
        <w:ind w:right="3859"/>
        <w:spacing w:after="0" w:line="248" w:lineRule="auto"/>
        <w:rPr>
          <w:sz w:val="20"/>
          <w:szCs w:val="20"/>
          <w:color w:val="auto"/>
        </w:rPr>
      </w:pPr>
      <w:r>
        <w:rPr>
          <w:rFonts w:ascii="Courier New" w:cs="Courier New" w:eastAsia="Courier New" w:hAnsi="Courier New"/>
          <w:sz w:val="14"/>
          <w:szCs w:val="14"/>
          <w:color w:val="auto"/>
        </w:rPr>
        <w:t>customer uses the product. See "Business -- Customers" and "Management's Discussion and Analysis of Financial Condition and Results of Operations -- Liquidity and Capital Resources."</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Manufacturing Process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We have become a leading independent bearing component manufacturer through exceptional service and high quality manufacturing processes and are recognized throughout the industry as a low-cost producer. Because our ball and roller manufacturing processes incorporate the use of standardized tooling, load sizes, and process technology, we are able to produce large volumes of products while maintaining high quality standards.</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The key to our low-cost, high quality production of seals and retainers is the incorporation of customized engineering into our manufacturing processes, metal to rubber bonding competency and experience with a broad range of engineered resins. We employ 20 skilled engineers who design and customize the tooling necessary to meet the needs of each customer's product. This design process includes the testing and quality assessment of each product.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Employees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As of December 31, 2003, we employed a total of 1,715 full-time employees. Our Domestic Ball and Roller Segment employed 257 workers, the NN Europe Segment employed 1,023 workers, our Plastic and Rubber Components Segment employed 428 workers, and there were 7 employees at the Company's corporate headquarters. Of our total employment, 17% are management/staff employees and 83%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Only the employees in the Eltmann, Germany, Pinerolo, Italy, and Veenendaal, The Netherlands plants are unionized and we have never experienced any involuntary work stoppages. We consider our relations with our employees to be excellent.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Competition</w:t>
      </w:r>
    </w:p>
    <w:p>
      <w:pPr>
        <w:spacing w:after="0" w:line="168"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The precision ball and roller and metal retainer industry is intensely competitive, and many of our competitors have greater financial resources than we do. Our primary domestic competitor is Hoover Precision Products, Inc., a division of Tsubakimoto Precision Products Co. Ltd. Our primary foreign competitors are Amatsuji Steel Ball Manufacturing Company, Ltd. and Tsubakimoto Precision Products Co. Ltd.</w:t>
      </w:r>
    </w:p>
    <w:p>
      <w:pPr>
        <w:spacing w:after="0" w:line="164" w:lineRule="exact"/>
        <w:rPr>
          <w:sz w:val="20"/>
          <w:szCs w:val="20"/>
          <w:color w:val="auto"/>
        </w:rPr>
      </w:pPr>
    </w:p>
    <w:p>
      <w:pPr>
        <w:ind w:right="3599" w:firstLine="425"/>
        <w:spacing w:after="0" w:line="247" w:lineRule="auto"/>
        <w:rPr>
          <w:sz w:val="20"/>
          <w:szCs w:val="20"/>
          <w:color w:val="auto"/>
        </w:rPr>
      </w:pPr>
      <w:r>
        <w:rPr>
          <w:rFonts w:ascii="Courier New" w:cs="Courier New" w:eastAsia="Courier New" w:hAnsi="Courier New"/>
          <w:sz w:val="14"/>
          <w:szCs w:val="14"/>
          <w:color w:val="auto"/>
        </w:rPr>
        <w:t>We believe that competition within the precision ball, roller and metal retainer market is based principally on quality, price and the ability to consistently meet customer delivery requirements. Management believes that our competitive strengths are our precision manufacturing capabilities, our reputation for consistent quality and reliability, and the productivity of our workforce.</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The markets for the Plastic and Rubber Components Segment's products are also intensely competitive. Since the plastic injection molding industry is currently very fragmented, IMC must compete with numerous companies in each of its marketing segments. Many of these companies have substantially greater financial resources than we do and many currently offer competing products nationally and internationally. IMC's primary competitor in the bearing retainer segment is Nakanishi Manufacturing Corporation. Domestically, Nypro, Inc. and Key Plastics are the main competitors in the automotive segment.</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We believe that competition within the plastic injection molding industry is based principally on quality, price, design capabilities and speed of responsiveness and delivery. Management believes that IMC's competitive strengths are product development, tool design, fabrication, and tight tolerance molding processes. With these strengths, IMC has built its reputation in the marketplace as a quality producer of technically difficult products.</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While intensely competitive, the markets for Delta's products are less fragmented than IMC. The bearing seal market is comprised of approximately six major competitors that range from small privately held companies to Fortune 500 global enterprises. Bearing seal manufacturers compete on design, service, quality and price. Delta's primary competitors in the United States bearing seal market are Freudenburg-NOK, Chicago Rawhide Industries (an SKF subsidiary), Trostel, and Uchiyama.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Raw Materials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primary raw material used in our Domestic Ball and Roller Segment and</w:t>
      </w:r>
    </w:p>
    <w:p>
      <w:pPr>
        <w:spacing w:after="0" w:line="5" w:lineRule="exact"/>
        <w:rPr>
          <w:sz w:val="20"/>
          <w:szCs w:val="20"/>
          <w:color w:val="auto"/>
        </w:rPr>
      </w:pPr>
    </w:p>
    <w:p>
      <w:pPr>
        <w:jc w:val="both"/>
        <w:ind w:right="3439" w:firstLine="7"/>
        <w:spacing w:after="0" w:line="247" w:lineRule="auto"/>
        <w:tabs>
          <w:tab w:leader="none" w:pos="25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Europe Segment is 52100 Steel. During 2003, approximately 98% and 99% of the steel used by these two segments, respectively, was 52100 Steel in rod and wire form. Our other steel requirements include type 440C stainless steel and type S2 rock bit steel.</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599" w:firstLine="425"/>
        <w:spacing w:after="0" w:line="249" w:lineRule="auto"/>
        <w:rPr>
          <w:sz w:val="20"/>
          <w:szCs w:val="20"/>
          <w:color w:val="auto"/>
        </w:rPr>
      </w:pPr>
      <w:r>
        <w:rPr>
          <w:rFonts w:ascii="Courier New" w:cs="Courier New" w:eastAsia="Courier New" w:hAnsi="Courier New"/>
          <w:sz w:val="14"/>
          <w:szCs w:val="14"/>
          <w:color w:val="auto"/>
        </w:rPr>
        <w:t>The Domestic Ball and Roller Segment purchases substantially all of its 52100 Steel requirements from foreign mills in Europe and Japan because of the</w:t>
      </w:r>
    </w:p>
    <w:p>
      <w:pPr>
        <w:sectPr>
          <w:pgSz w:w="11900" w:h="16838" w:orient="portrait"/>
          <w:cols w:equalWidth="0" w:num="1">
            <w:col w:w="10239"/>
          </w:cols>
          <w:pgMar w:left="220" w:top="141" w:right="1440" w:bottom="0" w:gutter="0" w:footer="0" w:header="0"/>
          <w:type w:val="continuous"/>
        </w:sectPr>
      </w:pPr>
    </w:p>
    <w:bookmarkStart w:id="5" w:name="page6"/>
    <w:bookmarkEnd w:id="5"/>
    <w:p>
      <w:pPr>
        <w:ind w:right="3439"/>
        <w:spacing w:after="0" w:line="247" w:lineRule="auto"/>
        <w:rPr>
          <w:sz w:val="20"/>
          <w:szCs w:val="20"/>
          <w:color w:val="auto"/>
        </w:rPr>
      </w:pPr>
      <w:r>
        <w:rPr>
          <w:rFonts w:ascii="Courier New" w:cs="Courier New" w:eastAsia="Courier New" w:hAnsi="Courier New"/>
          <w:sz w:val="14"/>
          <w:szCs w:val="14"/>
          <w:color w:val="auto"/>
        </w:rPr>
        <w:t>lack of domestic producers of such steel in the form we require. The principal suppliers of 52100 Steel to the Domestic Ball and Roller Segment are Daido Steel Inc. (America), Shinso Steel America, Lucchini USA Inc. (affiliate of Ascometal France) and Ohio Star Forge Co. The NN Europe Segment purchases all of its 52100 Steel requirements from European mills. The principal supplier of 52100 Steel to the NN Europe Segment is Ascometal France (See Note 14 of the Notes to Consolidated Financial Statements). Our other steel requirements are purchased principally from foreign steel manufacturers. There are a limited number of suppliers of the 52100 Steel that we use in our Domestic Ball and Roller and NN Europe Segments. We believe that if any of our current suppliers were unable to supply 52100 Steel to us, we would be able to obtain our 52100 Steel requirements from alternate sources. We cannot provide assurances that we would not face higher costs or production interruptions as a result of obtaining 52100 Steel from alternate sources.</w:t>
      </w:r>
    </w:p>
    <w:p>
      <w:pPr>
        <w:spacing w:after="0" w:line="165"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We allocate steel purchases among suppliers on the basis of price and, more significantly, composition and quality. The pricing arrangements with our suppliers are typically subject to adjustment once every six months for the Domestic Ball and Roller Segment. Steel pricing is contractually adjusted on an annual basis within the NN Europe Segment. Scrap surcharges are adjusted quarterly based upon market activity in the preceding quarter. In general, we do not enter into written supply agreements with suppliers or commit to maintain minimum monthly purchases of steel except for the supply arrangements between Ascometal and Euroball (see Note 14 of the Notes to Consolidated Financial Statements). For the Domestic Ball and Roller and NN Europe Segments, the average price of 52100 Steel increased approximately 3.2% in 2003, decreased approximately 2.5% in 2002, and increased approximately 1.9% in 2001.</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Because 52100 Steel is principally produced by foreign manufacturers, the Company's operating results would be negatively affected in the event that the U.S. or European governments imposes any significant quotas, tariffs or other duties or restrictions on the import of such steel, if the U.S. dollar decreases in value relative to foreign currencies or if supplies available to us would significantly decrease. On March 6, 2002, the U.S. government adopted legislation that imposed certain tariffs on the import of certain foreign produced steel into the United States. Because the vast majority of the 52100 Steel we use was exempted from these recent U.S. tariffs on imported steel, we were not materially affected by related import regulations.</w:t>
      </w:r>
    </w:p>
    <w:p>
      <w:pPr>
        <w:spacing w:after="0" w:line="164" w:lineRule="exact"/>
        <w:rPr>
          <w:sz w:val="20"/>
          <w:szCs w:val="20"/>
          <w:color w:val="auto"/>
        </w:rPr>
      </w:pPr>
    </w:p>
    <w:p>
      <w:pPr>
        <w:ind w:right="3699" w:firstLine="425"/>
        <w:spacing w:after="0" w:line="247" w:lineRule="auto"/>
        <w:rPr>
          <w:sz w:val="20"/>
          <w:szCs w:val="20"/>
          <w:color w:val="auto"/>
        </w:rPr>
      </w:pPr>
      <w:r>
        <w:rPr>
          <w:rFonts w:ascii="Courier New" w:cs="Courier New" w:eastAsia="Courier New" w:hAnsi="Courier New"/>
          <w:sz w:val="14"/>
          <w:szCs w:val="14"/>
          <w:color w:val="auto"/>
        </w:rPr>
        <w:t>In 2001, we established a supply alliance with The Torrington Company, which was acquired by the Timken Company in February 2003, to leverage our combined supply requirements. The purchasing entity is empowered to negotiate and execute supply agreements for both companies. Because we both use similar raw materials from many common sources, we believe the potential synergies in raw material procurement will be of value.</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The primary raw materials used by IMC are engineered resins. Injection grade nylon is utilized in bearing retainers, gears, automotive and other industrial products. We purchase substantially all of our resin requirements from domestic manufacturers and suppliers. The majority of these suppliers are international companies with resin manufacturing facilities located throughout the world. We experienced price decreases for engineered resins of approximately 1.0% in 2003, price decreases of approximately 2.5% in 2002, and price increases of approximately 4.3% in 2001.</w:t>
      </w:r>
    </w:p>
    <w:p>
      <w:pPr>
        <w:spacing w:after="0" w:line="164" w:lineRule="exact"/>
        <w:rPr>
          <w:sz w:val="20"/>
          <w:szCs w:val="20"/>
          <w:color w:val="auto"/>
        </w:rPr>
      </w:pPr>
    </w:p>
    <w:p>
      <w:pPr>
        <w:jc w:val="both"/>
        <w:ind w:right="3519" w:firstLine="425"/>
        <w:spacing w:after="0" w:line="247" w:lineRule="auto"/>
        <w:rPr>
          <w:sz w:val="20"/>
          <w:szCs w:val="20"/>
          <w:color w:val="auto"/>
        </w:rPr>
      </w:pPr>
      <w:r>
        <w:rPr>
          <w:rFonts w:ascii="Courier New" w:cs="Courier New" w:eastAsia="Courier New" w:hAnsi="Courier New"/>
          <w:sz w:val="14"/>
          <w:szCs w:val="14"/>
          <w:color w:val="auto"/>
        </w:rPr>
        <w:t>Delta uses certified vendors to provide a custom mix of proprietary rubber compounds. Delta also procures metal stampings from several domestic suppliers. We experienced price decreases for Delta's raw materials of approximately 2.5% in 2003 and 0% in 2002 and 2001.</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For the Plastic and Rubber Components Segment, we base purchase decisions on price, quality and service. Generally, we do not enter into written supply contracts with our suppliers or commit to maintain minimum monthly purchases of resins. The pricing arrangements with our suppliers typically can be adjusted at anytime.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Patents, Trademarks and Licenses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Seasonal Nature of Business</w:t>
      </w:r>
    </w:p>
    <w:p>
      <w:pPr>
        <w:spacing w:after="0" w:line="168" w:lineRule="exact"/>
        <w:rPr>
          <w:sz w:val="20"/>
          <w:szCs w:val="20"/>
          <w:color w:val="auto"/>
        </w:rPr>
      </w:pPr>
    </w:p>
    <w:p>
      <w:pPr>
        <w:jc w:val="both"/>
        <w:ind w:right="3519" w:firstLine="425"/>
        <w:spacing w:after="0" w:line="247" w:lineRule="auto"/>
        <w:rPr>
          <w:sz w:val="20"/>
          <w:szCs w:val="20"/>
          <w:color w:val="auto"/>
        </w:rPr>
      </w:pPr>
      <w:r>
        <w:rPr>
          <w:rFonts w:ascii="Courier New" w:cs="Courier New" w:eastAsia="Courier New" w:hAnsi="Courier New"/>
          <w:sz w:val="14"/>
          <w:szCs w:val="14"/>
          <w:color w:val="auto"/>
        </w:rPr>
        <w:t>Historically, due to a substantial portion of sales to European customers, seasonality has been a factor for our business in that some European customers typically significantly reduce their production activities during the month of August.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Environmental Compliance</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Based on information compiled to date, management believes that our current operations are in substantial compliance with applicable environmental laws and regulations, the violation of which would have a material adverse effect on our business and financial condition. There can be no assurance, however, that currently unknown matters, new laws and regulations, or stricter interpretations</w:t>
      </w:r>
    </w:p>
    <w:p>
      <w:pPr>
        <w:sectPr>
          <w:pgSz w:w="11900" w:h="16838" w:orient="portrait"/>
          <w:cols w:equalWidth="0" w:num="1">
            <w:col w:w="10239"/>
          </w:cols>
          <w:pgMar w:left="220" w:top="141" w:right="1440" w:bottom="0" w:gutter="0" w:footer="0" w:header="0"/>
        </w:sectPr>
      </w:pPr>
    </w:p>
    <w:bookmarkStart w:id="6" w:name="page7"/>
    <w:bookmarkEnd w:id="6"/>
    <w:p>
      <w:pPr>
        <w:ind w:right="3439"/>
        <w:spacing w:after="0" w:line="247" w:lineRule="auto"/>
        <w:rPr>
          <w:sz w:val="20"/>
          <w:szCs w:val="20"/>
          <w:color w:val="auto"/>
        </w:rPr>
      </w:pPr>
      <w:r>
        <w:rPr>
          <w:rFonts w:ascii="Courier New" w:cs="Courier New" w:eastAsia="Courier New" w:hAnsi="Courier New"/>
          <w:sz w:val="14"/>
          <w:szCs w:val="14"/>
          <w:color w:val="auto"/>
        </w:rPr>
        <w:t>of existing laws and regulations will not materially affect our business or operations in the future. More specifically, although we believe that we dispose of wastes in material compliance with applicable environmental laws and regulations, there can be no assurance that we will not incur significant liabilities in the future in connection with the clean-up of waste disposal sites.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Executive Officers of the Registrant</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executive officers are:</w:t>
      </w:r>
    </w:p>
    <w:p>
      <w:pPr>
        <w:spacing w:after="0" w:line="138" w:lineRule="exact"/>
        <w:rPr>
          <w:sz w:val="20"/>
          <w:szCs w:val="20"/>
          <w:color w:val="auto"/>
        </w:rPr>
      </w:pPr>
    </w:p>
    <w:tbl>
      <w:tblPr>
        <w:tblLayout w:type="fixed"/>
        <w:tblInd w:w="440" w:type="dxa"/>
        <w:tblCellMar>
          <w:top w:w="0" w:type="dxa"/>
          <w:left w:w="0" w:type="dxa"/>
          <w:bottom w:w="0" w:type="dxa"/>
          <w:right w:w="0" w:type="dxa"/>
        </w:tblCellMar>
      </w:tblPr>
      <w:tr>
        <w:trPr>
          <w:trHeight w:val="159"/>
        </w:trPr>
        <w:tc>
          <w:tcPr>
            <w:tcW w:w="340" w:type="dxa"/>
            <w:vAlign w:val="bottom"/>
          </w:tcPr>
          <w:p>
            <w:pPr>
              <w:spacing w:after="0"/>
              <w:rPr>
                <w:sz w:val="20"/>
                <w:szCs w:val="20"/>
                <w:color w:val="auto"/>
              </w:rPr>
            </w:pPr>
            <w:r>
              <w:rPr>
                <w:rFonts w:ascii="Courier New" w:cs="Courier New" w:eastAsia="Courier New" w:hAnsi="Courier New"/>
                <w:sz w:val="14"/>
                <w:szCs w:val="14"/>
                <w:b w:val="1"/>
                <w:bCs w:val="1"/>
                <w:color w:val="auto"/>
                <w:w w:val="95"/>
              </w:rPr>
              <w:t>Name</w:t>
            </w:r>
          </w:p>
        </w:tc>
        <w:tc>
          <w:tcPr>
            <w:tcW w:w="178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Age</w:t>
            </w: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b w:val="1"/>
                <w:bCs w:val="1"/>
                <w:color w:val="auto"/>
              </w:rPr>
              <w:t>Position</w:t>
            </w:r>
          </w:p>
        </w:tc>
      </w:tr>
      <w:tr>
        <w:trPr>
          <w:trHeight w:val="20"/>
        </w:trPr>
        <w:tc>
          <w:tcPr>
            <w:tcW w:w="3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38"/>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Roderick R. Baty</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220" w:type="dxa"/>
            <w:vAlign w:val="bottom"/>
          </w:tcPr>
          <w:p>
            <w:pPr>
              <w:spacing w:after="0"/>
              <w:rPr>
                <w:sz w:val="24"/>
                <w:szCs w:val="2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Chairman of the Board, Chief Executive</w:t>
            </w:r>
          </w:p>
        </w:tc>
      </w:tr>
      <w:tr>
        <w:trPr>
          <w:trHeight w:val="163"/>
        </w:trPr>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Officer, President and Director</w:t>
            </w:r>
          </w:p>
        </w:tc>
      </w:tr>
      <w:tr>
        <w:trPr>
          <w:trHeight w:val="163"/>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Frank T. Gentry, III</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Vice President - Manufacturing</w:t>
            </w:r>
          </w:p>
        </w:tc>
      </w:tr>
      <w:tr>
        <w:trPr>
          <w:trHeight w:val="163"/>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Robert R. Sams</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Vice President - Market Services</w:t>
            </w:r>
          </w:p>
        </w:tc>
      </w:tr>
      <w:tr>
        <w:trPr>
          <w:trHeight w:val="163"/>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David L. Dyckman</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Vice President - Corporate Development and</w:t>
            </w:r>
          </w:p>
        </w:tc>
      </w:tr>
      <w:tr>
        <w:trPr>
          <w:trHeight w:val="163"/>
        </w:trPr>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Chief Financial Officer</w:t>
            </w:r>
          </w:p>
        </w:tc>
      </w:tr>
      <w:tr>
        <w:trPr>
          <w:trHeight w:val="163"/>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William C. Kelly, Jr.</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Treasurer, Secretary and Chief</w:t>
            </w:r>
          </w:p>
        </w:tc>
      </w:tr>
      <w:tr>
        <w:trPr>
          <w:trHeight w:val="163"/>
        </w:trPr>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Administrative Officer</w:t>
            </w:r>
          </w:p>
        </w:tc>
      </w:tr>
      <w:tr>
        <w:trPr>
          <w:trHeight w:val="163"/>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Charles C. Leach</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Vice President/General Manager - Industrial</w:t>
            </w:r>
          </w:p>
        </w:tc>
      </w:tr>
      <w:tr>
        <w:trPr>
          <w:trHeight w:val="163"/>
        </w:trPr>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Molding Corporation</w:t>
            </w:r>
          </w:p>
        </w:tc>
      </w:tr>
      <w:tr>
        <w:trPr>
          <w:trHeight w:val="163"/>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Paul N. Fortier</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Vice President/General Manager - Delta</w:t>
            </w:r>
          </w:p>
        </w:tc>
      </w:tr>
      <w:tr>
        <w:trPr>
          <w:trHeight w:val="163"/>
        </w:trPr>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Rubber Company</w:t>
            </w:r>
          </w:p>
        </w:tc>
      </w:tr>
      <w:tr>
        <w:trPr>
          <w:trHeight w:val="163"/>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Dario E. Galetti</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220" w:type="dxa"/>
            <w:vAlign w:val="bottom"/>
          </w:tcPr>
          <w:p>
            <w:pPr>
              <w:spacing w:after="0"/>
              <w:rPr>
                <w:sz w:val="14"/>
                <w:szCs w:val="14"/>
                <w:color w:val="auto"/>
              </w:rPr>
            </w:pPr>
          </w:p>
        </w:tc>
        <w:tc>
          <w:tcPr>
            <w:tcW w:w="38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Managing Director - NN Europe</w:t>
            </w:r>
          </w:p>
        </w:tc>
      </w:tr>
    </w:tbl>
    <w:p>
      <w:pPr>
        <w:spacing w:after="0" w:line="167" w:lineRule="exact"/>
        <w:rPr>
          <w:sz w:val="20"/>
          <w:szCs w:val="20"/>
          <w:color w:val="auto"/>
        </w:rPr>
      </w:pPr>
    </w:p>
    <w:p>
      <w:pPr>
        <w:ind w:right="3699"/>
        <w:spacing w:after="0" w:line="249" w:lineRule="auto"/>
        <w:rPr>
          <w:sz w:val="20"/>
          <w:szCs w:val="20"/>
          <w:color w:val="auto"/>
        </w:rPr>
      </w:pPr>
      <w:r>
        <w:rPr>
          <w:rFonts w:ascii="Courier New" w:cs="Courier New" w:eastAsia="Courier New" w:hAnsi="Courier New"/>
          <w:sz w:val="14"/>
          <w:szCs w:val="14"/>
          <w:color w:val="auto"/>
        </w:rPr>
        <w:t>Set forth below is certain additional information with respect to each of our executive officers.</w:t>
      </w:r>
    </w:p>
    <w:p>
      <w:pPr>
        <w:spacing w:after="0" w:line="161"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Frank T. Gentry, III, was originally appointed Vice President - Manufacturing in August 1995. Mr. Gentry is responsible for the global operations of the Ball and Roller and NN Europe Segments. Mr. Gentry's responsibilities include purchasing, inventory control and transportation. Mr. Gentry joined NN in 1981 and held various production control positions within NN from 1981 to August 1995.</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Robert R. Sams joined NN in 1996 as Plant Manager of the Mountain City, Tennessee facility. In 1997, Mr. Sams served as Managing Director of the Kilkenny facility and in 1999 was elected to the position of Vice President - Market Services. Prior to joining NN, Mr. Sams held various positions with Hoover Precision Products from 1980 to 1994 and most recently as Vice President of Production for Blum, Inc. from 1994 to 1996.</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David L. Dyckman was appointed Vice President of Corporate Development and Chief Financial Officer in April 1998. Prior to joining NN,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William C. Kelly, Jr. joined NN in 1993 as Assistant Treasurer and Manager of Investor Relations. In March, 2003, Mr. Kelly was elected to serve as NN's Chief Administrative Officer. In July 1994, Mr. Kelly was elected to serve as NN's Chief Accounting Officer, and served in that capacity through March 2003. In February 1995, Mr. Kelly was elected Treasurer and Assistant Secretary. In March 1999 he was elected Secretary of NN and still serves in that capacity as well as that of Treasurer. Prior to joining NN, Mr. Kelly served from 1988 to 1993 as a Staff Accountant and as a Senior Auditor with the accounting firm of PricewaterhouseCoopers LLP.</w:t>
      </w:r>
    </w:p>
    <w:p>
      <w:pPr>
        <w:spacing w:after="0" w:line="164" w:lineRule="exact"/>
        <w:rPr>
          <w:sz w:val="20"/>
          <w:szCs w:val="20"/>
          <w:color w:val="auto"/>
        </w:rPr>
      </w:pPr>
    </w:p>
    <w:p>
      <w:pPr>
        <w:ind w:right="3599" w:firstLine="425"/>
        <w:spacing w:after="0" w:line="247" w:lineRule="auto"/>
        <w:rPr>
          <w:sz w:val="20"/>
          <w:szCs w:val="20"/>
          <w:color w:val="auto"/>
        </w:rPr>
      </w:pPr>
      <w:r>
        <w:rPr>
          <w:rFonts w:ascii="Courier New" w:cs="Courier New" w:eastAsia="Courier New" w:hAnsi="Courier New"/>
          <w:sz w:val="14"/>
          <w:szCs w:val="14"/>
          <w:color w:val="auto"/>
        </w:rPr>
        <w:t>Charles C. Leach was named Vice President and General Manager - IMC in January of 2002. Prior to being named Vice President and General Manager, from 1989 to 2002 Mr. Leach held increasingly responsible positions in materials, manufacturing, and operations management at IMC.</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Paul N. Fortier was appointed Vice President and General Manager - Delta in May 2001 shortly after the Company's acquisition of Delta in February 2001. Prior to joining the Company, from 1988 to 2001, Mr. Fortier held a variety of quality, manufacturing, marketing, and general management positions with Siemens in its precision materials and general lighting divisions.</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Dario Galetti was named Managing Director - Euroball in August 2000. From 1993 to 2000, he served as the Factory Manager Director of SKF's Pinerolo, Italy ball facility. From 1990 to 1993 he was Factory Manager of the SKF Bari Bearing Factory.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2. Properties</w:t>
      </w:r>
    </w:p>
    <w:p>
      <w:pPr>
        <w:spacing w:after="0" w:line="168" w:lineRule="exact"/>
        <w:rPr>
          <w:sz w:val="20"/>
          <w:szCs w:val="20"/>
          <w:color w:val="auto"/>
        </w:rPr>
      </w:pPr>
    </w:p>
    <w:p>
      <w:pPr>
        <w:ind w:right="3599" w:firstLine="425"/>
        <w:spacing w:after="0" w:line="247" w:lineRule="auto"/>
        <w:rPr>
          <w:sz w:val="20"/>
          <w:szCs w:val="20"/>
          <w:color w:val="auto"/>
        </w:rPr>
      </w:pPr>
      <w:r>
        <w:rPr>
          <w:rFonts w:ascii="Courier New" w:cs="Courier New" w:eastAsia="Courier New" w:hAnsi="Courier New"/>
          <w:sz w:val="14"/>
          <w:szCs w:val="14"/>
          <w:color w:val="auto"/>
        </w:rPr>
        <w:t>The Company has two operating domestic ball manufacturing facilities located in Erwin, Tennessee and Mountain City, Tennessee. Rollers are produced only at the Erwin, Tennessee facility. Production began in early 1996 at the Mountain City facility. During December 2001, we ceased production and closed our facility in Walterboro, South Carolina. The Walterboro, South Carolina</w:t>
      </w:r>
    </w:p>
    <w:p>
      <w:pPr>
        <w:sectPr>
          <w:pgSz w:w="11900" w:h="16838" w:orient="portrait"/>
          <w:cols w:equalWidth="0" w:num="1">
            <w:col w:w="10239"/>
          </w:cols>
          <w:pgMar w:left="220" w:top="141"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facility is classified as held for sale at December 31, 2003 and 2002.</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The Erwin and Mountain City plants currently have approximately 125,000 and 86,400 square feet of manufacturing space, respectively. The Erwin plant is located on a 12 acre tract of land owned by the Company and the Mountain City plant is located on an eight acre tract of land owned by the Company.</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Through Euroball we manufacture precision steel balls in three manufacturing facilities located in Kilkenny, Ireland, Eltmann, Germany and Pinerolo, Italy. The facilities currently have approximately 125,000, 175,000 and 330,000 square feet of manufacturing space, respectively. The Kilkenny facility is located on a two acre tract owned by Euroball, the Eltmann facility is leased from FAG and the Pinerolo facility is located on a nine acre tract owned by Euroball.</w:t>
      </w:r>
    </w:p>
    <w:p>
      <w:pPr>
        <w:spacing w:after="0" w:line="164" w:lineRule="exact"/>
        <w:rPr>
          <w:sz w:val="20"/>
          <w:szCs w:val="20"/>
          <w:color w:val="auto"/>
        </w:rPr>
      </w:pPr>
    </w:p>
    <w:p>
      <w:pPr>
        <w:jc w:val="both"/>
        <w:ind w:right="3519" w:firstLine="425"/>
        <w:spacing w:after="0" w:line="247" w:lineRule="auto"/>
        <w:rPr>
          <w:sz w:val="20"/>
          <w:szCs w:val="20"/>
          <w:color w:val="auto"/>
        </w:rPr>
      </w:pPr>
      <w:r>
        <w:rPr>
          <w:rFonts w:ascii="Courier New" w:cs="Courier New" w:eastAsia="Courier New" w:hAnsi="Courier New"/>
          <w:sz w:val="14"/>
          <w:szCs w:val="14"/>
          <w:color w:val="auto"/>
        </w:rPr>
        <w:t>Our Veenendaal, The Netherlands operation manufactures rollers for tapered roller bearings and metal retainers in two facilities. The facilities, owned by the Company, have approximately 107,000 and 52,000 square feet of manufacturing space, respectively.</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Our Kysucke Nove Mesto, Slovakia operation, expected to begin production in 2004, will be engaged in the production of precision steel balls. The facility, owned by the Company, has approximately 135,000 square feet of manufacturing space.</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IMC manufactures a wide range of plastic molded products through two facilities located in Lubbock, Texas. The Slaton facility, located on a six and one half acre tract of land owned by the Company, contains approximately 193,000 square feet of manufacturing, warehouse and office space. The Cedar facility is situated on a two and one half acre tract of land which is also owned by the Company and contains approximately 35,000 square feet of manufacturing and warehouse space.</w:t>
      </w:r>
    </w:p>
    <w:p>
      <w:pPr>
        <w:spacing w:after="0" w:line="164" w:lineRule="exact"/>
        <w:rPr>
          <w:sz w:val="20"/>
          <w:szCs w:val="20"/>
          <w:color w:val="auto"/>
        </w:rPr>
      </w:pPr>
    </w:p>
    <w:p>
      <w:pPr>
        <w:ind w:right="3519" w:firstLine="425"/>
        <w:spacing w:after="0" w:line="248" w:lineRule="auto"/>
        <w:rPr>
          <w:sz w:val="20"/>
          <w:szCs w:val="20"/>
          <w:color w:val="auto"/>
        </w:rPr>
      </w:pPr>
      <w:r>
        <w:rPr>
          <w:rFonts w:ascii="Courier New" w:cs="Courier New" w:eastAsia="Courier New" w:hAnsi="Courier New"/>
          <w:sz w:val="14"/>
          <w:szCs w:val="14"/>
          <w:color w:val="auto"/>
        </w:rPr>
        <w:t>Delta's operations are located in two facilities on a 12-acre site in Danielson, Connecticut, owned by the Company. The two facilities encompass over 50,000 square feet of rubber seal manufacturing and administrative functions.</w:t>
      </w:r>
    </w:p>
    <w:p>
      <w:pPr>
        <w:spacing w:after="0" w:line="162" w:lineRule="exact"/>
        <w:rPr>
          <w:sz w:val="20"/>
          <w:szCs w:val="20"/>
          <w:color w:val="auto"/>
        </w:rPr>
      </w:pPr>
    </w:p>
    <w:p>
      <w:pPr>
        <w:ind w:right="4039" w:firstLine="425"/>
        <w:spacing w:after="0" w:line="249" w:lineRule="auto"/>
        <w:rPr>
          <w:sz w:val="20"/>
          <w:szCs w:val="20"/>
          <w:color w:val="auto"/>
        </w:rPr>
      </w:pPr>
      <w:r>
        <w:rPr>
          <w:rFonts w:ascii="Courier New" w:cs="Courier New" w:eastAsia="Courier New" w:hAnsi="Courier New"/>
          <w:sz w:val="14"/>
          <w:szCs w:val="14"/>
          <w:color w:val="auto"/>
        </w:rPr>
        <w:t>See "Management's Discussion and Analysis of Financial Condition and Results of Operations -- Liquidity and Capital Resources."</w:t>
      </w: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3. Legal Proceedings</w:t>
      </w:r>
    </w:p>
    <w:p>
      <w:pPr>
        <w:spacing w:after="0" w:line="168" w:lineRule="exact"/>
        <w:rPr>
          <w:sz w:val="20"/>
          <w:szCs w:val="20"/>
          <w:color w:val="auto"/>
        </w:rPr>
      </w:pPr>
    </w:p>
    <w:p>
      <w:pPr>
        <w:ind w:right="3699" w:firstLine="425"/>
        <w:spacing w:after="0" w:line="247" w:lineRule="auto"/>
        <w:rPr>
          <w:sz w:val="20"/>
          <w:szCs w:val="20"/>
          <w:color w:val="auto"/>
        </w:rPr>
      </w:pPr>
      <w:r>
        <w:rPr>
          <w:rFonts w:ascii="Courier New" w:cs="Courier New" w:eastAsia="Courier New" w:hAnsi="Courier New"/>
          <w:sz w:val="14"/>
          <w:szCs w:val="14"/>
          <w:color w:val="auto"/>
        </w:rPr>
        <w:t>From time to time the Company is subject to legal actions related to its operations, most of which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4. Submission of Matters to a Vote of Security Holders</w:t>
      </w:r>
    </w:p>
    <w:p>
      <w:pPr>
        <w:spacing w:after="0" w:line="168" w:lineRule="exact"/>
        <w:rPr>
          <w:sz w:val="20"/>
          <w:szCs w:val="20"/>
          <w:color w:val="auto"/>
        </w:rPr>
      </w:pPr>
    </w:p>
    <w:p>
      <w:pPr>
        <w:ind w:right="3859" w:firstLine="425"/>
        <w:spacing w:after="0" w:line="249" w:lineRule="auto"/>
        <w:rPr>
          <w:sz w:val="20"/>
          <w:szCs w:val="20"/>
          <w:color w:val="auto"/>
        </w:rPr>
      </w:pPr>
      <w:r>
        <w:rPr>
          <w:rFonts w:ascii="Courier New" w:cs="Courier New" w:eastAsia="Courier New" w:hAnsi="Courier New"/>
          <w:sz w:val="14"/>
          <w:szCs w:val="14"/>
          <w:color w:val="auto"/>
        </w:rPr>
        <w:t>No matters were submitted for a vote of stockholders during the fourth quarter of 2003.</w:t>
      </w: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b w:val="1"/>
          <w:bCs w:val="1"/>
          <w:color w:val="auto"/>
        </w:rPr>
        <w:t>Part II</w:t>
      </w:r>
    </w:p>
    <w:p>
      <w:pPr>
        <w:spacing w:after="0" w:line="168" w:lineRule="exact"/>
        <w:rPr>
          <w:sz w:val="20"/>
          <w:szCs w:val="20"/>
          <w:color w:val="auto"/>
        </w:rPr>
      </w:pPr>
    </w:p>
    <w:p>
      <w:pPr>
        <w:ind w:left="680" w:right="4039" w:hanging="678"/>
        <w:spacing w:after="0" w:line="249" w:lineRule="auto"/>
        <w:rPr>
          <w:sz w:val="20"/>
          <w:szCs w:val="20"/>
          <w:color w:val="auto"/>
        </w:rPr>
      </w:pPr>
      <w:r>
        <w:rPr>
          <w:rFonts w:ascii="Courier New" w:cs="Courier New" w:eastAsia="Courier New" w:hAnsi="Courier New"/>
          <w:sz w:val="14"/>
          <w:szCs w:val="14"/>
          <w:b w:val="1"/>
          <w:bCs w:val="1"/>
          <w:color w:val="auto"/>
        </w:rPr>
        <w:t>Item 5. Market for the Registrant's Common Equity and Related Stockholder Matters</w:t>
      </w:r>
    </w:p>
    <w:p>
      <w:pPr>
        <w:spacing w:after="0" w:line="161"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Since the Company's initial public offering in 1994, the Common Stock has been traded on the Nasdaq National Market under the trading symbol "NNBR." Prior to such time there was no established market for the Common Stock. As of March 11, 2004, there were approximately 4,500 holders of the Common Stock.</w:t>
      </w:r>
    </w:p>
    <w:p>
      <w:pPr>
        <w:spacing w:after="0" w:line="164" w:lineRule="exact"/>
        <w:rPr>
          <w:sz w:val="20"/>
          <w:szCs w:val="20"/>
          <w:color w:val="auto"/>
        </w:rPr>
      </w:pPr>
    </w:p>
    <w:p>
      <w:pPr>
        <w:ind w:right="3439" w:firstLine="425"/>
        <w:spacing w:after="0" w:line="248" w:lineRule="auto"/>
        <w:rPr>
          <w:sz w:val="20"/>
          <w:szCs w:val="20"/>
          <w:color w:val="auto"/>
        </w:rPr>
      </w:pPr>
      <w:r>
        <w:rPr>
          <w:rFonts w:ascii="Courier New" w:cs="Courier New" w:eastAsia="Courier New" w:hAnsi="Courier New"/>
          <w:sz w:val="14"/>
          <w:szCs w:val="14"/>
          <w:color w:val="auto"/>
        </w:rPr>
        <w:t>The following table sets forth the high and low closing sales prices of the Common Stock, as reported by Nasdaq, and the dividends paid per share on the Common Stock during each calendar quarter of 2003, 2002 and 2001.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Borders>
              <w:bottom w:val="single" w:sz="8" w:color="auto"/>
            </w:tcBorders>
            <w:gridSpan w:val="3"/>
          </w:tcPr>
          <w:p>
            <w:pPr>
              <w:spacing w:after="0"/>
              <w:rPr>
                <w:sz w:val="20"/>
                <w:szCs w:val="20"/>
                <w:color w:val="auto"/>
              </w:rPr>
            </w:pPr>
            <w:r>
              <w:rPr>
                <w:rFonts w:ascii="Courier New" w:cs="Courier New" w:eastAsia="Courier New" w:hAnsi="Courier New"/>
                <w:sz w:val="14"/>
                <w:szCs w:val="14"/>
                <w:b w:val="1"/>
                <w:bCs w:val="1"/>
                <w:color w:val="auto"/>
                <w:w w:val="99"/>
              </w:rPr>
              <w:t>Close Price</w:t>
            </w: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3"/>
        </w:trPr>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Courier New" w:cs="Courier New" w:eastAsia="Courier New" w:hAnsi="Courier New"/>
                <w:sz w:val="14"/>
                <w:szCs w:val="14"/>
                <w:b w:val="1"/>
                <w:bCs w:val="1"/>
                <w:color w:val="auto"/>
              </w:rPr>
              <w:t>High</w:t>
            </w:r>
          </w:p>
        </w:tc>
        <w:tc>
          <w:tcPr>
            <w:tcW w:w="600" w:type="dxa"/>
            <w:vAlign w:val="bottom"/>
          </w:tcPr>
          <w:p>
            <w:pPr>
              <w:spacing w:after="0"/>
              <w:rPr>
                <w:sz w:val="12"/>
                <w:szCs w:val="12"/>
                <w:color w:val="auto"/>
              </w:rPr>
            </w:pPr>
          </w:p>
        </w:tc>
        <w:tc>
          <w:tcPr>
            <w:tcW w:w="340" w:type="dxa"/>
            <w:vAlign w:val="bottom"/>
            <w:gridSpan w:val="2"/>
          </w:tcPr>
          <w:p>
            <w:pPr>
              <w:spacing w:after="0" w:line="143" w:lineRule="exact"/>
              <w:rPr>
                <w:sz w:val="20"/>
                <w:szCs w:val="20"/>
                <w:color w:val="auto"/>
              </w:rPr>
            </w:pPr>
            <w:r>
              <w:rPr>
                <w:rFonts w:ascii="Courier New" w:cs="Courier New" w:eastAsia="Courier New" w:hAnsi="Courier New"/>
                <w:sz w:val="14"/>
                <w:szCs w:val="14"/>
                <w:b w:val="1"/>
                <w:bCs w:val="1"/>
                <w:color w:val="auto"/>
              </w:rPr>
              <w:t>Low</w:t>
            </w:r>
          </w:p>
        </w:tc>
        <w:tc>
          <w:tcPr>
            <w:tcW w:w="1260" w:type="dxa"/>
            <w:vAlign w:val="bottom"/>
            <w:gridSpan w:val="3"/>
          </w:tcPr>
          <w:p>
            <w:pPr>
              <w:jc w:val="right"/>
              <w:ind w:right="240"/>
              <w:spacing w:after="0" w:line="143" w:lineRule="exact"/>
              <w:rPr>
                <w:sz w:val="20"/>
                <w:szCs w:val="20"/>
                <w:color w:val="auto"/>
              </w:rPr>
            </w:pPr>
            <w:r>
              <w:rPr>
                <w:rFonts w:ascii="Courier New" w:cs="Courier New" w:eastAsia="Courier New" w:hAnsi="Courier New"/>
                <w:sz w:val="14"/>
                <w:szCs w:val="14"/>
                <w:b w:val="1"/>
                <w:bCs w:val="1"/>
                <w:color w:val="auto"/>
              </w:rPr>
              <w:t>Dividend</w:t>
            </w:r>
          </w:p>
        </w:tc>
      </w:tr>
      <w:tr>
        <w:trPr>
          <w:trHeight w:val="143"/>
        </w:trPr>
        <w:tc>
          <w:tcPr>
            <w:tcW w:w="340" w:type="dxa"/>
            <w:vAlign w:val="bottom"/>
            <w:tcBorders>
              <w:bottom w:val="single" w:sz="8" w:color="auto"/>
            </w:tcBorders>
          </w:tcPr>
          <w:p>
            <w:pPr>
              <w:spacing w:after="0" w:line="143" w:lineRule="exact"/>
              <w:rPr>
                <w:sz w:val="20"/>
                <w:szCs w:val="20"/>
                <w:color w:val="auto"/>
              </w:rPr>
            </w:pPr>
            <w:r>
              <w:rPr>
                <w:rFonts w:ascii="Courier New" w:cs="Courier New" w:eastAsia="Courier New" w:hAnsi="Courier New"/>
                <w:sz w:val="14"/>
                <w:szCs w:val="14"/>
                <w:b w:val="1"/>
                <w:bCs w:val="1"/>
                <w:color w:val="auto"/>
                <w:w w:val="95"/>
              </w:rPr>
              <w:t>2003</w:t>
            </w: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17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First Quarter</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w:t>
            </w:r>
          </w:p>
        </w:tc>
        <w:tc>
          <w:tcPr>
            <w:tcW w:w="3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$8.01</w:t>
            </w:r>
          </w:p>
        </w:tc>
        <w:tc>
          <w:tcPr>
            <w:tcW w:w="1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12.66</w:t>
            </w:r>
          </w:p>
        </w:tc>
        <w:tc>
          <w:tcPr>
            <w:tcW w:w="3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9.35</w:t>
            </w: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Third Quarter</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13.75</w:t>
            </w:r>
          </w:p>
        </w:tc>
        <w:tc>
          <w:tcPr>
            <w:tcW w:w="3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11.12</w:t>
            </w: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12.90</w:t>
            </w:r>
          </w:p>
        </w:tc>
        <w:tc>
          <w:tcPr>
            <w:tcW w:w="3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10.70</w:t>
            </w: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296"/>
        </w:trPr>
        <w:tc>
          <w:tcPr>
            <w:tcW w:w="340" w:type="dxa"/>
            <w:vAlign w:val="bottom"/>
            <w:tcBorders>
              <w:bottom w:val="single" w:sz="8" w:color="auto"/>
            </w:tcBorders>
          </w:tcPr>
          <w:p>
            <w:pPr>
              <w:spacing w:after="0"/>
              <w:rPr>
                <w:sz w:val="20"/>
                <w:szCs w:val="20"/>
                <w:color w:val="auto"/>
              </w:rPr>
            </w:pPr>
            <w:r>
              <w:rPr>
                <w:rFonts w:ascii="Courier New" w:cs="Courier New" w:eastAsia="Courier New" w:hAnsi="Courier New"/>
                <w:sz w:val="14"/>
                <w:szCs w:val="14"/>
                <w:b w:val="1"/>
                <w:bCs w:val="1"/>
                <w:color w:val="auto"/>
                <w:w w:val="95"/>
              </w:rPr>
              <w:t>2002</w:t>
            </w: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First Quarter</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$11.00</w:t>
            </w:r>
          </w:p>
        </w:tc>
        <w:tc>
          <w:tcPr>
            <w:tcW w:w="3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$9.15</w:t>
            </w:r>
          </w:p>
        </w:tc>
        <w:tc>
          <w:tcPr>
            <w:tcW w:w="1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12.80</w:t>
            </w:r>
          </w:p>
        </w:tc>
        <w:tc>
          <w:tcPr>
            <w:tcW w:w="3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9.68</w:t>
            </w: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Third Quarter</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12.45</w:t>
            </w:r>
          </w:p>
        </w:tc>
        <w:tc>
          <w:tcPr>
            <w:tcW w:w="3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8.08</w:t>
            </w: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Fourth Quarter</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10.10</w:t>
            </w:r>
          </w:p>
        </w:tc>
        <w:tc>
          <w:tcPr>
            <w:tcW w:w="3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6.98</w:t>
            </w: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296"/>
        </w:trPr>
        <w:tc>
          <w:tcPr>
            <w:tcW w:w="340" w:type="dxa"/>
            <w:vAlign w:val="bottom"/>
            <w:tcBorders>
              <w:bottom w:val="single" w:sz="8" w:color="auto"/>
            </w:tcBorders>
          </w:tcPr>
          <w:p>
            <w:pPr>
              <w:spacing w:after="0"/>
              <w:rPr>
                <w:sz w:val="20"/>
                <w:szCs w:val="20"/>
                <w:color w:val="auto"/>
              </w:rPr>
            </w:pPr>
            <w:r>
              <w:rPr>
                <w:rFonts w:ascii="Courier New" w:cs="Courier New" w:eastAsia="Courier New" w:hAnsi="Courier New"/>
                <w:sz w:val="14"/>
                <w:szCs w:val="14"/>
                <w:b w:val="1"/>
                <w:bCs w:val="1"/>
                <w:color w:val="auto"/>
                <w:w w:val="95"/>
              </w:rPr>
              <w:t>2001</w:t>
            </w: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First Quarter</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$ 9.17</w:t>
            </w:r>
          </w:p>
        </w:tc>
        <w:tc>
          <w:tcPr>
            <w:tcW w:w="34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$6.53</w:t>
            </w:r>
          </w:p>
        </w:tc>
        <w:tc>
          <w:tcPr>
            <w:tcW w:w="1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163"/>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Second Quarter</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10.81</w:t>
            </w:r>
          </w:p>
        </w:tc>
        <w:tc>
          <w:tcPr>
            <w:tcW w:w="3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6.50</w:t>
            </w:r>
          </w:p>
        </w:tc>
        <w:tc>
          <w:tcPr>
            <w:tcW w:w="1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0.08</w:t>
            </w:r>
          </w:p>
        </w:tc>
      </w:tr>
    </w:tbl>
    <w:p>
      <w:pPr>
        <w:sectPr>
          <w:pgSz w:w="11900" w:h="16838" w:orient="portrait"/>
          <w:cols w:equalWidth="0" w:num="1">
            <w:col w:w="10239"/>
          </w:cols>
          <w:pgMar w:left="220" w:top="141"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10.84</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7.25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163"/>
        </w:trPr>
        <w:tc>
          <w:tcPr>
            <w:tcW w:w="170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13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11.30</w:t>
            </w:r>
          </w:p>
        </w:tc>
        <w:tc>
          <w:tcPr>
            <w:tcW w:w="12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7.75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0.08</w:t>
            </w:r>
          </w:p>
        </w:tc>
      </w:tr>
    </w:tbl>
    <w:p>
      <w:pPr>
        <w:spacing w:after="0" w:line="167" w:lineRule="exact"/>
        <w:rPr>
          <w:sz w:val="20"/>
          <w:szCs w:val="20"/>
          <w:color w:val="auto"/>
        </w:rPr>
      </w:pPr>
    </w:p>
    <w:p>
      <w:pPr>
        <w:ind w:right="4740" w:firstLine="425"/>
        <w:spacing w:after="0" w:line="247" w:lineRule="auto"/>
        <w:rPr>
          <w:sz w:val="20"/>
          <w:szCs w:val="20"/>
          <w:color w:val="auto"/>
        </w:rPr>
      </w:pPr>
      <w:r>
        <w:rPr>
          <w:rFonts w:ascii="Courier New" w:cs="Courier New" w:eastAsia="Courier New" w:hAnsi="Courier New"/>
          <w:sz w:val="14"/>
          <w:szCs w:val="14"/>
          <w:color w:val="auto"/>
        </w:rPr>
        <w:t>The declaration and payment of dividends are subject to the sole discretion of the Board of Directors of the Company and depend upon the Company's profitability, financial condition, capital needs, future prospects and other factors deemed relevant by the Board of Directors. The terms of the Company's revolving credit facility restrict the payment of dividends by prohibiting the Company from declaring or paying any dividend if an event of default exists at the time of, or would occur as a result of, such declaration or payment. Additionally, the terms of the Company's revolving credit facility restrict the declaration and payment of dividends in excess of certain amounts specified in the credit agreement in any fiscal year. The amount of consolidated retained earnings which represents undistributed earnings of 50 percent or less owned persons accounted for by the equity method is zero at December 31, 2003, 2002 and 2001. For further description of the Company's revolving credit facility, see "Management's Discussion and Analysis of Financial Condition and Results of Operations - Liquidity and Capital Resources" 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6. Selected Financial Data</w:t>
      </w:r>
    </w:p>
    <w:p>
      <w:pPr>
        <w:spacing w:after="0" w:line="168" w:lineRule="exact"/>
        <w:rPr>
          <w:sz w:val="20"/>
          <w:szCs w:val="20"/>
          <w:color w:val="auto"/>
        </w:rPr>
      </w:pPr>
    </w:p>
    <w:p>
      <w:pPr>
        <w:ind w:right="4740" w:firstLine="425"/>
        <w:spacing w:after="0" w:line="247" w:lineRule="auto"/>
        <w:rPr>
          <w:sz w:val="20"/>
          <w:szCs w:val="20"/>
          <w:color w:val="auto"/>
        </w:rPr>
      </w:pPr>
      <w:r>
        <w:rPr>
          <w:rFonts w:ascii="Courier New" w:cs="Courier New" w:eastAsia="Courier New" w:hAnsi="Courier New"/>
          <w:sz w:val="14"/>
          <w:szCs w:val="14"/>
          <w:color w:val="auto"/>
        </w:rPr>
        <w:t>The following selected financial data of the Company are qualified by reference to and should be read in conjunction with the Consolidated Financial Statements and the Notes thereto included as Item 8. The data set forth below as of December 31, 2003 and for the year then ended has been derived from the Consolidated Financial Statements of the Company which have been audited by PricewaterhouseCoopers LLP, independent auditors, whose report thereon is included as part of Item 8. The data below as of December 31, 2002, 2001 and 2000 and for the periods then ended has been derived from the Consolidated Financial Statements of the Company, which have been audited by KPMG LLP, independent auditors. The data below as of December 31, 1999 and for the year then ended has been derived from the Consolidated Financial Statements of the Company, which have been audited by PricewaterhouseCoopers LLP, independent auditors. These historical results are not necessarily indicative of the results to be expected in the future. See "Management's Discussion and Analysis of Financial Condition and Results of Operations."</w:t>
      </w: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40" w:type="dxa"/>
            <w:vAlign w:val="bottom"/>
          </w:tcPr>
          <w:p>
            <w:pPr>
              <w:spacing w:after="0"/>
              <w:rPr>
                <w:sz w:val="20"/>
                <w:szCs w:val="20"/>
                <w:color w:val="auto"/>
              </w:rPr>
            </w:pPr>
            <w:r>
              <w:rPr>
                <w:rFonts w:ascii="Courier New" w:cs="Courier New" w:eastAsia="Courier New" w:hAnsi="Courier New"/>
                <w:sz w:val="14"/>
                <w:szCs w:val="14"/>
                <w:b w:val="1"/>
                <w:bCs w:val="1"/>
                <w:color w:val="auto"/>
              </w:rPr>
              <w:t>(In Thousands, Except Per Share Data)</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Borders>
              <w:bottom w:val="single" w:sz="8" w:color="auto"/>
            </w:tcBorders>
            <w:gridSpan w:val="6"/>
          </w:tcPr>
          <w:p>
            <w:pPr>
              <w:jc w:val="right"/>
              <w:spacing w:after="0"/>
              <w:rPr>
                <w:sz w:val="20"/>
                <w:szCs w:val="20"/>
                <w:color w:val="auto"/>
              </w:rPr>
            </w:pPr>
            <w:r>
              <w:rPr>
                <w:rFonts w:ascii="Courier New" w:cs="Courier New" w:eastAsia="Courier New" w:hAnsi="Courier New"/>
                <w:sz w:val="14"/>
                <w:szCs w:val="14"/>
                <w:b w:val="1"/>
                <w:bCs w:val="1"/>
                <w:color w:val="auto"/>
                <w:w w:val="99"/>
              </w:rPr>
              <w:t>Year Ended December 31,</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07"/>
        </w:trPr>
        <w:tc>
          <w:tcPr>
            <w:tcW w:w="4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2003</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Courier New" w:cs="Courier New" w:eastAsia="Courier New" w:hAnsi="Courier New"/>
                <w:sz w:val="14"/>
                <w:szCs w:val="14"/>
                <w:b w:val="1"/>
                <w:bCs w:val="1"/>
                <w:color w:val="auto"/>
              </w:rPr>
              <w:t>2002</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gridSpan w:val="3"/>
          </w:tcPr>
          <w:p>
            <w:pPr>
              <w:jc w:val="right"/>
              <w:ind w:right="340"/>
              <w:spacing w:after="0"/>
              <w:rPr>
                <w:sz w:val="20"/>
                <w:szCs w:val="20"/>
                <w:color w:val="auto"/>
              </w:rPr>
            </w:pPr>
            <w:r>
              <w:rPr>
                <w:rFonts w:ascii="Courier New" w:cs="Courier New" w:eastAsia="Courier New" w:hAnsi="Courier New"/>
                <w:sz w:val="14"/>
                <w:szCs w:val="14"/>
                <w:b w:val="1"/>
                <w:bCs w:val="1"/>
                <w:color w:val="auto"/>
              </w:rPr>
              <w:t>2001</w:t>
            </w:r>
          </w:p>
        </w:tc>
        <w:tc>
          <w:tcPr>
            <w:tcW w:w="64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2000</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1999</w:t>
            </w:r>
          </w:p>
        </w:tc>
        <w:tc>
          <w:tcPr>
            <w:tcW w:w="160" w:type="dxa"/>
            <w:vAlign w:val="bottom"/>
          </w:tcPr>
          <w:p>
            <w:pPr>
              <w:spacing w:after="0"/>
              <w:rPr>
                <w:sz w:val="24"/>
                <w:szCs w:val="24"/>
                <w:color w:val="auto"/>
              </w:rPr>
            </w:pPr>
          </w:p>
        </w:tc>
      </w:tr>
      <w:tr>
        <w:trPr>
          <w:trHeight w:val="174"/>
        </w:trPr>
        <w:tc>
          <w:tcPr>
            <w:tcW w:w="4340" w:type="dxa"/>
            <w:vAlign w:val="bottom"/>
          </w:tcPr>
          <w:p>
            <w:pPr>
              <w:spacing w:after="0"/>
              <w:rPr>
                <w:sz w:val="20"/>
                <w:szCs w:val="20"/>
                <w:color w:val="auto"/>
              </w:rPr>
            </w:pPr>
            <w:r>
              <w:rPr>
                <w:rFonts w:ascii="Courier New" w:cs="Courier New" w:eastAsia="Courier New" w:hAnsi="Courier New"/>
                <w:sz w:val="14"/>
                <w:szCs w:val="14"/>
                <w:b w:val="1"/>
                <w:bCs w:val="1"/>
                <w:color w:val="auto"/>
              </w:rPr>
              <w:t>Statement of Income Data:</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20" w:type="dxa"/>
            <w:vAlign w:val="bottom"/>
            <w:gridSpan w:val="4"/>
          </w:tcPr>
          <w:p>
            <w:pPr>
              <w:jc w:val="right"/>
              <w:ind w:right="340"/>
              <w:spacing w:after="0"/>
              <w:rPr>
                <w:sz w:val="20"/>
                <w:szCs w:val="20"/>
                <w:color w:val="auto"/>
              </w:rPr>
            </w:pPr>
            <w:r>
              <w:rPr>
                <w:rFonts w:ascii="Courier New" w:cs="Courier New" w:eastAsia="Courier New" w:hAnsi="Courier New"/>
                <w:sz w:val="14"/>
                <w:szCs w:val="14"/>
                <w:color w:val="auto"/>
              </w:rPr>
              <w:t>$253,462</w:t>
            </w:r>
          </w:p>
        </w:tc>
        <w:tc>
          <w:tcPr>
            <w:tcW w:w="1520" w:type="dxa"/>
            <w:vAlign w:val="bottom"/>
            <w:gridSpan w:val="5"/>
          </w:tcPr>
          <w:p>
            <w:pPr>
              <w:jc w:val="right"/>
              <w:ind w:right="260"/>
              <w:spacing w:after="0"/>
              <w:rPr>
                <w:sz w:val="20"/>
                <w:szCs w:val="20"/>
                <w:color w:val="auto"/>
              </w:rPr>
            </w:pPr>
            <w:r>
              <w:rPr>
                <w:rFonts w:ascii="Courier New" w:cs="Courier New" w:eastAsia="Courier New" w:hAnsi="Courier New"/>
                <w:sz w:val="14"/>
                <w:szCs w:val="14"/>
                <w:color w:val="auto"/>
              </w:rPr>
              <w:t>$192,856</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$180,151</w:t>
            </w:r>
          </w:p>
        </w:tc>
        <w:tc>
          <w:tcPr>
            <w:tcW w:w="1440" w:type="dxa"/>
            <w:vAlign w:val="bottom"/>
            <w:gridSpan w:val="4"/>
          </w:tcPr>
          <w:p>
            <w:pPr>
              <w:jc w:val="right"/>
              <w:ind w:right="240"/>
              <w:spacing w:after="0"/>
              <w:rPr>
                <w:sz w:val="20"/>
                <w:szCs w:val="20"/>
                <w:color w:val="auto"/>
              </w:rPr>
            </w:pPr>
            <w:r>
              <w:rPr>
                <w:rFonts w:ascii="Courier New" w:cs="Courier New" w:eastAsia="Courier New" w:hAnsi="Courier New"/>
                <w:sz w:val="14"/>
                <w:szCs w:val="14"/>
                <w:color w:val="auto"/>
              </w:rPr>
              <w:t>$132,129</w:t>
            </w:r>
          </w:p>
        </w:tc>
        <w:tc>
          <w:tcPr>
            <w:tcW w:w="1180" w:type="dxa"/>
            <w:vAlign w:val="bottom"/>
            <w:gridSpan w:val="4"/>
          </w:tcPr>
          <w:p>
            <w:pPr>
              <w:jc w:val="right"/>
              <w:ind w:right="60"/>
              <w:spacing w:after="0"/>
              <w:rPr>
                <w:sz w:val="20"/>
                <w:szCs w:val="20"/>
                <w:color w:val="auto"/>
              </w:rPr>
            </w:pPr>
            <w:r>
              <w:rPr>
                <w:rFonts w:ascii="Courier New" w:cs="Courier New" w:eastAsia="Courier New" w:hAnsi="Courier New"/>
                <w:sz w:val="14"/>
                <w:szCs w:val="14"/>
                <w:color w:val="auto"/>
              </w:rPr>
              <w:t>$85,294</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Cost of products sold (exclusive of depreciation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shown separately below)</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w w:val="98"/>
              </w:rPr>
              <w:t>195,650</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w w:val="95"/>
              </w:rPr>
              <w:t>144,274</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w w:val="98"/>
              </w:rPr>
              <w:t>137,221</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93,926</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w w:val="99"/>
              </w:rPr>
              <w:t>59,967</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21,700</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17,134</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16,752</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11,571</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6,854</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13,836</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11,212</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13,150</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9,165</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6,131</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Restructuring and impairment costs</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2,498</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1,277</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2,312</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19,778</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18,959</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10,716</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17,467</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w w:val="99"/>
              </w:rPr>
              <w:t>12,342</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3,247</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2,451</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4,196</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1,773</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523</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Equity in earnings of unconsolidated affiliate</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(48)</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Net gain on involuntary conversion</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w w:val="98"/>
              </w:rPr>
              <w:t>(3,901)</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(728)</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(48)</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(487)</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(186)</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(136)</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16,579</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16,995</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10,607</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16,606</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w w:val="99"/>
              </w:rPr>
              <w:t>11,819</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5,726</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6,457</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4,094</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5,959</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4,060</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Minority interest in income of consolidated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subsidiary</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675</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2,778</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1,753</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660</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accounting principle</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10,178</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7,760</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4,760</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9,987</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7,759</w:t>
            </w:r>
          </w:p>
        </w:tc>
      </w:tr>
      <w:tr>
        <w:trPr>
          <w:trHeight w:val="327"/>
        </w:trPr>
        <w:tc>
          <w:tcPr>
            <w:tcW w:w="434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principle, net of income tax benefit of $112</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and related minority interest impact of $84</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98</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20" w:type="dxa"/>
            <w:vAlign w:val="bottom"/>
            <w:gridSpan w:val="4"/>
          </w:tcPr>
          <w:p>
            <w:pPr>
              <w:jc w:val="right"/>
              <w:ind w:right="340"/>
              <w:spacing w:after="0"/>
              <w:rPr>
                <w:sz w:val="20"/>
                <w:szCs w:val="20"/>
                <w:color w:val="auto"/>
              </w:rPr>
            </w:pPr>
            <w:r>
              <w:rPr>
                <w:rFonts w:ascii="Courier New" w:cs="Courier New" w:eastAsia="Courier New" w:hAnsi="Courier New"/>
                <w:sz w:val="14"/>
                <w:szCs w:val="14"/>
                <w:color w:val="auto"/>
              </w:rPr>
              <w:t>$ 10,178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7,760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4,662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9,987</w:t>
            </w:r>
          </w:p>
        </w:tc>
        <w:tc>
          <w:tcPr>
            <w:tcW w:w="1180" w:type="dxa"/>
            <w:vAlign w:val="bottom"/>
            <w:gridSpan w:val="4"/>
          </w:tcPr>
          <w:p>
            <w:pPr>
              <w:jc w:val="right"/>
              <w:ind w:right="60"/>
              <w:spacing w:after="0"/>
              <w:rPr>
                <w:sz w:val="20"/>
                <w:szCs w:val="20"/>
                <w:color w:val="auto"/>
              </w:rPr>
            </w:pPr>
            <w:r>
              <w:rPr>
                <w:rFonts w:ascii="Courier New" w:cs="Courier New" w:eastAsia="Courier New" w:hAnsi="Courier New"/>
                <w:sz w:val="14"/>
                <w:szCs w:val="14"/>
                <w:color w:val="auto"/>
              </w:rPr>
              <w:t>$ 7,759</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Basic income per share: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accounting principle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0.64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0.51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0.31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0.66</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w w:val="99"/>
              </w:rPr>
              <w:t>$ 0.52</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3"/>
        </w:trPr>
        <w:tc>
          <w:tcPr>
            <w:tcW w:w="4340" w:type="dxa"/>
            <w:vAlign w:val="bottom"/>
          </w:tcPr>
          <w:p>
            <w:pPr>
              <w:ind w:left="340"/>
              <w:spacing w:after="0"/>
              <w:rPr>
                <w:sz w:val="20"/>
                <w:szCs w:val="20"/>
                <w:color w:val="auto"/>
              </w:rPr>
            </w:pPr>
            <w:r>
              <w:rPr>
                <w:rFonts w:ascii="Courier New" w:cs="Courier New" w:eastAsia="Courier New" w:hAnsi="Courier New"/>
                <w:sz w:val="14"/>
                <w:szCs w:val="14"/>
                <w:color w:val="auto"/>
              </w:rPr>
              <w:t>principle</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(0.01)</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0.64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0.51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0.31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0.66</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w w:val="99"/>
              </w:rPr>
              <w:t>$ 0.52</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340" w:type="dxa"/>
            <w:vAlign w:val="bottom"/>
          </w:tcPr>
          <w:p>
            <w:pPr>
              <w:spacing w:after="0"/>
              <w:rPr>
                <w:sz w:val="20"/>
                <w:szCs w:val="20"/>
                <w:color w:val="auto"/>
              </w:rPr>
            </w:pPr>
            <w:r>
              <w:rPr>
                <w:rFonts w:ascii="Courier New" w:cs="Courier New" w:eastAsia="Courier New" w:hAnsi="Courier New"/>
                <w:sz w:val="14"/>
                <w:szCs w:val="14"/>
                <w:color w:val="auto"/>
              </w:rPr>
              <w:t>Diluted income per share:</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accounting principle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0.62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0.49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0.31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0.64</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w w:val="99"/>
              </w:rPr>
              <w:t>$ 0.52</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3"/>
        </w:trPr>
        <w:tc>
          <w:tcPr>
            <w:tcW w:w="4340" w:type="dxa"/>
            <w:vAlign w:val="bottom"/>
          </w:tcPr>
          <w:p>
            <w:pPr>
              <w:ind w:left="340"/>
              <w:spacing w:after="0"/>
              <w:rPr>
                <w:sz w:val="20"/>
                <w:szCs w:val="20"/>
                <w:color w:val="auto"/>
              </w:rPr>
            </w:pPr>
            <w:r>
              <w:rPr>
                <w:rFonts w:ascii="Courier New" w:cs="Courier New" w:eastAsia="Courier New" w:hAnsi="Courier New"/>
                <w:sz w:val="14"/>
                <w:szCs w:val="14"/>
                <w:color w:val="auto"/>
              </w:rPr>
              <w:t>principle</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(0.01)</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0.62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0.49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0.30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0.64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0.52</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34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0.32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0.32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0.32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0.32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rPr>
              <w:t>0.32</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outstanding - Basic</w:t>
            </w:r>
          </w:p>
        </w:tc>
        <w:tc>
          <w:tcPr>
            <w:tcW w:w="68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Courier New" w:cs="Courier New" w:eastAsia="Courier New" w:hAnsi="Courier New"/>
                <w:sz w:val="14"/>
                <w:szCs w:val="14"/>
                <w:color w:val="auto"/>
              </w:rPr>
              <w:t>15,973</w:t>
            </w:r>
          </w:p>
        </w:tc>
        <w:tc>
          <w:tcPr>
            <w:tcW w:w="68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15,343</w:t>
            </w:r>
          </w:p>
        </w:tc>
        <w:tc>
          <w:tcPr>
            <w:tcW w:w="68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Courier New" w:cs="Courier New" w:eastAsia="Courier New" w:hAnsi="Courier New"/>
                <w:sz w:val="14"/>
                <w:szCs w:val="14"/>
                <w:color w:val="auto"/>
              </w:rPr>
              <w:t>15,259</w:t>
            </w:r>
          </w:p>
        </w:tc>
        <w:tc>
          <w:tcPr>
            <w:tcW w:w="640" w:type="dxa"/>
            <w:vAlign w:val="bottom"/>
          </w:tcPr>
          <w:p>
            <w:pPr>
              <w:spacing w:after="0"/>
              <w:rPr>
                <w:sz w:val="14"/>
                <w:szCs w:val="14"/>
                <w:color w:val="auto"/>
              </w:rPr>
            </w:pPr>
          </w:p>
        </w:tc>
        <w:tc>
          <w:tcPr>
            <w:tcW w:w="800" w:type="dxa"/>
            <w:vAlign w:val="bottom"/>
            <w:gridSpan w:val="3"/>
          </w:tcPr>
          <w:p>
            <w:pPr>
              <w:jc w:val="right"/>
              <w:ind w:right="240"/>
              <w:spacing w:after="0"/>
              <w:rPr>
                <w:sz w:val="20"/>
                <w:szCs w:val="20"/>
                <w:color w:val="auto"/>
              </w:rPr>
            </w:pPr>
            <w:r>
              <w:rPr>
                <w:rFonts w:ascii="Courier New" w:cs="Courier New" w:eastAsia="Courier New" w:hAnsi="Courier New"/>
                <w:sz w:val="14"/>
                <w:szCs w:val="14"/>
                <w:color w:val="auto"/>
              </w:rPr>
              <w:t>15,247</w:t>
            </w:r>
          </w:p>
        </w:tc>
        <w:tc>
          <w:tcPr>
            <w:tcW w:w="60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Courier New" w:cs="Courier New" w:eastAsia="Courier New" w:hAnsi="Courier New"/>
                <w:sz w:val="14"/>
                <w:szCs w:val="14"/>
                <w:color w:val="auto"/>
                <w:w w:val="99"/>
              </w:rPr>
              <w:t>15,021</w:t>
            </w:r>
          </w:p>
        </w:tc>
      </w:tr>
      <w:tr>
        <w:trPr>
          <w:trHeight w:val="163"/>
        </w:trPr>
        <w:tc>
          <w:tcPr>
            <w:tcW w:w="434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5"/>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80"/>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4"/>
          </w:tcPr>
          <w:p>
            <w:pPr>
              <w:jc w:val="right"/>
              <w:ind w:right="16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Weighted average number of shares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bl>
    <w:p>
      <w:pPr>
        <w:sectPr>
          <w:pgSz w:w="11900" w:h="16838" w:orient="portrait"/>
          <w:cols w:equalWidth="0" w:num="1">
            <w:col w:w="11540"/>
          </w:cols>
          <w:pgMar w:left="220" w:top="141" w:right="139" w:bottom="0" w:gutter="0" w:footer="0" w:header="0"/>
        </w:sectPr>
      </w:pPr>
    </w:p>
    <w:bookmarkStart w:id="9" w:name="page10"/>
    <w:bookmarkEnd w:id="9"/>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0"/>
        </w:trPr>
        <w:tc>
          <w:tcPr>
            <w:tcW w:w="2420" w:type="dxa"/>
            <w:vAlign w:val="bottom"/>
          </w:tcPr>
          <w:p>
            <w:pPr>
              <w:spacing w:after="0"/>
              <w:rPr>
                <w:sz w:val="20"/>
                <w:szCs w:val="20"/>
                <w:color w:val="auto"/>
              </w:rPr>
            </w:pPr>
            <w:r>
              <w:rPr>
                <w:rFonts w:ascii="Courier New" w:cs="Courier New" w:eastAsia="Courier New" w:hAnsi="Courier New"/>
                <w:sz w:val="14"/>
                <w:szCs w:val="14"/>
                <w:color w:val="auto"/>
              </w:rPr>
              <w:t>outstanding - Diluted</w:t>
            </w:r>
          </w:p>
        </w:tc>
        <w:tc>
          <w:tcPr>
            <w:tcW w:w="3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16,379</w:t>
            </w:r>
          </w:p>
        </w:tc>
        <w:tc>
          <w:tcPr>
            <w:tcW w:w="1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15,714</w:t>
            </w:r>
          </w:p>
        </w:tc>
        <w:tc>
          <w:tcPr>
            <w:tcW w:w="15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15,540</w:t>
            </w:r>
          </w:p>
        </w:tc>
        <w:tc>
          <w:tcPr>
            <w:tcW w:w="13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15,531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15,038</w:t>
            </w:r>
          </w:p>
        </w:tc>
      </w:tr>
      <w:tr>
        <w:trPr>
          <w:trHeight w:val="163"/>
        </w:trPr>
        <w:tc>
          <w:tcPr>
            <w:tcW w:w="2420" w:type="dxa"/>
            <w:vAlign w:val="bottom"/>
          </w:tcPr>
          <w:p>
            <w:pPr>
              <w:spacing w:after="0"/>
              <w:rPr>
                <w:sz w:val="14"/>
                <w:szCs w:val="14"/>
                <w:color w:val="auto"/>
              </w:rPr>
            </w:pPr>
          </w:p>
        </w:tc>
        <w:tc>
          <w:tcPr>
            <w:tcW w:w="3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0"/>
        </w:trPr>
        <w:tc>
          <w:tcPr>
            <w:tcW w:w="2420" w:type="dxa"/>
            <w:vAlign w:val="bottom"/>
          </w:tcPr>
          <w:p>
            <w:pPr>
              <w:spacing w:after="0"/>
              <w:rPr>
                <w:sz w:val="24"/>
                <w:szCs w:val="24"/>
                <w:color w:val="auto"/>
              </w:rPr>
            </w:pPr>
          </w:p>
        </w:tc>
        <w:tc>
          <w:tcPr>
            <w:tcW w:w="3280" w:type="dxa"/>
            <w:vAlign w:val="bottom"/>
          </w:tcPr>
          <w:p>
            <w:pPr>
              <w:jc w:val="right"/>
              <w:ind w:right="2409"/>
              <w:spacing w:after="0"/>
              <w:rPr>
                <w:sz w:val="20"/>
                <w:szCs w:val="20"/>
                <w:color w:val="auto"/>
              </w:rPr>
            </w:pPr>
            <w:r>
              <w:rPr>
                <w:rFonts w:ascii="Courier New" w:cs="Courier New" w:eastAsia="Courier New" w:hAnsi="Courier New"/>
                <w:sz w:val="14"/>
                <w:szCs w:val="14"/>
                <w:color w:val="auto"/>
              </w:rPr>
              <w:t>12</w:t>
            </w: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285750</wp:posOffset>
            </wp:positionV>
            <wp:extent cx="729869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40" w:type="dxa"/>
            <w:vAlign w:val="bottom"/>
          </w:tcPr>
          <w:p>
            <w:pPr>
              <w:spacing w:after="0"/>
              <w:rPr>
                <w:sz w:val="20"/>
                <w:szCs w:val="20"/>
                <w:color w:val="auto"/>
              </w:rPr>
            </w:pPr>
            <w:r>
              <w:rPr>
                <w:rFonts w:ascii="Courier New" w:cs="Courier New" w:eastAsia="Courier New" w:hAnsi="Courier New"/>
                <w:sz w:val="14"/>
                <w:szCs w:val="14"/>
                <w:b w:val="1"/>
                <w:bCs w:val="1"/>
                <w:color w:val="auto"/>
              </w:rPr>
              <w:t>(In Thousands, Except Per Share Data)</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96"/>
        </w:trPr>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Courier New" w:cs="Courier New" w:eastAsia="Courier New" w:hAnsi="Courier New"/>
                <w:sz w:val="14"/>
                <w:szCs w:val="14"/>
                <w:b w:val="1"/>
                <w:bCs w:val="1"/>
                <w:color w:val="auto"/>
              </w:rPr>
              <w:t>Year Ended December 31,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7"/>
        </w:trPr>
        <w:tc>
          <w:tcPr>
            <w:tcW w:w="34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2003</w:t>
            </w:r>
          </w:p>
        </w:tc>
        <w:tc>
          <w:tcPr>
            <w:tcW w:w="3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2002</w:t>
            </w:r>
          </w:p>
        </w:tc>
        <w:tc>
          <w:tcPr>
            <w:tcW w:w="2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Courier New" w:cs="Courier New" w:eastAsia="Courier New" w:hAnsi="Courier New"/>
                <w:sz w:val="14"/>
                <w:szCs w:val="14"/>
                <w:b w:val="1"/>
                <w:bCs w:val="1"/>
                <w:color w:val="auto"/>
              </w:rPr>
              <w:t>2001</w:t>
            </w:r>
          </w:p>
        </w:tc>
        <w:tc>
          <w:tcPr>
            <w:tcW w:w="8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2000</w:t>
            </w:r>
          </w:p>
        </w:tc>
        <w:tc>
          <w:tcPr>
            <w:tcW w:w="4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1999</w:t>
            </w:r>
          </w:p>
        </w:tc>
        <w:tc>
          <w:tcPr>
            <w:tcW w:w="80" w:type="dxa"/>
            <w:vAlign w:val="bottom"/>
          </w:tcPr>
          <w:p>
            <w:pPr>
              <w:spacing w:after="0"/>
              <w:rPr>
                <w:sz w:val="24"/>
                <w:szCs w:val="24"/>
                <w:color w:val="auto"/>
              </w:rPr>
            </w:pPr>
          </w:p>
        </w:tc>
      </w:tr>
      <w:tr>
        <w:trPr>
          <w:trHeight w:val="174"/>
        </w:trPr>
        <w:tc>
          <w:tcPr>
            <w:tcW w:w="3440" w:type="dxa"/>
            <w:vAlign w:val="bottom"/>
          </w:tcPr>
          <w:p>
            <w:pPr>
              <w:spacing w:after="0"/>
              <w:rPr>
                <w:sz w:val="20"/>
                <w:szCs w:val="20"/>
                <w:color w:val="auto"/>
              </w:rPr>
            </w:pPr>
            <w:r>
              <w:rPr>
                <w:rFonts w:ascii="Courier New" w:cs="Courier New" w:eastAsia="Courier New" w:hAnsi="Courier New"/>
                <w:sz w:val="14"/>
                <w:szCs w:val="14"/>
                <w:b w:val="1"/>
                <w:bCs w:val="1"/>
                <w:color w:val="auto"/>
              </w:rPr>
              <w:t>Balance Sheet Data:</w:t>
            </w:r>
          </w:p>
        </w:tc>
        <w:tc>
          <w:tcPr>
            <w:tcW w:w="5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00" w:type="dxa"/>
            <w:vAlign w:val="bottom"/>
            <w:gridSpan w:val="3"/>
          </w:tcPr>
          <w:p>
            <w:pPr>
              <w:jc w:val="right"/>
              <w:ind w:right="220"/>
              <w:spacing w:after="0"/>
              <w:rPr>
                <w:sz w:val="20"/>
                <w:szCs w:val="20"/>
                <w:color w:val="auto"/>
              </w:rPr>
            </w:pPr>
            <w:r>
              <w:rPr>
                <w:rFonts w:ascii="Courier New" w:cs="Courier New" w:eastAsia="Courier New" w:hAnsi="Courier New"/>
                <w:sz w:val="14"/>
                <w:szCs w:val="14"/>
                <w:color w:val="auto"/>
              </w:rPr>
              <w:t>$ 88,419</w:t>
            </w:r>
          </w:p>
        </w:tc>
        <w:tc>
          <w:tcPr>
            <w:tcW w:w="1020" w:type="dxa"/>
            <w:vAlign w:val="bottom"/>
            <w:gridSpan w:val="3"/>
          </w:tcPr>
          <w:p>
            <w:pPr>
              <w:jc w:val="right"/>
              <w:ind w:right="140"/>
              <w:spacing w:after="0"/>
              <w:rPr>
                <w:sz w:val="20"/>
                <w:szCs w:val="20"/>
                <w:color w:val="auto"/>
              </w:rPr>
            </w:pPr>
            <w:r>
              <w:rPr>
                <w:rFonts w:ascii="Courier New" w:cs="Courier New" w:eastAsia="Courier New" w:hAnsi="Courier New"/>
                <w:sz w:val="14"/>
                <w:szCs w:val="14"/>
                <w:color w:val="auto"/>
              </w:rPr>
              <w:t>$ 61,412</w:t>
            </w:r>
          </w:p>
        </w:tc>
        <w:tc>
          <w:tcPr>
            <w:tcW w:w="2080" w:type="dxa"/>
            <w:vAlign w:val="bottom"/>
            <w:gridSpan w:val="4"/>
          </w:tcPr>
          <w:p>
            <w:pPr>
              <w:jc w:val="right"/>
              <w:ind w:right="760"/>
              <w:spacing w:after="0"/>
              <w:rPr>
                <w:sz w:val="20"/>
                <w:szCs w:val="20"/>
                <w:color w:val="auto"/>
              </w:rPr>
            </w:pPr>
            <w:r>
              <w:rPr>
                <w:rFonts w:ascii="Courier New" w:cs="Courier New" w:eastAsia="Courier New" w:hAnsi="Courier New"/>
                <w:sz w:val="14"/>
                <w:szCs w:val="14"/>
                <w:color w:val="auto"/>
              </w:rPr>
              <w:t>$ 55,617</w:t>
            </w:r>
          </w:p>
        </w:tc>
        <w:tc>
          <w:tcPr>
            <w:tcW w:w="1060" w:type="dxa"/>
            <w:vAlign w:val="bottom"/>
            <w:gridSpan w:val="3"/>
          </w:tcPr>
          <w:p>
            <w:pPr>
              <w:jc w:val="right"/>
              <w:ind w:right="380"/>
              <w:spacing w:after="0"/>
              <w:rPr>
                <w:sz w:val="20"/>
                <w:szCs w:val="20"/>
                <w:color w:val="auto"/>
              </w:rPr>
            </w:pPr>
            <w:r>
              <w:rPr>
                <w:rFonts w:ascii="Courier New" w:cs="Courier New" w:eastAsia="Courier New" w:hAnsi="Courier New"/>
                <w:sz w:val="14"/>
                <w:szCs w:val="14"/>
                <w:color w:val="auto"/>
                <w:w w:val="98"/>
              </w:rPr>
              <w:t>$ 63,866</w:t>
            </w:r>
          </w:p>
        </w:tc>
        <w:tc>
          <w:tcPr>
            <w:tcW w:w="1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$ 34,397</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00" w:type="dxa"/>
            <w:vAlign w:val="bottom"/>
            <w:gridSpan w:val="3"/>
          </w:tcPr>
          <w:p>
            <w:pPr>
              <w:jc w:val="right"/>
              <w:ind w:right="220"/>
              <w:spacing w:after="0"/>
              <w:rPr>
                <w:sz w:val="20"/>
                <w:szCs w:val="20"/>
                <w:color w:val="auto"/>
              </w:rPr>
            </w:pPr>
            <w:r>
              <w:rPr>
                <w:rFonts w:ascii="Courier New" w:cs="Courier New" w:eastAsia="Courier New" w:hAnsi="Courier New"/>
                <w:sz w:val="14"/>
                <w:szCs w:val="14"/>
                <w:color w:val="auto"/>
              </w:rPr>
              <w:t>62,694</w:t>
            </w:r>
          </w:p>
        </w:tc>
        <w:tc>
          <w:tcPr>
            <w:tcW w:w="1020" w:type="dxa"/>
            <w:vAlign w:val="bottom"/>
            <w:gridSpan w:val="3"/>
          </w:tcPr>
          <w:p>
            <w:pPr>
              <w:jc w:val="right"/>
              <w:ind w:right="140"/>
              <w:spacing w:after="0"/>
              <w:rPr>
                <w:sz w:val="20"/>
                <w:szCs w:val="20"/>
                <w:color w:val="auto"/>
              </w:rPr>
            </w:pPr>
            <w:r>
              <w:rPr>
                <w:rFonts w:ascii="Courier New" w:cs="Courier New" w:eastAsia="Courier New" w:hAnsi="Courier New"/>
                <w:sz w:val="14"/>
                <w:szCs w:val="14"/>
                <w:color w:val="auto"/>
              </w:rPr>
              <w:t>40,234</w:t>
            </w:r>
          </w:p>
        </w:tc>
        <w:tc>
          <w:tcPr>
            <w:tcW w:w="2080" w:type="dxa"/>
            <w:vAlign w:val="bottom"/>
            <w:gridSpan w:val="4"/>
          </w:tcPr>
          <w:p>
            <w:pPr>
              <w:jc w:val="right"/>
              <w:ind w:right="760"/>
              <w:spacing w:after="0"/>
              <w:rPr>
                <w:sz w:val="20"/>
                <w:szCs w:val="20"/>
                <w:color w:val="auto"/>
              </w:rPr>
            </w:pPr>
            <w:r>
              <w:rPr>
                <w:rFonts w:ascii="Courier New" w:cs="Courier New" w:eastAsia="Courier New" w:hAnsi="Courier New"/>
                <w:sz w:val="14"/>
                <w:szCs w:val="14"/>
                <w:color w:val="auto"/>
              </w:rPr>
              <w:t>32,534</w:t>
            </w:r>
          </w:p>
        </w:tc>
        <w:tc>
          <w:tcPr>
            <w:tcW w:w="1060" w:type="dxa"/>
            <w:vAlign w:val="bottom"/>
            <w:gridSpan w:val="3"/>
          </w:tcPr>
          <w:p>
            <w:pPr>
              <w:jc w:val="right"/>
              <w:ind w:right="380"/>
              <w:spacing w:after="0"/>
              <w:rPr>
                <w:sz w:val="20"/>
                <w:szCs w:val="20"/>
                <w:color w:val="auto"/>
              </w:rPr>
            </w:pPr>
            <w:r>
              <w:rPr>
                <w:rFonts w:ascii="Courier New" w:cs="Courier New" w:eastAsia="Courier New" w:hAnsi="Courier New"/>
                <w:sz w:val="14"/>
                <w:szCs w:val="14"/>
                <w:color w:val="auto"/>
              </w:rPr>
              <w:t>33,840</w:t>
            </w:r>
          </w:p>
        </w:tc>
        <w:tc>
          <w:tcPr>
            <w:tcW w:w="1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10,478</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00" w:type="dxa"/>
            <w:vAlign w:val="bottom"/>
            <w:gridSpan w:val="3"/>
          </w:tcPr>
          <w:p>
            <w:pPr>
              <w:jc w:val="right"/>
              <w:ind w:right="220"/>
              <w:spacing w:after="0"/>
              <w:rPr>
                <w:sz w:val="20"/>
                <w:szCs w:val="20"/>
                <w:color w:val="auto"/>
              </w:rPr>
            </w:pPr>
            <w:r>
              <w:rPr>
                <w:rFonts w:ascii="Courier New" w:cs="Courier New" w:eastAsia="Courier New" w:hAnsi="Courier New"/>
                <w:sz w:val="14"/>
                <w:szCs w:val="14"/>
                <w:color w:val="auto"/>
              </w:rPr>
              <w:t>266,417</w:t>
            </w:r>
          </w:p>
        </w:tc>
        <w:tc>
          <w:tcPr>
            <w:tcW w:w="1020" w:type="dxa"/>
            <w:vAlign w:val="bottom"/>
            <w:gridSpan w:val="3"/>
          </w:tcPr>
          <w:p>
            <w:pPr>
              <w:jc w:val="right"/>
              <w:ind w:right="140"/>
              <w:spacing w:after="0"/>
              <w:rPr>
                <w:sz w:val="20"/>
                <w:szCs w:val="20"/>
                <w:color w:val="auto"/>
              </w:rPr>
            </w:pPr>
            <w:r>
              <w:rPr>
                <w:rFonts w:ascii="Courier New" w:cs="Courier New" w:eastAsia="Courier New" w:hAnsi="Courier New"/>
                <w:sz w:val="14"/>
                <w:szCs w:val="14"/>
                <w:color w:val="auto"/>
              </w:rPr>
              <w:t>195,215</w:t>
            </w:r>
          </w:p>
        </w:tc>
        <w:tc>
          <w:tcPr>
            <w:tcW w:w="2080" w:type="dxa"/>
            <w:vAlign w:val="bottom"/>
            <w:gridSpan w:val="4"/>
          </w:tcPr>
          <w:p>
            <w:pPr>
              <w:jc w:val="right"/>
              <w:ind w:right="760"/>
              <w:spacing w:after="0"/>
              <w:rPr>
                <w:sz w:val="20"/>
                <w:szCs w:val="20"/>
                <w:color w:val="auto"/>
              </w:rPr>
            </w:pPr>
            <w:r>
              <w:rPr>
                <w:rFonts w:ascii="Courier New" w:cs="Courier New" w:eastAsia="Courier New" w:hAnsi="Courier New"/>
                <w:sz w:val="14"/>
                <w:szCs w:val="14"/>
                <w:color w:val="auto"/>
              </w:rPr>
              <w:t>184,477</w:t>
            </w:r>
          </w:p>
        </w:tc>
        <w:tc>
          <w:tcPr>
            <w:tcW w:w="1060" w:type="dxa"/>
            <w:vAlign w:val="bottom"/>
            <w:gridSpan w:val="3"/>
          </w:tcPr>
          <w:p>
            <w:pPr>
              <w:jc w:val="right"/>
              <w:ind w:right="380"/>
              <w:spacing w:after="0"/>
              <w:rPr>
                <w:sz w:val="20"/>
                <w:szCs w:val="20"/>
                <w:color w:val="auto"/>
              </w:rPr>
            </w:pPr>
            <w:r>
              <w:rPr>
                <w:rFonts w:ascii="Courier New" w:cs="Courier New" w:eastAsia="Courier New" w:hAnsi="Courier New"/>
                <w:sz w:val="14"/>
                <w:szCs w:val="14"/>
                <w:color w:val="auto"/>
              </w:rPr>
              <w:t>183,951</w:t>
            </w:r>
          </w:p>
        </w:tc>
        <w:tc>
          <w:tcPr>
            <w:tcW w:w="1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91,363</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200" w:type="dxa"/>
            <w:vAlign w:val="bottom"/>
            <w:gridSpan w:val="3"/>
          </w:tcPr>
          <w:p>
            <w:pPr>
              <w:jc w:val="right"/>
              <w:ind w:right="220"/>
              <w:spacing w:after="0"/>
              <w:rPr>
                <w:sz w:val="20"/>
                <w:szCs w:val="20"/>
                <w:color w:val="auto"/>
              </w:rPr>
            </w:pPr>
            <w:r>
              <w:rPr>
                <w:rFonts w:ascii="Courier New" w:cs="Courier New" w:eastAsia="Courier New" w:hAnsi="Courier New"/>
                <w:sz w:val="14"/>
                <w:szCs w:val="14"/>
                <w:color w:val="auto"/>
              </w:rPr>
              <w:t>69,752</w:t>
            </w:r>
          </w:p>
        </w:tc>
        <w:tc>
          <w:tcPr>
            <w:tcW w:w="1020" w:type="dxa"/>
            <w:vAlign w:val="bottom"/>
            <w:gridSpan w:val="3"/>
          </w:tcPr>
          <w:p>
            <w:pPr>
              <w:jc w:val="right"/>
              <w:ind w:right="140"/>
              <w:spacing w:after="0"/>
              <w:rPr>
                <w:sz w:val="20"/>
                <w:szCs w:val="20"/>
                <w:color w:val="auto"/>
              </w:rPr>
            </w:pPr>
            <w:r>
              <w:rPr>
                <w:rFonts w:ascii="Courier New" w:cs="Courier New" w:eastAsia="Courier New" w:hAnsi="Courier New"/>
                <w:sz w:val="14"/>
                <w:szCs w:val="14"/>
                <w:color w:val="auto"/>
              </w:rPr>
              <w:t>46,135</w:t>
            </w:r>
          </w:p>
        </w:tc>
        <w:tc>
          <w:tcPr>
            <w:tcW w:w="2080" w:type="dxa"/>
            <w:vAlign w:val="bottom"/>
            <w:gridSpan w:val="4"/>
          </w:tcPr>
          <w:p>
            <w:pPr>
              <w:jc w:val="right"/>
              <w:ind w:right="760"/>
              <w:spacing w:after="0"/>
              <w:rPr>
                <w:sz w:val="20"/>
                <w:szCs w:val="20"/>
                <w:color w:val="auto"/>
              </w:rPr>
            </w:pPr>
            <w:r>
              <w:rPr>
                <w:rFonts w:ascii="Courier New" w:cs="Courier New" w:eastAsia="Courier New" w:hAnsi="Courier New"/>
                <w:sz w:val="14"/>
                <w:szCs w:val="14"/>
                <w:color w:val="auto"/>
              </w:rPr>
              <w:t>47,661</w:t>
            </w:r>
          </w:p>
        </w:tc>
        <w:tc>
          <w:tcPr>
            <w:tcW w:w="1060" w:type="dxa"/>
            <w:vAlign w:val="bottom"/>
            <w:gridSpan w:val="3"/>
          </w:tcPr>
          <w:p>
            <w:pPr>
              <w:jc w:val="right"/>
              <w:ind w:right="380"/>
              <w:spacing w:after="0"/>
              <w:rPr>
                <w:sz w:val="20"/>
                <w:szCs w:val="20"/>
                <w:color w:val="auto"/>
              </w:rPr>
            </w:pPr>
            <w:r>
              <w:rPr>
                <w:rFonts w:ascii="Courier New" w:cs="Courier New" w:eastAsia="Courier New" w:hAnsi="Courier New"/>
                <w:sz w:val="14"/>
                <w:szCs w:val="14"/>
                <w:color w:val="auto"/>
              </w:rPr>
              <w:t>50,515</w:t>
            </w:r>
          </w:p>
        </w:tc>
        <w:tc>
          <w:tcPr>
            <w:tcW w:w="1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17,151</w:t>
            </w:r>
          </w:p>
        </w:tc>
      </w:tr>
      <w:tr>
        <w:trPr>
          <w:trHeight w:val="163"/>
        </w:trPr>
        <w:tc>
          <w:tcPr>
            <w:tcW w:w="34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00" w:type="dxa"/>
            <w:vAlign w:val="bottom"/>
            <w:gridSpan w:val="3"/>
          </w:tcPr>
          <w:p>
            <w:pPr>
              <w:jc w:val="right"/>
              <w:ind w:right="220"/>
              <w:spacing w:after="0"/>
              <w:rPr>
                <w:sz w:val="20"/>
                <w:szCs w:val="20"/>
                <w:color w:val="auto"/>
              </w:rPr>
            </w:pPr>
            <w:r>
              <w:rPr>
                <w:rFonts w:ascii="Courier New" w:cs="Courier New" w:eastAsia="Courier New" w:hAnsi="Courier New"/>
                <w:sz w:val="14"/>
                <w:szCs w:val="14"/>
                <w:color w:val="auto"/>
              </w:rPr>
              <w:t>106,468</w:t>
            </w:r>
          </w:p>
        </w:tc>
        <w:tc>
          <w:tcPr>
            <w:tcW w:w="1020" w:type="dxa"/>
            <w:vAlign w:val="bottom"/>
            <w:gridSpan w:val="3"/>
          </w:tcPr>
          <w:p>
            <w:pPr>
              <w:jc w:val="right"/>
              <w:ind w:right="140"/>
              <w:spacing w:after="0"/>
              <w:rPr>
                <w:sz w:val="20"/>
                <w:szCs w:val="20"/>
                <w:color w:val="auto"/>
              </w:rPr>
            </w:pPr>
            <w:r>
              <w:rPr>
                <w:rFonts w:ascii="Courier New" w:cs="Courier New" w:eastAsia="Courier New" w:hAnsi="Courier New"/>
                <w:sz w:val="14"/>
                <w:szCs w:val="14"/>
                <w:color w:val="auto"/>
              </w:rPr>
              <w:t>77,908</w:t>
            </w:r>
          </w:p>
        </w:tc>
        <w:tc>
          <w:tcPr>
            <w:tcW w:w="2080" w:type="dxa"/>
            <w:vAlign w:val="bottom"/>
            <w:gridSpan w:val="4"/>
          </w:tcPr>
          <w:p>
            <w:pPr>
              <w:jc w:val="right"/>
              <w:ind w:right="760"/>
              <w:spacing w:after="0"/>
              <w:rPr>
                <w:sz w:val="20"/>
                <w:szCs w:val="20"/>
                <w:color w:val="auto"/>
              </w:rPr>
            </w:pPr>
            <w:r>
              <w:rPr>
                <w:rFonts w:ascii="Courier New" w:cs="Courier New" w:eastAsia="Courier New" w:hAnsi="Courier New"/>
                <w:sz w:val="14"/>
                <w:szCs w:val="14"/>
                <w:color w:val="auto"/>
              </w:rPr>
              <w:t>70,982</w:t>
            </w:r>
          </w:p>
        </w:tc>
        <w:tc>
          <w:tcPr>
            <w:tcW w:w="1060" w:type="dxa"/>
            <w:vAlign w:val="bottom"/>
            <w:gridSpan w:val="3"/>
          </w:tcPr>
          <w:p>
            <w:pPr>
              <w:jc w:val="right"/>
              <w:ind w:right="380"/>
              <w:spacing w:after="0"/>
              <w:rPr>
                <w:sz w:val="20"/>
                <w:szCs w:val="20"/>
                <w:color w:val="auto"/>
              </w:rPr>
            </w:pPr>
            <w:r>
              <w:rPr>
                <w:rFonts w:ascii="Courier New" w:cs="Courier New" w:eastAsia="Courier New" w:hAnsi="Courier New"/>
                <w:sz w:val="14"/>
                <w:szCs w:val="14"/>
                <w:color w:val="auto"/>
              </w:rPr>
              <w:t>74,675</w:t>
            </w:r>
          </w:p>
        </w:tc>
        <w:tc>
          <w:tcPr>
            <w:tcW w:w="10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60,128</w:t>
            </w:r>
          </w:p>
        </w:tc>
      </w:tr>
    </w:tbl>
    <w:p>
      <w:pPr>
        <w:spacing w:after="0" w:line="167" w:lineRule="exact"/>
        <w:rPr>
          <w:sz w:val="20"/>
          <w:szCs w:val="20"/>
          <w:color w:val="auto"/>
        </w:rPr>
      </w:pPr>
    </w:p>
    <w:p>
      <w:pPr>
        <w:ind w:right="4740" w:firstLine="425"/>
        <w:spacing w:after="0" w:line="248" w:lineRule="auto"/>
        <w:rPr>
          <w:sz w:val="20"/>
          <w:szCs w:val="20"/>
          <w:color w:val="auto"/>
        </w:rPr>
      </w:pPr>
      <w:r>
        <w:rPr>
          <w:rFonts w:ascii="Courier New" w:cs="Courier New" w:eastAsia="Courier New" w:hAnsi="Courier New"/>
          <w:sz w:val="14"/>
          <w:szCs w:val="14"/>
          <w:color w:val="auto"/>
        </w:rPr>
        <w:t>On October 9, 2003, we acquired certain assets comprised of land, building and machinery and equipment of the precision ball operations of KLF - Gulickaren ("KLF"), based in Kysucke Nove Mesto, Slovakia.</w:t>
      </w:r>
    </w:p>
    <w:p>
      <w:pPr>
        <w:spacing w:after="0" w:line="162" w:lineRule="exact"/>
        <w:rPr>
          <w:sz w:val="20"/>
          <w:szCs w:val="20"/>
          <w:color w:val="auto"/>
        </w:rPr>
      </w:pPr>
    </w:p>
    <w:p>
      <w:pPr>
        <w:ind w:right="5340" w:firstLine="425"/>
        <w:spacing w:after="0" w:line="249" w:lineRule="auto"/>
        <w:rPr>
          <w:sz w:val="20"/>
          <w:szCs w:val="20"/>
          <w:color w:val="auto"/>
        </w:rPr>
      </w:pPr>
      <w:r>
        <w:rPr>
          <w:rFonts w:ascii="Courier New" w:cs="Courier New" w:eastAsia="Courier New" w:hAnsi="Courier New"/>
          <w:sz w:val="14"/>
          <w:szCs w:val="14"/>
          <w:color w:val="auto"/>
        </w:rPr>
        <w:t>On May 2, 2003 we acquired 100% of the tapered roller and metal cage manufacturing operations of SKF in Veenendaal, The Netherlands.</w:t>
      </w:r>
    </w:p>
    <w:p>
      <w:pPr>
        <w:spacing w:after="0" w:line="161" w:lineRule="exact"/>
        <w:rPr>
          <w:sz w:val="20"/>
          <w:szCs w:val="20"/>
          <w:color w:val="auto"/>
        </w:rPr>
      </w:pPr>
    </w:p>
    <w:p>
      <w:pPr>
        <w:ind w:right="4820" w:firstLine="425"/>
        <w:spacing w:after="0" w:line="249" w:lineRule="auto"/>
        <w:rPr>
          <w:sz w:val="20"/>
          <w:szCs w:val="20"/>
          <w:color w:val="auto"/>
        </w:rPr>
      </w:pPr>
      <w:r>
        <w:rPr>
          <w:rFonts w:ascii="Courier New" w:cs="Courier New" w:eastAsia="Courier New" w:hAnsi="Courier New"/>
          <w:sz w:val="14"/>
          <w:szCs w:val="14"/>
          <w:color w:val="auto"/>
        </w:rPr>
        <w:t>On May 2, 2003 we acquired the 23% interest in Euroball, held by SKF. Upon consummation of this transaction, we became the sole owner of Euroball.</w:t>
      </w:r>
    </w:p>
    <w:p>
      <w:pPr>
        <w:spacing w:after="0" w:line="161" w:lineRule="exact"/>
        <w:rPr>
          <w:sz w:val="20"/>
          <w:szCs w:val="20"/>
          <w:color w:val="auto"/>
        </w:rPr>
      </w:pPr>
    </w:p>
    <w:p>
      <w:pPr>
        <w:ind w:right="5080" w:firstLine="425"/>
        <w:spacing w:after="0" w:line="248" w:lineRule="auto"/>
        <w:rPr>
          <w:sz w:val="20"/>
          <w:szCs w:val="20"/>
          <w:color w:val="auto"/>
        </w:rPr>
      </w:pPr>
      <w:r>
        <w:rPr>
          <w:rFonts w:ascii="Courier New" w:cs="Courier New" w:eastAsia="Courier New" w:hAnsi="Courier New"/>
          <w:sz w:val="14"/>
          <w:szCs w:val="14"/>
          <w:color w:val="auto"/>
        </w:rPr>
        <w:t>On December 20, 2002 we completed the purchase of the 23% interest in Euroball held by INA/FAG. As a result of this transaction, we own 77% of the shares of Euroball.</w:t>
      </w:r>
    </w:p>
    <w:p>
      <w:pPr>
        <w:spacing w:after="0" w:line="162" w:lineRule="exact"/>
        <w:rPr>
          <w:sz w:val="20"/>
          <w:szCs w:val="20"/>
          <w:color w:val="auto"/>
        </w:rPr>
      </w:pPr>
    </w:p>
    <w:p>
      <w:pPr>
        <w:ind w:right="5340" w:firstLine="425"/>
        <w:spacing w:after="0" w:line="247" w:lineRule="auto"/>
        <w:rPr>
          <w:sz w:val="20"/>
          <w:szCs w:val="20"/>
          <w:color w:val="auto"/>
        </w:rPr>
      </w:pPr>
      <w:r>
        <w:rPr>
          <w:rFonts w:ascii="Courier New" w:cs="Courier New" w:eastAsia="Courier New" w:hAnsi="Courier New"/>
          <w:sz w:val="14"/>
          <w:szCs w:val="14"/>
          <w:color w:val="auto"/>
        </w:rPr>
        <w:t>Effective January 1, 2002 we adopted the provision of Statement of Financial Accounting Standards (SFAS) No. 142. SFAS No. 142 requires that goodwill and intangible assets with indefinite useful lives no longer be amortized. See Note 1 of the Notes to Consolidated Financial Statements.</w:t>
      </w:r>
    </w:p>
    <w:p>
      <w:pPr>
        <w:spacing w:after="0" w:line="164" w:lineRule="exact"/>
        <w:rPr>
          <w:sz w:val="20"/>
          <w:szCs w:val="20"/>
          <w:color w:val="auto"/>
        </w:rPr>
      </w:pPr>
    </w:p>
    <w:p>
      <w:pPr>
        <w:ind w:right="4740" w:firstLine="425"/>
        <w:spacing w:after="0" w:line="249" w:lineRule="auto"/>
        <w:rPr>
          <w:sz w:val="20"/>
          <w:szCs w:val="20"/>
          <w:color w:val="auto"/>
        </w:rPr>
      </w:pPr>
      <w:r>
        <w:rPr>
          <w:rFonts w:ascii="Courier New" w:cs="Courier New" w:eastAsia="Courier New" w:hAnsi="Courier New"/>
          <w:sz w:val="14"/>
          <w:szCs w:val="14"/>
          <w:color w:val="auto"/>
        </w:rPr>
        <w:t>On February 16, 2001 we completed the acquisition of all of the outstanding stock of The Delta Rubber Company.</w:t>
      </w:r>
    </w:p>
    <w:p>
      <w:pPr>
        <w:spacing w:after="0" w:line="161" w:lineRule="exact"/>
        <w:rPr>
          <w:sz w:val="20"/>
          <w:szCs w:val="20"/>
          <w:color w:val="auto"/>
        </w:rPr>
      </w:pPr>
    </w:p>
    <w:p>
      <w:pPr>
        <w:ind w:right="5080" w:firstLine="425"/>
        <w:spacing w:after="0" w:line="249" w:lineRule="auto"/>
        <w:rPr>
          <w:sz w:val="20"/>
          <w:szCs w:val="20"/>
          <w:color w:val="auto"/>
        </w:rPr>
      </w:pPr>
      <w:r>
        <w:rPr>
          <w:rFonts w:ascii="Courier New" w:cs="Courier New" w:eastAsia="Courier New" w:hAnsi="Courier New"/>
          <w:sz w:val="14"/>
          <w:szCs w:val="14"/>
          <w:color w:val="auto"/>
        </w:rPr>
        <w:t>On July 31, 2000 we completed the formation of Euroball. As a result of this transaction, we owned 54% of the shares of NN Euroball ApS.</w:t>
      </w:r>
    </w:p>
    <w:p>
      <w:pPr>
        <w:spacing w:after="0" w:line="161" w:lineRule="exact"/>
        <w:rPr>
          <w:sz w:val="20"/>
          <w:szCs w:val="20"/>
          <w:color w:val="auto"/>
        </w:rPr>
      </w:pPr>
    </w:p>
    <w:p>
      <w:pPr>
        <w:ind w:right="4740" w:firstLine="425"/>
        <w:spacing w:after="0" w:line="248" w:lineRule="auto"/>
        <w:rPr>
          <w:sz w:val="20"/>
          <w:szCs w:val="20"/>
          <w:color w:val="auto"/>
        </w:rPr>
      </w:pPr>
      <w:r>
        <w:rPr>
          <w:rFonts w:ascii="Courier New" w:cs="Courier New" w:eastAsia="Courier New" w:hAnsi="Courier New"/>
          <w:sz w:val="14"/>
          <w:szCs w:val="14"/>
          <w:color w:val="auto"/>
        </w:rPr>
        <w:t>On July 4, 1999 we acquired all of the assets and assumed certain liabilities of Earsley Capital Corporation, formerly known as Industrial Molding Corporation.</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7. Management's Discussion and Analysis of Financial Condition and Results</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b w:val="1"/>
          <w:bCs w:val="1"/>
          <w:color w:val="auto"/>
        </w:rPr>
        <w:t>of Operations</w:t>
      </w:r>
    </w:p>
    <w:p>
      <w:pPr>
        <w:spacing w:after="0" w:line="168" w:lineRule="exact"/>
        <w:rPr>
          <w:sz w:val="20"/>
          <w:szCs w:val="20"/>
          <w:color w:val="auto"/>
        </w:rPr>
      </w:pPr>
    </w:p>
    <w:p>
      <w:pPr>
        <w:ind w:right="4740" w:firstLine="425"/>
        <w:spacing w:after="0" w:line="247" w:lineRule="auto"/>
        <w:rPr>
          <w:sz w:val="20"/>
          <w:szCs w:val="20"/>
          <w:color w:val="auto"/>
        </w:rPr>
      </w:pPr>
      <w:r>
        <w:rPr>
          <w:rFonts w:ascii="Courier New" w:cs="Courier New" w:eastAsia="Courier New" w:hAnsi="Courier New"/>
          <w:sz w:val="14"/>
          <w:szCs w:val="14"/>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164" w:lineRule="exact"/>
        <w:rPr>
          <w:sz w:val="20"/>
          <w:szCs w:val="20"/>
          <w:color w:val="auto"/>
        </w:rPr>
      </w:pPr>
    </w:p>
    <w:p>
      <w:pPr>
        <w:ind w:right="5340"/>
        <w:spacing w:after="0" w:line="249" w:lineRule="auto"/>
        <w:rPr>
          <w:sz w:val="20"/>
          <w:szCs w:val="20"/>
          <w:color w:val="auto"/>
        </w:rPr>
      </w:pPr>
      <w:r>
        <w:rPr>
          <w:rFonts w:ascii="Courier New" w:cs="Courier New" w:eastAsia="Courier New" w:hAnsi="Courier New"/>
          <w:sz w:val="14"/>
          <w:szCs w:val="14"/>
          <w:b w:val="1"/>
          <w:bCs w:val="1"/>
          <w:color w:val="auto"/>
        </w:rPr>
        <w:t>Cautionary Statements for Purposes of the "Safe Harbor" Provisions of the Private Securities Litigation Reform Act of 1995</w:t>
      </w:r>
    </w:p>
    <w:p>
      <w:pPr>
        <w:spacing w:after="0" w:line="161" w:lineRule="exact"/>
        <w:rPr>
          <w:sz w:val="20"/>
          <w:szCs w:val="20"/>
          <w:color w:val="auto"/>
        </w:rPr>
      </w:pPr>
    </w:p>
    <w:p>
      <w:pPr>
        <w:ind w:right="4740" w:firstLine="425"/>
        <w:spacing w:after="0" w:line="247" w:lineRule="auto"/>
        <w:rPr>
          <w:sz w:val="20"/>
          <w:szCs w:val="20"/>
          <w:color w:val="auto"/>
        </w:rPr>
      </w:pPr>
      <w:r>
        <w:rPr>
          <w:rFonts w:ascii="Courier New" w:cs="Courier New" w:eastAsia="Courier New" w:hAnsi="Courier New"/>
          <w:sz w:val="14"/>
          <w:szCs w:val="14"/>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740" w:firstLine="425"/>
        <w:spacing w:after="0" w:line="247" w:lineRule="auto"/>
        <w:rPr>
          <w:sz w:val="20"/>
          <w:szCs w:val="20"/>
          <w:color w:val="auto"/>
        </w:rPr>
      </w:pPr>
      <w:r>
        <w:rPr>
          <w:rFonts w:ascii="Courier New" w:cs="Courier New" w:eastAsia="Courier New" w:hAnsi="Courier New"/>
          <w:sz w:val="14"/>
          <w:szCs w:val="14"/>
          <w:i w:val="1"/>
          <w:iCs w:val="1"/>
          <w:color w:val="auto"/>
        </w:rPr>
        <w:t>You should carefully consider the following risks and uncertainties, and all other information contained in or incorporated by reference in this annual report on Form 10-K,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64" w:lineRule="exact"/>
        <w:rPr>
          <w:sz w:val="20"/>
          <w:szCs w:val="20"/>
          <w:color w:val="auto"/>
        </w:rPr>
      </w:pPr>
    </w:p>
    <w:p>
      <w:pPr>
        <w:ind w:left="440" w:right="4900"/>
        <w:spacing w:after="0" w:line="249" w:lineRule="auto"/>
        <w:rPr>
          <w:sz w:val="20"/>
          <w:szCs w:val="20"/>
          <w:color w:val="auto"/>
        </w:rPr>
      </w:pPr>
      <w:r>
        <w:rPr>
          <w:rFonts w:ascii="Courier New" w:cs="Courier New" w:eastAsia="Courier New" w:hAnsi="Courier New"/>
          <w:sz w:val="14"/>
          <w:szCs w:val="14"/>
          <w:b w:val="1"/>
          <w:bCs w:val="1"/>
          <w:i w:val="1"/>
          <w:iCs w:val="1"/>
          <w:color w:val="auto"/>
        </w:rPr>
        <w:t>The demand for our products is cyclical, which could adversely impact our revenues.</w:t>
      </w:r>
    </w:p>
    <w:p>
      <w:pPr>
        <w:spacing w:after="0" w:line="161" w:lineRule="exact"/>
        <w:rPr>
          <w:sz w:val="20"/>
          <w:szCs w:val="20"/>
          <w:color w:val="auto"/>
        </w:rPr>
      </w:pPr>
    </w:p>
    <w:p>
      <w:pPr>
        <w:ind w:right="4900" w:firstLine="425"/>
        <w:spacing w:after="0" w:line="247" w:lineRule="auto"/>
        <w:rPr>
          <w:sz w:val="20"/>
          <w:szCs w:val="20"/>
          <w:color w:val="auto"/>
        </w:rPr>
      </w:pPr>
      <w:r>
        <w:rPr>
          <w:rFonts w:ascii="Courier New" w:cs="Courier New" w:eastAsia="Courier New" w:hAnsi="Courier New"/>
          <w:sz w:val="14"/>
          <w:szCs w:val="14"/>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w:t>
      </w:r>
    </w:p>
    <w:p>
      <w:pPr>
        <w:sectPr>
          <w:pgSz w:w="11900" w:h="16838" w:orient="portrait"/>
          <w:cols w:equalWidth="0" w:num="1">
            <w:col w:w="11540"/>
          </w:cols>
          <w:pgMar w:left="220" w:top="141" w:right="139" w:bottom="0" w:gutter="0" w:footer="0" w:header="0"/>
        </w:sectPr>
      </w:pPr>
    </w:p>
    <w:bookmarkStart w:id="10" w:name="page11"/>
    <w:bookmarkEnd w:id="10"/>
    <w:p>
      <w:pPr>
        <w:ind w:right="3939"/>
        <w:spacing w:after="0" w:line="249" w:lineRule="auto"/>
        <w:rPr>
          <w:sz w:val="20"/>
          <w:szCs w:val="20"/>
          <w:color w:val="auto"/>
        </w:rPr>
      </w:pPr>
      <w:r>
        <w:rPr>
          <w:rFonts w:ascii="Courier New" w:cs="Courier New" w:eastAsia="Courier New" w:hAnsi="Courier New"/>
          <w:sz w:val="14"/>
          <w:szCs w:val="14"/>
          <w:color w:val="auto"/>
        </w:rPr>
        <w:t>in the industrial production sector of the economy or by adverse global or national economic conditions generally.</w:t>
      </w:r>
    </w:p>
    <w:p>
      <w:pPr>
        <w:spacing w:after="0" w:line="161" w:lineRule="exact"/>
        <w:rPr>
          <w:sz w:val="20"/>
          <w:szCs w:val="20"/>
          <w:color w:val="auto"/>
        </w:rPr>
      </w:pPr>
    </w:p>
    <w:p>
      <w:pPr>
        <w:ind w:left="440" w:right="3599"/>
        <w:spacing w:after="0" w:line="249" w:lineRule="auto"/>
        <w:rPr>
          <w:sz w:val="20"/>
          <w:szCs w:val="20"/>
          <w:color w:val="auto"/>
        </w:rPr>
      </w:pPr>
      <w:r>
        <w:rPr>
          <w:rFonts w:ascii="Courier New" w:cs="Courier New" w:eastAsia="Courier New" w:hAnsi="Courier New"/>
          <w:sz w:val="14"/>
          <w:szCs w:val="14"/>
          <w:b w:val="1"/>
          <w:bCs w:val="1"/>
          <w:i w:val="1"/>
          <w:iCs w:val="1"/>
          <w:color w:val="auto"/>
        </w:rPr>
        <w:t>We depend on a very limited number of foreign sources for our primary raw material and are subject to risks of shortages and price fluctuation.</w:t>
      </w:r>
    </w:p>
    <w:p>
      <w:pPr>
        <w:spacing w:after="0" w:line="161"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adversely impacting our ability to operate our business efficiently and have a material adverse effect on the operating and financial results of our Company.</w:t>
      </w:r>
    </w:p>
    <w:p>
      <w:pPr>
        <w:spacing w:after="0" w:line="164" w:lineRule="exact"/>
        <w:rPr>
          <w:sz w:val="20"/>
          <w:szCs w:val="20"/>
          <w:color w:val="auto"/>
        </w:rPr>
      </w:pPr>
    </w:p>
    <w:p>
      <w:pPr>
        <w:jc w:val="both"/>
        <w:ind w:left="440" w:right="3439"/>
        <w:spacing w:after="0" w:line="249" w:lineRule="auto"/>
        <w:rPr>
          <w:sz w:val="20"/>
          <w:szCs w:val="20"/>
          <w:color w:val="auto"/>
        </w:rPr>
      </w:pPr>
      <w:r>
        <w:rPr>
          <w:rFonts w:ascii="Courier New" w:cs="Courier New" w:eastAsia="Courier New" w:hAnsi="Courier New"/>
          <w:sz w:val="14"/>
          <w:szCs w:val="14"/>
          <w:b w:val="1"/>
          <w:bCs w:val="1"/>
          <w:i w:val="1"/>
          <w:iCs w:val="1"/>
          <w:color w:val="auto"/>
        </w:rPr>
        <w:t>We depend heavily on a relatively limited number of customers, and the loss of any major customer would have a material adverse effect on our business.</w:t>
      </w:r>
    </w:p>
    <w:p>
      <w:pPr>
        <w:spacing w:after="0" w:line="161"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Sales to various U.S. and foreign divisions of SKF, which is one of the largest bearing manufacturers in the world, accounted for approximately 42% of consolidated net sales in 2003, and sales to INA/FAG accounted for approximately 16% of consolidated net sales in 2003. During 2003, our ten largest customers accounted for approximately 77% of our consolidated net sales. None of our other customers individually accounted for more than 5% of our consolidated net sales for 2003. The loss of all or a substantial portion of sales to these customers would cause us to lose a substantial portion of our revenue and would lower our operating profit margin and cash flows from operations.</w:t>
      </w:r>
    </w:p>
    <w:p>
      <w:pPr>
        <w:spacing w:after="0" w:line="164" w:lineRule="exact"/>
        <w:rPr>
          <w:sz w:val="20"/>
          <w:szCs w:val="20"/>
          <w:color w:val="auto"/>
        </w:rPr>
      </w:pPr>
    </w:p>
    <w:p>
      <w:pPr>
        <w:ind w:left="440" w:right="3939"/>
        <w:spacing w:after="0" w:line="249" w:lineRule="auto"/>
        <w:rPr>
          <w:sz w:val="20"/>
          <w:szCs w:val="20"/>
          <w:color w:val="auto"/>
        </w:rPr>
      </w:pPr>
      <w:r>
        <w:rPr>
          <w:rFonts w:ascii="Courier New" w:cs="Courier New" w:eastAsia="Courier New" w:hAnsi="Courier New"/>
          <w:sz w:val="14"/>
          <w:szCs w:val="14"/>
          <w:b w:val="1"/>
          <w:bCs w:val="1"/>
          <w:i w:val="1"/>
          <w:iCs w:val="1"/>
          <w:color w:val="auto"/>
        </w:rPr>
        <w:t>We operate in and sell products to customers outside the U.S. and are subject to several related risks.</w:t>
      </w:r>
    </w:p>
    <w:p>
      <w:pPr>
        <w:spacing w:after="0" w:line="161" w:lineRule="exact"/>
        <w:rPr>
          <w:sz w:val="20"/>
          <w:szCs w:val="20"/>
          <w:color w:val="auto"/>
        </w:rPr>
      </w:pPr>
    </w:p>
    <w:p>
      <w:pPr>
        <w:ind w:right="3519" w:firstLine="425"/>
        <w:spacing w:after="0" w:line="248" w:lineRule="auto"/>
        <w:rPr>
          <w:sz w:val="20"/>
          <w:szCs w:val="20"/>
          <w:color w:val="auto"/>
        </w:rPr>
      </w:pPr>
      <w:r>
        <w:rPr>
          <w:rFonts w:ascii="Courier New" w:cs="Courier New" w:eastAsia="Courier New" w:hAnsi="Courier New"/>
          <w:sz w:val="14"/>
          <w:szCs w:val="14"/>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62" w:lineRule="exact"/>
        <w:rPr>
          <w:sz w:val="20"/>
          <w:szCs w:val="20"/>
          <w:color w:val="auto"/>
        </w:rPr>
      </w:pPr>
    </w:p>
    <w:p>
      <w:pPr>
        <w:ind w:left="860" w:hanging="428"/>
        <w:spacing w:after="0"/>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adverse foreign currency fluctuations;</w:t>
      </w:r>
    </w:p>
    <w:p>
      <w:pPr>
        <w:spacing w:after="0" w:line="168" w:lineRule="exact"/>
        <w:rPr>
          <w:rFonts w:ascii="Courier New" w:cs="Courier New" w:eastAsia="Courier New" w:hAnsi="Courier New"/>
          <w:sz w:val="14"/>
          <w:szCs w:val="14"/>
          <w:color w:val="auto"/>
        </w:rPr>
      </w:pPr>
    </w:p>
    <w:p>
      <w:pPr>
        <w:ind w:left="860" w:right="4119" w:hanging="428"/>
        <w:spacing w:after="0" w:line="248" w:lineRule="auto"/>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trade, monetary and fiscal policies, laws and regulations, and other activities of governments, agencies and similar organizations;</w:t>
      </w:r>
    </w:p>
    <w:p>
      <w:pPr>
        <w:spacing w:after="0" w:line="161"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imposition of trade restrictions or prohibitions;</w:t>
      </w:r>
    </w:p>
    <w:p>
      <w:pPr>
        <w:spacing w:after="0" w:line="168" w:lineRule="exact"/>
        <w:rPr>
          <w:rFonts w:ascii="Courier New" w:cs="Courier New" w:eastAsia="Courier New" w:hAnsi="Courier New"/>
          <w:sz w:val="14"/>
          <w:szCs w:val="14"/>
          <w:color w:val="auto"/>
        </w:rPr>
      </w:pPr>
    </w:p>
    <w:p>
      <w:pPr>
        <w:ind w:left="860" w:right="4039" w:hanging="428"/>
        <w:spacing w:after="0" w:line="249" w:lineRule="auto"/>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high tax rates that discourage the repatriation of funds to the U.S.;</w:t>
      </w:r>
    </w:p>
    <w:p>
      <w:pPr>
        <w:spacing w:after="0" w:line="160"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imposition of import or other duties or taxes; and</w:t>
      </w:r>
    </w:p>
    <w:p>
      <w:pPr>
        <w:spacing w:after="0" w:line="168" w:lineRule="exact"/>
        <w:rPr>
          <w:rFonts w:ascii="Courier New" w:cs="Courier New" w:eastAsia="Courier New" w:hAnsi="Courier New"/>
          <w:sz w:val="14"/>
          <w:szCs w:val="14"/>
          <w:color w:val="auto"/>
        </w:rPr>
      </w:pPr>
    </w:p>
    <w:p>
      <w:pPr>
        <w:jc w:val="both"/>
        <w:ind w:left="860" w:right="4039" w:hanging="428"/>
        <w:spacing w:after="0" w:line="249" w:lineRule="auto"/>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unstable governments or legal systems in countries in which our suppliers, manufacturing operations, and customers are located.</w:t>
      </w:r>
    </w:p>
    <w:p>
      <w:pPr>
        <w:spacing w:after="0" w:line="161" w:lineRule="exact"/>
        <w:rPr>
          <w:sz w:val="20"/>
          <w:szCs w:val="20"/>
          <w:color w:val="auto"/>
        </w:rPr>
      </w:pPr>
    </w:p>
    <w:p>
      <w:pPr>
        <w:ind w:right="3439" w:firstLine="425"/>
        <w:spacing w:after="0" w:line="248" w:lineRule="auto"/>
        <w:rPr>
          <w:sz w:val="20"/>
          <w:szCs w:val="20"/>
          <w:color w:val="auto"/>
        </w:rPr>
      </w:pPr>
      <w:r>
        <w:rPr>
          <w:rFonts w:ascii="Courier New" w:cs="Courier New" w:eastAsia="Courier New" w:hAnsi="Courier New"/>
          <w:sz w:val="14"/>
          <w:szCs w:val="14"/>
          <w:color w:val="auto"/>
        </w:rPr>
        <w:t>We do not have a hedging program in place associated with consolidating the operating results of our foreign businesses into U.S. dollars. An increase in the value of the U.S. dollar and/or the Euro relative to other currencies may</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4"/>
          <w:szCs w:val="14"/>
          <w:color w:val="auto"/>
        </w:rPr>
        <w:t>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164" w:lineRule="exact"/>
        <w:rPr>
          <w:sz w:val="20"/>
          <w:szCs w:val="20"/>
          <w:color w:val="auto"/>
        </w:rPr>
      </w:pPr>
    </w:p>
    <w:p>
      <w:pPr>
        <w:ind w:left="440" w:right="3699"/>
        <w:spacing w:after="0" w:line="249" w:lineRule="auto"/>
        <w:rPr>
          <w:sz w:val="20"/>
          <w:szCs w:val="20"/>
          <w:color w:val="auto"/>
        </w:rPr>
      </w:pPr>
      <w:r>
        <w:rPr>
          <w:rFonts w:ascii="Courier New" w:cs="Courier New" w:eastAsia="Courier New" w:hAnsi="Courier New"/>
          <w:sz w:val="14"/>
          <w:szCs w:val="14"/>
          <w:b w:val="1"/>
          <w:bCs w:val="1"/>
          <w:i w:val="1"/>
          <w:iCs w:val="1"/>
          <w:color w:val="auto"/>
        </w:rPr>
        <w:t>The costs and difficulties of integrating acquired business could impede our future growth.</w:t>
      </w:r>
    </w:p>
    <w:p>
      <w:pPr>
        <w:spacing w:after="0" w:line="161"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164" w:lineRule="exact"/>
        <w:rPr>
          <w:sz w:val="20"/>
          <w:szCs w:val="20"/>
          <w:color w:val="auto"/>
        </w:rPr>
      </w:pPr>
    </w:p>
    <w:p>
      <w:pPr>
        <w:ind w:left="440" w:right="3439"/>
        <w:spacing w:after="0" w:line="249" w:lineRule="auto"/>
        <w:rPr>
          <w:sz w:val="20"/>
          <w:szCs w:val="20"/>
          <w:color w:val="auto"/>
        </w:rPr>
      </w:pPr>
      <w:r>
        <w:rPr>
          <w:rFonts w:ascii="Courier New" w:cs="Courier New" w:eastAsia="Courier New" w:hAnsi="Courier New"/>
          <w:sz w:val="14"/>
          <w:szCs w:val="14"/>
          <w:b w:val="1"/>
          <w:bCs w:val="1"/>
          <w:i w:val="1"/>
          <w:iCs w:val="1"/>
          <w:color w:val="auto"/>
        </w:rPr>
        <w:t>We may not be able to continue to make the acquisitions necessary for us to realize our growth strategy.</w:t>
      </w:r>
    </w:p>
    <w:p>
      <w:pPr>
        <w:spacing w:after="0" w:line="161"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Acquiring businesses that complement or expand our operations has been and continues to be an important element of our business strategy. This strategy calls for growth through acquisitions constituting approximately three-fourths of our future growth, with the remainder resulting from internal growth and market penetration. We bought our plastic bearing component business in 1999, formed Euroball with our two largest bearing customers, SKF and INA/FAG, in 2000 and acquired our bearing seal operations in 2001. During 2002, we purchased INA/FAG's minority interest in Euroball and during 2003 we purchased SKF's</w:t>
      </w:r>
    </w:p>
    <w:p>
      <w:pPr>
        <w:sectPr>
          <w:pgSz w:w="11900" w:h="16838" w:orient="portrait"/>
          <w:cols w:equalWidth="0" w:num="1">
            <w:col w:w="10239"/>
          </w:cols>
          <w:pgMar w:left="220" w:top="141" w:right="1440" w:bottom="0" w:gutter="0" w:footer="0" w:header="0"/>
        </w:sectPr>
      </w:pPr>
    </w:p>
    <w:bookmarkStart w:id="11" w:name="page12"/>
    <w:bookmarkEnd w:id="11"/>
    <w:p>
      <w:pPr>
        <w:ind w:right="3439"/>
        <w:spacing w:after="0" w:line="247" w:lineRule="auto"/>
        <w:rPr>
          <w:sz w:val="20"/>
          <w:szCs w:val="20"/>
          <w:color w:val="auto"/>
        </w:rPr>
      </w:pPr>
      <w:r>
        <w:rPr>
          <w:rFonts w:ascii="Courier New" w:cs="Courier New" w:eastAsia="Courier New" w:hAnsi="Courier New"/>
          <w:sz w:val="14"/>
          <w:szCs w:val="14"/>
          <w:color w:val="auto"/>
        </w:rPr>
        <w:t>minority interest in Euroball and SKF's tapered roller and metal cage manufacturing operations in Veenendaal, The Netherlands. See Note 2 of the Notes to Consolidated Financial Statements.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64" w:lineRule="exact"/>
        <w:rPr>
          <w:sz w:val="20"/>
          <w:szCs w:val="20"/>
          <w:color w:val="auto"/>
        </w:rPr>
      </w:pPr>
    </w:p>
    <w:p>
      <w:pPr>
        <w:jc w:val="both"/>
        <w:ind w:left="440" w:right="3939"/>
        <w:spacing w:after="0" w:line="248" w:lineRule="auto"/>
        <w:rPr>
          <w:sz w:val="20"/>
          <w:szCs w:val="20"/>
          <w:color w:val="auto"/>
        </w:rPr>
      </w:pPr>
      <w:r>
        <w:rPr>
          <w:rFonts w:ascii="Courier New" w:cs="Courier New" w:eastAsia="Courier New" w:hAnsi="Courier New"/>
          <w:sz w:val="14"/>
          <w:szCs w:val="14"/>
          <w:b w:val="1"/>
          <w:bCs w:val="1"/>
          <w:i w:val="1"/>
          <w:iCs w:val="1"/>
          <w:color w:val="auto"/>
        </w:rPr>
        <w:t>Our growth strategy depends on outsourcing, and if the industry trend toward outsourcing does not continue, our business could be adversely affected.</w:t>
      </w:r>
    </w:p>
    <w:p>
      <w:pPr>
        <w:spacing w:after="0" w:line="162"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64" w:lineRule="exact"/>
        <w:rPr>
          <w:sz w:val="20"/>
          <w:szCs w:val="20"/>
          <w:color w:val="auto"/>
        </w:rPr>
      </w:pPr>
    </w:p>
    <w:p>
      <w:pPr>
        <w:ind w:left="440" w:right="4279"/>
        <w:spacing w:after="0" w:line="249" w:lineRule="auto"/>
        <w:rPr>
          <w:sz w:val="20"/>
          <w:szCs w:val="20"/>
          <w:color w:val="auto"/>
        </w:rPr>
      </w:pPr>
      <w:r>
        <w:rPr>
          <w:rFonts w:ascii="Courier New" w:cs="Courier New" w:eastAsia="Courier New" w:hAnsi="Courier New"/>
          <w:sz w:val="14"/>
          <w:szCs w:val="14"/>
          <w:b w:val="1"/>
          <w:bCs w:val="1"/>
          <w:i w:val="1"/>
          <w:iCs w:val="1"/>
          <w:color w:val="auto"/>
        </w:rPr>
        <w:t>Our market is highly competitive and many of our competitors have significant advantages that could adversely affect our business.</w:t>
      </w:r>
    </w:p>
    <w:p>
      <w:pPr>
        <w:spacing w:after="0" w:line="161"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64" w:lineRule="exact"/>
        <w:rPr>
          <w:sz w:val="20"/>
          <w:szCs w:val="20"/>
          <w:color w:val="auto"/>
        </w:rPr>
      </w:pPr>
    </w:p>
    <w:p>
      <w:pPr>
        <w:ind w:left="440" w:right="3699"/>
        <w:spacing w:after="0" w:line="248" w:lineRule="auto"/>
        <w:rPr>
          <w:sz w:val="20"/>
          <w:szCs w:val="20"/>
          <w:color w:val="auto"/>
        </w:rPr>
      </w:pPr>
      <w:r>
        <w:rPr>
          <w:rFonts w:ascii="Courier New" w:cs="Courier New" w:eastAsia="Courier New" w:hAnsi="Courier New"/>
          <w:sz w:val="14"/>
          <w:szCs w:val="14"/>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62"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production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b w:val="1"/>
          <w:bCs w:val="1"/>
          <w:i w:val="1"/>
          <w:iCs w:val="1"/>
          <w:color w:val="auto"/>
        </w:rPr>
        <w:t>The price of our common stock may be volatile.</w:t>
      </w:r>
    </w:p>
    <w:p>
      <w:pPr>
        <w:spacing w:after="0" w:line="168" w:lineRule="exact"/>
        <w:rPr>
          <w:sz w:val="20"/>
          <w:szCs w:val="20"/>
          <w:color w:val="auto"/>
        </w:rPr>
      </w:pPr>
    </w:p>
    <w:p>
      <w:pPr>
        <w:ind w:right="3859" w:firstLine="425"/>
        <w:spacing w:after="0" w:line="248" w:lineRule="auto"/>
        <w:rPr>
          <w:sz w:val="20"/>
          <w:szCs w:val="20"/>
          <w:color w:val="auto"/>
        </w:rPr>
      </w:pPr>
      <w:r>
        <w:rPr>
          <w:rFonts w:ascii="Courier New" w:cs="Courier New" w:eastAsia="Courier New" w:hAnsi="Courier New"/>
          <w:sz w:val="14"/>
          <w:szCs w:val="14"/>
          <w:color w:val="auto"/>
        </w:rPr>
        <w:t>The market price of our common stock could be subject to significant fluctuations and may decline. Among the factors that could affect our stock price are:</w:t>
      </w:r>
    </w:p>
    <w:p>
      <w:pPr>
        <w:spacing w:after="0" w:line="162" w:lineRule="exact"/>
        <w:rPr>
          <w:sz w:val="20"/>
          <w:szCs w:val="20"/>
          <w:color w:val="auto"/>
        </w:rPr>
      </w:pPr>
    </w:p>
    <w:p>
      <w:pPr>
        <w:ind w:left="860" w:hanging="428"/>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operating and financial performance and prospects;</w:t>
      </w:r>
    </w:p>
    <w:p>
      <w:pPr>
        <w:spacing w:after="0" w:line="168" w:lineRule="exact"/>
        <w:rPr>
          <w:rFonts w:ascii="Courier New" w:cs="Courier New" w:eastAsia="Courier New" w:hAnsi="Courier New"/>
          <w:sz w:val="14"/>
          <w:szCs w:val="14"/>
          <w:color w:val="auto"/>
        </w:rPr>
      </w:pPr>
    </w:p>
    <w:p>
      <w:pPr>
        <w:ind w:left="860" w:right="3939" w:hanging="428"/>
        <w:spacing w:after="0" w:line="249"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variations in the rate of growth of our financial indicators, such as earnings per share, net income and revenues;</w:t>
      </w:r>
    </w:p>
    <w:p>
      <w:pPr>
        <w:spacing w:after="0" w:line="160" w:lineRule="exact"/>
        <w:rPr>
          <w:rFonts w:ascii="Courier New" w:cs="Courier New" w:eastAsia="Courier New" w:hAnsi="Courier New"/>
          <w:sz w:val="14"/>
          <w:szCs w:val="14"/>
          <w:color w:val="auto"/>
        </w:rPr>
      </w:pPr>
    </w:p>
    <w:p>
      <w:pPr>
        <w:ind w:left="860" w:right="3699" w:hanging="428"/>
        <w:spacing w:after="0" w:line="249"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revenue or earnings estimates or publication of research reports by analysts;</w:t>
      </w:r>
    </w:p>
    <w:p>
      <w:pPr>
        <w:spacing w:after="0" w:line="160"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of any member of our senior management team;</w:t>
      </w:r>
    </w:p>
    <w:p>
      <w:pPr>
        <w:spacing w:after="0" w:line="168"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speculation in the press or investment community;</w:t>
      </w:r>
    </w:p>
    <w:p>
      <w:pPr>
        <w:spacing w:after="0" w:line="168" w:lineRule="exact"/>
        <w:rPr>
          <w:rFonts w:ascii="Courier New" w:cs="Courier New" w:eastAsia="Courier New" w:hAnsi="Courier New"/>
          <w:sz w:val="14"/>
          <w:szCs w:val="14"/>
          <w:color w:val="auto"/>
        </w:rPr>
      </w:pPr>
    </w:p>
    <w:p>
      <w:pPr>
        <w:ind w:left="860" w:right="3699" w:hanging="428"/>
        <w:spacing w:after="0" w:line="249"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actions by us or our competitors, such as acquisitions or restructurings;</w:t>
      </w:r>
    </w:p>
    <w:p>
      <w:pPr>
        <w:spacing w:after="0" w:line="160"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our common stock by stockholders;</w:t>
      </w:r>
    </w:p>
    <w:p>
      <w:pPr>
        <w:spacing w:after="0" w:line="168"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market conditions; and</w:t>
      </w:r>
    </w:p>
    <w:p>
      <w:pPr>
        <w:spacing w:after="0" w:line="168" w:lineRule="exact"/>
        <w:rPr>
          <w:rFonts w:ascii="Courier New" w:cs="Courier New" w:eastAsia="Courier New" w:hAnsi="Courier New"/>
          <w:sz w:val="14"/>
          <w:szCs w:val="14"/>
          <w:color w:val="auto"/>
        </w:rPr>
      </w:pPr>
    </w:p>
    <w:p>
      <w:pPr>
        <w:ind w:left="860" w:right="3859" w:hanging="428"/>
        <w:spacing w:after="0" w:line="249"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and international economic, legal and regulatory factors unrelated to our performance.</w:t>
      </w:r>
    </w:p>
    <w:p>
      <w:pPr>
        <w:spacing w:after="0" w:line="161"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64" w:lineRule="exact"/>
        <w:rPr>
          <w:sz w:val="20"/>
          <w:szCs w:val="20"/>
          <w:color w:val="auto"/>
        </w:rPr>
      </w:pPr>
    </w:p>
    <w:p>
      <w:pPr>
        <w:ind w:left="440" w:right="3939"/>
        <w:spacing w:after="0" w:line="249" w:lineRule="auto"/>
        <w:rPr>
          <w:sz w:val="20"/>
          <w:szCs w:val="20"/>
          <w:color w:val="auto"/>
        </w:rPr>
      </w:pPr>
      <w:r>
        <w:rPr>
          <w:rFonts w:ascii="Courier New" w:cs="Courier New" w:eastAsia="Courier New" w:hAnsi="Courier New"/>
          <w:sz w:val="14"/>
          <w:szCs w:val="14"/>
          <w:b w:val="1"/>
          <w:bCs w:val="1"/>
          <w:i w:val="1"/>
          <w:iCs w:val="1"/>
          <w:color w:val="auto"/>
        </w:rPr>
        <w:t>Provisions in our charter documents and Delaware law may inhibit a takeover, which could adversely affect the value of our common stock.</w:t>
      </w:r>
    </w:p>
    <w:p>
      <w:pPr>
        <w:spacing w:after="0" w:line="161"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ectPr>
          <w:pgSz w:w="11900" w:h="16838" w:orient="portrait"/>
          <w:cols w:equalWidth="0" w:num="1">
            <w:col w:w="10239"/>
          </w:cols>
          <w:pgMar w:left="220" w:top="141" w:right="1440" w:bottom="0" w:gutter="0" w:footer="0" w:header="0"/>
        </w:sectPr>
      </w:pPr>
    </w:p>
    <w:bookmarkStart w:id="12" w:name="page13"/>
    <w:bookmarkEnd w:id="12"/>
    <w:p>
      <w:pPr>
        <w:ind w:right="3439" w:firstLine="425"/>
        <w:spacing w:after="0" w:line="247" w:lineRule="auto"/>
        <w:rPr>
          <w:sz w:val="20"/>
          <w:szCs w:val="20"/>
          <w:color w:val="auto"/>
        </w:rPr>
      </w:pPr>
      <w:r>
        <w:rPr>
          <w:rFonts w:ascii="Courier New" w:cs="Courier New" w:eastAsia="Courier New" w:hAnsi="Courier New"/>
          <w:sz w:val="14"/>
          <w:szCs w:val="14"/>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64" w:lineRule="exact"/>
        <w:rPr>
          <w:sz w:val="20"/>
          <w:szCs w:val="20"/>
          <w:color w:val="auto"/>
        </w:rPr>
      </w:pPr>
    </w:p>
    <w:p>
      <w:pPr>
        <w:ind w:right="3699" w:firstLine="425"/>
        <w:spacing w:after="0" w:line="248" w:lineRule="auto"/>
        <w:rPr>
          <w:sz w:val="20"/>
          <w:szCs w:val="20"/>
          <w:color w:val="auto"/>
        </w:rPr>
      </w:pPr>
      <w:r>
        <w:rPr>
          <w:rFonts w:ascii="Courier New" w:cs="Courier New" w:eastAsia="Courier New" w:hAnsi="Courier New"/>
          <w:sz w:val="14"/>
          <w:szCs w:val="14"/>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Overview and Management Focus</w:t>
      </w:r>
    </w:p>
    <w:p>
      <w:pPr>
        <w:spacing w:after="0" w:line="168" w:lineRule="exact"/>
        <w:rPr>
          <w:sz w:val="20"/>
          <w:szCs w:val="20"/>
          <w:color w:val="auto"/>
        </w:rPr>
      </w:pPr>
    </w:p>
    <w:p>
      <w:pPr>
        <w:ind w:left="440" w:right="3779"/>
        <w:spacing w:after="0" w:line="249" w:lineRule="auto"/>
        <w:rPr>
          <w:sz w:val="20"/>
          <w:szCs w:val="20"/>
          <w:color w:val="auto"/>
        </w:rPr>
      </w:pPr>
      <w:r>
        <w:rPr>
          <w:rFonts w:ascii="Courier New" w:cs="Courier New" w:eastAsia="Courier New" w:hAnsi="Courier New"/>
          <w:sz w:val="14"/>
          <w:szCs w:val="14"/>
          <w:b w:val="1"/>
          <w:bCs w:val="1"/>
          <w:i w:val="1"/>
          <w:iCs w:val="1"/>
          <w:color w:val="auto"/>
        </w:rPr>
        <w:t>Our strategy and management focus is based upon the following long-term objectives:</w:t>
      </w:r>
    </w:p>
    <w:p>
      <w:pPr>
        <w:spacing w:after="0" w:line="161" w:lineRule="exact"/>
        <w:rPr>
          <w:sz w:val="20"/>
          <w:szCs w:val="20"/>
          <w:color w:val="auto"/>
        </w:rPr>
      </w:pPr>
    </w:p>
    <w:p>
      <w:pPr>
        <w:ind w:left="860" w:right="3519" w:hanging="428"/>
        <w:spacing w:after="0" w:line="249" w:lineRule="auto"/>
        <w:tabs>
          <w:tab w:leader="none" w:pos="8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Captive growth, providing a competitive and attractive alternative to the operations of our global customers</w:t>
      </w: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0" w:hanging="428"/>
        <w:spacing w:after="0"/>
        <w:tabs>
          <w:tab w:leader="none" w:pos="8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Expansion of our bearing product offering, and</w:t>
      </w:r>
    </w:p>
    <w:p>
      <w:pPr>
        <w:spacing w:after="0" w:line="168" w:lineRule="exact"/>
        <w:rPr>
          <w:rFonts w:ascii="Courier New" w:cs="Courier New" w:eastAsia="Courier New" w:hAnsi="Courier New"/>
          <w:sz w:val="14"/>
          <w:szCs w:val="14"/>
          <w:color w:val="auto"/>
        </w:rPr>
      </w:pPr>
    </w:p>
    <w:p>
      <w:pPr>
        <w:ind w:left="860" w:right="3939" w:hanging="428"/>
        <w:spacing w:after="0" w:line="249" w:lineRule="auto"/>
        <w:tabs>
          <w:tab w:leader="none" w:pos="8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expansion of our manufacturing base to better address the global requirements of our customers</w:t>
      </w:r>
    </w:p>
    <w:p>
      <w:pPr>
        <w:spacing w:after="0" w:line="161" w:lineRule="exact"/>
        <w:rPr>
          <w:sz w:val="20"/>
          <w:szCs w:val="20"/>
          <w:color w:val="auto"/>
        </w:rPr>
      </w:pPr>
    </w:p>
    <w:p>
      <w:pPr>
        <w:ind w:left="440" w:right="4379"/>
        <w:spacing w:after="0" w:line="249" w:lineRule="auto"/>
        <w:rPr>
          <w:sz w:val="20"/>
          <w:szCs w:val="20"/>
          <w:color w:val="auto"/>
        </w:rPr>
      </w:pPr>
      <w:r>
        <w:rPr>
          <w:rFonts w:ascii="Courier New" w:cs="Courier New" w:eastAsia="Courier New" w:hAnsi="Courier New"/>
          <w:sz w:val="14"/>
          <w:szCs w:val="14"/>
          <w:b w:val="1"/>
          <w:bCs w:val="1"/>
          <w:i w:val="1"/>
          <w:iCs w:val="1"/>
          <w:color w:val="auto"/>
        </w:rPr>
        <w:t>Management generally focuses on these trends and relevant market indicators:</w:t>
      </w:r>
    </w:p>
    <w:p>
      <w:pPr>
        <w:spacing w:after="0" w:line="161" w:lineRule="exact"/>
        <w:rPr>
          <w:sz w:val="20"/>
          <w:szCs w:val="20"/>
          <w:color w:val="auto"/>
        </w:rPr>
      </w:pPr>
    </w:p>
    <w:p>
      <w:pPr>
        <w:ind w:left="860" w:hanging="428"/>
        <w:spacing w:after="0"/>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industrial growth and economics</w:t>
      </w:r>
    </w:p>
    <w:p>
      <w:pPr>
        <w:spacing w:after="0" w:line="168"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automotive production rates</w:t>
      </w:r>
    </w:p>
    <w:p>
      <w:pPr>
        <w:spacing w:after="0" w:line="168" w:lineRule="exact"/>
        <w:rPr>
          <w:rFonts w:ascii="Courier New" w:cs="Courier New" w:eastAsia="Courier New" w:hAnsi="Courier New"/>
          <w:sz w:val="14"/>
          <w:szCs w:val="14"/>
          <w:color w:val="auto"/>
        </w:rPr>
      </w:pPr>
    </w:p>
    <w:p>
      <w:pPr>
        <w:ind w:left="860" w:right="3599" w:hanging="428"/>
        <w:spacing w:after="0" w:line="249" w:lineRule="auto"/>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subject to the global inflationary environment, including, but not limited to:</w:t>
      </w:r>
    </w:p>
    <w:p>
      <w:pPr>
        <w:spacing w:after="0" w:line="160" w:lineRule="exact"/>
        <w:rPr>
          <w:rFonts w:ascii="Courier New" w:cs="Courier New" w:eastAsia="Courier New" w:hAnsi="Courier New"/>
          <w:sz w:val="14"/>
          <w:szCs w:val="14"/>
          <w:color w:val="auto"/>
        </w:rPr>
      </w:pPr>
    </w:p>
    <w:p>
      <w:pPr>
        <w:ind w:left="1280" w:hanging="848"/>
        <w:spacing w:after="0"/>
        <w:tabs>
          <w:tab w:leader="none" w:pos="12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Raw material</w:t>
      </w:r>
    </w:p>
    <w:p>
      <w:pPr>
        <w:spacing w:after="0" w:line="168" w:lineRule="exact"/>
        <w:rPr>
          <w:rFonts w:ascii="Courier New" w:cs="Courier New" w:eastAsia="Courier New" w:hAnsi="Courier New"/>
          <w:sz w:val="14"/>
          <w:szCs w:val="14"/>
          <w:color w:val="auto"/>
        </w:rPr>
      </w:pPr>
    </w:p>
    <w:p>
      <w:pPr>
        <w:ind w:left="1280" w:hanging="848"/>
        <w:spacing w:after="0"/>
        <w:tabs>
          <w:tab w:leader="none" w:pos="12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Wages and benefits, including health care costs</w:t>
      </w:r>
    </w:p>
    <w:p>
      <w:pPr>
        <w:spacing w:after="0" w:line="168" w:lineRule="exact"/>
        <w:rPr>
          <w:rFonts w:ascii="Courier New" w:cs="Courier New" w:eastAsia="Courier New" w:hAnsi="Courier New"/>
          <w:sz w:val="14"/>
          <w:szCs w:val="14"/>
          <w:color w:val="auto"/>
        </w:rPr>
      </w:pPr>
    </w:p>
    <w:p>
      <w:pPr>
        <w:ind w:left="1280" w:hanging="848"/>
        <w:spacing w:after="0"/>
        <w:tabs>
          <w:tab w:leader="none" w:pos="12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Energy</w:t>
      </w:r>
    </w:p>
    <w:p>
      <w:pPr>
        <w:spacing w:after="0" w:line="168" w:lineRule="exact"/>
        <w:rPr>
          <w:rFonts w:ascii="Courier New" w:cs="Courier New" w:eastAsia="Courier New" w:hAnsi="Courier New"/>
          <w:sz w:val="14"/>
          <w:szCs w:val="14"/>
          <w:color w:val="auto"/>
        </w:rPr>
      </w:pPr>
    </w:p>
    <w:p>
      <w:pPr>
        <w:ind w:left="860" w:right="3519" w:hanging="428"/>
        <w:spacing w:after="0" w:line="249" w:lineRule="auto"/>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Trends related to manufacturing's geographic migration of competitive manufacturing</w:t>
      </w:r>
    </w:p>
    <w:p>
      <w:pPr>
        <w:spacing w:after="0" w:line="160"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environment for United States public companies</w:t>
      </w:r>
    </w:p>
    <w:p>
      <w:pPr>
        <w:spacing w:after="0" w:line="168"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Currency and exchange rate movements and trends</w:t>
      </w:r>
    </w:p>
    <w:p>
      <w:pPr>
        <w:spacing w:after="0" w:line="168"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rate levels and expectations</w:t>
      </w:r>
    </w:p>
    <w:p>
      <w:pPr>
        <w:spacing w:after="0" w:line="168" w:lineRule="exact"/>
        <w:rPr>
          <w:sz w:val="20"/>
          <w:szCs w:val="20"/>
          <w:color w:val="auto"/>
        </w:rPr>
      </w:pPr>
    </w:p>
    <w:p>
      <w:pPr>
        <w:ind w:left="440" w:right="3599"/>
        <w:spacing w:after="0" w:line="249" w:lineRule="auto"/>
        <w:rPr>
          <w:sz w:val="20"/>
          <w:szCs w:val="20"/>
          <w:color w:val="auto"/>
        </w:rPr>
      </w:pPr>
      <w:r>
        <w:rPr>
          <w:rFonts w:ascii="Courier New" w:cs="Courier New" w:eastAsia="Courier New" w:hAnsi="Courier New"/>
          <w:sz w:val="14"/>
          <w:szCs w:val="14"/>
          <w:b w:val="1"/>
          <w:bCs w:val="1"/>
          <w:i w:val="1"/>
          <w:iCs w:val="1"/>
          <w:color w:val="auto"/>
        </w:rPr>
        <w:t>Management generally focuses on the following key indicators of operating performance:</w:t>
      </w:r>
    </w:p>
    <w:p>
      <w:pPr>
        <w:spacing w:after="0" w:line="161" w:lineRule="exact"/>
        <w:rPr>
          <w:sz w:val="20"/>
          <w:szCs w:val="20"/>
          <w:color w:val="auto"/>
        </w:rPr>
      </w:pPr>
    </w:p>
    <w:p>
      <w:pPr>
        <w:ind w:left="860" w:hanging="428"/>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growth</w:t>
      </w:r>
    </w:p>
    <w:p>
      <w:pPr>
        <w:spacing w:after="0" w:line="168"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of products sold levels</w:t>
      </w:r>
    </w:p>
    <w:p>
      <w:pPr>
        <w:spacing w:after="0" w:line="168"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general and administrative expense levels</w:t>
      </w:r>
    </w:p>
    <w:p>
      <w:pPr>
        <w:spacing w:after="0" w:line="168"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w:t>
      </w:r>
    </w:p>
    <w:p>
      <w:pPr>
        <w:spacing w:after="0" w:line="168"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from operations and capital spending</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Our core business is the manufacture and sale of high quality, precision steel balls and rollers. In 2003, sales of balls and rollers accounted for approximately 76% of the Company's total net sales with 63% and 13% of sales from balls and rollers, respectively. Sales of metal bearing retainers accounted for 4% and sales of precision molded plastic and rubber parts accounted for the remaining 20%. See Note 11 of the Notes to Consolidated Financial Statements.</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Since our formation in 1980 we have grown primarily through the displacement of captive ball manufacturing operations of domestic and international bearing manufacturers resulting in increased sales of high precision balls for quiet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In 1997, we recognized changing dynamics in the marketplace, and as a result, developed and began implementing an extensive long-term growth strategy building upon our core business and leveraging our inherent strengths to better serve our global customer base. As part of this strategy, we sought to augment our intrinsic growth with complementary acquisitions that fit specific criteria.</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July 4, 1999, we acquired substantially all of the assets of Earsley</w:t>
      </w:r>
    </w:p>
    <w:p>
      <w:pPr>
        <w:sectPr>
          <w:pgSz w:w="11900" w:h="16838" w:orient="portrait"/>
          <w:cols w:equalWidth="0" w:num="1">
            <w:col w:w="10239"/>
          </w:cols>
          <w:pgMar w:left="220" w:top="305" w:right="1440" w:bottom="0" w:gutter="0" w:footer="0" w:header="0"/>
        </w:sectPr>
      </w:pPr>
    </w:p>
    <w:bookmarkStart w:id="13" w:name="page14"/>
    <w:bookmarkEnd w:id="13"/>
    <w:p>
      <w:pPr>
        <w:ind w:right="3599"/>
        <w:spacing w:after="0" w:line="247" w:lineRule="auto"/>
        <w:rPr>
          <w:sz w:val="20"/>
          <w:szCs w:val="20"/>
          <w:color w:val="auto"/>
        </w:rPr>
      </w:pPr>
      <w:r>
        <w:rPr>
          <w:rFonts w:ascii="Courier New" w:cs="Courier New" w:eastAsia="Courier New" w:hAnsi="Courier New"/>
          <w:sz w:val="14"/>
          <w:szCs w:val="14"/>
          <w:color w:val="auto"/>
        </w:rPr>
        <w:t>Capital Corporation, formerly known as Industrial Molding Corporation ("IMC") for consideration of approximately $30.0 million. Formed in 1947, IMC provides full-service design and manufacture of plastic injection molded components to the bearing, automotive, electronic, leisure and consumer markets with an emphasis on value-added products that take advantage of its capabilities in product</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439"/>
        <w:spacing w:after="0" w:line="248" w:lineRule="auto"/>
        <w:rPr>
          <w:sz w:val="20"/>
          <w:szCs w:val="20"/>
          <w:color w:val="auto"/>
        </w:rPr>
      </w:pPr>
      <w:r>
        <w:rPr>
          <w:rFonts w:ascii="Courier New" w:cs="Courier New" w:eastAsia="Courier New" w:hAnsi="Courier New"/>
          <w:sz w:val="14"/>
          <w:szCs w:val="14"/>
          <w:color w:val="auto"/>
        </w:rPr>
        <w:t>development, tool design and tight tolerance molding processes. IMC operates two manufacturing facilities in Lubbock, Texas. During 2003, IMC sold its products to more than 60 customers in 12 different countries.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July 31, 2000, we formed a majority owned stand-alone company in Europe,</w:t>
      </w:r>
    </w:p>
    <w:p>
      <w:pPr>
        <w:spacing w:after="0" w:line="5" w:lineRule="exact"/>
        <w:rPr>
          <w:sz w:val="20"/>
          <w:szCs w:val="20"/>
          <w:color w:val="auto"/>
        </w:rPr>
      </w:pPr>
    </w:p>
    <w:p>
      <w:pPr>
        <w:ind w:right="3439" w:firstLine="7"/>
        <w:spacing w:after="0" w:line="247" w:lineRule="auto"/>
        <w:tabs>
          <w:tab w:leader="none" w:pos="255"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Euroball ApS ("Euroball"), for the manufacture and sale of chrome steel balls used for ball bearings and other products. As a result of this transaction, we owned 54% of Euroball. AB SKF and FAG Kugelfisher Georg Shafer AG, the parent companies of SKF and FAG respectively each owned 23% of Euroball. As part of the transaction, Euroball acquired the ball factories located in Pinerolo, Italy (previously owned by SKF), Eltmann, Germany (previously owned by FAG), and Kilkenny, Ireland (previously owned by the Company). Acquisition financing of approximately 31.5 million Euro (approximately $29.7 million) was drawn at closing, and the credit facility provided for additional working capital expenditure financing. In connection with this transaction, total equity, specifically additional paid in capital, increased by 10.0 million Euros ($9.3 million) to reflect the increase in our proportionate interest in Euroball as related to our 54% ownership as more fully detailed in Note 2 to the Consolidated Financial Statements. We have always consolidated Euroball due to our majority ownership and have accounted for the acquisitions of the Pinerolo, Italy and Eltmann, Germany ball factories in a manner similar to the purchase method of accounting. On December 20, 2002 we completed the purchase of the 23% interest held by INA/FAG. We paid approximately 13.4 million Euros ($13.8 million) for INA/FAG's interest in Euroball. The excess of the purchase price paid to INA/FAG for its 23% interest over fair value of INA/FAG's 23% interest in the net assets of Euroball of approximately $1.5 million has been allocated to goodwill (see Note 2 of the Notes to Consolidated Financial Statements). On May 2, 2003 we acquired the 23% interest in Euroball held by SKF. We paid approximately 13.8 million Euros ($15.6 million) for SKF's interest in Euroball. The excess of the purchase price paid to SKF for its 23% interest over the fair value of SKF's 23% interest in the net assets of Euroball of approximately $2.1 million was allocated to goodwill.</w:t>
      </w:r>
    </w:p>
    <w:p>
      <w:pPr>
        <w:spacing w:after="0" w:line="166"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On February 16, 2001, we completed the acquisition of all of the outstanding stock of The Delta Rubber Company, a Connecticut corporation ("Delta"), for $22.5 million in cash. Delta provides high quality engineered bearing seals and other precision-molded rubber products to original equipment manufacturers. Delta operates two manufacturing facilities in Danielson, Connecticut. We have accounted for this acquisition using the purchase method of accounting.</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On September 11, 2001, we announced the closing of our Walterboro, South Carolina ball manufacturing facility effective December 2001. The closing was made as part of our strategy to redistribute our global production in order to better utilize capacity and serve the needs of our worldwide customers. The precision ball production of the Walterboro facility has been fully absorbed by our remaining U.S. ball &amp; roller manufacturing facilities located in Erwin and Mountain City, Tennessee. In 2002 and 2001 we recorded before tax charges associated with the closing of $1.3 million and $1.9 million, respectively. In 2001, this amount includes a $1.1 million before-tax charge for the recording of impairment on our manufacturing facility located in Walterboro, South Carolina and $0.8 million related to employee severance costs. In 2002, this amount includes a $0.6 million before-tax charge for the recording of an additional impairment on the facility, a $0.6 million before-tax charge for the recording of impairment on the machinery and equipment and a $0.1 million charge related to employee severance costs. There were no impairment charges related to these assets recorded in 2003. These amounts are reflected as restructuring and impairment costs in the accompanying Consolidated Statements of Income. The building along with certain machinery and equipment are held for sale as of December 31, 2003. These assets have an aggregate carrying value of $1.8 million. The financial results of this operation have been reflected in the Domestic Ball and Roller Segment. See Note 11 of the Notes to Consolidated Financial Statements.</w:t>
      </w:r>
    </w:p>
    <w:p>
      <w:pPr>
        <w:spacing w:after="0" w:line="165"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Effective December 21, 2001, we sold our minority interest in Jiangsu General Ball &amp; Roller Company, LTD, a Chinese ball and roller manufacturer located in Rugao City, Jiangsu Province, China. To effect the transaction, we sold our 50% ownership in NN General, LLC, which owns a 60% interest in the Jiangsu joint venture to our partner, General Bearing Corporation for cash of $0.6 million and notes of $3.3 million. In 2001, we recorded a non-cash after-tax loss on sale of the investments in this joint venture of $0.2 million.</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On May 2, 2003 we acquired 100% of the tapered roller and metal cage manufacturing operations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 tapered roller and spherical roller bearings allowing us to expand our bearing component offering. The financial results of the Veenendaal operation are included in the NN Europe Segment.</w:t>
      </w:r>
    </w:p>
    <w:p>
      <w:pPr>
        <w:spacing w:after="0" w:line="164" w:lineRule="exact"/>
        <w:rPr>
          <w:sz w:val="20"/>
          <w:szCs w:val="20"/>
          <w:color w:val="auto"/>
        </w:rPr>
      </w:pPr>
    </w:p>
    <w:p>
      <w:pPr>
        <w:ind w:right="3439" w:firstLine="425"/>
        <w:spacing w:after="0" w:line="248" w:lineRule="auto"/>
        <w:rPr>
          <w:sz w:val="20"/>
          <w:szCs w:val="20"/>
          <w:color w:val="auto"/>
        </w:rPr>
      </w:pPr>
      <w:r>
        <w:rPr>
          <w:rFonts w:ascii="Courier New" w:cs="Courier New" w:eastAsia="Courier New" w:hAnsi="Courier New"/>
          <w:sz w:val="14"/>
          <w:szCs w:val="14"/>
          <w:color w:val="auto"/>
        </w:rPr>
        <w:t>On October 9, 2003, we acquired certain assets comprised of land, building and machinery and equipment of the precision ball operations of KLF - Gulickaren ("KLF"), based in Kysucke Nove Mesto, Slovakia. We paid consideration of</w:t>
      </w:r>
    </w:p>
    <w:p>
      <w:pPr>
        <w:sectPr>
          <w:pgSz w:w="11900" w:h="16838" w:orient="portrait"/>
          <w:cols w:equalWidth="0" w:num="1">
            <w:col w:w="10239"/>
          </w:cols>
          <w:pgMar w:left="220" w:top="141" w:right="1440" w:bottom="0" w:gutter="0" w:footer="0" w:header="0"/>
        </w:sectPr>
      </w:pPr>
    </w:p>
    <w:bookmarkStart w:id="14" w:name="page15"/>
    <w:bookmarkEnd w:id="14"/>
    <w:p>
      <w:pPr>
        <w:ind w:right="3599"/>
        <w:spacing w:after="0" w:line="249" w:lineRule="auto"/>
        <w:rPr>
          <w:sz w:val="20"/>
          <w:szCs w:val="20"/>
          <w:color w:val="auto"/>
        </w:rPr>
      </w:pPr>
      <w:r>
        <w:rPr>
          <w:rFonts w:ascii="Courier New" w:cs="Courier New" w:eastAsia="Courier New" w:hAnsi="Courier New"/>
          <w:sz w:val="14"/>
          <w:szCs w:val="14"/>
          <w:color w:val="auto"/>
        </w:rPr>
        <w:t>approximately 1.7 million Euros ($2.0 million). The assets will be utilized by our newly established subsidiary NN Slovakia</w:t>
      </w: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519"/>
        <w:spacing w:after="0" w:line="249" w:lineRule="auto"/>
        <w:rPr>
          <w:sz w:val="20"/>
          <w:szCs w:val="20"/>
          <w:color w:val="auto"/>
        </w:rPr>
      </w:pPr>
      <w:r>
        <w:rPr>
          <w:rFonts w:ascii="Courier New" w:cs="Courier New" w:eastAsia="Courier New" w:hAnsi="Courier New"/>
          <w:sz w:val="14"/>
          <w:szCs w:val="14"/>
          <w:color w:val="auto"/>
        </w:rPr>
        <w:t>based in Kysucke Nove Mesto, Slovakia, which will begin production in 2004. The financial results of the operations are included in our NN Europe Segment.</w:t>
      </w:r>
    </w:p>
    <w:p>
      <w:pPr>
        <w:spacing w:after="0" w:line="161" w:lineRule="exact"/>
        <w:rPr>
          <w:sz w:val="20"/>
          <w:szCs w:val="20"/>
          <w:color w:val="auto"/>
        </w:rPr>
      </w:pPr>
    </w:p>
    <w:p>
      <w:pPr>
        <w:ind w:right="3439" w:firstLine="425"/>
        <w:spacing w:after="0" w:line="248" w:lineRule="auto"/>
        <w:rPr>
          <w:sz w:val="20"/>
          <w:szCs w:val="20"/>
          <w:color w:val="auto"/>
        </w:rPr>
      </w:pPr>
      <w:r>
        <w:rPr>
          <w:rFonts w:ascii="Courier New" w:cs="Courier New" w:eastAsia="Courier New" w:hAnsi="Courier New"/>
          <w:sz w:val="14"/>
          <w:szCs w:val="14"/>
          <w:color w:val="auto"/>
        </w:rPr>
        <w:t>The implementation and successful execution of this acquisition strategy to date has allowed the Company to expand its global presence and positions the Company for continued global growth and expansion into core served markets.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Critical Accounting Policies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64"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b w:val="1"/>
          <w:bCs w:val="1"/>
          <w:color w:val="auto"/>
        </w:rPr>
        <w:t xml:space="preserve">Accounts Receivable. </w:t>
      </w:r>
      <w:r>
        <w:rPr>
          <w:rFonts w:ascii="Courier New" w:cs="Courier New" w:eastAsia="Courier New" w:hAnsi="Courier New"/>
          <w:sz w:val="14"/>
          <w:szCs w:val="14"/>
          <w:color w:val="auto"/>
        </w:rPr>
        <w:t>Accounts receivable are recorded upon recognition of a sale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of goods and ownership is assumed by the customer. Substantially all of the Company's accounts receivable are due primarily from the core served markets: bearing manufacturers, automotive industry, electronics, industrial, agricultural and aerospace. Due to the Chapter 7 voluntary bankruptcy of one IMC customer and other write-offs, the Company experienced $1.7 million of bad debt expense during 2001, $0.1 million during 2002 and $0.1 million during 2003. In establishing allowances for doubtful accounts, the Company continuously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when considered to be uncollectible. While management believes that adequate allowances for doubtful accounts have been provided in the Consolidated Financial Statements, it is possible that the Company could experience additional unexpected credit losses.</w:t>
      </w:r>
    </w:p>
    <w:p>
      <w:pPr>
        <w:spacing w:after="0" w:line="165"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b w:val="1"/>
          <w:bCs w:val="1"/>
          <w:color w:val="auto"/>
        </w:rPr>
        <w:t xml:space="preserve">Inventories. </w:t>
      </w:r>
      <w:r>
        <w:rPr>
          <w:rFonts w:ascii="Courier New" w:cs="Courier New" w:eastAsia="Courier New" w:hAnsi="Courier New"/>
          <w:sz w:val="14"/>
          <w:szCs w:val="14"/>
          <w:color w:val="auto"/>
        </w:rPr>
        <w:t>Inventories are stated at the lower of cost or market. Cost is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determined using the first-in, first-out method. The Company's inventories are not generally subject to obsolescence due to spoilage or expiring product life cycles.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164"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b w:val="1"/>
          <w:bCs w:val="1"/>
          <w:color w:val="auto"/>
        </w:rPr>
        <w:t xml:space="preserve">Acquisitions and Acquired Intangibles. </w:t>
      </w:r>
      <w:r>
        <w:rPr>
          <w:rFonts w:ascii="Courier New" w:cs="Courier New" w:eastAsia="Courier New" w:hAnsi="Courier New"/>
          <w:sz w:val="14"/>
          <w:szCs w:val="14"/>
          <w:color w:val="auto"/>
        </w:rPr>
        <w:t>For new acquisitions, the Company uses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estimates, assumptions and appraisals to allocate the purchase price to the assets 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the expected cash flows that they will generate, and their market value.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164"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b w:val="1"/>
          <w:bCs w:val="1"/>
          <w:color w:val="auto"/>
        </w:rPr>
        <w:t xml:space="preserve">Impairment of Long-Lived Assets. </w:t>
      </w:r>
      <w:r>
        <w:rPr>
          <w:rFonts w:ascii="Courier New" w:cs="Courier New" w:eastAsia="Courier New" w:hAnsi="Courier New"/>
          <w:sz w:val="14"/>
          <w:szCs w:val="14"/>
          <w:color w:val="auto"/>
        </w:rPr>
        <w:t>The Company's long-lived assets include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property, plant and equipment. The recoverability of the long-term assets is 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The Company estimates that if the assets held for sale were classified as held and used, depreciation expense would have increased approximately $0.1 million during 2003. Future adverse changes in market conditions or adverse operating results of the underlying assets could result in the Company having to record additional impairment charges not previously recognized.</w:t>
      </w:r>
    </w:p>
    <w:p>
      <w:pPr>
        <w:spacing w:after="0" w:line="164"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b w:val="1"/>
          <w:bCs w:val="1"/>
          <w:color w:val="auto"/>
        </w:rPr>
        <w:t xml:space="preserve">Pension and Post-Retirement Obligations. </w:t>
      </w:r>
      <w:r>
        <w:rPr>
          <w:rFonts w:ascii="Courier New" w:cs="Courier New" w:eastAsia="Courier New" w:hAnsi="Courier New"/>
          <w:sz w:val="14"/>
          <w:szCs w:val="14"/>
          <w:color w:val="auto"/>
        </w:rPr>
        <w:t>The Company uses several assumptions in</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determining its periodic pension and post-retirement expense and obligations which are included in the Consolidated Financial Statements. These assumptions include determining an appropriate discount rate, rate of compensation increase as well as the remaining service period of active employees. The Company uses an independent actuary to calculate the periodic pension and post-retirement expense and obligations based upon these assumptions and actual employee census data.</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ectPr>
          <w:pgSz w:w="11900" w:h="16838"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Results of Operations</w:t>
      </w:r>
    </w:p>
    <w:p>
      <w:pPr>
        <w:sectPr>
          <w:pgSz w:w="11900" w:h="16838" w:orient="portrait"/>
          <w:cols w:equalWidth="0" w:num="1">
            <w:col w:w="10239"/>
          </w:cols>
          <w:pgMar w:left="220" w:top="141" w:right="1440" w:bottom="0" w:gutter="0" w:footer="0" w:header="0"/>
          <w:type w:val="continuous"/>
        </w:sectPr>
      </w:pPr>
    </w:p>
    <w:bookmarkStart w:id="15" w:name="page16"/>
    <w:bookmarkEnd w:id="15"/>
    <w:p>
      <w:pPr>
        <w:ind w:right="3439" w:firstLine="425"/>
        <w:spacing w:after="0" w:line="248" w:lineRule="auto"/>
        <w:rPr>
          <w:sz w:val="20"/>
          <w:szCs w:val="20"/>
          <w:color w:val="auto"/>
        </w:rPr>
      </w:pPr>
      <w:r>
        <w:rPr>
          <w:rFonts w:ascii="Courier New" w:cs="Courier New" w:eastAsia="Courier New" w:hAnsi="Courier New"/>
          <w:sz w:val="14"/>
          <w:szCs w:val="14"/>
          <w:color w:val="auto"/>
        </w:rPr>
        <w:t>The following table sets forth for the periods indicated selected financial data and the percentage of the Company's net sales represented by each income statement line item presented.</w:t>
      </w:r>
    </w:p>
    <w:p>
      <w:pPr>
        <w:spacing w:after="0" w:line="162" w:lineRule="exact"/>
        <w:rPr>
          <w:sz w:val="20"/>
          <w:szCs w:val="20"/>
          <w:color w:val="auto"/>
        </w:rPr>
      </w:pPr>
    </w:p>
    <w:p>
      <w:pPr>
        <w:ind w:left="5620"/>
        <w:spacing w:after="0"/>
        <w:rPr>
          <w:sz w:val="20"/>
          <w:szCs w:val="20"/>
          <w:color w:val="auto"/>
        </w:rPr>
      </w:pPr>
      <w:r>
        <w:rPr>
          <w:rFonts w:ascii="Courier New" w:cs="Courier New" w:eastAsia="Courier New" w:hAnsi="Courier New"/>
          <w:sz w:val="14"/>
          <w:szCs w:val="14"/>
          <w:b w:val="1"/>
          <w:bCs w:val="1"/>
          <w:color w:val="auto"/>
        </w:rPr>
        <w:t>As a percentage of Net Sales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940" w:type="dxa"/>
            <w:vAlign w:val="bottom"/>
          </w:tcPr>
          <w:p>
            <w:pPr>
              <w:spacing w:after="0"/>
              <w:rPr>
                <w:sz w:val="13"/>
                <w:szCs w:val="13"/>
                <w:color w:val="auto"/>
              </w:rPr>
            </w:pPr>
          </w:p>
        </w:tc>
        <w:tc>
          <w:tcPr>
            <w:tcW w:w="3640" w:type="dxa"/>
            <w:vAlign w:val="bottom"/>
            <w:gridSpan w:val="3"/>
          </w:tcPr>
          <w:p>
            <w:pPr>
              <w:jc w:val="right"/>
              <w:ind w:right="689"/>
              <w:spacing w:after="0"/>
              <w:rPr>
                <w:sz w:val="20"/>
                <w:szCs w:val="20"/>
                <w:color w:val="auto"/>
              </w:rPr>
            </w:pPr>
            <w:r>
              <w:rPr>
                <w:rFonts w:ascii="Courier New" w:cs="Courier New" w:eastAsia="Courier New" w:hAnsi="Courier New"/>
                <w:sz w:val="14"/>
                <w:szCs w:val="14"/>
                <w:b w:val="1"/>
                <w:bCs w:val="1"/>
                <w:color w:val="auto"/>
              </w:rPr>
              <w:t>Year Ended December 31,</w:t>
            </w:r>
          </w:p>
        </w:tc>
      </w:tr>
      <w:tr>
        <w:trPr>
          <w:trHeight w:val="327"/>
        </w:trPr>
        <w:tc>
          <w:tcPr>
            <w:tcW w:w="49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2003</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b w:val="1"/>
                <w:bCs w:val="1"/>
                <w:color w:val="auto"/>
              </w:rPr>
              <w:t>2002</w:t>
            </w:r>
          </w:p>
        </w:tc>
        <w:tc>
          <w:tcPr>
            <w:tcW w:w="1020" w:type="dxa"/>
            <w:vAlign w:val="bottom"/>
          </w:tcPr>
          <w:p>
            <w:pPr>
              <w:jc w:val="center"/>
              <w:ind w:left="129"/>
              <w:spacing w:after="0"/>
              <w:rPr>
                <w:sz w:val="20"/>
                <w:szCs w:val="20"/>
                <w:color w:val="auto"/>
              </w:rPr>
            </w:pPr>
            <w:r>
              <w:rPr>
                <w:rFonts w:ascii="Courier New" w:cs="Courier New" w:eastAsia="Courier New" w:hAnsi="Courier New"/>
                <w:sz w:val="14"/>
                <w:szCs w:val="14"/>
                <w:b w:val="1"/>
                <w:bCs w:val="1"/>
                <w:color w:val="auto"/>
              </w:rPr>
              <w:t>2001</w:t>
            </w:r>
          </w:p>
        </w:tc>
      </w:tr>
      <w:tr>
        <w:trPr>
          <w:trHeight w:val="163"/>
        </w:trPr>
        <w:tc>
          <w:tcPr>
            <w:tcW w:w="49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b w:val="1"/>
                <w:bCs w:val="1"/>
                <w:color w:val="auto"/>
              </w:rPr>
              <w:t>-----------</w:t>
            </w:r>
          </w:p>
        </w:tc>
        <w:tc>
          <w:tcPr>
            <w:tcW w:w="1020" w:type="dxa"/>
            <w:vAlign w:val="bottom"/>
          </w:tcPr>
          <w:p>
            <w:pPr>
              <w:jc w:val="center"/>
              <w:ind w:left="109"/>
              <w:spacing w:after="0"/>
              <w:rPr>
                <w:sz w:val="20"/>
                <w:szCs w:val="20"/>
                <w:color w:val="auto"/>
              </w:rPr>
            </w:pPr>
            <w:r>
              <w:rPr>
                <w:rFonts w:ascii="Courier New" w:cs="Courier New" w:eastAsia="Courier New" w:hAnsi="Courier New"/>
                <w:sz w:val="14"/>
                <w:szCs w:val="14"/>
                <w:b w:val="1"/>
                <w:bCs w:val="1"/>
                <w:color w:val="auto"/>
                <w:w w:val="99"/>
              </w:rPr>
              <w:t>----------</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100.0%</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100.0%</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100.0%</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Cost of product sold (exclusive of depreciation shown</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4940" w:type="dxa"/>
            <w:vAlign w:val="bottom"/>
          </w:tcPr>
          <w:p>
            <w:pPr>
              <w:ind w:left="260"/>
              <w:spacing w:after="0"/>
              <w:rPr>
                <w:sz w:val="20"/>
                <w:szCs w:val="20"/>
                <w:color w:val="auto"/>
              </w:rPr>
            </w:pPr>
            <w:r>
              <w:rPr>
                <w:rFonts w:ascii="Courier New" w:cs="Courier New" w:eastAsia="Courier New" w:hAnsi="Courier New"/>
                <w:sz w:val="14"/>
                <w:szCs w:val="14"/>
                <w:color w:val="auto"/>
              </w:rPr>
              <w:t>separately below)</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77.2</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74.8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76.2</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8.6</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5.4</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Restructuring and impairment costs</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0.7</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w:t>
            </w:r>
          </w:p>
        </w:tc>
      </w:tr>
      <w:tr>
        <w:trPr>
          <w:trHeight w:val="163"/>
        </w:trPr>
        <w:tc>
          <w:tcPr>
            <w:tcW w:w="49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109"/>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7.8</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Net gain on involuntary conversion</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(0.1)</w:t>
            </w:r>
          </w:p>
        </w:tc>
      </w:tr>
      <w:tr>
        <w:trPr>
          <w:trHeight w:val="163"/>
        </w:trPr>
        <w:tc>
          <w:tcPr>
            <w:tcW w:w="49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109"/>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8.8</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Minority interest in income of consolidated subsidiary</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0.3</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w:t>
            </w:r>
          </w:p>
        </w:tc>
      </w:tr>
      <w:tr>
        <w:trPr>
          <w:trHeight w:val="163"/>
        </w:trPr>
        <w:tc>
          <w:tcPr>
            <w:tcW w:w="49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109"/>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 in accounting</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4940" w:type="dxa"/>
            <w:vAlign w:val="bottom"/>
          </w:tcPr>
          <w:p>
            <w:pPr>
              <w:ind w:left="260"/>
              <w:spacing w:after="0"/>
              <w:rPr>
                <w:sz w:val="20"/>
                <w:szCs w:val="20"/>
                <w:color w:val="auto"/>
              </w:rPr>
            </w:pPr>
            <w:r>
              <w:rPr>
                <w:rFonts w:ascii="Courier New" w:cs="Courier New" w:eastAsia="Courier New" w:hAnsi="Courier New"/>
                <w:sz w:val="14"/>
                <w:szCs w:val="14"/>
                <w:color w:val="auto"/>
              </w:rPr>
              <w:t>principle</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4.0</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 net</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4940" w:type="dxa"/>
            <w:vAlign w:val="bottom"/>
          </w:tcPr>
          <w:p>
            <w:pPr>
              <w:ind w:left="260"/>
              <w:spacing w:after="0"/>
              <w:rPr>
                <w:sz w:val="20"/>
                <w:szCs w:val="20"/>
                <w:color w:val="auto"/>
              </w:rPr>
            </w:pPr>
            <w:r>
              <w:rPr>
                <w:rFonts w:ascii="Courier New" w:cs="Courier New" w:eastAsia="Courier New" w:hAnsi="Courier New"/>
                <w:sz w:val="14"/>
                <w:szCs w:val="14"/>
                <w:color w:val="auto"/>
              </w:rPr>
              <w:t>of income tax benefit of $112 and related minority</w:t>
            </w: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3"/>
        </w:trPr>
        <w:tc>
          <w:tcPr>
            <w:tcW w:w="4940" w:type="dxa"/>
            <w:vAlign w:val="bottom"/>
          </w:tcPr>
          <w:p>
            <w:pPr>
              <w:ind w:left="260"/>
              <w:spacing w:after="0"/>
              <w:rPr>
                <w:sz w:val="20"/>
                <w:szCs w:val="20"/>
                <w:color w:val="auto"/>
              </w:rPr>
            </w:pPr>
            <w:r>
              <w:rPr>
                <w:rFonts w:ascii="Courier New" w:cs="Courier New" w:eastAsia="Courier New" w:hAnsi="Courier New"/>
                <w:sz w:val="14"/>
                <w:szCs w:val="14"/>
                <w:color w:val="auto"/>
              </w:rPr>
              <w:t>interest impact of $84</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49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109"/>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49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4.0%</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w:t>
            </w:r>
          </w:p>
        </w:tc>
      </w:tr>
      <w:tr>
        <w:trPr>
          <w:trHeight w:val="163"/>
        </w:trPr>
        <w:tc>
          <w:tcPr>
            <w:tcW w:w="49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ind w:left="109"/>
              <w:spacing w:after="0"/>
              <w:rPr>
                <w:sz w:val="20"/>
                <w:szCs w:val="20"/>
                <w:color w:val="auto"/>
              </w:rPr>
            </w:pPr>
            <w:r>
              <w:rPr>
                <w:rFonts w:ascii="Courier New" w:cs="Courier New" w:eastAsia="Courier New" w:hAnsi="Courier New"/>
                <w:sz w:val="14"/>
                <w:szCs w:val="14"/>
                <w:color w:val="auto"/>
                <w:w w:val="99"/>
              </w:rPr>
              <w:t>==========</w:t>
            </w:r>
          </w:p>
        </w:tc>
      </w:tr>
    </w:tbl>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Off Balance Sheet Arrangements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We have operating lease commitments for machinery, office equipment, manufacturing and office space which expire on varying dates. The following is a schedule by year of future minimum lease payments as of December 31, 2003 under operating leases that have initial or remaining non-cancelable lease terms in excess of one year.</w:t>
      </w:r>
    </w:p>
    <w:p>
      <w:pPr>
        <w:spacing w:after="0" w:line="32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b w:val="1"/>
          <w:bCs w:val="1"/>
          <w:color w:val="auto"/>
        </w:rPr>
        <w:t>Year ended December 31,</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b w:val="1"/>
          <w:bCs w:val="1"/>
          <w:color w:val="auto"/>
        </w:rPr>
        <w:t>----------------------------------------------------------------</w:t>
      </w:r>
    </w:p>
    <w:p>
      <w:pPr>
        <w:spacing w:after="0" w:line="168" w:lineRule="exact"/>
        <w:rPr>
          <w:sz w:val="20"/>
          <w:szCs w:val="20"/>
          <w:color w:val="auto"/>
        </w:rPr>
      </w:pPr>
    </w:p>
    <w:tbl>
      <w:tblPr>
        <w:tblLayout w:type="fixed"/>
        <w:tblInd w:w="1120" w:type="dxa"/>
        <w:tblCellMar>
          <w:top w:w="0" w:type="dxa"/>
          <w:left w:w="0" w:type="dxa"/>
          <w:bottom w:w="0" w:type="dxa"/>
          <w:right w:w="0" w:type="dxa"/>
        </w:tblCellMar>
      </w:tblPr>
      <w:tr>
        <w:trPr>
          <w:trHeight w:val="160"/>
        </w:trPr>
        <w:tc>
          <w:tcPr>
            <w:tcW w:w="32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2,354</w:t>
            </w:r>
          </w:p>
        </w:tc>
      </w:tr>
      <w:tr>
        <w:trPr>
          <w:trHeight w:val="163"/>
        </w:trPr>
        <w:tc>
          <w:tcPr>
            <w:tcW w:w="32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72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2,086</w:t>
            </w:r>
          </w:p>
        </w:tc>
      </w:tr>
      <w:tr>
        <w:trPr>
          <w:trHeight w:val="163"/>
        </w:trPr>
        <w:tc>
          <w:tcPr>
            <w:tcW w:w="326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72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1,806</w:t>
            </w:r>
          </w:p>
        </w:tc>
      </w:tr>
      <w:tr>
        <w:trPr>
          <w:trHeight w:val="163"/>
        </w:trPr>
        <w:tc>
          <w:tcPr>
            <w:tcW w:w="326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72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1,770</w:t>
            </w:r>
          </w:p>
        </w:tc>
      </w:tr>
      <w:tr>
        <w:trPr>
          <w:trHeight w:val="163"/>
        </w:trPr>
        <w:tc>
          <w:tcPr>
            <w:tcW w:w="326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72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1,768</w:t>
            </w:r>
          </w:p>
        </w:tc>
      </w:tr>
      <w:tr>
        <w:trPr>
          <w:trHeight w:val="163"/>
        </w:trPr>
        <w:tc>
          <w:tcPr>
            <w:tcW w:w="32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72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17,263</w:t>
            </w:r>
          </w:p>
        </w:tc>
      </w:tr>
      <w:tr>
        <w:trPr>
          <w:trHeight w:val="163"/>
        </w:trPr>
        <w:tc>
          <w:tcPr>
            <w:tcW w:w="32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3260" w:type="dxa"/>
            <w:vAlign w:val="bottom"/>
          </w:tcPr>
          <w:p>
            <w:pPr>
              <w:ind w:left="500"/>
              <w:spacing w:after="0"/>
              <w:rPr>
                <w:sz w:val="20"/>
                <w:szCs w:val="20"/>
                <w:color w:val="auto"/>
              </w:rPr>
            </w:pPr>
            <w:r>
              <w:rPr>
                <w:rFonts w:ascii="Courier New" w:cs="Courier New" w:eastAsia="Courier New" w:hAnsi="Courier New"/>
                <w:sz w:val="14"/>
                <w:szCs w:val="14"/>
                <w:color w:val="auto"/>
              </w:rPr>
              <w:t>Total minimum lease payments</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27,046</w:t>
            </w:r>
          </w:p>
        </w:tc>
      </w:tr>
      <w:tr>
        <w:trPr>
          <w:trHeight w:val="163"/>
        </w:trPr>
        <w:tc>
          <w:tcPr>
            <w:tcW w:w="326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0"/>
        </w:trPr>
        <w:tc>
          <w:tcPr>
            <w:tcW w:w="3260" w:type="dxa"/>
            <w:vAlign w:val="bottom"/>
          </w:tcPr>
          <w:p>
            <w:pPr>
              <w:ind w:left="2200"/>
              <w:spacing w:after="0"/>
              <w:rPr>
                <w:sz w:val="20"/>
                <w:szCs w:val="20"/>
                <w:color w:val="auto"/>
              </w:rPr>
            </w:pPr>
            <w:r>
              <w:rPr>
                <w:rFonts w:ascii="Courier New" w:cs="Courier New" w:eastAsia="Courier New" w:hAnsi="Courier New"/>
                <w:sz w:val="14"/>
                <w:szCs w:val="14"/>
                <w:color w:val="auto"/>
              </w:rPr>
              <w:t>20</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285750</wp:posOffset>
            </wp:positionV>
            <wp:extent cx="729869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Year Ended December 31, 2003 Compared to the Year Ended December 31, 2002</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Net Sales. </w:t>
      </w:r>
      <w:r>
        <w:rPr>
          <w:rFonts w:ascii="Courier New" w:cs="Courier New" w:eastAsia="Courier New" w:hAnsi="Courier New"/>
          <w:sz w:val="14"/>
          <w:szCs w:val="14"/>
          <w:color w:val="auto"/>
        </w:rPr>
        <w:t>Our net sales increased by $60.6 million or 31.4% from $192.9</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million in 2002 to $253.5 million in 2003. Net sales of the NN Europe Segment increased $56.5 million or 62.3% from $90.7 million in 2002 to $147.2 million in 2003. Sales from our Veenendaal, The Netherlands tapered roller and metal retainer operation acquired on May 2, 2003 accounted for $35.1 million of the increase. Impacts of foreign currency translation within the NN Europe segment contributed $18.7 million of the increase. The remaining increase of $2.7 million is a result of increased product demand. Net sales of the Domestic Ball and Roller Segment increased $2.8 million or 5.3% from $52.6 million in 2002 to $55.4 million in 2003. Net sales of the Plastics and Rubber Components Segment increased $1.3 million or 2.7% from $49.6 million in 2002 to $50.9 million in 2003. Sales increases in these two segments are a result of increased product demand.</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Cost of Products Sold. </w:t>
      </w:r>
      <w:r>
        <w:rPr>
          <w:rFonts w:ascii="Courier New" w:cs="Courier New" w:eastAsia="Courier New" w:hAnsi="Courier New"/>
          <w:sz w:val="14"/>
          <w:szCs w:val="14"/>
          <w:color w:val="auto"/>
        </w:rPr>
        <w:t>Our cost of products sold increased by $51.3 million</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or 35.6% from $144.3 million in 2002 to $195.7 million in 2003. Cost of products sold of the NN Europe Segment increased $46.4 million or 68.4% from $67.9 million in 2002 to $114.3 million in 2003. Cost of products sold from our Veenendaal, The Netherlands operation accounted for $29.2 million of the increase and impacts of foreign currency translation accounted for $14.7 million of the increase. The remaining increase of $2.5 million within the NN Europe segment is principally attributed to increased product demands and material cost increases. Cost of products sold of the Domestic Ball and Roller Segment increased by $2.6 million due to production costs associated with increased product demand of approximately $1.9 million and increases in material costs and export costs of approximately $0.7 million. Cost of products sold of the Plastics and Rubber Components Segment increased $2.3 million due to production costs associated with increased product demand of approximately $1.0 million, $0.1 million related to inventory impairment charges due to the closing of our</w:t>
      </w:r>
    </w:p>
    <w:p>
      <w:pPr>
        <w:spacing w:after="0" w:line="1" w:lineRule="exact"/>
        <w:rPr>
          <w:sz w:val="20"/>
          <w:szCs w:val="20"/>
          <w:color w:val="auto"/>
        </w:rPr>
      </w:pPr>
    </w:p>
    <w:p>
      <w:pPr>
        <w:ind w:right="3439" w:firstLine="7"/>
        <w:spacing w:after="0" w:line="248" w:lineRule="auto"/>
        <w:tabs>
          <w:tab w:leader="none" w:pos="25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Arte business in Guadalajara, Mexico, and $1.2 million due to product mix and insurance expense increases. As a percentage of sales, cost of products sold increased from 74.8% in 2002 to 77.2% in 2003.</w:t>
      </w:r>
    </w:p>
    <w:p>
      <w:pPr>
        <w:sectPr>
          <w:pgSz w:w="11900" w:h="16838" w:orient="portrait"/>
          <w:cols w:equalWidth="0" w:num="1">
            <w:col w:w="10239"/>
          </w:cols>
          <w:pgMar w:left="220" w:top="305" w:right="1440" w:bottom="0" w:gutter="0" w:footer="0" w:header="0"/>
        </w:sectPr>
      </w:pPr>
    </w:p>
    <w:bookmarkStart w:id="16" w:name="page17"/>
    <w:bookmarkEnd w:id="16"/>
    <w:p>
      <w:pPr>
        <w:ind w:right="3439" w:firstLine="425"/>
        <w:spacing w:after="0" w:line="247" w:lineRule="auto"/>
        <w:rPr>
          <w:sz w:val="20"/>
          <w:szCs w:val="20"/>
          <w:color w:val="auto"/>
        </w:rPr>
      </w:pPr>
      <w:r>
        <w:rPr>
          <w:rFonts w:ascii="Courier New" w:cs="Courier New" w:eastAsia="Courier New" w:hAnsi="Courier New"/>
          <w:sz w:val="14"/>
          <w:szCs w:val="14"/>
          <w:color w:val="auto"/>
        </w:rPr>
        <w:t>The price of steel has risen over the last twelve to eighteen months with 2004 prices expected to reflect even greater increases. Prior to that time, steel prices had gradually declined since approximately 1997. The increase is principally due to general increases in global demand and, more recently, due to China's increased consumption of steel. This has had the impact of increasing scrap surcharges we pay in procuring our steel. Our contracts with key customers allow us to pass a majority of the steel price increases we incur on to those customers. However, by contract, material price changes in any given year are passed along with price adjustments in January of the following year. Until the current increases are able to be passed through to our customers, income from operations, net income and cash flow from operations will be adversely affected.</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Selling, General and Administrative Expenses. </w:t>
      </w:r>
      <w:r>
        <w:rPr>
          <w:rFonts w:ascii="Courier New" w:cs="Courier New" w:eastAsia="Courier New" w:hAnsi="Courier New"/>
          <w:sz w:val="14"/>
          <w:szCs w:val="14"/>
          <w:color w:val="auto"/>
        </w:rPr>
        <w:t>Selling, general and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administrative expenses increased by $4.6 million or 26.7% from $17.1 million during 2002 to $21.7 million during 2003. Selling, general and administrative expenses of the NN Europe Segment increased $3.8 million principally due to the acquisition of Veenendaal on May 2, 2003 contributing $2.6 million of the increase and impacts of foreign currency translation accounting for $1.5 million of the increase, offset by decreased spending of $0.2 million. Selling, general and administrative expenses of the Domestic Ball and Roller Segment increased by $0.9 million over 2002 spending levels. The increase is attributed to non-cash compensation charges associated with a portion of employee stock options accounted for under the variable accounting method of $0.4 million, certain audit and legal charges of $0.3 million and corporate development initiatives of $0.2 million. Selling, general and administrative expenses decreased by $0.1 million within the Plastic and Rubber Components Segment. As a percentage of net sales, selling, general and administrative costs decreased from 8.9% in 2002 to 8.6% in 2003.</w:t>
      </w:r>
    </w:p>
    <w:p>
      <w:pPr>
        <w:spacing w:after="0" w:line="165"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Depreciation and Amortization. </w:t>
      </w:r>
      <w:r>
        <w:rPr>
          <w:rFonts w:ascii="Courier New" w:cs="Courier New" w:eastAsia="Courier New" w:hAnsi="Courier New"/>
          <w:sz w:val="14"/>
          <w:szCs w:val="14"/>
          <w:color w:val="auto"/>
        </w:rPr>
        <w:t>Depreciation and amortization expense</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increased $2.6 million or 23.4% from $11.2 million in 2002 to $13.8 million in 2003. Depreciation and amortization expense of the NN Europe Segment increased $2.8 million. Of this amount, $1.5 million is related to the acquisition of Veenendaal on May 2, 2003 and impacts of foreign currency translation accounting for $1.0 million of the increase. The other $0.1 million is related to capital spending increases. Offsetting this amount was a decrease in depreciation and amortization expense in the Plastic and Rubber Components Segment of $0.2 million related to decreased capital spending within this segment. There was no change to depreciation and amortization expense within the Domestic Ball and Roller Segment.</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Interest Expense. </w:t>
      </w:r>
      <w:r>
        <w:rPr>
          <w:rFonts w:ascii="Courier New" w:cs="Courier New" w:eastAsia="Courier New" w:hAnsi="Courier New"/>
          <w:sz w:val="14"/>
          <w:szCs w:val="14"/>
          <w:color w:val="auto"/>
        </w:rPr>
        <w:t>Interest expense increased $0.8 million or 32.5% from</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$2.5 million in 2002 to $3.3 million in 2003. Interest expense increased $0.9 million related to additional borrowings necessary to fund the May 2, 2003 acquisition of Veenendaal and $0.8 million related to the purchase of the minority interests in Euroball held by INA/FAG and SKF on December 20, 2002 and May 2, 2003, respectively. Offsetting these increases was a decrease interest expense of $0.9 million due to debt principal payments and decreased interest rates.</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Minority Interest in Consolidated Subsidiary. </w:t>
      </w:r>
      <w:r>
        <w:rPr>
          <w:rFonts w:ascii="Courier New" w:cs="Courier New" w:eastAsia="Courier New" w:hAnsi="Courier New"/>
          <w:sz w:val="14"/>
          <w:szCs w:val="14"/>
          <w:color w:val="auto"/>
        </w:rPr>
        <w:t>Minority interest in</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consolidated subsidiary decreased $2.1 million or 75.7% from $2.8 million in 2002 to $0.7 million in 2003. The decrease is attributed to the purchase of the minority interests in Euroball held by INA/FAG and SKF on December 20, 2002 and May 2, 2003, respectively. As of May 2, 2003 we became the sole owner of Euroball.</w:t>
      </w:r>
    </w:p>
    <w:p>
      <w:pPr>
        <w:spacing w:after="0" w:line="164" w:lineRule="exact"/>
        <w:rPr>
          <w:sz w:val="20"/>
          <w:szCs w:val="20"/>
          <w:color w:val="auto"/>
        </w:rPr>
      </w:pPr>
    </w:p>
    <w:p>
      <w:pPr>
        <w:jc w:val="both"/>
        <w:ind w:right="3439" w:firstLine="425"/>
        <w:spacing w:after="0" w:line="248" w:lineRule="auto"/>
        <w:rPr>
          <w:sz w:val="20"/>
          <w:szCs w:val="20"/>
          <w:color w:val="auto"/>
        </w:rPr>
      </w:pPr>
      <w:r>
        <w:rPr>
          <w:rFonts w:ascii="Courier New" w:cs="Courier New" w:eastAsia="Courier New" w:hAnsi="Courier New"/>
          <w:sz w:val="14"/>
          <w:szCs w:val="14"/>
          <w:i w:val="1"/>
          <w:iCs w:val="1"/>
          <w:color w:val="auto"/>
        </w:rPr>
        <w:t xml:space="preserve">Net Income. </w:t>
      </w:r>
      <w:r>
        <w:rPr>
          <w:rFonts w:ascii="Courier New" w:cs="Courier New" w:eastAsia="Courier New" w:hAnsi="Courier New"/>
          <w:sz w:val="14"/>
          <w:szCs w:val="14"/>
          <w:color w:val="auto"/>
        </w:rPr>
        <w:t>Net income increased $2.4 million or 31.2% from $7.8 million in</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2002 to $10.2 million in 2003. As a percentage of net sales, net income was 4.0% in both 2002 and 2003.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Year Ended December 31, 2002 Compared to the Year Ended December 31, 2001</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i w:val="1"/>
          <w:iCs w:val="1"/>
          <w:color w:val="auto"/>
        </w:rPr>
        <w:t xml:space="preserve">Net Sales. </w:t>
      </w:r>
      <w:r>
        <w:rPr>
          <w:rFonts w:ascii="Courier New" w:cs="Courier New" w:eastAsia="Courier New" w:hAnsi="Courier New"/>
          <w:sz w:val="14"/>
          <w:szCs w:val="14"/>
          <w:color w:val="auto"/>
        </w:rPr>
        <w:t>The Company's net sales increased $12.7 million or 7.1%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$180.2 million in 2001 to $192.9 million in 2002. The inclusion of a full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Delta contributed $2.5 million of the increase. Increased demand and new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programs within the Plastic and Rubber Components Segment contributed $6.3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of the increase. Additionally, the impact of foreign currency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translation within the NN Europe Segment contributed $4.5 million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addition to these increases were contractual price decreases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modest volume improvements in the NN Europe Segment resulting in a net decrease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$0.6 million.</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Cost of Products Sold. </w:t>
      </w:r>
      <w:r>
        <w:rPr>
          <w:rFonts w:ascii="Courier New" w:cs="Courier New" w:eastAsia="Courier New" w:hAnsi="Courier New"/>
          <w:sz w:val="14"/>
          <w:szCs w:val="14"/>
          <w:color w:val="auto"/>
        </w:rPr>
        <w:t>Cost of products sold increased by $7.1 million, or</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5.1%, from $137.2 million in 2001 to $144.3 million in 2002. The inclusion of a full year of Delta, acquired in February, 2001, contributed $5.1 million of the increase. Additionally, increases in demand within the Plastics and Rubber Components Segment, offset by cost reduction efforts, increased cost of products sold by $1.4 million. Impacts related to foreign currency translation increased cost of products sold in the NN Europe Segment by $3.3 million which was offset, in part, by cost reduction programs of $2.2 million. Additionally, within the Domestic Ball and Roller Segment principally related to the closing of our Walterboro, South Carolina ball production facility cost of products sold decreased $0.5 million. As a percentage of net sales, cost of products sold decreased from 76.2% in 2001 to 74.8% in 2002.</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Selling, General and Administrative Expenses. </w:t>
      </w:r>
      <w:r>
        <w:rPr>
          <w:rFonts w:ascii="Courier New" w:cs="Courier New" w:eastAsia="Courier New" w:hAnsi="Courier New"/>
          <w:sz w:val="14"/>
          <w:szCs w:val="14"/>
          <w:color w:val="auto"/>
        </w:rPr>
        <w:t>Selling, general and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administrative costs increased by $0.4 million, or 2.3%, from $16.8 million in 2001 to $17.1 million in 2002. The inclusion of a full year of Delta contributed $0.1 million of the increase. Advisory services principally associated with the previously announced desire of certain original founders of the Company to liquidate their holdings in the Company's stock contributed $0.3 million of the</w:t>
      </w:r>
    </w:p>
    <w:p>
      <w:pPr>
        <w:sectPr>
          <w:pgSz w:w="11900" w:h="16838" w:orient="portrait"/>
          <w:cols w:equalWidth="0" w:num="1">
            <w:col w:w="10239"/>
          </w:cols>
          <w:pgMar w:left="220" w:top="305" w:right="1440" w:bottom="0" w:gutter="0" w:footer="0" w:header="0"/>
        </w:sectPr>
      </w:pPr>
    </w:p>
    <w:bookmarkStart w:id="17" w:name="page18"/>
    <w:bookmarkEnd w:id="17"/>
    <w:p>
      <w:pPr>
        <w:ind w:right="3439"/>
        <w:spacing w:after="0" w:line="247" w:lineRule="auto"/>
        <w:rPr>
          <w:sz w:val="20"/>
          <w:szCs w:val="20"/>
          <w:color w:val="auto"/>
        </w:rPr>
      </w:pPr>
      <w:r>
        <w:rPr>
          <w:rFonts w:ascii="Courier New" w:cs="Courier New" w:eastAsia="Courier New" w:hAnsi="Courier New"/>
          <w:sz w:val="14"/>
          <w:szCs w:val="14"/>
          <w:color w:val="auto"/>
        </w:rPr>
        <w:t>increase. Other increases totaling $0.5 million are primarily attributable to incentive based compensation throughout the Company and initiatives at Euroball. Offsetting these increases were decreased spending of approximately $0.8 million related to bad debt expense primarily related to the bankruptcy filing of a major Plastics Segment customer in 2001. As a percentage of net sales, selling, general and administrative expenses decreased from 9.3% in 2001 to 8.9% in 2002.</w:t>
      </w:r>
    </w:p>
    <w:p>
      <w:pPr>
        <w:spacing w:after="0" w:line="164"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Depreciation and Amortization. </w:t>
      </w:r>
      <w:r>
        <w:rPr>
          <w:rFonts w:ascii="Courier New" w:cs="Courier New" w:eastAsia="Courier New" w:hAnsi="Courier New"/>
          <w:sz w:val="14"/>
          <w:szCs w:val="14"/>
          <w:color w:val="auto"/>
        </w:rPr>
        <w:t>Depreciation and amortization expenses</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decreased by $2.0 million from $13.2 million in 2001 to $11.2 million in 2002. The adoption of FASB Statement No. 142 eliminated the amortization of goodwill and contributed $1.8 million of the decrease. The assets held for sale as a result of the closing of the Walterboro, South Carolina ball production facility, which are no longer depreciated, contributed $0.9 million of the decrease. Offsetting these decreases, were a full year of depreciation of Delta assets contributing $0.3 million and currency impacts at Euroball contributing $0.3 million. As a percentage of sales, depreciation and amortization decreased from 7.3% in 2001 to 5.8% in 2002.</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Restructuring and Impairment Costs. </w:t>
      </w:r>
      <w:r>
        <w:rPr>
          <w:rFonts w:ascii="Courier New" w:cs="Courier New" w:eastAsia="Courier New" w:hAnsi="Courier New"/>
          <w:sz w:val="14"/>
          <w:szCs w:val="14"/>
          <w:color w:val="auto"/>
        </w:rPr>
        <w:t>Restructuring and impairment costs</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decreased by $1.0 million from $2.3 million in 2001 to $1.3 million in 2002. The Company incurred a charge for the recording of impairment on the Company's manufacturing facility and equipment in Walterboro, South Carolina of $1.2 million and $1.1 million in 2002 and 2001, respectively. A charge of $0.1 million and $0.8 million was recorded in 2002 and 2001, respectively, associated with employee severance costs related to the closing of the Walterboro, South Carolina facility. Additionally, charges related to Euroball of $0 million and $0.4 million were recorded in 2002 and 2001, respectively. Restructuring and impairment charges were 0.7% of sales in 2002 and 1.3% of sales in 2001.</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Interest Expense. </w:t>
      </w:r>
      <w:r>
        <w:rPr>
          <w:rFonts w:ascii="Courier New" w:cs="Courier New" w:eastAsia="Courier New" w:hAnsi="Courier New"/>
          <w:sz w:val="14"/>
          <w:szCs w:val="14"/>
          <w:color w:val="auto"/>
        </w:rPr>
        <w:t>Interest expense decreased by $1.7 million from $4.2</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million in 2001 to $2.5 million in 2002. The decrease is principally attributed to the decrease in interest rates and decreased average debt levels in 2002. See "Management's Discussion and Analysis of Financial Condition and Results of Operations - Liquidity and Capital Resources".</w:t>
      </w:r>
    </w:p>
    <w:p>
      <w:pPr>
        <w:spacing w:after="0" w:line="164" w:lineRule="exact"/>
        <w:rPr>
          <w:sz w:val="20"/>
          <w:szCs w:val="20"/>
          <w:color w:val="auto"/>
        </w:rPr>
      </w:pPr>
    </w:p>
    <w:p>
      <w:pPr>
        <w:jc w:val="both"/>
        <w:ind w:right="3519" w:firstLine="425"/>
        <w:spacing w:after="0" w:line="248" w:lineRule="auto"/>
        <w:rPr>
          <w:sz w:val="20"/>
          <w:szCs w:val="20"/>
          <w:color w:val="auto"/>
        </w:rPr>
      </w:pPr>
      <w:r>
        <w:rPr>
          <w:rFonts w:ascii="Courier New" w:cs="Courier New" w:eastAsia="Courier New" w:hAnsi="Courier New"/>
          <w:sz w:val="14"/>
          <w:szCs w:val="14"/>
          <w:i w:val="1"/>
          <w:iCs w:val="1"/>
          <w:color w:val="auto"/>
        </w:rPr>
        <w:t xml:space="preserve">Net Gain on Involuntary Conversion. </w:t>
      </w:r>
      <w:r>
        <w:rPr>
          <w:rFonts w:ascii="Courier New" w:cs="Courier New" w:eastAsia="Courier New" w:hAnsi="Courier New"/>
          <w:sz w:val="14"/>
          <w:szCs w:val="14"/>
          <w:color w:val="auto"/>
        </w:rPr>
        <w:t>The Company had a gain on involuntary</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conversion of $3.9 million in 2001 related to insurance proceeds as a result of the March 12, 2000 fire at the Erwin production facility.</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Minority Interest in Consolidated Subsidiary. </w:t>
      </w:r>
      <w:r>
        <w:rPr>
          <w:rFonts w:ascii="Courier New" w:cs="Courier New" w:eastAsia="Courier New" w:hAnsi="Courier New"/>
          <w:sz w:val="14"/>
          <w:szCs w:val="14"/>
          <w:color w:val="auto"/>
        </w:rPr>
        <w:t>Minority interest of</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consolidated subsidiary increased $1.0 million from $1.8 million in 2001 to $2.8 million in 2002. This increase is due entirely to the Euroball joint venture which has been consolidated since its formation, August 1, 2000. The Company is required to consolidate Euroball in its Consolidated Financial Statements due to its majority ownership. At December 31, 2002, the Company owned 77% of the shares of the joint venture with the remaining minority partner owning the remaining 23%. Minority interest in consolidated subsidiary represents the combined interest in Euroball's earnings of the minority partners and the 49% interest in NN Arte's earnings of the minority partner (the 49% interest in NN Arte's earning is zero in 2002 and 2001). See "Management's Discussion and Analysis of Financial Condition and Results of Operations - Overview".</w:t>
      </w:r>
    </w:p>
    <w:p>
      <w:pPr>
        <w:spacing w:after="0" w:line="164" w:lineRule="exact"/>
        <w:rPr>
          <w:sz w:val="20"/>
          <w:szCs w:val="20"/>
          <w:color w:val="auto"/>
        </w:rPr>
      </w:pPr>
    </w:p>
    <w:p>
      <w:pPr>
        <w:ind w:right="3599" w:firstLine="425"/>
        <w:spacing w:after="0" w:line="248" w:lineRule="auto"/>
        <w:rPr>
          <w:sz w:val="20"/>
          <w:szCs w:val="20"/>
          <w:color w:val="auto"/>
        </w:rPr>
      </w:pPr>
      <w:r>
        <w:rPr>
          <w:rFonts w:ascii="Courier New" w:cs="Courier New" w:eastAsia="Courier New" w:hAnsi="Courier New"/>
          <w:sz w:val="14"/>
          <w:szCs w:val="14"/>
          <w:i w:val="1"/>
          <w:iCs w:val="1"/>
          <w:color w:val="auto"/>
        </w:rPr>
        <w:t xml:space="preserve">Net Income. </w:t>
      </w:r>
      <w:r>
        <w:rPr>
          <w:rFonts w:ascii="Courier New" w:cs="Courier New" w:eastAsia="Courier New" w:hAnsi="Courier New"/>
          <w:sz w:val="14"/>
          <w:szCs w:val="14"/>
          <w:color w:val="auto"/>
        </w:rPr>
        <w:t>Net income increased $3.0 million, or 66.5% from $4.8 million</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in 2001 to $7.8 million in 2002. As a percentage of net sales, net income increased from 2.6% in 2001 to 4.0% in 2002.</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b w:val="1"/>
          <w:bCs w:val="1"/>
          <w:color w:val="auto"/>
        </w:rPr>
        <w:t>Liquidity and Capital Resources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On May 1, 2003 in connection with the purchase of SKF's Veenendaal component manufacturing operations and SKF's 23 percent interest in Euroball, we entered into a new $90 million syndicated credit facility with AmSouth Bank ("AmSouth") as the administrative agent and Suntrust Bank as the Euro loan agent for the lenders under which we borrowed $60.4 million and 26.3 million Euros ($29.6 million). This new financing arrangement replaces our prior credit facility with AmSouth and Hypo Vereinsbank Luxembourg, S.A. The credit facility consists of a $30.0 million revolver expiring on March 1, 2005, bearing interest at a floating rate equal to LIBOR (1.15% at December 31, 2003) plus an applicable margin of 1.25 to 2.0, a $30.4 million term loan expiring on May 1, 2008, bearing interest at a floating rate equal to LIBOR (1.15% at December 31, 2003) plus an applicable margin of 1.25 to 2.0 and a 26.3 million ($29.6 million) Euros term loan expiring on May 1, 2008 which bears interest at a floating rate equal to Euro LIBOR (2.12% at December 31, 2003) plus an applicable margin of 1.25 to 2.0. The loan agreement contains customary financial and non-financial covenants. Such covenants specify that we must maintain a minimum fixed charge coverage ratio, must not exceed a maximum funded indebtedness to EBITDA ratio as well as a maximum funded indebtedness to capitalization ratio and limits the amount of capital expenditures we may make in any fiscal year.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credit agreement is un-collateralized except for the pledge of stock of certain foreign subsidiaries. Additionally, the terms of our revolving credit facility restrict the declaration and payment of dividends in excess of certain amounts specified in the credit agreement. As of December 31, 2003, we were not in compliance with certain technical, non-financial covenants. Subsequently, the necessary waivers, effective as of December 31, 2003, have been received from the participating banks. Except for certain technical, non-financial covenants, we were in compliance with all such covenants as of December 31, 2003. In connection with this refinancing, capitalized costs in the amount of approximately $0.5 million associated with the paid-off credit facilities were written-off and are included as a component of other (income) expense. We incurred approximately $0.9 million</w:t>
      </w:r>
    </w:p>
    <w:p>
      <w:pPr>
        <w:sectPr>
          <w:pgSz w:w="11900" w:h="16838" w:orient="portrait"/>
          <w:cols w:equalWidth="0" w:num="1">
            <w:col w:w="10239"/>
          </w:cols>
          <w:pgMar w:left="220" w:top="141"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of debt issue costs as a result of entering into this credit facility.</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During May 2003, we completed a public offering of 3.6 million shares of our stock by a group of selling shareholders. We did not receive any proceeds from the sale of the shares previously held by the group of selling shareholders, however, the underwriters did exercise their over-allotment option of 533,600 shares, which were offered by us. Net proceeds received by us in connection with the exercise of the over-allotment option were approximately $5.1 million, net of issue costs. Per the terms of our credit facility, we repaid a portion of our credit facility with these proceeds.</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To date, cash generated by NN Europe and its subsidiaries has been used exclusively for general, NN Europe-specific purposes including investments in property, plant and equipment and prepayment of the Euro term loan, which is secured by NN Europe and its subsidiaries. Accordingly, no dividends have been declared or paid by NN Europe that may have been used by the Company to pay down our domestic credit facilities.</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90 or 120 days following the date of shipment. Under the Domestic Ball and Roller Segments inventory management program with certain European customers, payments typically are due within 30 days after the customer uses the product. The Company's sales and receivables can be influenced by seasonality due to the Company's relative percentage of European business coupled with many foreign customers ceasing production during the month of August. For information concerning the Company's quarterly results of operations for the years ended December 31, 2003 and 2002, see Note 15 of the Notes to Consolidated Financial Statements.</w:t>
      </w: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519" w:firstLine="425"/>
        <w:spacing w:after="0" w:line="247" w:lineRule="auto"/>
        <w:rPr>
          <w:sz w:val="20"/>
          <w:szCs w:val="20"/>
          <w:color w:val="auto"/>
        </w:rPr>
      </w:pPr>
      <w:r>
        <w:rPr>
          <w:rFonts w:ascii="Courier New" w:cs="Courier New" w:eastAsia="Courier New" w:hAnsi="Courier New"/>
          <w:sz w:val="14"/>
          <w:szCs w:val="14"/>
          <w:color w:val="auto"/>
        </w:rPr>
        <w:t>The Company bills and receives payment from some of its foreign customers in Euro as well as other currencies. To date, the Company has not been materially adversely affected by currency fluctuations or foreign exchange restrictions. Nonetheless, as a result of these sales, the Company's foreign exchange transaction and translation risk has increased. Various strategies to manage this risk are available to management including producing and selling in local currencies and hedging programs. As of December 31, 2003, no currency hedges were in place. In addition, a strengthening of the U.S. dollar and/or Euro against foreign currencies could impair the ability of the Company to compete with international competitors for foreign as well as domestic sales.</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Working capital, which consists principally of accounts receivable and inventories, was $25.7 million at December 31, 2003 as compared to $21.2 million at December 31, 2002 and $23.1 million at December 31, 2001. The ratio of current assets to current liabilities decreased from 1.71:1 at December 31, 2001 to 1.53:1 at December 31, 2002 and to 1.41:1 at December 31, 2003. Cash flow from operations decreased to $19.6 million during 2003 from $31.1 million during 2002 and $24.6 million during 2001. Contributing to this change were initial working capital requirements at our Veenendaal operation acquired in May 2003 of approximately $2.7 million, increased working capital requirements, principally inventory and accounts receivable, due to the geographic expansion of the customer base, principally within the Domestic Ball and Roller Segment of approximately $5.6 million and increased working capital requirements within NN Europe and Plastics and Rubber Components Segment of approximately $0.9 million and $2.3 million, respectively.</w:t>
      </w:r>
    </w:p>
    <w:p>
      <w:pPr>
        <w:spacing w:after="0" w:line="32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During 2004, we plan to spend approximately $9.0 million on capital expenditures related primarily to equipment and process upgrades and replacements and approximately $5.0 million principally related to geographic expansion of our manufacturing base. We intend to finance these activities with cash generated from operations and funds available under our credit facilities. The Company believes that funds generated from operations and borrowings will be sufficient to finance the Company's working capital needs and projected capital expenditure requirements through December 2004.</w:t>
      </w:r>
    </w:p>
    <w:p>
      <w:pPr>
        <w:spacing w:after="0" w:line="164" w:lineRule="exact"/>
        <w:rPr>
          <w:sz w:val="20"/>
          <w:szCs w:val="20"/>
          <w:color w:val="auto"/>
        </w:rPr>
      </w:pPr>
    </w:p>
    <w:p>
      <w:pPr>
        <w:ind w:right="3439" w:firstLine="425"/>
        <w:spacing w:after="0" w:line="249" w:lineRule="auto"/>
        <w:rPr>
          <w:sz w:val="20"/>
          <w:szCs w:val="20"/>
          <w:color w:val="auto"/>
        </w:rPr>
      </w:pPr>
      <w:r>
        <w:rPr>
          <w:rFonts w:ascii="Courier New" w:cs="Courier New" w:eastAsia="Courier New" w:hAnsi="Courier New"/>
          <w:sz w:val="14"/>
          <w:szCs w:val="14"/>
          <w:color w:val="auto"/>
        </w:rPr>
        <w:t>The table below sets forth certain of the Company's contractual obligations and commercial commitments as of December 31, 2003:</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00" w:right="3599" w:firstLine="679"/>
        <w:spacing w:after="0" w:line="244" w:lineRule="auto"/>
        <w:rPr>
          <w:sz w:val="20"/>
          <w:szCs w:val="20"/>
          <w:color w:val="auto"/>
        </w:rPr>
      </w:pPr>
      <w:r>
        <w:rPr>
          <w:rFonts w:ascii="Courier New" w:cs="Courier New" w:eastAsia="Courier New" w:hAnsi="Courier New"/>
          <w:sz w:val="14"/>
          <w:szCs w:val="14"/>
          <w:color w:val="auto"/>
        </w:rPr>
        <w:t>Certain Payments Due by Period Contractual Obligations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340" w:type="dxa"/>
            <w:vAlign w:val="bottom"/>
          </w:tcPr>
          <w:p>
            <w:pPr>
              <w:spacing w:after="0"/>
              <w:rPr>
                <w:sz w:val="13"/>
                <w:szCs w:val="13"/>
                <w:color w:val="auto"/>
              </w:rPr>
            </w:pPr>
          </w:p>
        </w:tc>
        <w:tc>
          <w:tcPr>
            <w:tcW w:w="144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Total</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Less than 1</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 years</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3-5 years</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After 5 years</w:t>
            </w:r>
          </w:p>
        </w:tc>
      </w:tr>
      <w:tr>
        <w:trPr>
          <w:trHeight w:val="163"/>
        </w:trPr>
        <w:tc>
          <w:tcPr>
            <w:tcW w:w="2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year</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7860" w:type="dxa"/>
            <w:vAlign w:val="bottom"/>
            <w:gridSpan w:val="5"/>
          </w:tcPr>
          <w:p>
            <w:pPr>
              <w:spacing w:after="0"/>
              <w:rPr>
                <w:sz w:val="20"/>
                <w:szCs w:val="20"/>
                <w:color w:val="auto"/>
              </w:rPr>
            </w:pPr>
            <w:r>
              <w:rPr>
                <w:rFonts w:ascii="Courier New" w:cs="Courier New" w:eastAsia="Courier New" w:hAnsi="Courier New"/>
                <w:sz w:val="14"/>
                <w:szCs w:val="14"/>
                <w:color w:val="auto"/>
              </w:rPr>
              <w:t>=========================== ================ ============== ================ ===============</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4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$ 82,477</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$ 12,725</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$ 55,450</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$ 14,302</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7860" w:type="dxa"/>
            <w:vAlign w:val="bottom"/>
            <w:gridSpan w:val="5"/>
          </w:tcPr>
          <w:p>
            <w:pPr>
              <w:spacing w:after="0"/>
              <w:rPr>
                <w:sz w:val="20"/>
                <w:szCs w:val="20"/>
                <w:color w:val="auto"/>
              </w:rPr>
            </w:pPr>
            <w:r>
              <w:rPr>
                <w:rFonts w:ascii="Courier New" w:cs="Courier New" w:eastAsia="Courier New" w:hAnsi="Courier New"/>
                <w:sz w:val="14"/>
                <w:szCs w:val="14"/>
                <w:color w:val="auto"/>
              </w:rPr>
              <w:t>=========================== ================ ============== ================ ===============</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14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2,000</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2,000</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7860" w:type="dxa"/>
            <w:vAlign w:val="bottom"/>
            <w:gridSpan w:val="5"/>
          </w:tcPr>
          <w:p>
            <w:pPr>
              <w:spacing w:after="0"/>
              <w:rPr>
                <w:sz w:val="20"/>
                <w:szCs w:val="20"/>
                <w:color w:val="auto"/>
              </w:rPr>
            </w:pPr>
            <w:r>
              <w:rPr>
                <w:rFonts w:ascii="Courier New" w:cs="Courier New" w:eastAsia="Courier New" w:hAnsi="Courier New"/>
                <w:sz w:val="14"/>
                <w:szCs w:val="14"/>
                <w:color w:val="auto"/>
              </w:rPr>
              <w:t>=========================== ================ ============== ================ ===============</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Operating Leases</w:t>
            </w:r>
          </w:p>
        </w:tc>
        <w:tc>
          <w:tcPr>
            <w:tcW w:w="14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27,047</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2,354</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3,892</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3,538</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17,263</w:t>
            </w:r>
          </w:p>
        </w:tc>
      </w:tr>
      <w:tr>
        <w:trPr>
          <w:trHeight w:val="163"/>
        </w:trPr>
        <w:tc>
          <w:tcPr>
            <w:tcW w:w="7860" w:type="dxa"/>
            <w:vAlign w:val="bottom"/>
            <w:gridSpan w:val="5"/>
          </w:tcPr>
          <w:p>
            <w:pPr>
              <w:spacing w:after="0"/>
              <w:rPr>
                <w:sz w:val="20"/>
                <w:szCs w:val="20"/>
                <w:color w:val="auto"/>
              </w:rPr>
            </w:pPr>
            <w:r>
              <w:rPr>
                <w:rFonts w:ascii="Courier New" w:cs="Courier New" w:eastAsia="Courier New" w:hAnsi="Courier New"/>
                <w:sz w:val="14"/>
                <w:szCs w:val="14"/>
                <w:color w:val="auto"/>
              </w:rPr>
              <w:t>=========================== ================ ============== ================ ===============</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Other Long-Term</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Obligations</w:t>
            </w:r>
          </w:p>
        </w:tc>
        <w:tc>
          <w:tcPr>
            <w:tcW w:w="14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47,751</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23,639</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24,112</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7860" w:type="dxa"/>
            <w:vAlign w:val="bottom"/>
            <w:gridSpan w:val="5"/>
          </w:tcPr>
          <w:p>
            <w:pPr>
              <w:spacing w:after="0"/>
              <w:rPr>
                <w:sz w:val="20"/>
                <w:szCs w:val="20"/>
                <w:color w:val="auto"/>
              </w:rPr>
            </w:pPr>
            <w:r>
              <w:rPr>
                <w:rFonts w:ascii="Courier New" w:cs="Courier New" w:eastAsia="Courier New" w:hAnsi="Courier New"/>
                <w:sz w:val="14"/>
                <w:szCs w:val="14"/>
                <w:color w:val="auto"/>
              </w:rPr>
              <w:t>=========================== ================ ============== ================ ===============</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 Contractual Cash</w:t>
            </w:r>
          </w:p>
        </w:tc>
        <w:tc>
          <w:tcPr>
            <w:tcW w:w="14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$159,275</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$ 40,718</w:t>
            </w:r>
          </w:p>
        </w:tc>
        <w:tc>
          <w:tcPr>
            <w:tcW w:w="14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$ 83,454</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$ 17,840</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$ 17,263</w:t>
            </w:r>
          </w:p>
        </w:tc>
      </w:tr>
      <w:tr>
        <w:trPr>
          <w:trHeight w:val="163"/>
        </w:trPr>
        <w:tc>
          <w:tcPr>
            <w:tcW w:w="2340" w:type="dxa"/>
            <w:vAlign w:val="bottom"/>
          </w:tcPr>
          <w:p>
            <w:pPr>
              <w:spacing w:after="0"/>
              <w:rPr>
                <w:sz w:val="20"/>
                <w:szCs w:val="20"/>
                <w:color w:val="auto"/>
              </w:rPr>
            </w:pPr>
            <w:r>
              <w:rPr>
                <w:rFonts w:ascii="Courier New" w:cs="Courier New" w:eastAsia="Courier New" w:hAnsi="Courier New"/>
                <w:sz w:val="14"/>
                <w:szCs w:val="14"/>
                <w:color w:val="auto"/>
              </w:rPr>
              <w:t>Obligations</w:t>
            </w: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7860" w:type="dxa"/>
            <w:vAlign w:val="bottom"/>
            <w:gridSpan w:val="5"/>
          </w:tcPr>
          <w:p>
            <w:pPr>
              <w:spacing w:after="0"/>
              <w:rPr>
                <w:sz w:val="20"/>
                <w:szCs w:val="20"/>
                <w:color w:val="auto"/>
              </w:rPr>
            </w:pPr>
            <w:r>
              <w:rPr>
                <w:rFonts w:ascii="Courier New" w:cs="Courier New" w:eastAsia="Courier New" w:hAnsi="Courier New"/>
                <w:sz w:val="14"/>
                <w:szCs w:val="14"/>
                <w:color w:val="auto"/>
              </w:rPr>
              <w:t>=========================== ================ ============== ================ ===============</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w w:val="99"/>
              </w:rPr>
              <w:t>===============</w:t>
            </w:r>
          </w:p>
        </w:tc>
      </w:tr>
    </w:tbl>
    <w:p>
      <w:pPr>
        <w:spacing w:after="0" w:line="167" w:lineRule="exact"/>
        <w:rPr>
          <w:sz w:val="20"/>
          <w:szCs w:val="20"/>
          <w:color w:val="auto"/>
        </w:rPr>
      </w:pPr>
    </w:p>
    <w:p>
      <w:pPr>
        <w:ind w:right="3439" w:firstLine="425"/>
        <w:spacing w:after="0" w:line="249" w:lineRule="auto"/>
        <w:rPr>
          <w:sz w:val="20"/>
          <w:szCs w:val="20"/>
          <w:color w:val="auto"/>
        </w:rPr>
      </w:pPr>
      <w:r>
        <w:rPr>
          <w:rFonts w:ascii="Courier New" w:cs="Courier New" w:eastAsia="Courier New" w:hAnsi="Courier New"/>
          <w:sz w:val="14"/>
          <w:szCs w:val="14"/>
          <w:color w:val="auto"/>
        </w:rPr>
        <w:t>Other Long-Term Obligations consist of steel purchase commitments at the NN Europe Segment (See Note 14 of the Notes to Consolidated Financial Statements.)</w:t>
      </w:r>
    </w:p>
    <w:p>
      <w:pPr>
        <w:sectPr>
          <w:pgSz w:w="11900" w:h="16838" w:orient="portrait"/>
          <w:cols w:equalWidth="0" w:num="1">
            <w:col w:w="10239"/>
          </w:cols>
          <w:pgMar w:left="220" w:top="141"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b w:val="1"/>
          <w:bCs w:val="1"/>
          <w:color w:val="auto"/>
        </w:rPr>
        <w:t>The Euro</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The Company currently has operations in Ireland, Germany, Italy and The Netherlands, all of which are Euro participating countries, and, each facility sells product to customers in many of the participating countries. The Euro has been adopted as the functional currency at all locations in the NN Europe Segment, except Slovakia whose functional currency is the Slovak Korona. Current plans call for Slovakia to join the European Union in May 2004 and to adopt the Euro as its functional currency at a later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Seasonality and Fluctuation in Quarterly Results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The Company's net sales historically have been seasonal in nature, due to a significant portion of the Company's sales being to European customers that cease or significantly slow production during the month of August. For information concerning the Company's quarterly results of operations for the years ended December 31, 2003 and 2002, see Note 15 of the Notes to Consolidated Financial Statements.</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Inflation and Changes in Prices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While the Company's operations have not been materially affected by inflation during recent years, prices for 52100 Steel, engineered resins and other raw materials purchased by the Company are subject to material change, see "Management's Discussion and Analysis of Financial Condition and Results of Operations - Overview and Management Focus". For example, during 1995, due to an increase in worldwide demand for 52100 Steel and the decrease in the value of the United States dollar relative to foreign currencies, the Company experienced an increase in the price of 52100 Steel and some difficulty in obtaining an adequate supply of 52100 Steel from its existing suppliers. In our U.S. operations our typical pricing arrangements with steel suppliers are subject to adjustment once every six months. The Company's NN Europe Segment has entered into long term agreements with its primary steel supplier which provide for standard terms and conditions and annual pricing adjustments to offset material price fluctuations in steel and quarterly scrap surcharge adjustments. The Company typically reserves the right to increase product prices periodically in the event of increases in its raw material costs. In the past, the Company has been able to minimize the impact on its operations resulting from the 52100 Steel price fluctuations by taking such measures. However, by contract, material price changes in any given year are passed along with price adjustments in January of the following year. Certain sales agreements are in effect with SKF and INA/FAG, which provide for minimum purchase quantities and specified, annual sales price adjustments that may be modified up or down for changes in material costs. These agreements expire during 2006 and 2008.</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Recently Issued Accounting Standards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 had unamortized goodwill of approximately $36.6 million, which is subject to the provisions of Statement No. 142.</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As a result of adopting these standards in the first quarter of 2002, the Company no longer amortizes goodwill. The Company estimates that amortization expense for goodwill would have been approximately $1.6 million ($0.9 million net of tax and minority interest) and $1.9 million ($1.1 million net of tax and minority interest) for the twelve-month period ended December 31, 2002 and 2003, respectively.</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The adoption of SFAS 143 did not have a material impact on the Company's financial condition.</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In October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adoption of SFAS 144 did not have a material impact on the Company's financial condition.</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In April 2002, the FASB issued SFAS No. 145, "Rescission of FASB Statements No. 4, 44, and 64, Amendment of FASB Statement No. 13, and Technical Corrections". SFAS No. 4 had required all gains and losses from extinguishment of debt to be aggregated and, if material, classified as an extraordinary item, net of related income tax effect. SFAS No. 145 rescinds SFAS No. 4 and the related required classifications gains and losses from extinguishment of debt as extraordinary items. Additionally, the SFAS No. 145 amends SFAS No. 13 to require that certain lease modifications that have economic effects similar to</w:t>
      </w:r>
    </w:p>
    <w:p>
      <w:pPr>
        <w:sectPr>
          <w:pgSz w:w="11900" w:h="16838" w:orient="portrait"/>
          <w:cols w:equalWidth="0" w:num="1">
            <w:col w:w="10239"/>
          </w:cols>
          <w:pgMar w:left="220" w:top="305" w:right="1440" w:bottom="0" w:gutter="0" w:footer="0" w:header="0"/>
        </w:sectPr>
      </w:pPr>
    </w:p>
    <w:bookmarkStart w:id="20" w:name="page21"/>
    <w:bookmarkEnd w:id="20"/>
    <w:p>
      <w:pPr>
        <w:ind w:right="3599"/>
        <w:spacing w:after="0" w:line="247" w:lineRule="auto"/>
        <w:rPr>
          <w:sz w:val="20"/>
          <w:szCs w:val="20"/>
          <w:color w:val="auto"/>
        </w:rPr>
      </w:pPr>
      <w:r>
        <w:rPr>
          <w:rFonts w:ascii="Courier New" w:cs="Courier New" w:eastAsia="Courier New" w:hAnsi="Courier New"/>
          <w:sz w:val="14"/>
          <w:szCs w:val="14"/>
          <w:color w:val="auto"/>
        </w:rPr>
        <w:t>sale-leaseback transactions be accounted for in the same manner as sale-leaseback transactions. SFAS No. 145 is applicable for the Company at the beginning of fiscal year 2003, with the provisions related to SFAS No. 13 are effective for transactions occurring after May 15, 2002. The adoption of SFAS 145 did not have a material impact on the Company's financial condition or results of operations.</w:t>
      </w:r>
    </w:p>
    <w:p>
      <w:pPr>
        <w:spacing w:after="0" w:line="164" w:lineRule="exact"/>
        <w:rPr>
          <w:sz w:val="20"/>
          <w:szCs w:val="20"/>
          <w:color w:val="auto"/>
        </w:rPr>
      </w:pPr>
    </w:p>
    <w:p>
      <w:pPr>
        <w:ind w:right="3939" w:firstLine="425"/>
        <w:spacing w:after="0" w:line="247" w:lineRule="auto"/>
        <w:rPr>
          <w:sz w:val="20"/>
          <w:szCs w:val="20"/>
          <w:color w:val="auto"/>
        </w:rPr>
      </w:pPr>
      <w:r>
        <w:rPr>
          <w:rFonts w:ascii="Courier New" w:cs="Courier New" w:eastAsia="Courier New" w:hAnsi="Courier New"/>
          <w:sz w:val="14"/>
          <w:szCs w:val="14"/>
          <w:color w:val="auto"/>
        </w:rPr>
        <w:t>In July 2002, the FASB issued SFAS No. 146, "Accounting for Costs Associated with Exit or Disposal Activities". SFAS No. 146 requires costs associated with exit or disposal activities to be recognized when they are incurred rather than at</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699"/>
        <w:spacing w:after="0" w:line="248" w:lineRule="auto"/>
        <w:rPr>
          <w:sz w:val="20"/>
          <w:szCs w:val="20"/>
          <w:color w:val="auto"/>
        </w:rPr>
      </w:pPr>
      <w:r>
        <w:rPr>
          <w:rFonts w:ascii="Courier New" w:cs="Courier New" w:eastAsia="Courier New" w:hAnsi="Courier New"/>
          <w:sz w:val="14"/>
          <w:szCs w:val="14"/>
          <w:color w:val="auto"/>
        </w:rPr>
        <w:t>the date of a commitment to an exit or disposal plan. SFAS No. 146 is to be applied prospectively to exit or disposal activities initiated after December 31, 2002.</w:t>
      </w:r>
    </w:p>
    <w:p>
      <w:pPr>
        <w:spacing w:after="0" w:line="162"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In addition, SFAS No. 148 amends the disclosures in both annual and interim financial statements about the method of accounting for stock-based employee compensation and the effect of the method used on reported results. The Company has adopted the provisions of SFAS 123, which encourages but does not require a fair value based method of accounting for stock compensation plans. The Company has elected to continue accounting for its stock compensation plan using the intrinsic value based method under APB Opinion No. 25. See Note 10 of the Notes to Consolidated Financial Statements.</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This interpretation elaborates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 did not have a material effect on the Company's consolidated results of operations, financial position or cash flows.</w:t>
      </w:r>
    </w:p>
    <w:p>
      <w:pPr>
        <w:spacing w:after="0" w:line="164" w:lineRule="exact"/>
        <w:rPr>
          <w:sz w:val="20"/>
          <w:szCs w:val="20"/>
          <w:color w:val="auto"/>
        </w:rPr>
      </w:pPr>
    </w:p>
    <w:p>
      <w:pPr>
        <w:ind w:right="3599" w:firstLine="425"/>
        <w:spacing w:after="0" w:line="247" w:lineRule="auto"/>
        <w:rPr>
          <w:sz w:val="20"/>
          <w:szCs w:val="20"/>
          <w:color w:val="auto"/>
        </w:rPr>
      </w:pPr>
      <w:r>
        <w:rPr>
          <w:rFonts w:ascii="Courier New" w:cs="Courier New" w:eastAsia="Courier New" w:hAnsi="Courier New"/>
          <w:sz w:val="14"/>
          <w:szCs w:val="14"/>
          <w:color w:val="auto"/>
        </w:rPr>
        <w:t>In December 2003, the FASB issued Financial Interpretation No. 46(R), "Consolidation of Variable Interest Entities," ("FIN 46(R)"). This interpretation addresses consolidation by business enterprises of variable interest entities with certain defined characteristics and replaces Financial Interpretation No. 46. We do not expect FIN 46(R) to have a significant impact on the Company's consolidated financial statements.</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In April 2003, the FASB issued SFAS No. 149, "Derivative Instruments and Hedging Activities". SFAS No. 149 amends and clarifies financial accounting and reporting for derivative instruments, including certain derivative instruments embedded in other contracts and for hedging activities under SFAS No. 133, "Accounting for Derivative Instruments and Hedging Activities". SFAS No. 149 requires that contracts with comparable characteristics be accounted for similarly and is effective for contracts entered into or modified after June 30, 2003 and for hedging relationships designated after June 30, 2003. The adoption of this standard has not had a material impact on the Company's financial condition.</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In May 2003, the FASB issued SFAS No. 150, "Accounting for Certain Financial Instruments with Characteristics of both Liabilities and Equity". SFAS No. 150 establishes standards for how an issuer classifies and measures certain financial instruments with characteristics of both liabilities and equity. SFAS No. 150 is otherwise generally effective for financial instruments entered into or modified after May 31, 2003, and otherwise is effective at the beginning of the first interim period beginning after June 15, 2003. The Company adopted SFAS No. 150 on July 1, 2003 and this adoption did not have a material impact on the Company's financial condition.</w:t>
      </w:r>
    </w:p>
    <w:p>
      <w:pPr>
        <w:spacing w:after="0" w:line="164"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In December 2003 the FASB issued SFAS No. 132 (revised 2003), "Employers' Disclosures about Pensions and Other Postretirement Benefits". SFAS No. 132 revises employers' disclosures about pension plans and other postretirement benefit plans. It does not change the measurement or recognition of those plans required by FASB Statements No. 87, "Employers' Accounting for Pensions", No. 88, "Employers' Accounting for Settlements and Curtailments of Defined Benefit Pensions Plans and for Termination Benefits, and No. 106, "Employers' Accounting for Postretirement Benefits Other Than Pensions". SFAS No. 132 requires additional disclosures to those in the original Statement 132 about the assets, obligations, cash flows, and net periodic benefit cost of defined benefit pension plans and other defined benefit postretirement plans. With certain exceptions, principally related to disclosure requirements of foreign plans, SFAS No. 132 is effective for financial statements with fiscal years ending after December 15, 2003. As of December 31, 2003, we have complied with the requirement of SFAS No. 132.</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7A. Quantitative and Qualitative Disclosures About Market Risk</w:t>
      </w:r>
    </w:p>
    <w:p>
      <w:pPr>
        <w:spacing w:after="0" w:line="168" w:lineRule="exact"/>
        <w:rPr>
          <w:sz w:val="20"/>
          <w:szCs w:val="20"/>
          <w:color w:val="auto"/>
        </w:rPr>
      </w:pPr>
    </w:p>
    <w:p>
      <w:pPr>
        <w:ind w:right="3519" w:firstLine="425"/>
        <w:spacing w:after="0" w:line="248" w:lineRule="auto"/>
        <w:rPr>
          <w:sz w:val="20"/>
          <w:szCs w:val="20"/>
          <w:color w:val="auto"/>
        </w:rPr>
      </w:pPr>
      <w:r>
        <w:rPr>
          <w:rFonts w:ascii="Courier New" w:cs="Courier New" w:eastAsia="Courier New" w:hAnsi="Courier New"/>
          <w:sz w:val="14"/>
          <w:szCs w:val="14"/>
          <w:color w:val="auto"/>
        </w:rPr>
        <w:t>We are exposed to changes in financial market conditions in the normal course of our business due to our use of certain financial instruments as well as transacting in various foreign currencies. To mitigate our exposure to these</w:t>
      </w:r>
    </w:p>
    <w:p>
      <w:pPr>
        <w:sectPr>
          <w:pgSz w:w="11900" w:h="16838" w:orient="portrait"/>
          <w:cols w:equalWidth="0" w:num="1">
            <w:col w:w="10239"/>
          </w:cols>
          <w:pgMar w:left="220" w:top="141" w:right="1440" w:bottom="0" w:gutter="0" w:footer="0" w:header="0"/>
        </w:sectPr>
      </w:pPr>
    </w:p>
    <w:bookmarkStart w:id="21" w:name="page22"/>
    <w:bookmarkEnd w:id="21"/>
    <w:p>
      <w:pPr>
        <w:ind w:right="3439"/>
        <w:spacing w:after="0" w:line="247" w:lineRule="auto"/>
        <w:rPr>
          <w:sz w:val="20"/>
          <w:szCs w:val="20"/>
          <w:color w:val="auto"/>
        </w:rPr>
      </w:pPr>
      <w:r>
        <w:rPr>
          <w:rFonts w:ascii="Courier New" w:cs="Courier New" w:eastAsia="Courier New" w:hAnsi="Courier New"/>
          <w:sz w:val="14"/>
          <w:szCs w:val="14"/>
          <w:color w:val="auto"/>
        </w:rPr>
        <w:t>market risks, we have established policies, procedures and internal processes governing our management of financial market risks. We are exposed to changes in interest rates primarily as a result of our borrowing activities. At December 31, 2003, these</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borrowings included a $30.4 million term loan, a $30 million revolving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and a 26.3 million Euro ($29.6 million) term loan which was used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maintain liquidity and fund our business operations. At December 31, 2003,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had $54.3 million outstanding under the domestic credit facilities and Euroball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had 22.3 million Euro ($28.2 million) outstanding under the Euro term loan.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Additionally, at December 31, 2003, we had $2.0 million outstanding under short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 borrowings. At December 31, 2003, a one-percent increase in the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charged on our outstanding borrowings under both credit facilities would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in interest expense increasing annually by approximately $0.8 million.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a variable EURIBOR rate debt financing in July 2000 our majority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 subsidiary, Euroball entered into an interest rate swap with a notional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Euro 12.5 million for the purpose of fixing the interest rate on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portion of their debt financing. The interest rate swap provides for us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receive variable Euribor interest payments and pay 5.51% fixed interest.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swap agreement expires in July 2006 and the notional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amortizes in relation to principal payments on the underlying debt over the life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swap. This original debt was repaid in May 2003, however, the swap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remains pursuant to its original terms. On May 1, 2003, we entered into a new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 million syndicated credit facility. This new financing arrangement replaces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prior credit facility with AmSouth and Euroball's credit facility with Hypo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Vereinsbank Luxembourg, S.A., see "Management's Discussion and Analysis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and Results of Operations - Liquidity and Capital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Resources". The nature and amount of our borrowings may vary as a result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business requirements, market conditions and other factors.</w:t>
      </w:r>
    </w:p>
    <w:p>
      <w:pPr>
        <w:spacing w:after="0" w:line="168"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color w:val="auto"/>
        </w:rPr>
        <w:t>Translation of the Company's operating cash flows denominated in foreign currencies is impacted by changes in foreign exchange rates. Our NN Europe Segment bills and receives payment from some of its foreign customers in their own currency. To date, the Company has not been materially adversely affected by currency fluctuations of foreign exchange restrictions. However, to help reduce exposure to foreign currency fluctuation, management has incurred debt in Euros and periodically used foreign currency hedges. These currency hedging programs allow management to hedge currency exposures when these exposures meet certain discretionary levels. The Company did not hold a position in any foreign currency hedging instruments as of December 31, 2003.</w:t>
      </w:r>
    </w:p>
    <w:p>
      <w:pPr>
        <w:spacing w:after="0" w:line="328"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40" w:type="dxa"/>
            <w:vAlign w:val="bottom"/>
          </w:tcPr>
          <w:p>
            <w:pPr>
              <w:spacing w:after="0"/>
              <w:rPr>
                <w:sz w:val="20"/>
                <w:szCs w:val="20"/>
                <w:color w:val="auto"/>
              </w:rPr>
            </w:pPr>
            <w:r>
              <w:rPr>
                <w:rFonts w:ascii="Courier New" w:cs="Courier New" w:eastAsia="Courier New" w:hAnsi="Courier New"/>
                <w:sz w:val="14"/>
                <w:szCs w:val="14"/>
                <w:b w:val="1"/>
                <w:bCs w:val="1"/>
                <w:color w:val="auto"/>
              </w:rPr>
              <w:t>Item 8. Financial Statements and Supplementary Data</w:t>
            </w:r>
          </w:p>
        </w:tc>
        <w:tc>
          <w:tcPr>
            <w:tcW w:w="2460" w:type="dxa"/>
            <w:vAlign w:val="bottom"/>
          </w:tcPr>
          <w:p>
            <w:pPr>
              <w:spacing w:after="0"/>
              <w:rPr>
                <w:sz w:val="13"/>
                <w:szCs w:val="13"/>
                <w:color w:val="auto"/>
              </w:rPr>
            </w:pPr>
          </w:p>
        </w:tc>
      </w:tr>
      <w:tr>
        <w:trPr>
          <w:trHeight w:val="327"/>
        </w:trPr>
        <w:tc>
          <w:tcPr>
            <w:tcW w:w="6640" w:type="dxa"/>
            <w:vAlign w:val="bottom"/>
          </w:tcPr>
          <w:p>
            <w:pPr>
              <w:spacing w:after="0"/>
              <w:rPr>
                <w:sz w:val="20"/>
                <w:szCs w:val="20"/>
                <w:color w:val="auto"/>
              </w:rPr>
            </w:pPr>
            <w:r>
              <w:rPr>
                <w:rFonts w:ascii="Courier New" w:cs="Courier New" w:eastAsia="Courier New" w:hAnsi="Courier New"/>
                <w:sz w:val="14"/>
                <w:szCs w:val="14"/>
                <w:color w:val="auto"/>
              </w:rPr>
              <w:t>Index to Financial Statements</w:t>
            </w:r>
          </w:p>
        </w:tc>
        <w:tc>
          <w:tcPr>
            <w:tcW w:w="2460" w:type="dxa"/>
            <w:vAlign w:val="bottom"/>
          </w:tcPr>
          <w:p>
            <w:pPr>
              <w:spacing w:after="0"/>
              <w:rPr>
                <w:sz w:val="24"/>
                <w:szCs w:val="24"/>
                <w:color w:val="auto"/>
              </w:rPr>
            </w:pPr>
          </w:p>
        </w:tc>
      </w:tr>
      <w:tr>
        <w:trPr>
          <w:trHeight w:val="327"/>
        </w:trPr>
        <w:tc>
          <w:tcPr>
            <w:tcW w:w="664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27"/>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Report of Independent Auditors for the year ended December 31,</w:t>
            </w:r>
          </w:p>
        </w:tc>
        <w:tc>
          <w:tcPr>
            <w:tcW w:w="2460" w:type="dxa"/>
            <w:vAlign w:val="bottom"/>
          </w:tcPr>
          <w:p>
            <w:pPr>
              <w:spacing w:after="0"/>
              <w:rPr>
                <w:sz w:val="24"/>
                <w:szCs w:val="24"/>
                <w:color w:val="auto"/>
              </w:rPr>
            </w:pPr>
          </w:p>
        </w:tc>
      </w:tr>
      <w:tr>
        <w:trPr>
          <w:trHeight w:val="163"/>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2003................................................................</w:t>
            </w:r>
          </w:p>
        </w:tc>
        <w:tc>
          <w:tcPr>
            <w:tcW w:w="2460" w:type="dxa"/>
            <w:vAlign w:val="bottom"/>
          </w:tcPr>
          <w:p>
            <w:pPr>
              <w:jc w:val="right"/>
              <w:ind w:right="2229"/>
              <w:spacing w:after="0"/>
              <w:rPr>
                <w:sz w:val="20"/>
                <w:szCs w:val="20"/>
                <w:color w:val="auto"/>
              </w:rPr>
            </w:pPr>
            <w:r>
              <w:rPr>
                <w:rFonts w:ascii="Courier New" w:cs="Courier New" w:eastAsia="Courier New" w:hAnsi="Courier New"/>
                <w:sz w:val="14"/>
                <w:szCs w:val="14"/>
                <w:color w:val="auto"/>
                <w:w w:val="83"/>
              </w:rPr>
              <w:t>29</w:t>
            </w:r>
          </w:p>
        </w:tc>
      </w:tr>
      <w:tr>
        <w:trPr>
          <w:trHeight w:val="327"/>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Report of Independent Auditors for the years ended December 31,</w:t>
            </w:r>
          </w:p>
        </w:tc>
        <w:tc>
          <w:tcPr>
            <w:tcW w:w="2460" w:type="dxa"/>
            <w:vAlign w:val="bottom"/>
          </w:tcPr>
          <w:p>
            <w:pPr>
              <w:spacing w:after="0"/>
              <w:rPr>
                <w:sz w:val="24"/>
                <w:szCs w:val="24"/>
                <w:color w:val="auto"/>
              </w:rPr>
            </w:pPr>
          </w:p>
        </w:tc>
      </w:tr>
      <w:tr>
        <w:trPr>
          <w:trHeight w:val="163"/>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2002 and 2001.......................................................</w:t>
            </w:r>
          </w:p>
        </w:tc>
        <w:tc>
          <w:tcPr>
            <w:tcW w:w="2460" w:type="dxa"/>
            <w:vAlign w:val="bottom"/>
          </w:tcPr>
          <w:p>
            <w:pPr>
              <w:jc w:val="right"/>
              <w:ind w:right="2229"/>
              <w:spacing w:after="0"/>
              <w:rPr>
                <w:sz w:val="20"/>
                <w:szCs w:val="20"/>
                <w:color w:val="auto"/>
              </w:rPr>
            </w:pPr>
            <w:r>
              <w:rPr>
                <w:rFonts w:ascii="Courier New" w:cs="Courier New" w:eastAsia="Courier New" w:hAnsi="Courier New"/>
                <w:sz w:val="14"/>
                <w:szCs w:val="14"/>
                <w:color w:val="auto"/>
                <w:w w:val="83"/>
              </w:rPr>
              <w:t>30</w:t>
            </w:r>
          </w:p>
        </w:tc>
      </w:tr>
      <w:tr>
        <w:trPr>
          <w:trHeight w:val="327"/>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Consolidated Balance Sheets at December 31, 2003 and</w:t>
            </w:r>
          </w:p>
        </w:tc>
        <w:tc>
          <w:tcPr>
            <w:tcW w:w="2460" w:type="dxa"/>
            <w:vAlign w:val="bottom"/>
          </w:tcPr>
          <w:p>
            <w:pPr>
              <w:spacing w:after="0"/>
              <w:rPr>
                <w:sz w:val="24"/>
                <w:szCs w:val="24"/>
                <w:color w:val="auto"/>
              </w:rPr>
            </w:pPr>
          </w:p>
        </w:tc>
      </w:tr>
      <w:tr>
        <w:trPr>
          <w:trHeight w:val="163"/>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2002................................................................</w:t>
            </w:r>
          </w:p>
        </w:tc>
        <w:tc>
          <w:tcPr>
            <w:tcW w:w="2460" w:type="dxa"/>
            <w:vAlign w:val="bottom"/>
          </w:tcPr>
          <w:p>
            <w:pPr>
              <w:jc w:val="right"/>
              <w:ind w:right="2229"/>
              <w:spacing w:after="0"/>
              <w:rPr>
                <w:sz w:val="20"/>
                <w:szCs w:val="20"/>
                <w:color w:val="auto"/>
              </w:rPr>
            </w:pPr>
            <w:r>
              <w:rPr>
                <w:rFonts w:ascii="Courier New" w:cs="Courier New" w:eastAsia="Courier New" w:hAnsi="Courier New"/>
                <w:sz w:val="14"/>
                <w:szCs w:val="14"/>
                <w:color w:val="auto"/>
                <w:w w:val="83"/>
              </w:rPr>
              <w:t>31</w:t>
            </w:r>
          </w:p>
        </w:tc>
      </w:tr>
      <w:tr>
        <w:trPr>
          <w:trHeight w:val="327"/>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Consolidated Statements of Income and Comprehensive Income for the</w:t>
            </w:r>
          </w:p>
        </w:tc>
        <w:tc>
          <w:tcPr>
            <w:tcW w:w="2460" w:type="dxa"/>
            <w:vAlign w:val="bottom"/>
          </w:tcPr>
          <w:p>
            <w:pPr>
              <w:spacing w:after="0"/>
              <w:rPr>
                <w:sz w:val="24"/>
                <w:szCs w:val="24"/>
                <w:color w:val="auto"/>
              </w:rPr>
            </w:pPr>
          </w:p>
        </w:tc>
      </w:tr>
      <w:tr>
        <w:trPr>
          <w:trHeight w:val="163"/>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three years ended December 31,</w:t>
            </w:r>
          </w:p>
        </w:tc>
        <w:tc>
          <w:tcPr>
            <w:tcW w:w="2460" w:type="dxa"/>
            <w:vAlign w:val="bottom"/>
          </w:tcPr>
          <w:p>
            <w:pPr>
              <w:spacing w:after="0"/>
              <w:rPr>
                <w:sz w:val="14"/>
                <w:szCs w:val="14"/>
                <w:color w:val="auto"/>
              </w:rPr>
            </w:pPr>
          </w:p>
        </w:tc>
      </w:tr>
      <w:tr>
        <w:trPr>
          <w:trHeight w:val="163"/>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2003................................................................</w:t>
            </w:r>
          </w:p>
        </w:tc>
        <w:tc>
          <w:tcPr>
            <w:tcW w:w="2460" w:type="dxa"/>
            <w:vAlign w:val="bottom"/>
          </w:tcPr>
          <w:p>
            <w:pPr>
              <w:jc w:val="right"/>
              <w:ind w:right="2229"/>
              <w:spacing w:after="0"/>
              <w:rPr>
                <w:sz w:val="20"/>
                <w:szCs w:val="20"/>
                <w:color w:val="auto"/>
              </w:rPr>
            </w:pPr>
            <w:r>
              <w:rPr>
                <w:rFonts w:ascii="Courier New" w:cs="Courier New" w:eastAsia="Courier New" w:hAnsi="Courier New"/>
                <w:sz w:val="14"/>
                <w:szCs w:val="14"/>
                <w:color w:val="auto"/>
                <w:w w:val="83"/>
              </w:rPr>
              <w:t>32</w:t>
            </w:r>
          </w:p>
        </w:tc>
      </w:tr>
      <w:tr>
        <w:trPr>
          <w:trHeight w:val="327"/>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Consolidated Statements of Changes in Stockholders' Equity for the</w:t>
            </w:r>
          </w:p>
        </w:tc>
        <w:tc>
          <w:tcPr>
            <w:tcW w:w="2460" w:type="dxa"/>
            <w:vAlign w:val="bottom"/>
          </w:tcPr>
          <w:p>
            <w:pPr>
              <w:spacing w:after="0"/>
              <w:rPr>
                <w:sz w:val="24"/>
                <w:szCs w:val="24"/>
                <w:color w:val="auto"/>
              </w:rPr>
            </w:pPr>
          </w:p>
        </w:tc>
      </w:tr>
      <w:tr>
        <w:trPr>
          <w:trHeight w:val="163"/>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three years ended December 31,</w:t>
            </w:r>
          </w:p>
        </w:tc>
        <w:tc>
          <w:tcPr>
            <w:tcW w:w="2460" w:type="dxa"/>
            <w:vAlign w:val="bottom"/>
          </w:tcPr>
          <w:p>
            <w:pPr>
              <w:spacing w:after="0"/>
              <w:rPr>
                <w:sz w:val="14"/>
                <w:szCs w:val="14"/>
                <w:color w:val="auto"/>
              </w:rPr>
            </w:pPr>
          </w:p>
        </w:tc>
      </w:tr>
      <w:tr>
        <w:trPr>
          <w:trHeight w:val="163"/>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2003................................................................</w:t>
            </w:r>
          </w:p>
        </w:tc>
        <w:tc>
          <w:tcPr>
            <w:tcW w:w="2460" w:type="dxa"/>
            <w:vAlign w:val="bottom"/>
          </w:tcPr>
          <w:p>
            <w:pPr>
              <w:jc w:val="right"/>
              <w:ind w:right="2229"/>
              <w:spacing w:after="0"/>
              <w:rPr>
                <w:sz w:val="20"/>
                <w:szCs w:val="20"/>
                <w:color w:val="auto"/>
              </w:rPr>
            </w:pPr>
            <w:r>
              <w:rPr>
                <w:rFonts w:ascii="Courier New" w:cs="Courier New" w:eastAsia="Courier New" w:hAnsi="Courier New"/>
                <w:sz w:val="14"/>
                <w:szCs w:val="14"/>
                <w:color w:val="auto"/>
                <w:w w:val="83"/>
              </w:rPr>
              <w:t>33</w:t>
            </w:r>
          </w:p>
        </w:tc>
      </w:tr>
      <w:tr>
        <w:trPr>
          <w:trHeight w:val="327"/>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Consolidated Statements of Cash Flows for the three years ended</w:t>
            </w:r>
          </w:p>
        </w:tc>
        <w:tc>
          <w:tcPr>
            <w:tcW w:w="2460" w:type="dxa"/>
            <w:vAlign w:val="bottom"/>
          </w:tcPr>
          <w:p>
            <w:pPr>
              <w:spacing w:after="0"/>
              <w:rPr>
                <w:sz w:val="24"/>
                <w:szCs w:val="24"/>
                <w:color w:val="auto"/>
              </w:rPr>
            </w:pPr>
          </w:p>
        </w:tc>
      </w:tr>
      <w:tr>
        <w:trPr>
          <w:trHeight w:val="163"/>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December 31,</w:t>
            </w:r>
          </w:p>
        </w:tc>
        <w:tc>
          <w:tcPr>
            <w:tcW w:w="2460" w:type="dxa"/>
            <w:vAlign w:val="bottom"/>
          </w:tcPr>
          <w:p>
            <w:pPr>
              <w:spacing w:after="0"/>
              <w:rPr>
                <w:sz w:val="14"/>
                <w:szCs w:val="14"/>
                <w:color w:val="auto"/>
              </w:rPr>
            </w:pPr>
          </w:p>
        </w:tc>
      </w:tr>
      <w:tr>
        <w:trPr>
          <w:trHeight w:val="163"/>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2003................................................................</w:t>
            </w:r>
          </w:p>
        </w:tc>
        <w:tc>
          <w:tcPr>
            <w:tcW w:w="2460" w:type="dxa"/>
            <w:vAlign w:val="bottom"/>
          </w:tcPr>
          <w:p>
            <w:pPr>
              <w:jc w:val="right"/>
              <w:ind w:right="2229"/>
              <w:spacing w:after="0"/>
              <w:rPr>
                <w:sz w:val="20"/>
                <w:szCs w:val="20"/>
                <w:color w:val="auto"/>
              </w:rPr>
            </w:pPr>
            <w:r>
              <w:rPr>
                <w:rFonts w:ascii="Courier New" w:cs="Courier New" w:eastAsia="Courier New" w:hAnsi="Courier New"/>
                <w:sz w:val="14"/>
                <w:szCs w:val="14"/>
                <w:color w:val="auto"/>
                <w:w w:val="83"/>
              </w:rPr>
              <w:t>34</w:t>
            </w:r>
          </w:p>
        </w:tc>
      </w:tr>
      <w:tr>
        <w:trPr>
          <w:trHeight w:val="327"/>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Notes to Consolidated Financial</w:t>
            </w:r>
          </w:p>
        </w:tc>
        <w:tc>
          <w:tcPr>
            <w:tcW w:w="2460" w:type="dxa"/>
            <w:vAlign w:val="bottom"/>
          </w:tcPr>
          <w:p>
            <w:pPr>
              <w:spacing w:after="0"/>
              <w:rPr>
                <w:sz w:val="24"/>
                <w:szCs w:val="24"/>
                <w:color w:val="auto"/>
              </w:rPr>
            </w:pPr>
          </w:p>
        </w:tc>
      </w:tr>
      <w:tr>
        <w:trPr>
          <w:trHeight w:val="163"/>
        </w:trPr>
        <w:tc>
          <w:tcPr>
            <w:tcW w:w="6640" w:type="dxa"/>
            <w:vAlign w:val="bottom"/>
          </w:tcPr>
          <w:p>
            <w:pPr>
              <w:ind w:left="860"/>
              <w:spacing w:after="0"/>
              <w:rPr>
                <w:sz w:val="20"/>
                <w:szCs w:val="20"/>
                <w:color w:val="auto"/>
              </w:rPr>
            </w:pPr>
            <w:r>
              <w:rPr>
                <w:rFonts w:ascii="Courier New" w:cs="Courier New" w:eastAsia="Courier New" w:hAnsi="Courier New"/>
                <w:sz w:val="14"/>
                <w:szCs w:val="14"/>
                <w:color w:val="auto"/>
              </w:rPr>
              <w:t>Statements..........................................................</w:t>
            </w:r>
          </w:p>
        </w:tc>
        <w:tc>
          <w:tcPr>
            <w:tcW w:w="2460" w:type="dxa"/>
            <w:vAlign w:val="bottom"/>
          </w:tcPr>
          <w:p>
            <w:pPr>
              <w:jc w:val="right"/>
              <w:ind w:right="2229"/>
              <w:spacing w:after="0"/>
              <w:rPr>
                <w:sz w:val="20"/>
                <w:szCs w:val="20"/>
                <w:color w:val="auto"/>
              </w:rPr>
            </w:pPr>
            <w:r>
              <w:rPr>
                <w:rFonts w:ascii="Courier New" w:cs="Courier New" w:eastAsia="Courier New" w:hAnsi="Courier New"/>
                <w:sz w:val="14"/>
                <w:szCs w:val="14"/>
                <w:color w:val="auto"/>
                <w:w w:val="83"/>
              </w:rPr>
              <w:t>35</w:t>
            </w:r>
          </w:p>
        </w:tc>
      </w:tr>
      <w:tr>
        <w:trPr>
          <w:trHeight w:val="490"/>
        </w:trPr>
        <w:tc>
          <w:tcPr>
            <w:tcW w:w="6640" w:type="dxa"/>
            <w:vAlign w:val="bottom"/>
          </w:tcPr>
          <w:p>
            <w:pPr>
              <w:ind w:left="3320"/>
              <w:spacing w:after="0"/>
              <w:rPr>
                <w:sz w:val="20"/>
                <w:szCs w:val="20"/>
                <w:color w:val="auto"/>
              </w:rPr>
            </w:pPr>
            <w:r>
              <w:rPr>
                <w:rFonts w:ascii="Courier New" w:cs="Courier New" w:eastAsia="Courier New" w:hAnsi="Courier New"/>
                <w:sz w:val="14"/>
                <w:szCs w:val="14"/>
                <w:color w:val="auto"/>
              </w:rPr>
              <w:t>28</w:t>
            </w: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285750</wp:posOffset>
            </wp:positionV>
            <wp:extent cx="729869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b w:val="1"/>
          <w:bCs w:val="1"/>
          <w:color w:val="auto"/>
        </w:rPr>
        <w:t>Report of Independent Auditors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of NN, Inc.:</w:t>
      </w:r>
    </w:p>
    <w:p>
      <w:pPr>
        <w:sectPr>
          <w:pgSz w:w="11900" w:h="16838" w:orient="portrait"/>
          <w:cols w:equalWidth="0" w:num="1">
            <w:col w:w="10239"/>
          </w:cols>
          <w:pgMar w:left="220" w:top="141" w:right="1440" w:bottom="0" w:gutter="0" w:footer="0" w:header="0"/>
        </w:sectPr>
      </w:pPr>
    </w:p>
    <w:bookmarkStart w:id="22" w:name="page23"/>
    <w:bookmarkEnd w:id="22"/>
    <w:p>
      <w:pPr>
        <w:ind w:right="3439"/>
        <w:spacing w:after="0" w:line="247" w:lineRule="auto"/>
        <w:rPr>
          <w:sz w:val="20"/>
          <w:szCs w:val="20"/>
          <w:color w:val="auto"/>
        </w:rPr>
      </w:pPr>
      <w:r>
        <w:rPr>
          <w:rFonts w:ascii="Courier New" w:cs="Courier New" w:eastAsia="Courier New" w:hAnsi="Courier New"/>
          <w:sz w:val="14"/>
          <w:szCs w:val="14"/>
          <w:color w:val="auto"/>
        </w:rPr>
        <w:t>In our opinion, the consolidated financial statements listed in the accompanying index present fairly, in all material respects, the financial position of NN, Inc. and its subsidiaries at December 31, 2003, and the results of their operations and their cash flows for the year then ended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/s/PricewaterhouseCoopers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Greensboro,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26, 2004</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b w:val="1"/>
          <w:bCs w:val="1"/>
          <w:u w:val="single" w:color="auto"/>
          <w:color w:val="auto"/>
        </w:rPr>
        <w:t>Independent Auditors' Report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NN, Inc.:</w:t>
      </w:r>
    </w:p>
    <w:p>
      <w:pPr>
        <w:spacing w:after="0" w:line="168"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We have audited the accompanying consolidated balance sheet of NN, Inc. as of December 31, 2002 and the related consolidated statements of income and comprehensive income, consolidated statements of changes in stockholders' equity, and consolidated statements of cash flows for each of the years in the two year period ended December 31, 2002.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519"/>
        <w:spacing w:after="0" w:line="247"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NN, Inc. as of December 31, 2002 and the results of their operations and their cash flows for each of the years in the two year period ended December 31, 2002 in conformity with accounting principles generally accepted in the United States of America.</w:t>
      </w:r>
    </w:p>
    <w:p>
      <w:pPr>
        <w:spacing w:after="0" w:line="164"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4"/>
          <w:szCs w:val="14"/>
          <w:color w:val="auto"/>
        </w:rPr>
        <w:t>As discussed in Note 1 to the consolidated financial statements, the Company changed its method of accounting for goodwill and other intangible assets in</w:t>
      </w:r>
    </w:p>
    <w:p>
      <w:pPr>
        <w:ind w:right="3439"/>
        <w:spacing w:after="0" w:line="249" w:lineRule="auto"/>
        <w:rPr>
          <w:sz w:val="20"/>
          <w:szCs w:val="20"/>
          <w:color w:val="auto"/>
        </w:rPr>
      </w:pPr>
      <w:r>
        <w:rPr>
          <w:rFonts w:ascii="Courier New" w:cs="Courier New" w:eastAsia="Courier New" w:hAnsi="Courier New"/>
          <w:sz w:val="14"/>
          <w:szCs w:val="14"/>
          <w:color w:val="auto"/>
        </w:rPr>
        <w:t>2002 and changed its method of accounting for derivative instruments and hedging activities in 2001.</w:t>
      </w:r>
    </w:p>
    <w:p>
      <w:pPr>
        <w:spacing w:after="0" w:line="200" w:lineRule="exact"/>
        <w:rPr>
          <w:sz w:val="20"/>
          <w:szCs w:val="20"/>
          <w:color w:val="auto"/>
        </w:rPr>
      </w:pPr>
    </w:p>
    <w:p>
      <w:pPr>
        <w:spacing w:after="0" w:line="28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/s/ KPMG LLP</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Charlotte,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2003</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20" w:type="dxa"/>
            <w:vAlign w:val="bottom"/>
          </w:tcPr>
          <w:p>
            <w:pPr>
              <w:jc w:val="right"/>
              <w:ind w:right="449"/>
              <w:spacing w:after="0"/>
              <w:rPr>
                <w:sz w:val="20"/>
                <w:szCs w:val="20"/>
                <w:color w:val="auto"/>
              </w:rPr>
            </w:pPr>
            <w:r>
              <w:rPr>
                <w:rFonts w:ascii="Courier New" w:cs="Courier New" w:eastAsia="Courier New" w:hAnsi="Courier New"/>
                <w:sz w:val="14"/>
                <w:szCs w:val="14"/>
                <w:b w:val="1"/>
                <w:bCs w:val="1"/>
                <w:color w:val="auto"/>
              </w:rPr>
              <w:t>Consolidated Balance Sheets</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3"/>
        </w:trPr>
        <w:tc>
          <w:tcPr>
            <w:tcW w:w="5020" w:type="dxa"/>
            <w:vAlign w:val="bottom"/>
          </w:tcPr>
          <w:p>
            <w:pPr>
              <w:jc w:val="right"/>
              <w:ind w:right="449"/>
              <w:spacing w:after="0"/>
              <w:rPr>
                <w:sz w:val="20"/>
                <w:szCs w:val="20"/>
                <w:color w:val="auto"/>
              </w:rPr>
            </w:pPr>
            <w:r>
              <w:rPr>
                <w:rFonts w:ascii="Courier New" w:cs="Courier New" w:eastAsia="Courier New" w:hAnsi="Courier New"/>
                <w:sz w:val="14"/>
                <w:szCs w:val="14"/>
                <w:b w:val="1"/>
                <w:bCs w:val="1"/>
                <w:color w:val="auto"/>
              </w:rPr>
              <w:t>December 31, 2003 and 2002</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3"/>
        </w:trPr>
        <w:tc>
          <w:tcPr>
            <w:tcW w:w="5020" w:type="dxa"/>
            <w:vAlign w:val="bottom"/>
          </w:tcPr>
          <w:p>
            <w:pPr>
              <w:ind w:left="1800"/>
              <w:spacing w:after="0"/>
              <w:rPr>
                <w:sz w:val="20"/>
                <w:szCs w:val="20"/>
                <w:color w:val="auto"/>
              </w:rPr>
            </w:pPr>
            <w:r>
              <w:rPr>
                <w:rFonts w:ascii="Courier New" w:cs="Courier New" w:eastAsia="Courier New" w:hAnsi="Courier New"/>
                <w:sz w:val="14"/>
                <w:szCs w:val="14"/>
                <w:b w:val="1"/>
                <w:bCs w:val="1"/>
                <w:color w:val="auto"/>
              </w:rPr>
              <w:t>(In thousands, except per share data)</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27"/>
        </w:trPr>
        <w:tc>
          <w:tcPr>
            <w:tcW w:w="5020" w:type="dxa"/>
            <w:vAlign w:val="bottom"/>
          </w:tcPr>
          <w:p>
            <w:pPr>
              <w:spacing w:after="0"/>
              <w:rPr>
                <w:sz w:val="20"/>
                <w:szCs w:val="20"/>
                <w:color w:val="auto"/>
              </w:rPr>
            </w:pPr>
            <w:r>
              <w:rPr>
                <w:rFonts w:ascii="Courier New" w:cs="Courier New" w:eastAsia="Courier New" w:hAnsi="Courier New"/>
                <w:sz w:val="14"/>
                <w:szCs w:val="14"/>
                <w:b w:val="1"/>
                <w:bCs w:val="1"/>
                <w:color w:val="auto"/>
              </w:rPr>
              <w:t>Assets</w:t>
            </w:r>
          </w:p>
        </w:tc>
        <w:tc>
          <w:tcPr>
            <w:tcW w:w="460" w:type="dxa"/>
            <w:vAlign w:val="bottom"/>
          </w:tcPr>
          <w:p>
            <w:pPr>
              <w:spacing w:after="0"/>
              <w:rPr>
                <w:sz w:val="24"/>
                <w:szCs w:val="24"/>
                <w:color w:val="auto"/>
              </w:rPr>
            </w:pPr>
          </w:p>
        </w:tc>
        <w:tc>
          <w:tcPr>
            <w:tcW w:w="900" w:type="dxa"/>
            <w:vAlign w:val="bottom"/>
          </w:tcPr>
          <w:p>
            <w:pPr>
              <w:jc w:val="right"/>
              <w:ind w:right="449"/>
              <w:spacing w:after="0"/>
              <w:rPr>
                <w:sz w:val="20"/>
                <w:szCs w:val="20"/>
                <w:color w:val="auto"/>
              </w:rPr>
            </w:pPr>
            <w:r>
              <w:rPr>
                <w:rFonts w:ascii="Courier New" w:cs="Courier New" w:eastAsia="Courier New" w:hAnsi="Courier New"/>
                <w:sz w:val="14"/>
                <w:szCs w:val="14"/>
                <w:b w:val="1"/>
                <w:bCs w:val="1"/>
                <w:color w:val="auto"/>
              </w:rPr>
              <w:t>2003</w:t>
            </w:r>
          </w:p>
        </w:tc>
        <w:tc>
          <w:tcPr>
            <w:tcW w:w="1360" w:type="dxa"/>
            <w:vAlign w:val="bottom"/>
          </w:tcPr>
          <w:p>
            <w:pPr>
              <w:jc w:val="center"/>
              <w:ind w:left="109"/>
              <w:spacing w:after="0"/>
              <w:rPr>
                <w:sz w:val="20"/>
                <w:szCs w:val="20"/>
                <w:color w:val="auto"/>
              </w:rPr>
            </w:pPr>
            <w:r>
              <w:rPr>
                <w:rFonts w:ascii="Courier New" w:cs="Courier New" w:eastAsia="Courier New" w:hAnsi="Courier New"/>
                <w:sz w:val="14"/>
                <w:szCs w:val="14"/>
                <w:b w:val="1"/>
                <w:bCs w:val="1"/>
                <w:color w:val="auto"/>
              </w:rPr>
              <w:t>2002</w:t>
            </w:r>
          </w:p>
        </w:tc>
      </w:tr>
      <w:tr>
        <w:trPr>
          <w:trHeight w:val="163"/>
        </w:trPr>
        <w:tc>
          <w:tcPr>
            <w:tcW w:w="5020" w:type="dxa"/>
            <w:vAlign w:val="bottom"/>
          </w:tcPr>
          <w:p>
            <w:pPr>
              <w:spacing w:after="0"/>
              <w:rPr>
                <w:sz w:val="14"/>
                <w:szCs w:val="14"/>
                <w:color w:val="auto"/>
              </w:rPr>
            </w:pPr>
          </w:p>
        </w:tc>
        <w:tc>
          <w:tcPr>
            <w:tcW w:w="1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center"/>
              <w:ind w:left="89"/>
              <w:spacing w:after="0"/>
              <w:rPr>
                <w:sz w:val="20"/>
                <w:szCs w:val="20"/>
                <w:color w:val="auto"/>
              </w:rPr>
            </w:pPr>
            <w:r>
              <w:rPr>
                <w:rFonts w:ascii="Courier New" w:cs="Courier New" w:eastAsia="Courier New" w:hAnsi="Courier New"/>
                <w:sz w:val="14"/>
                <w:szCs w:val="14"/>
                <w:color w:val="auto"/>
              </w:rPr>
              <w:t>--------------</w:t>
            </w: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3"/>
        </w:trPr>
        <w:tc>
          <w:tcPr>
            <w:tcW w:w="50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4,978</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5,144</w:t>
            </w:r>
          </w:p>
        </w:tc>
      </w:tr>
      <w:tr>
        <w:trPr>
          <w:trHeight w:val="163"/>
        </w:trPr>
        <w:tc>
          <w:tcPr>
            <w:tcW w:w="502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net</w:t>
            </w:r>
          </w:p>
        </w:tc>
        <w:tc>
          <w:tcPr>
            <w:tcW w:w="46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40,864</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28,965</w:t>
            </w:r>
          </w:p>
        </w:tc>
      </w:tr>
      <w:tr>
        <w:trPr>
          <w:trHeight w:val="163"/>
        </w:trPr>
        <w:tc>
          <w:tcPr>
            <w:tcW w:w="5020" w:type="dxa"/>
            <w:vAlign w:val="bottom"/>
          </w:tcPr>
          <w:p>
            <w:pPr>
              <w:ind w:left="180"/>
              <w:spacing w:after="0"/>
              <w:rPr>
                <w:sz w:val="20"/>
                <w:szCs w:val="20"/>
                <w:color w:val="auto"/>
              </w:rPr>
            </w:pPr>
            <w:r>
              <w:rPr>
                <w:rFonts w:ascii="Courier New" w:cs="Courier New" w:eastAsia="Courier New" w:hAnsi="Courier New"/>
                <w:sz w:val="14"/>
                <w:szCs w:val="14"/>
                <w:color w:val="auto"/>
              </w:rPr>
              <w:t>Inventories, net</w:t>
            </w:r>
          </w:p>
        </w:tc>
        <w:tc>
          <w:tcPr>
            <w:tcW w:w="46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36,278</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23,402</w:t>
            </w:r>
          </w:p>
        </w:tc>
      </w:tr>
      <w:tr>
        <w:trPr>
          <w:trHeight w:val="163"/>
        </w:trPr>
        <w:tc>
          <w:tcPr>
            <w:tcW w:w="5020" w:type="dxa"/>
            <w:vAlign w:val="bottom"/>
          </w:tcPr>
          <w:p>
            <w:pPr>
              <w:ind w:left="180"/>
              <w:spacing w:after="0"/>
              <w:rPr>
                <w:sz w:val="20"/>
                <w:szCs w:val="20"/>
                <w:color w:val="auto"/>
              </w:rPr>
            </w:pPr>
            <w:r>
              <w:rPr>
                <w:rFonts w:ascii="Courier New" w:cs="Courier New" w:eastAsia="Courier New" w:hAnsi="Courier New"/>
                <w:sz w:val="14"/>
                <w:szCs w:val="14"/>
                <w:color w:val="auto"/>
              </w:rPr>
              <w:t>Other current assets</w:t>
            </w:r>
          </w:p>
        </w:tc>
        <w:tc>
          <w:tcPr>
            <w:tcW w:w="46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4,698</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2,501</w:t>
            </w:r>
          </w:p>
        </w:tc>
      </w:tr>
      <w:tr>
        <w:trPr>
          <w:trHeight w:val="163"/>
        </w:trPr>
        <w:tc>
          <w:tcPr>
            <w:tcW w:w="5020" w:type="dxa"/>
            <w:vAlign w:val="bottom"/>
          </w:tcPr>
          <w:p>
            <w:pPr>
              <w:ind w:left="180"/>
              <w:spacing w:after="0"/>
              <w:rPr>
                <w:sz w:val="20"/>
                <w:szCs w:val="20"/>
                <w:color w:val="auto"/>
              </w:rPr>
            </w:pPr>
            <w:r>
              <w:rPr>
                <w:rFonts w:ascii="Courier New" w:cs="Courier New" w:eastAsia="Courier New" w:hAnsi="Courier New"/>
                <w:sz w:val="14"/>
                <w:szCs w:val="14"/>
                <w:color w:val="auto"/>
              </w:rPr>
              <w:t>Current deferred tax asset</w:t>
            </w:r>
          </w:p>
        </w:tc>
        <w:tc>
          <w:tcPr>
            <w:tcW w:w="46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1,601</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1,400</w:t>
            </w:r>
          </w:p>
        </w:tc>
      </w:tr>
      <w:tr>
        <w:trPr>
          <w:trHeight w:val="163"/>
        </w:trPr>
        <w:tc>
          <w:tcPr>
            <w:tcW w:w="5020" w:type="dxa"/>
            <w:vAlign w:val="bottom"/>
          </w:tcPr>
          <w:p>
            <w:pPr>
              <w:spacing w:after="0"/>
              <w:rPr>
                <w:sz w:val="14"/>
                <w:szCs w:val="14"/>
                <w:color w:val="auto"/>
              </w:rPr>
            </w:pPr>
          </w:p>
        </w:tc>
        <w:tc>
          <w:tcPr>
            <w:tcW w:w="13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center"/>
              <w:ind w:left="89"/>
              <w:spacing w:after="0"/>
              <w:rPr>
                <w:sz w:val="20"/>
                <w:szCs w:val="20"/>
                <w:color w:val="auto"/>
              </w:rPr>
            </w:pPr>
            <w:r>
              <w:rPr>
                <w:rFonts w:ascii="Courier New" w:cs="Courier New" w:eastAsia="Courier New" w:hAnsi="Courier New"/>
                <w:sz w:val="14"/>
                <w:szCs w:val="14"/>
                <w:color w:val="auto"/>
              </w:rPr>
              <w:t>--------------</w:t>
            </w:r>
          </w:p>
        </w:tc>
      </w:tr>
      <w:tr>
        <w:trPr>
          <w:trHeight w:val="163"/>
        </w:trPr>
        <w:tc>
          <w:tcPr>
            <w:tcW w:w="502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46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88,419</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61,412</w:t>
            </w:r>
          </w:p>
        </w:tc>
      </w:tr>
      <w:tr>
        <w:trPr>
          <w:trHeight w:val="327"/>
        </w:trPr>
        <w:tc>
          <w:tcPr>
            <w:tcW w:w="50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460" w:type="dxa"/>
            <w:vAlign w:val="bottom"/>
          </w:tcPr>
          <w:p>
            <w:pPr>
              <w:spacing w:after="0"/>
              <w:rPr>
                <w:sz w:val="24"/>
                <w:szCs w:val="2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128,996</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88,199</w:t>
            </w:r>
          </w:p>
        </w:tc>
      </w:tr>
      <w:tr>
        <w:trPr>
          <w:trHeight w:val="163"/>
        </w:trPr>
        <w:tc>
          <w:tcPr>
            <w:tcW w:w="5020" w:type="dxa"/>
            <w:vAlign w:val="bottom"/>
          </w:tcPr>
          <w:p>
            <w:pPr>
              <w:spacing w:after="0"/>
              <w:rPr>
                <w:sz w:val="20"/>
                <w:szCs w:val="20"/>
                <w:color w:val="auto"/>
              </w:rPr>
            </w:pPr>
            <w:r>
              <w:rPr>
                <w:rFonts w:ascii="Courier New" w:cs="Courier New" w:eastAsia="Courier New" w:hAnsi="Courier New"/>
                <w:sz w:val="14"/>
                <w:szCs w:val="14"/>
                <w:color w:val="auto"/>
              </w:rPr>
              <w:t>Assets held for sale</w:t>
            </w:r>
          </w:p>
        </w:tc>
        <w:tc>
          <w:tcPr>
            <w:tcW w:w="46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1,805</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2,214</w:t>
            </w:r>
          </w:p>
        </w:tc>
      </w:tr>
    </w:tbl>
    <w:p>
      <w:pPr>
        <w:sectPr>
          <w:pgSz w:w="11900" w:h="16838" w:orient="portrait"/>
          <w:cols w:equalWidth="0" w:num="1">
            <w:col w:w="10239"/>
          </w:cols>
          <w:pgMar w:left="220" w:top="468" w:right="1440"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100" w:type="dxa"/>
            <w:vAlign w:val="bottom"/>
          </w:tcPr>
          <w:p>
            <w:pPr>
              <w:spacing w:after="0"/>
              <w:rPr>
                <w:sz w:val="20"/>
                <w:szCs w:val="20"/>
                <w:color w:val="auto"/>
              </w:rPr>
            </w:pPr>
            <w:r>
              <w:rPr>
                <w:rFonts w:ascii="Courier New" w:cs="Courier New" w:eastAsia="Courier New" w:hAnsi="Courier New"/>
                <w:sz w:val="14"/>
                <w:szCs w:val="14"/>
                <w:color w:val="auto"/>
              </w:rPr>
              <w:t>Gooddwill</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42,893</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39,374</w:t>
            </w:r>
          </w:p>
        </w:tc>
      </w:tr>
      <w:tr>
        <w:trPr>
          <w:trHeight w:val="163"/>
        </w:trPr>
        <w:tc>
          <w:tcPr>
            <w:tcW w:w="510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4,304</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4,016</w:t>
            </w:r>
          </w:p>
        </w:tc>
      </w:tr>
      <w:tr>
        <w:trPr>
          <w:trHeight w:val="163"/>
        </w:trPr>
        <w:tc>
          <w:tcPr>
            <w:tcW w:w="510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$ 266,417</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$ 195,215</w:t>
            </w:r>
          </w:p>
        </w:tc>
      </w:tr>
      <w:tr>
        <w:trPr>
          <w:trHeight w:val="163"/>
        </w:trPr>
        <w:tc>
          <w:tcPr>
            <w:tcW w:w="510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5100" w:type="dxa"/>
            <w:vAlign w:val="bottom"/>
          </w:tcPr>
          <w:p>
            <w:pPr>
              <w:spacing w:after="0"/>
              <w:rPr>
                <w:sz w:val="20"/>
                <w:szCs w:val="20"/>
                <w:color w:val="auto"/>
              </w:rPr>
            </w:pPr>
            <w:r>
              <w:rPr>
                <w:rFonts w:ascii="Courier New" w:cs="Courier New" w:eastAsia="Courier New" w:hAnsi="Courier New"/>
                <w:sz w:val="14"/>
                <w:szCs w:val="14"/>
                <w:b w:val="1"/>
                <w:bCs w:val="1"/>
                <w:color w:val="auto"/>
              </w:rPr>
              <w:t>Liabilities and Stockholders' Equity</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3"/>
        </w:trPr>
        <w:tc>
          <w:tcPr>
            <w:tcW w:w="51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$ 32,867</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$ 22,983</w:t>
            </w: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Bank overdraft</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w:t>
            </w: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Accrued salaries, wages and benefits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12,032</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6,354</w:t>
            </w: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Payable to affiliates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566</w:t>
            </w: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Short term loans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2,000</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Current maturities of long-term debt</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12,725</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7,000</w:t>
            </w: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3,070</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3,294</w:t>
            </w:r>
          </w:p>
        </w:tc>
      </w:tr>
      <w:tr>
        <w:trPr>
          <w:trHeight w:val="163"/>
        </w:trPr>
        <w:tc>
          <w:tcPr>
            <w:tcW w:w="510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00" w:type="dxa"/>
            <w:vAlign w:val="bottom"/>
          </w:tcPr>
          <w:p>
            <w:pPr>
              <w:ind w:left="520"/>
              <w:spacing w:after="0"/>
              <w:rPr>
                <w:sz w:val="20"/>
                <w:szCs w:val="20"/>
                <w:color w:val="auto"/>
              </w:rPr>
            </w:pPr>
            <w:r>
              <w:rPr>
                <w:rFonts w:ascii="Courier New" w:cs="Courier New" w:eastAsia="Courier New" w:hAnsi="Courier New"/>
                <w:sz w:val="14"/>
                <w:szCs w:val="14"/>
                <w:color w:val="auto"/>
              </w:rPr>
              <w:t>Total current liabilities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62,694</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40,234</w:t>
            </w:r>
          </w:p>
        </w:tc>
      </w:tr>
      <w:tr>
        <w:trPr>
          <w:trHeight w:val="327"/>
        </w:trPr>
        <w:tc>
          <w:tcPr>
            <w:tcW w:w="5100" w:type="dxa"/>
            <w:vAlign w:val="bottom"/>
          </w:tcPr>
          <w:p>
            <w:pPr>
              <w:spacing w:after="0"/>
              <w:rPr>
                <w:sz w:val="20"/>
                <w:szCs w:val="20"/>
                <w:color w:val="auto"/>
              </w:rPr>
            </w:pPr>
            <w:r>
              <w:rPr>
                <w:rFonts w:ascii="Courier New" w:cs="Courier New" w:eastAsia="Courier New" w:hAnsi="Courier New"/>
                <w:sz w:val="14"/>
                <w:szCs w:val="14"/>
                <w:color w:val="auto"/>
              </w:rPr>
              <w:t>Non-current deferred tax liability</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13,423</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9,334</w:t>
            </w:r>
          </w:p>
        </w:tc>
      </w:tr>
      <w:tr>
        <w:trPr>
          <w:trHeight w:val="163"/>
        </w:trPr>
        <w:tc>
          <w:tcPr>
            <w:tcW w:w="51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69,752</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46,135</w:t>
            </w:r>
          </w:p>
        </w:tc>
      </w:tr>
      <w:tr>
        <w:trPr>
          <w:trHeight w:val="163"/>
        </w:trPr>
        <w:tc>
          <w:tcPr>
            <w:tcW w:w="5100" w:type="dxa"/>
            <w:vAlign w:val="bottom"/>
          </w:tcPr>
          <w:p>
            <w:pPr>
              <w:spacing w:after="0"/>
              <w:rPr>
                <w:sz w:val="20"/>
                <w:szCs w:val="20"/>
                <w:color w:val="auto"/>
              </w:rPr>
            </w:pPr>
            <w:r>
              <w:rPr>
                <w:rFonts w:ascii="Courier New" w:cs="Courier New" w:eastAsia="Courier New" w:hAnsi="Courier New"/>
                <w:sz w:val="14"/>
                <w:szCs w:val="14"/>
                <w:color w:val="auto"/>
              </w:rPr>
              <w:t>Accrued pension and other</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14,080</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9,319</w:t>
            </w:r>
          </w:p>
        </w:tc>
      </w:tr>
      <w:tr>
        <w:trPr>
          <w:trHeight w:val="163"/>
        </w:trPr>
        <w:tc>
          <w:tcPr>
            <w:tcW w:w="510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0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159,949</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105,022</w:t>
            </w:r>
          </w:p>
        </w:tc>
      </w:tr>
      <w:tr>
        <w:trPr>
          <w:trHeight w:val="163"/>
        </w:trPr>
        <w:tc>
          <w:tcPr>
            <w:tcW w:w="510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510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subsidiaries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12,285</w:t>
            </w:r>
          </w:p>
        </w:tc>
      </w:tr>
      <w:tr>
        <w:trPr>
          <w:trHeight w:val="163"/>
        </w:trPr>
        <w:tc>
          <w:tcPr>
            <w:tcW w:w="510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51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14)</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7"/>
        </w:trPr>
        <w:tc>
          <w:tcPr>
            <w:tcW w:w="51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Common stock - $0.01 par value, authorized 45,000 shares,</w:t>
            </w: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3"/>
        </w:trPr>
        <w:tc>
          <w:tcPr>
            <w:tcW w:w="5100" w:type="dxa"/>
            <w:vAlign w:val="bottom"/>
          </w:tcPr>
          <w:p>
            <w:pPr>
              <w:ind w:left="340"/>
              <w:spacing w:after="0"/>
              <w:rPr>
                <w:sz w:val="20"/>
                <w:szCs w:val="20"/>
                <w:color w:val="auto"/>
              </w:rPr>
            </w:pPr>
            <w:r>
              <w:rPr>
                <w:rFonts w:ascii="Courier New" w:cs="Courier New" w:eastAsia="Courier New" w:hAnsi="Courier New"/>
                <w:sz w:val="14"/>
                <w:szCs w:val="14"/>
                <w:color w:val="auto"/>
              </w:rPr>
              <w:t>issued and outstanding 16,712 shares in 2003 and,</w:t>
            </w: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3"/>
        </w:trPr>
        <w:tc>
          <w:tcPr>
            <w:tcW w:w="5100" w:type="dxa"/>
            <w:vAlign w:val="bottom"/>
          </w:tcPr>
          <w:p>
            <w:pPr>
              <w:ind w:left="340"/>
              <w:spacing w:after="0"/>
              <w:rPr>
                <w:sz w:val="20"/>
                <w:szCs w:val="20"/>
                <w:color w:val="auto"/>
              </w:rPr>
            </w:pPr>
            <w:r>
              <w:rPr>
                <w:rFonts w:ascii="Courier New" w:cs="Courier New" w:eastAsia="Courier New" w:hAnsi="Courier New"/>
                <w:sz w:val="14"/>
                <w:szCs w:val="14"/>
                <w:color w:val="auto"/>
              </w:rPr>
              <w:t>15,370 shares in 2002</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168</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154</w:t>
            </w: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52,960</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40,457</w:t>
            </w: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43,931</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38,984</w:t>
            </w:r>
          </w:p>
        </w:tc>
      </w:tr>
      <w:tr>
        <w:trPr>
          <w:trHeight w:val="163"/>
        </w:trPr>
        <w:tc>
          <w:tcPr>
            <w:tcW w:w="510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9,409</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(1,687)</w:t>
            </w:r>
          </w:p>
        </w:tc>
      </w:tr>
      <w:tr>
        <w:trPr>
          <w:trHeight w:val="163"/>
        </w:trPr>
        <w:tc>
          <w:tcPr>
            <w:tcW w:w="510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00" w:type="dxa"/>
            <w:vAlign w:val="bottom"/>
          </w:tcPr>
          <w:p>
            <w:pPr>
              <w:ind w:left="520"/>
              <w:spacing w:after="0"/>
              <w:rPr>
                <w:sz w:val="20"/>
                <w:szCs w:val="20"/>
                <w:color w:val="auto"/>
              </w:rPr>
            </w:pPr>
            <w:r>
              <w:rPr>
                <w:rFonts w:ascii="Courier New" w:cs="Courier New" w:eastAsia="Courier New" w:hAnsi="Courier New"/>
                <w:sz w:val="14"/>
                <w:szCs w:val="14"/>
                <w:color w:val="auto"/>
              </w:rPr>
              <w:t>Total stockholders' equity</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106,468</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77,908</w:t>
            </w:r>
          </w:p>
        </w:tc>
      </w:tr>
      <w:tr>
        <w:trPr>
          <w:trHeight w:val="163"/>
        </w:trPr>
        <w:tc>
          <w:tcPr>
            <w:tcW w:w="510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5100" w:type="dxa"/>
            <w:vAlign w:val="bottom"/>
          </w:tcPr>
          <w:p>
            <w:pPr>
              <w:ind w:left="52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$ 266,417</w:t>
            </w:r>
          </w:p>
        </w:tc>
        <w:tc>
          <w:tcPr>
            <w:tcW w:w="13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$ 195,215</w:t>
            </w:r>
          </w:p>
        </w:tc>
      </w:tr>
      <w:tr>
        <w:trPr>
          <w:trHeight w:val="163"/>
        </w:trPr>
        <w:tc>
          <w:tcPr>
            <w:tcW w:w="5100" w:type="dxa"/>
            <w:vAlign w:val="bottom"/>
          </w:tcPr>
          <w:p>
            <w:pPr>
              <w:spacing w:after="0"/>
              <w:rPr>
                <w:sz w:val="14"/>
                <w:szCs w:val="14"/>
                <w:color w:val="auto"/>
              </w:rPr>
            </w:pP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b w:val="1"/>
          <w:bCs w:val="1"/>
          <w:color w:val="auto"/>
        </w:rPr>
        <w:t>See accompanying notes to consolidated financial statements</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Consolidated Statements of Income and Comprehensive Income</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Years ended December 31, 2003, 2002 and 2001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480" w:type="dxa"/>
            <w:vAlign w:val="bottom"/>
            <w:gridSpan w:val="2"/>
          </w:tcPr>
          <w:p>
            <w:pPr>
              <w:jc w:val="right"/>
              <w:ind w:right="389"/>
              <w:spacing w:after="0"/>
              <w:rPr>
                <w:sz w:val="20"/>
                <w:szCs w:val="20"/>
                <w:color w:val="auto"/>
              </w:rPr>
            </w:pPr>
            <w:r>
              <w:rPr>
                <w:rFonts w:ascii="Courier New" w:cs="Courier New" w:eastAsia="Courier New" w:hAnsi="Courier New"/>
                <w:sz w:val="14"/>
                <w:szCs w:val="14"/>
                <w:b w:val="1"/>
                <w:bCs w:val="1"/>
                <w:color w:val="auto"/>
              </w:rPr>
              <w:t>(In thousands, except per share data)</w:t>
            </w:r>
          </w:p>
        </w:tc>
        <w:tc>
          <w:tcPr>
            <w:tcW w:w="1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27"/>
        </w:trPr>
        <w:tc>
          <w:tcPr>
            <w:tcW w:w="4340" w:type="dxa"/>
            <w:vAlign w:val="bottom"/>
          </w:tcPr>
          <w:p>
            <w:pPr>
              <w:spacing w:after="0"/>
              <w:rPr>
                <w:sz w:val="24"/>
                <w:szCs w:val="24"/>
                <w:color w:val="auto"/>
              </w:rPr>
            </w:pP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b w:val="1"/>
                <w:bCs w:val="1"/>
                <w:color w:val="auto"/>
              </w:rPr>
              <w:t>2003</w:t>
            </w:r>
          </w:p>
        </w:tc>
        <w:tc>
          <w:tcPr>
            <w:tcW w:w="1360" w:type="dxa"/>
            <w:vAlign w:val="bottom"/>
          </w:tcPr>
          <w:p>
            <w:pPr>
              <w:jc w:val="right"/>
              <w:ind w:right="389"/>
              <w:spacing w:after="0"/>
              <w:rPr>
                <w:sz w:val="20"/>
                <w:szCs w:val="20"/>
                <w:color w:val="auto"/>
              </w:rPr>
            </w:pPr>
            <w:r>
              <w:rPr>
                <w:rFonts w:ascii="Courier New" w:cs="Courier New" w:eastAsia="Courier New" w:hAnsi="Courier New"/>
                <w:sz w:val="14"/>
                <w:szCs w:val="14"/>
                <w:b w:val="1"/>
                <w:bCs w:val="1"/>
                <w:color w:val="auto"/>
              </w:rPr>
              <w:t>2002</w:t>
            </w:r>
          </w:p>
        </w:tc>
        <w:tc>
          <w:tcPr>
            <w:tcW w:w="1160" w:type="dxa"/>
            <w:vAlign w:val="bottom"/>
          </w:tcPr>
          <w:p>
            <w:pPr>
              <w:jc w:val="right"/>
              <w:ind w:right="189"/>
              <w:spacing w:after="0"/>
              <w:rPr>
                <w:sz w:val="20"/>
                <w:szCs w:val="20"/>
                <w:color w:val="auto"/>
              </w:rPr>
            </w:pPr>
            <w:r>
              <w:rPr>
                <w:rFonts w:ascii="Courier New" w:cs="Courier New" w:eastAsia="Courier New" w:hAnsi="Courier New"/>
                <w:sz w:val="14"/>
                <w:szCs w:val="14"/>
                <w:b w:val="1"/>
                <w:bCs w:val="1"/>
                <w:color w:val="auto"/>
              </w:rPr>
              <w:t>2001</w:t>
            </w:r>
          </w:p>
        </w:tc>
      </w:tr>
      <w:tr>
        <w:trPr>
          <w:trHeight w:val="163"/>
        </w:trPr>
        <w:tc>
          <w:tcPr>
            <w:tcW w:w="4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b w:val="1"/>
                <w:bCs w:val="1"/>
                <w:color w:val="auto"/>
                <w:w w:val="99"/>
              </w:rPr>
              <w:t>-----------</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b w:val="1"/>
                <w:bCs w:val="1"/>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$ 253,462</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$ 192,856</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$ 180,151</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Cost of products sold (exclusive of depreciation</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195,658</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144,274</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137,221</w:t>
            </w: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shown separately below)</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21,700</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17,134</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16,752</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13,836</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11,212</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13,150</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Restructuring and impairment costs</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2,490</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1,277</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2,312</w:t>
            </w:r>
          </w:p>
        </w:tc>
      </w:tr>
      <w:tr>
        <w:trPr>
          <w:trHeight w:val="163"/>
        </w:trPr>
        <w:tc>
          <w:tcPr>
            <w:tcW w:w="4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19,778</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18,959</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10,716</w:t>
            </w:r>
          </w:p>
        </w:tc>
      </w:tr>
      <w:tr>
        <w:trPr>
          <w:trHeight w:val="327"/>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3,247</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2,451</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4,196</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Net gain on involuntary conversion</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(3,901)</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(48)</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(487)</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(186)</w:t>
            </w:r>
          </w:p>
        </w:tc>
      </w:tr>
      <w:tr>
        <w:trPr>
          <w:trHeight w:val="163"/>
        </w:trPr>
        <w:tc>
          <w:tcPr>
            <w:tcW w:w="4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16,579</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16,995</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10,607</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5,726</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6,457</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4,094</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Minority interest in consolidated subsidiaries</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675</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2,778</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1,753</w:t>
            </w:r>
          </w:p>
        </w:tc>
      </w:tr>
      <w:tr>
        <w:trPr>
          <w:trHeight w:val="163"/>
        </w:trPr>
        <w:tc>
          <w:tcPr>
            <w:tcW w:w="4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accounting principle</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10,178</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7,760</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4,760</w:t>
            </w:r>
          </w:p>
        </w:tc>
      </w:tr>
      <w:tr>
        <w:trPr>
          <w:trHeight w:val="163"/>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net of income tax benefit of $112 and related</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minority interest impact of $84</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98</w:t>
            </w:r>
          </w:p>
        </w:tc>
      </w:tr>
      <w:tr>
        <w:trPr>
          <w:trHeight w:val="163"/>
        </w:trPr>
        <w:tc>
          <w:tcPr>
            <w:tcW w:w="4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10,178</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7,760</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4,662</w:t>
            </w:r>
          </w:p>
        </w:tc>
      </w:tr>
      <w:tr>
        <w:trPr>
          <w:trHeight w:val="327"/>
        </w:trPr>
        <w:tc>
          <w:tcPr>
            <w:tcW w:w="4340" w:type="dxa"/>
            <w:vAlign w:val="bottom"/>
          </w:tcPr>
          <w:p>
            <w:pPr>
              <w:spacing w:after="0"/>
              <w:rPr>
                <w:sz w:val="20"/>
                <w:szCs w:val="20"/>
                <w:color w:val="auto"/>
              </w:rPr>
            </w:pPr>
            <w:r>
              <w:rPr>
                <w:rFonts w:ascii="Courier New" w:cs="Courier New" w:eastAsia="Courier New" w:hAnsi="Courier New"/>
                <w:sz w:val="14"/>
                <w:szCs w:val="14"/>
                <w:color w:val="auto"/>
              </w:rPr>
              <w:t>Other comprehensive income (loss):</w:t>
            </w: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Additional minimum pension liability, net of tax</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(177)</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(53)</w:t>
            </w: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11,273</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3,763</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(3,843)</w:t>
            </w:r>
          </w:p>
        </w:tc>
      </w:tr>
      <w:tr>
        <w:trPr>
          <w:trHeight w:val="163"/>
        </w:trPr>
        <w:tc>
          <w:tcPr>
            <w:tcW w:w="4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40" w:type="dxa"/>
            <w:vAlign w:val="bottom"/>
          </w:tcPr>
          <w:p>
            <w:pPr>
              <w:ind w:left="520"/>
              <w:spacing w:after="0"/>
              <w:rPr>
                <w:sz w:val="20"/>
                <w:szCs w:val="20"/>
                <w:color w:val="auto"/>
              </w:rPr>
            </w:pPr>
            <w:r>
              <w:rPr>
                <w:rFonts w:ascii="Courier New" w:cs="Courier New" w:eastAsia="Courier New" w:hAnsi="Courier New"/>
                <w:sz w:val="14"/>
                <w:szCs w:val="14"/>
                <w:color w:val="auto"/>
              </w:rPr>
              <w:t>Comprehensive income</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$ 21,274</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$ 11,495</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$ 766</w:t>
            </w:r>
          </w:p>
        </w:tc>
      </w:tr>
      <w:tr>
        <w:trPr>
          <w:trHeight w:val="163"/>
        </w:trPr>
        <w:tc>
          <w:tcPr>
            <w:tcW w:w="4340" w:type="dxa"/>
            <w:vAlign w:val="bottom"/>
          </w:tcPr>
          <w:p>
            <w:pPr>
              <w:spacing w:after="0"/>
              <w:rPr>
                <w:sz w:val="14"/>
                <w:szCs w:val="14"/>
                <w:color w:val="auto"/>
              </w:rPr>
            </w:pPr>
          </w:p>
        </w:tc>
        <w:tc>
          <w:tcPr>
            <w:tcW w:w="114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w:t>
            </w:r>
          </w:p>
        </w:tc>
        <w:tc>
          <w:tcPr>
            <w:tcW w:w="13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Basic income per share:</w:t>
            </w: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0.64</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0.51</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0.31</w:t>
            </w:r>
          </w:p>
        </w:tc>
      </w:tr>
      <w:tr>
        <w:trPr>
          <w:trHeight w:val="163"/>
        </w:trPr>
        <w:tc>
          <w:tcPr>
            <w:tcW w:w="4340" w:type="dxa"/>
            <w:vAlign w:val="bottom"/>
          </w:tcPr>
          <w:p>
            <w:pPr>
              <w:ind w:left="340"/>
              <w:spacing w:after="0"/>
              <w:rPr>
                <w:sz w:val="20"/>
                <w:szCs w:val="20"/>
                <w:color w:val="auto"/>
              </w:rPr>
            </w:pPr>
            <w:r>
              <w:rPr>
                <w:rFonts w:ascii="Courier New" w:cs="Courier New" w:eastAsia="Courier New" w:hAnsi="Courier New"/>
                <w:sz w:val="14"/>
                <w:szCs w:val="14"/>
                <w:color w:val="auto"/>
              </w:rPr>
              <w:t>accounting principle</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3"/>
        </w:trPr>
        <w:tc>
          <w:tcPr>
            <w:tcW w:w="4340" w:type="dxa"/>
            <w:vAlign w:val="bottom"/>
          </w:tcPr>
          <w:p>
            <w:pPr>
              <w:ind w:left="340"/>
              <w:spacing w:after="0"/>
              <w:rPr>
                <w:sz w:val="20"/>
                <w:szCs w:val="20"/>
                <w:color w:val="auto"/>
              </w:rPr>
            </w:pPr>
            <w:r>
              <w:rPr>
                <w:rFonts w:ascii="Courier New" w:cs="Courier New" w:eastAsia="Courier New" w:hAnsi="Courier New"/>
                <w:sz w:val="14"/>
                <w:szCs w:val="14"/>
                <w:color w:val="auto"/>
              </w:rPr>
              <w:t>principle</w:t>
            </w:r>
          </w:p>
        </w:tc>
        <w:tc>
          <w:tcPr>
            <w:tcW w:w="11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(0.01)</w:t>
            </w:r>
          </w:p>
        </w:tc>
      </w:tr>
    </w:tbl>
    <w:p>
      <w:pPr>
        <w:sectPr>
          <w:pgSz w:w="11900" w:h="16838" w:orient="portrait"/>
          <w:cols w:equalWidth="0" w:num="1">
            <w:col w:w="10239"/>
          </w:cols>
          <w:pgMar w:left="220" w:top="141" w:right="1440"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160" w:type="dxa"/>
            <w:vAlign w:val="bottom"/>
          </w:tcPr>
          <w:p>
            <w:pPr>
              <w:spacing w:after="0"/>
              <w:rPr>
                <w:sz w:val="13"/>
                <w:szCs w:val="13"/>
                <w:color w:val="auto"/>
              </w:rPr>
            </w:pPr>
          </w:p>
        </w:tc>
        <w:tc>
          <w:tcPr>
            <w:tcW w:w="13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0.64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0.51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0.31</w:t>
            </w:r>
          </w:p>
        </w:tc>
      </w:tr>
      <w:tr>
        <w:trPr>
          <w:trHeight w:val="163"/>
        </w:trPr>
        <w:tc>
          <w:tcPr>
            <w:tcW w:w="4160" w:type="dxa"/>
            <w:vAlign w:val="bottom"/>
          </w:tcPr>
          <w:p>
            <w:pPr>
              <w:spacing w:after="0"/>
              <w:rPr>
                <w:sz w:val="14"/>
                <w:szCs w:val="14"/>
                <w:color w:val="auto"/>
              </w:rPr>
            </w:pPr>
          </w:p>
        </w:tc>
        <w:tc>
          <w:tcPr>
            <w:tcW w:w="13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shares outstanding</w:t>
            </w:r>
          </w:p>
        </w:tc>
        <w:tc>
          <w:tcPr>
            <w:tcW w:w="52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15,973</w:t>
            </w:r>
          </w:p>
        </w:tc>
        <w:tc>
          <w:tcPr>
            <w:tcW w:w="52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15,343</w:t>
            </w:r>
          </w:p>
        </w:tc>
        <w:tc>
          <w:tcPr>
            <w:tcW w:w="56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15,259</w:t>
            </w:r>
          </w:p>
        </w:tc>
      </w:tr>
      <w:tr>
        <w:trPr>
          <w:trHeight w:val="163"/>
        </w:trPr>
        <w:tc>
          <w:tcPr>
            <w:tcW w:w="4160" w:type="dxa"/>
            <w:vAlign w:val="bottom"/>
          </w:tcPr>
          <w:p>
            <w:pPr>
              <w:spacing w:after="0"/>
              <w:rPr>
                <w:sz w:val="14"/>
                <w:szCs w:val="14"/>
                <w:color w:val="auto"/>
              </w:rPr>
            </w:pPr>
          </w:p>
        </w:tc>
        <w:tc>
          <w:tcPr>
            <w:tcW w:w="13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160" w:type="dxa"/>
            <w:vAlign w:val="bottom"/>
          </w:tcPr>
          <w:p>
            <w:pPr>
              <w:spacing w:after="0"/>
              <w:rPr>
                <w:sz w:val="20"/>
                <w:szCs w:val="20"/>
                <w:color w:val="auto"/>
              </w:rPr>
            </w:pPr>
            <w:r>
              <w:rPr>
                <w:rFonts w:ascii="Courier New" w:cs="Courier New" w:eastAsia="Courier New" w:hAnsi="Courier New"/>
                <w:sz w:val="14"/>
                <w:szCs w:val="14"/>
                <w:color w:val="auto"/>
              </w:rPr>
              <w:t>Diluted income per share:</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3"/>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 in</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4160" w:type="dxa"/>
            <w:vAlign w:val="bottom"/>
          </w:tcPr>
          <w:p>
            <w:pPr>
              <w:ind w:left="340"/>
              <w:spacing w:after="0"/>
              <w:rPr>
                <w:sz w:val="20"/>
                <w:szCs w:val="20"/>
                <w:color w:val="auto"/>
              </w:rPr>
            </w:pPr>
            <w:r>
              <w:rPr>
                <w:rFonts w:ascii="Courier New" w:cs="Courier New" w:eastAsia="Courier New" w:hAnsi="Courier New"/>
                <w:sz w:val="14"/>
                <w:szCs w:val="14"/>
                <w:color w:val="auto"/>
              </w:rPr>
              <w:t>accounting principle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0.62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0.31</w:t>
            </w:r>
          </w:p>
        </w:tc>
      </w:tr>
      <w:tr>
        <w:trPr>
          <w:trHeight w:val="327"/>
        </w:trPr>
        <w:tc>
          <w:tcPr>
            <w:tcW w:w="416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3"/>
        </w:trPr>
        <w:tc>
          <w:tcPr>
            <w:tcW w:w="4160" w:type="dxa"/>
            <w:vAlign w:val="bottom"/>
          </w:tcPr>
          <w:p>
            <w:pPr>
              <w:ind w:left="340"/>
              <w:spacing w:after="0"/>
              <w:rPr>
                <w:sz w:val="20"/>
                <w:szCs w:val="20"/>
                <w:color w:val="auto"/>
              </w:rPr>
            </w:pPr>
            <w:r>
              <w:rPr>
                <w:rFonts w:ascii="Courier New" w:cs="Courier New" w:eastAsia="Courier New" w:hAnsi="Courier New"/>
                <w:sz w:val="14"/>
                <w:szCs w:val="14"/>
                <w:color w:val="auto"/>
              </w:rPr>
              <w:t>principal</w:t>
            </w:r>
          </w:p>
        </w:tc>
        <w:tc>
          <w:tcPr>
            <w:tcW w:w="52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(0.01)</w:t>
            </w:r>
          </w:p>
        </w:tc>
      </w:tr>
      <w:tr>
        <w:trPr>
          <w:trHeight w:val="163"/>
        </w:trPr>
        <w:tc>
          <w:tcPr>
            <w:tcW w:w="4160" w:type="dxa"/>
            <w:vAlign w:val="bottom"/>
          </w:tcPr>
          <w:p>
            <w:pPr>
              <w:spacing w:after="0"/>
              <w:rPr>
                <w:sz w:val="14"/>
                <w:szCs w:val="14"/>
                <w:color w:val="auto"/>
              </w:rPr>
            </w:pPr>
          </w:p>
        </w:tc>
        <w:tc>
          <w:tcPr>
            <w:tcW w:w="13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60" w:type="dxa"/>
            <w:vAlign w:val="bottom"/>
          </w:tcPr>
          <w:p>
            <w:pPr>
              <w:ind w:left="780"/>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0.62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0.30</w:t>
            </w:r>
          </w:p>
        </w:tc>
      </w:tr>
      <w:tr>
        <w:trPr>
          <w:trHeight w:val="163"/>
        </w:trPr>
        <w:tc>
          <w:tcPr>
            <w:tcW w:w="4160" w:type="dxa"/>
            <w:vAlign w:val="bottom"/>
          </w:tcPr>
          <w:p>
            <w:pPr>
              <w:spacing w:after="0"/>
              <w:rPr>
                <w:sz w:val="14"/>
                <w:szCs w:val="14"/>
                <w:color w:val="auto"/>
              </w:rPr>
            </w:pPr>
          </w:p>
        </w:tc>
        <w:tc>
          <w:tcPr>
            <w:tcW w:w="13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520" w:type="dxa"/>
            <w:vAlign w:val="bottom"/>
          </w:tcPr>
          <w:p>
            <w:pPr>
              <w:spacing w:after="0"/>
              <w:rPr>
                <w:sz w:val="14"/>
                <w:szCs w:val="14"/>
                <w:color w:val="auto"/>
              </w:rPr>
            </w:pP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16,379</w:t>
            </w:r>
          </w:p>
        </w:tc>
        <w:tc>
          <w:tcPr>
            <w:tcW w:w="52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15,714</w:t>
            </w:r>
          </w:p>
        </w:tc>
        <w:tc>
          <w:tcPr>
            <w:tcW w:w="56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15,540</w:t>
            </w:r>
          </w:p>
        </w:tc>
      </w:tr>
      <w:tr>
        <w:trPr>
          <w:trHeight w:val="163"/>
        </w:trPr>
        <w:tc>
          <w:tcPr>
            <w:tcW w:w="4160" w:type="dxa"/>
            <w:vAlign w:val="bottom"/>
          </w:tcPr>
          <w:p>
            <w:pPr>
              <w:spacing w:after="0"/>
              <w:rPr>
                <w:sz w:val="14"/>
                <w:szCs w:val="14"/>
                <w:color w:val="auto"/>
              </w:rPr>
            </w:pPr>
          </w:p>
        </w:tc>
        <w:tc>
          <w:tcPr>
            <w:tcW w:w="13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160" w:type="dxa"/>
            <w:vAlign w:val="bottom"/>
          </w:tcPr>
          <w:p>
            <w:pPr>
              <w:spacing w:after="0"/>
              <w:rPr>
                <w:sz w:val="20"/>
                <w:szCs w:val="20"/>
                <w:color w:val="auto"/>
              </w:rPr>
            </w:pPr>
            <w:r>
              <w:rPr>
                <w:rFonts w:ascii="Courier New" w:cs="Courier New" w:eastAsia="Courier New" w:hAnsi="Courier New"/>
                <w:sz w:val="14"/>
                <w:szCs w:val="14"/>
                <w:color w:val="auto"/>
              </w:rPr>
              <w:t>Cash dividends per common share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0.32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0.32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0.32</w:t>
            </w:r>
          </w:p>
        </w:tc>
      </w:tr>
      <w:tr>
        <w:trPr>
          <w:trHeight w:val="163"/>
        </w:trPr>
        <w:tc>
          <w:tcPr>
            <w:tcW w:w="4160" w:type="dxa"/>
            <w:vAlign w:val="bottom"/>
          </w:tcPr>
          <w:p>
            <w:pPr>
              <w:spacing w:after="0"/>
              <w:rPr>
                <w:sz w:val="14"/>
                <w:szCs w:val="14"/>
                <w:color w:val="auto"/>
              </w:rPr>
            </w:pPr>
          </w:p>
        </w:tc>
        <w:tc>
          <w:tcPr>
            <w:tcW w:w="136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b w:val="1"/>
          <w:bCs w:val="1"/>
          <w:color w:val="auto"/>
        </w:rPr>
        <w:t>See accompanying notes to consolidated financial statements</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Consolidated Statements of Changes in Stockholders' Equity</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Years ended December 31, 2003, 2002 and 2001</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320" w:type="dxa"/>
            <w:vAlign w:val="bottom"/>
          </w:tcPr>
          <w:p>
            <w:pPr>
              <w:spacing w:after="0"/>
              <w:rPr>
                <w:sz w:val="13"/>
                <w:szCs w:val="13"/>
                <w:color w:val="auto"/>
              </w:rPr>
            </w:pPr>
          </w:p>
        </w:tc>
        <w:tc>
          <w:tcPr>
            <w:tcW w:w="1700" w:type="dxa"/>
            <w:vAlign w:val="bottom"/>
            <w:gridSpan w:val="2"/>
          </w:tcPr>
          <w:p>
            <w:pPr>
              <w:ind w:left="600"/>
              <w:spacing w:after="0"/>
              <w:rPr>
                <w:sz w:val="20"/>
                <w:szCs w:val="20"/>
                <w:color w:val="auto"/>
              </w:rPr>
            </w:pPr>
            <w:r>
              <w:rPr>
                <w:rFonts w:ascii="Courier New" w:cs="Courier New" w:eastAsia="Courier New" w:hAnsi="Courier New"/>
                <w:sz w:val="14"/>
                <w:szCs w:val="14"/>
                <w:b w:val="1"/>
                <w:bCs w:val="1"/>
                <w:color w:val="auto"/>
              </w:rPr>
              <w:t>Common Stock</w:t>
            </w: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rPr>
              <w:t>Accumulated</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3"/>
        </w:trPr>
        <w:tc>
          <w:tcPr>
            <w:tcW w:w="3320" w:type="dxa"/>
            <w:vAlign w:val="bottom"/>
          </w:tcPr>
          <w:p>
            <w:pPr>
              <w:spacing w:after="0"/>
              <w:rPr>
                <w:sz w:val="14"/>
                <w:szCs w:val="14"/>
                <w:color w:val="auto"/>
              </w:rPr>
            </w:pPr>
          </w:p>
        </w:tc>
        <w:tc>
          <w:tcPr>
            <w:tcW w:w="2120" w:type="dxa"/>
            <w:vAlign w:val="bottom"/>
            <w:gridSpan w:val="3"/>
          </w:tcPr>
          <w:p>
            <w:pPr>
              <w:ind w:left="80"/>
              <w:spacing w:after="0"/>
              <w:rPr>
                <w:sz w:val="20"/>
                <w:szCs w:val="20"/>
                <w:color w:val="auto"/>
              </w:rPr>
            </w:pPr>
            <w:r>
              <w:rPr>
                <w:rFonts w:ascii="Courier New" w:cs="Courier New" w:eastAsia="Courier New" w:hAnsi="Courier New"/>
                <w:sz w:val="14"/>
                <w:szCs w:val="14"/>
                <w:b w:val="1"/>
                <w:bCs w:val="1"/>
                <w:color w:val="auto"/>
              </w:rPr>
              <w:t>-----------------------</w:t>
            </w: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b w:val="1"/>
                <w:bCs w:val="1"/>
                <w:color w:val="auto"/>
              </w:rPr>
              <w:t>Additional</w:t>
            </w:r>
          </w:p>
        </w:tc>
        <w:tc>
          <w:tcPr>
            <w:tcW w:w="1020" w:type="dxa"/>
            <w:vAlign w:val="bottom"/>
          </w:tcPr>
          <w:p>
            <w:pPr>
              <w:spacing w:after="0"/>
              <w:rPr>
                <w:sz w:val="14"/>
                <w:szCs w:val="14"/>
                <w:color w:val="auto"/>
              </w:rPr>
            </w:pPr>
          </w:p>
        </w:tc>
        <w:tc>
          <w:tcPr>
            <w:tcW w:w="1440" w:type="dxa"/>
            <w:vAlign w:val="bottom"/>
            <w:gridSpan w:val="2"/>
          </w:tcPr>
          <w:p>
            <w:pPr>
              <w:ind w:left="500"/>
              <w:spacing w:after="0"/>
              <w:rPr>
                <w:sz w:val="20"/>
                <w:szCs w:val="20"/>
                <w:color w:val="auto"/>
              </w:rPr>
            </w:pPr>
            <w:r>
              <w:rPr>
                <w:rFonts w:ascii="Courier New" w:cs="Courier New" w:eastAsia="Courier New" w:hAnsi="Courier New"/>
                <w:sz w:val="14"/>
                <w:szCs w:val="14"/>
                <w:b w:val="1"/>
                <w:bCs w:val="1"/>
                <w:color w:val="auto"/>
              </w:rPr>
              <w:t>Other</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320" w:type="dxa"/>
            <w:vAlign w:val="bottom"/>
          </w:tcPr>
          <w:p>
            <w:pPr>
              <w:spacing w:after="0"/>
              <w:rPr>
                <w:sz w:val="14"/>
                <w:szCs w:val="14"/>
                <w:color w:val="auto"/>
              </w:rPr>
            </w:pP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b w:val="1"/>
                <w:bCs w:val="1"/>
                <w:color w:val="auto"/>
              </w:rPr>
              <w:t>Number</w:t>
            </w:r>
          </w:p>
        </w:tc>
        <w:tc>
          <w:tcPr>
            <w:tcW w:w="600" w:type="dxa"/>
            <w:vAlign w:val="bottom"/>
          </w:tcPr>
          <w:p>
            <w:pPr>
              <w:jc w:val="center"/>
              <w:ind w:left="269"/>
              <w:spacing w:after="0"/>
              <w:rPr>
                <w:sz w:val="20"/>
                <w:szCs w:val="20"/>
                <w:color w:val="auto"/>
              </w:rPr>
            </w:pPr>
            <w:r>
              <w:rPr>
                <w:rFonts w:ascii="Courier New" w:cs="Courier New" w:eastAsia="Courier New" w:hAnsi="Courier New"/>
                <w:sz w:val="14"/>
                <w:szCs w:val="14"/>
                <w:b w:val="1"/>
                <w:bCs w:val="1"/>
                <w:color w:val="auto"/>
              </w:rPr>
              <w:t>Par</w:t>
            </w:r>
          </w:p>
        </w:tc>
        <w:tc>
          <w:tcPr>
            <w:tcW w:w="420" w:type="dxa"/>
            <w:vAlign w:val="bottom"/>
          </w:tcPr>
          <w:p>
            <w:pPr>
              <w:spacing w:after="0"/>
              <w:rPr>
                <w:sz w:val="14"/>
                <w:szCs w:val="14"/>
                <w:color w:val="auto"/>
              </w:rPr>
            </w:pPr>
          </w:p>
        </w:tc>
        <w:tc>
          <w:tcPr>
            <w:tcW w:w="1200" w:type="dxa"/>
            <w:vAlign w:val="bottom"/>
            <w:gridSpan w:val="2"/>
          </w:tcPr>
          <w:p>
            <w:pPr>
              <w:jc w:val="right"/>
              <w:ind w:right="269"/>
              <w:spacing w:after="0"/>
              <w:rPr>
                <w:sz w:val="20"/>
                <w:szCs w:val="20"/>
                <w:color w:val="auto"/>
              </w:rPr>
            </w:pPr>
            <w:r>
              <w:rPr>
                <w:rFonts w:ascii="Courier New" w:cs="Courier New" w:eastAsia="Courier New" w:hAnsi="Courier New"/>
                <w:sz w:val="14"/>
                <w:szCs w:val="14"/>
                <w:b w:val="1"/>
                <w:bCs w:val="1"/>
                <w:color w:val="auto"/>
              </w:rPr>
              <w:t>Paid-In</w:t>
            </w:r>
          </w:p>
        </w:tc>
        <w:tc>
          <w:tcPr>
            <w:tcW w:w="102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Retained</w:t>
            </w:r>
          </w:p>
        </w:tc>
        <w:tc>
          <w:tcPr>
            <w:tcW w:w="144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rPr>
              <w:t>Comprehensive</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3"/>
        </w:trPr>
        <w:tc>
          <w:tcPr>
            <w:tcW w:w="3320" w:type="dxa"/>
            <w:vAlign w:val="bottom"/>
          </w:tcPr>
          <w:p>
            <w:pPr>
              <w:spacing w:after="0"/>
              <w:rPr>
                <w:sz w:val="14"/>
                <w:szCs w:val="14"/>
                <w:color w:val="auto"/>
              </w:rPr>
            </w:pP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b w:val="1"/>
                <w:bCs w:val="1"/>
                <w:color w:val="auto"/>
              </w:rPr>
              <w:t>of shares</w:t>
            </w:r>
          </w:p>
        </w:tc>
        <w:tc>
          <w:tcPr>
            <w:tcW w:w="1020" w:type="dxa"/>
            <w:vAlign w:val="bottom"/>
            <w:gridSpan w:val="2"/>
          </w:tcPr>
          <w:p>
            <w:pPr>
              <w:jc w:val="center"/>
              <w:ind w:right="9"/>
              <w:spacing w:after="0"/>
              <w:rPr>
                <w:sz w:val="20"/>
                <w:szCs w:val="20"/>
                <w:color w:val="auto"/>
              </w:rPr>
            </w:pPr>
            <w:r>
              <w:rPr>
                <w:rFonts w:ascii="Courier New" w:cs="Courier New" w:eastAsia="Courier New" w:hAnsi="Courier New"/>
                <w:sz w:val="14"/>
                <w:szCs w:val="14"/>
                <w:b w:val="1"/>
                <w:bCs w:val="1"/>
                <w:color w:val="auto"/>
                <w:w w:val="99"/>
              </w:rPr>
              <w:t>Value</w:t>
            </w:r>
          </w:p>
        </w:tc>
        <w:tc>
          <w:tcPr>
            <w:tcW w:w="1200" w:type="dxa"/>
            <w:vAlign w:val="bottom"/>
            <w:gridSpan w:val="2"/>
          </w:tcPr>
          <w:p>
            <w:pPr>
              <w:jc w:val="right"/>
              <w:ind w:right="269"/>
              <w:spacing w:after="0"/>
              <w:rPr>
                <w:sz w:val="20"/>
                <w:szCs w:val="20"/>
                <w:color w:val="auto"/>
              </w:rPr>
            </w:pPr>
            <w:r>
              <w:rPr>
                <w:rFonts w:ascii="Courier New" w:cs="Courier New" w:eastAsia="Courier New" w:hAnsi="Courier New"/>
                <w:sz w:val="14"/>
                <w:szCs w:val="14"/>
                <w:b w:val="1"/>
                <w:bCs w:val="1"/>
                <w:color w:val="auto"/>
              </w:rPr>
              <w:t>Capital</w:t>
            </w:r>
          </w:p>
        </w:tc>
        <w:tc>
          <w:tcPr>
            <w:tcW w:w="102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Earnings</w:t>
            </w:r>
          </w:p>
        </w:tc>
        <w:tc>
          <w:tcPr>
            <w:tcW w:w="1440" w:type="dxa"/>
            <w:vAlign w:val="bottom"/>
            <w:gridSpan w:val="2"/>
          </w:tcPr>
          <w:p>
            <w:pPr>
              <w:ind w:left="500"/>
              <w:spacing w:after="0"/>
              <w:rPr>
                <w:sz w:val="20"/>
                <w:szCs w:val="20"/>
                <w:color w:val="auto"/>
              </w:rPr>
            </w:pPr>
            <w:r>
              <w:rPr>
                <w:rFonts w:ascii="Courier New" w:cs="Courier New" w:eastAsia="Courier New" w:hAnsi="Courier New"/>
                <w:sz w:val="14"/>
                <w:szCs w:val="14"/>
                <w:b w:val="1"/>
                <w:bCs w:val="1"/>
                <w:color w:val="auto"/>
              </w:rPr>
              <w:t>Loss</w:t>
            </w:r>
          </w:p>
        </w:tc>
        <w:tc>
          <w:tcPr>
            <w:tcW w:w="240" w:type="dxa"/>
            <w:vAlign w:val="bottom"/>
          </w:tcPr>
          <w:p>
            <w:pPr>
              <w:spacing w:after="0"/>
              <w:rPr>
                <w:sz w:val="14"/>
                <w:szCs w:val="14"/>
                <w:color w:val="auto"/>
              </w:rPr>
            </w:pP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b w:val="1"/>
                <w:bCs w:val="1"/>
                <w:color w:val="auto"/>
              </w:rPr>
              <w:t>Total</w:t>
            </w:r>
          </w:p>
        </w:tc>
      </w:tr>
      <w:tr>
        <w:trPr>
          <w:trHeight w:val="163"/>
        </w:trPr>
        <w:tc>
          <w:tcPr>
            <w:tcW w:w="3320" w:type="dxa"/>
            <w:vAlign w:val="bottom"/>
          </w:tcPr>
          <w:p>
            <w:pPr>
              <w:spacing w:after="0"/>
              <w:rPr>
                <w:sz w:val="14"/>
                <w:szCs w:val="14"/>
                <w:color w:val="auto"/>
              </w:rPr>
            </w:pPr>
          </w:p>
        </w:tc>
        <w:tc>
          <w:tcPr>
            <w:tcW w:w="6700" w:type="dxa"/>
            <w:vAlign w:val="bottom"/>
            <w:gridSpan w:val="10"/>
          </w:tcPr>
          <w:p>
            <w:pPr>
              <w:ind w:left="80"/>
              <w:spacing w:after="0"/>
              <w:rPr>
                <w:sz w:val="20"/>
                <w:szCs w:val="20"/>
                <w:color w:val="auto"/>
              </w:rPr>
            </w:pPr>
            <w:r>
              <w:rPr>
                <w:rFonts w:ascii="Courier New" w:cs="Courier New" w:eastAsia="Courier New" w:hAnsi="Courier New"/>
                <w:sz w:val="14"/>
                <w:szCs w:val="14"/>
                <w:b w:val="1"/>
                <w:bCs w:val="1"/>
                <w:color w:val="auto"/>
              </w:rPr>
              <w:t>-----------  ----------  ------------  ----------  ---------------  ----------</w:t>
            </w:r>
          </w:p>
        </w:tc>
      </w:tr>
      <w:tr>
        <w:trPr>
          <w:trHeight w:val="327"/>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December 31, 2000</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15,247</w:t>
            </w:r>
          </w:p>
        </w:tc>
        <w:tc>
          <w:tcPr>
            <w:tcW w:w="60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5"/>
              </w:rPr>
              <w:t>153</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39,684</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$ 36,364</w:t>
            </w:r>
          </w:p>
        </w:tc>
        <w:tc>
          <w:tcPr>
            <w:tcW w:w="62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(1,526)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74,675</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Shares issued</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70</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427</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428</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4,662</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4,662</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(4,887)</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(4,887)</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Additional minimum pension liability</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(53)</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Cumulative translation loss</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(3,843)</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(3,843)</w:t>
            </w:r>
          </w:p>
        </w:tc>
      </w:tr>
      <w:tr>
        <w:trPr>
          <w:trHeight w:val="163"/>
        </w:trPr>
        <w:tc>
          <w:tcPr>
            <w:tcW w:w="3320" w:type="dxa"/>
            <w:vAlign w:val="bottom"/>
          </w:tcPr>
          <w:p>
            <w:pPr>
              <w:spacing w:after="0"/>
              <w:rPr>
                <w:sz w:val="14"/>
                <w:szCs w:val="14"/>
                <w:color w:val="auto"/>
              </w:rPr>
            </w:pPr>
          </w:p>
        </w:tc>
        <w:tc>
          <w:tcPr>
            <w:tcW w:w="6700" w:type="dxa"/>
            <w:vAlign w:val="bottom"/>
            <w:gridSpan w:val="10"/>
          </w:tcPr>
          <w:p>
            <w:pPr>
              <w:ind w:left="80"/>
              <w:spacing w:after="0"/>
              <w:rPr>
                <w:sz w:val="20"/>
                <w:szCs w:val="20"/>
                <w:color w:val="auto"/>
              </w:rPr>
            </w:pPr>
            <w:r>
              <w:rPr>
                <w:rFonts w:ascii="Courier New" w:cs="Courier New" w:eastAsia="Courier New" w:hAnsi="Courier New"/>
                <w:sz w:val="14"/>
                <w:szCs w:val="14"/>
                <w:color w:val="auto"/>
              </w:rPr>
              <w:t>-----------  ----------  ------------  ----------  ---------------  ----------</w:t>
            </w:r>
          </w:p>
        </w:tc>
      </w:tr>
      <w:tr>
        <w:trPr>
          <w:trHeight w:val="327"/>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December 31, 2001</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15,317</w:t>
            </w:r>
          </w:p>
        </w:tc>
        <w:tc>
          <w:tcPr>
            <w:tcW w:w="60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5"/>
              </w:rPr>
              <w:t>154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40,111</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$ 36,139</w:t>
            </w:r>
          </w:p>
        </w:tc>
        <w:tc>
          <w:tcPr>
            <w:tcW w:w="62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(5,422)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70,982</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Shares issued</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53</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346</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346</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7,760</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7,760</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(4,915)</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(4,915)</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Additional minimum pension liability</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(28)</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Cumulative translation gain</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3,763</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3,763</w:t>
            </w:r>
          </w:p>
        </w:tc>
      </w:tr>
      <w:tr>
        <w:trPr>
          <w:trHeight w:val="163"/>
        </w:trPr>
        <w:tc>
          <w:tcPr>
            <w:tcW w:w="3320" w:type="dxa"/>
            <w:vAlign w:val="bottom"/>
          </w:tcPr>
          <w:p>
            <w:pPr>
              <w:spacing w:after="0"/>
              <w:rPr>
                <w:sz w:val="14"/>
                <w:szCs w:val="14"/>
                <w:color w:val="auto"/>
              </w:rPr>
            </w:pPr>
          </w:p>
        </w:tc>
        <w:tc>
          <w:tcPr>
            <w:tcW w:w="6700" w:type="dxa"/>
            <w:vAlign w:val="bottom"/>
            <w:gridSpan w:val="10"/>
          </w:tcPr>
          <w:p>
            <w:pPr>
              <w:ind w:left="80"/>
              <w:spacing w:after="0"/>
              <w:rPr>
                <w:sz w:val="20"/>
                <w:szCs w:val="20"/>
                <w:color w:val="auto"/>
              </w:rPr>
            </w:pPr>
            <w:r>
              <w:rPr>
                <w:rFonts w:ascii="Courier New" w:cs="Courier New" w:eastAsia="Courier New" w:hAnsi="Courier New"/>
                <w:sz w:val="14"/>
                <w:szCs w:val="14"/>
                <w:color w:val="auto"/>
              </w:rPr>
              <w:t>-----------  ----------  ------------  ----------  ---------------  ----------</w:t>
            </w:r>
          </w:p>
        </w:tc>
      </w:tr>
      <w:tr>
        <w:trPr>
          <w:trHeight w:val="327"/>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December 31, 2002</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15,370</w:t>
            </w:r>
          </w:p>
        </w:tc>
        <w:tc>
          <w:tcPr>
            <w:tcW w:w="60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5"/>
              </w:rPr>
              <w:t>154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40,457</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$ 38,984</w:t>
            </w:r>
          </w:p>
        </w:tc>
        <w:tc>
          <w:tcPr>
            <w:tcW w:w="62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(1,687)</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77,908</w:t>
            </w:r>
          </w:p>
        </w:tc>
      </w:tr>
      <w:tr>
        <w:trPr>
          <w:trHeight w:val="327"/>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Shares issued</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1,342</w:t>
            </w:r>
          </w:p>
        </w:tc>
        <w:tc>
          <w:tcPr>
            <w:tcW w:w="600" w:type="dxa"/>
            <w:vAlign w:val="bottom"/>
          </w:tcPr>
          <w:p>
            <w:pPr>
              <w:spacing w:after="0"/>
              <w:rPr>
                <w:sz w:val="24"/>
                <w:szCs w:val="2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c>
          <w:tcPr>
            <w:tcW w:w="460" w:type="dxa"/>
            <w:vAlign w:val="bottom"/>
          </w:tcPr>
          <w:p>
            <w:pPr>
              <w:spacing w:after="0"/>
              <w:rPr>
                <w:sz w:val="24"/>
                <w:szCs w:val="2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12,503</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24"/>
                <w:szCs w:val="2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12,517</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10,178</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10,178</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(5,231)</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(5,231)</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Additional minimum pension liability</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(177)</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w:t>
            </w:r>
          </w:p>
        </w:tc>
      </w:tr>
      <w:tr>
        <w:trPr>
          <w:trHeight w:val="163"/>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Cumulative translation gain</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11,273</w:t>
            </w:r>
          </w:p>
        </w:tc>
        <w:tc>
          <w:tcPr>
            <w:tcW w:w="24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11,273</w:t>
            </w:r>
          </w:p>
        </w:tc>
      </w:tr>
      <w:tr>
        <w:trPr>
          <w:trHeight w:val="163"/>
        </w:trPr>
        <w:tc>
          <w:tcPr>
            <w:tcW w:w="3320" w:type="dxa"/>
            <w:vAlign w:val="bottom"/>
          </w:tcPr>
          <w:p>
            <w:pPr>
              <w:spacing w:after="0"/>
              <w:rPr>
                <w:sz w:val="14"/>
                <w:szCs w:val="14"/>
                <w:color w:val="auto"/>
              </w:rPr>
            </w:pPr>
          </w:p>
        </w:tc>
        <w:tc>
          <w:tcPr>
            <w:tcW w:w="6700" w:type="dxa"/>
            <w:vAlign w:val="bottom"/>
            <w:gridSpan w:val="10"/>
          </w:tcPr>
          <w:p>
            <w:pPr>
              <w:ind w:left="80"/>
              <w:spacing w:after="0"/>
              <w:rPr>
                <w:sz w:val="20"/>
                <w:szCs w:val="20"/>
                <w:color w:val="auto"/>
              </w:rPr>
            </w:pPr>
            <w:r>
              <w:rPr>
                <w:rFonts w:ascii="Courier New" w:cs="Courier New" w:eastAsia="Courier New" w:hAnsi="Courier New"/>
                <w:sz w:val="14"/>
                <w:szCs w:val="14"/>
                <w:color w:val="auto"/>
              </w:rPr>
              <w:t>-----------  ----------  ------------  ----------  ---------------  ----------</w:t>
            </w:r>
          </w:p>
        </w:tc>
      </w:tr>
      <w:tr>
        <w:trPr>
          <w:trHeight w:val="327"/>
        </w:trPr>
        <w:tc>
          <w:tcPr>
            <w:tcW w:w="3320" w:type="dxa"/>
            <w:vAlign w:val="bottom"/>
          </w:tcPr>
          <w:p>
            <w:pPr>
              <w:spacing w:after="0"/>
              <w:rPr>
                <w:sz w:val="20"/>
                <w:szCs w:val="20"/>
                <w:color w:val="auto"/>
              </w:rPr>
            </w:pPr>
            <w:r>
              <w:rPr>
                <w:rFonts w:ascii="Courier New" w:cs="Courier New" w:eastAsia="Courier New" w:hAnsi="Courier New"/>
                <w:sz w:val="14"/>
                <w:szCs w:val="14"/>
                <w:color w:val="auto"/>
              </w:rPr>
              <w:t>Balance, December 31, 2003</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16,712</w:t>
            </w:r>
          </w:p>
        </w:tc>
        <w:tc>
          <w:tcPr>
            <w:tcW w:w="600" w:type="dxa"/>
            <w:vAlign w:val="bottom"/>
          </w:tcPr>
          <w:p>
            <w:pPr>
              <w:jc w:val="center"/>
              <w:ind w:left="26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5"/>
              </w:rPr>
              <w:t>168</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52,960</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$ 43,931</w:t>
            </w:r>
          </w:p>
        </w:tc>
        <w:tc>
          <w:tcPr>
            <w:tcW w:w="62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9,409</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106,468</w:t>
            </w:r>
          </w:p>
        </w:tc>
      </w:tr>
      <w:tr>
        <w:trPr>
          <w:trHeight w:val="163"/>
        </w:trPr>
        <w:tc>
          <w:tcPr>
            <w:tcW w:w="33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144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b w:val="1"/>
          <w:bCs w:val="1"/>
          <w:color w:val="auto"/>
        </w:rPr>
        <w:t>See accompanying notes to consolidated financial statements</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b w:val="1"/>
          <w:bCs w:val="1"/>
          <w:color w:val="auto"/>
        </w:rPr>
        <w:t>Consolidated Statements of Cash Flows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b w:val="1"/>
          <w:bCs w:val="1"/>
          <w:color w:val="auto"/>
        </w:rPr>
        <w:t>Years Ended December 31, 2003, 2002 and 2001</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b w:val="1"/>
          <w:bCs w:val="1"/>
          <w:color w:val="auto"/>
        </w:rPr>
        <w:t>(In Thousands)</w:t>
      </w:r>
    </w:p>
    <w:p>
      <w:pPr>
        <w:sectPr>
          <w:pgSz w:w="11900" w:h="16838" w:orient="portrait"/>
          <w:cols w:equalWidth="0" w:num="1">
            <w:col w:w="10239"/>
          </w:cols>
          <w:pgMar w:left="220" w:top="141" w:right="1440" w:bottom="0" w:gutter="0" w:footer="0" w:header="0"/>
        </w:sectPr>
      </w:pPr>
    </w:p>
    <w:p>
      <w:pPr>
        <w:spacing w:after="0" w:line="5" w:lineRule="exact"/>
        <w:rPr>
          <w:sz w:val="20"/>
          <w:szCs w:val="20"/>
          <w:color w:val="auto"/>
        </w:rPr>
      </w:pPr>
    </w:p>
    <w:p>
      <w:pPr>
        <w:jc w:val="center"/>
        <w:ind w:left="4760"/>
        <w:spacing w:after="0"/>
        <w:rPr>
          <w:sz w:val="20"/>
          <w:szCs w:val="20"/>
          <w:color w:val="auto"/>
        </w:rPr>
      </w:pPr>
      <w:r>
        <w:rPr>
          <w:rFonts w:ascii="Courier New" w:cs="Courier New" w:eastAsia="Courier New" w:hAnsi="Courier New"/>
          <w:sz w:val="14"/>
          <w:szCs w:val="14"/>
          <w:b w:val="1"/>
          <w:bCs w:val="1"/>
          <w:color w:val="auto"/>
        </w:rPr>
        <w:t>2003</w:t>
      </w:r>
    </w:p>
    <w:p>
      <w:pPr>
        <w:spacing w:after="0" w:line="5" w:lineRule="exact"/>
        <w:rPr>
          <w:sz w:val="20"/>
          <w:szCs w:val="20"/>
          <w:color w:val="auto"/>
        </w:rPr>
      </w:pPr>
    </w:p>
    <w:p>
      <w:pPr>
        <w:jc w:val="center"/>
        <w:ind w:left="4760"/>
        <w:spacing w:after="0"/>
        <w:rPr>
          <w:sz w:val="20"/>
          <w:szCs w:val="20"/>
          <w:color w:val="auto"/>
        </w:rPr>
      </w:pPr>
      <w:r>
        <w:rPr>
          <w:rFonts w:ascii="Courier New" w:cs="Courier New" w:eastAsia="Courier New" w:hAnsi="Courier New"/>
          <w:sz w:val="14"/>
          <w:szCs w:val="14"/>
          <w:b w:val="1"/>
          <w:bCs w:val="1"/>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b w:val="1"/>
          <w:bCs w:val="1"/>
          <w:color w:val="auto"/>
        </w:rPr>
        <w:t>2002</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b w:val="1"/>
          <w:bCs w:val="1"/>
          <w:color w:val="auto"/>
        </w:rPr>
        <w:t>----------</w:t>
      </w:r>
    </w:p>
    <w:p>
      <w:pPr>
        <w:spacing w:after="0" w:line="20" w:lineRule="exact"/>
        <w:rPr>
          <w:sz w:val="20"/>
          <w:szCs w:val="20"/>
          <w:color w:val="auto"/>
        </w:rPr>
      </w:pPr>
      <w:r>
        <w:rPr>
          <w:sz w:val="20"/>
          <w:szCs w:val="20"/>
          <w:color w:val="auto"/>
        </w:rPr>
        <w:br w:type="column"/>
      </w:r>
    </w:p>
    <w:p>
      <w:pPr>
        <w:jc w:val="center"/>
        <w:ind w:right="2579"/>
        <w:spacing w:after="0"/>
        <w:rPr>
          <w:sz w:val="20"/>
          <w:szCs w:val="20"/>
          <w:color w:val="auto"/>
        </w:rPr>
      </w:pPr>
      <w:r>
        <w:rPr>
          <w:rFonts w:ascii="Courier New" w:cs="Courier New" w:eastAsia="Courier New" w:hAnsi="Courier New"/>
          <w:sz w:val="14"/>
          <w:szCs w:val="14"/>
          <w:b w:val="1"/>
          <w:bCs w:val="1"/>
          <w:color w:val="auto"/>
        </w:rPr>
        <w:t>2001</w:t>
      </w:r>
    </w:p>
    <w:p>
      <w:pPr>
        <w:spacing w:after="0" w:line="5"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4"/>
          <w:szCs w:val="14"/>
          <w:b w:val="1"/>
          <w:bCs w:val="1"/>
          <w:color w:val="auto"/>
        </w:rPr>
        <w:t>----------</w:t>
      </w:r>
    </w:p>
    <w:p>
      <w:pPr>
        <w:sectPr>
          <w:pgSz w:w="11900" w:h="16838" w:orient="portrait"/>
          <w:cols w:equalWidth="0" w:num="3">
            <w:col w:w="5620" w:space="160"/>
            <w:col w:w="860" w:space="160"/>
            <w:col w:w="3439"/>
          </w:cols>
          <w:pgMar w:left="220" w:top="141" w:right="1440" w:bottom="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0"/>
        </w:trPr>
        <w:tc>
          <w:tcPr>
            <w:tcW w:w="4720" w:type="dxa"/>
            <w:vAlign w:val="bottom"/>
          </w:tcPr>
          <w:p>
            <w:pPr>
              <w:spacing w:after="0"/>
              <w:rPr>
                <w:sz w:val="20"/>
                <w:szCs w:val="20"/>
                <w:color w:val="auto"/>
              </w:rPr>
            </w:pPr>
            <w:r>
              <w:rPr>
                <w:rFonts w:ascii="Courier New" w:cs="Courier New" w:eastAsia="Courier New" w:hAnsi="Courier New"/>
                <w:sz w:val="14"/>
                <w:szCs w:val="14"/>
                <w:b w:val="1"/>
                <w:bCs w:val="1"/>
                <w:color w:val="auto"/>
              </w:rPr>
              <w:t>Cash flows from operating activities: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$ 10,178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7,760</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4,662</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4720" w:type="dxa"/>
            <w:vAlign w:val="bottom"/>
          </w:tcPr>
          <w:p>
            <w:pPr>
              <w:ind w:left="340"/>
              <w:spacing w:after="0"/>
              <w:rPr>
                <w:sz w:val="20"/>
                <w:szCs w:val="20"/>
                <w:color w:val="auto"/>
              </w:rPr>
            </w:pPr>
            <w:r>
              <w:rPr>
                <w:rFonts w:ascii="Courier New" w:cs="Courier New" w:eastAsia="Courier New" w:hAnsi="Courier New"/>
                <w:sz w:val="14"/>
                <w:szCs w:val="14"/>
                <w:color w:val="auto"/>
              </w:rPr>
              <w:t>provided by operating activities: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13,836</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11,212</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13,150</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98</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Gain on disposals of property, plant and equipment</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(147)</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Loss on sale of NNG</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222</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183</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138</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1,668</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Write-off of unamortized debt issue costs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455</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3,888</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2,564</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433</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Interest income on receivable from unconsolidated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4720" w:type="dxa"/>
            <w:vAlign w:val="bottom"/>
          </w:tcPr>
          <w:p>
            <w:pPr>
              <w:ind w:left="340"/>
              <w:spacing w:after="0"/>
              <w:rPr>
                <w:sz w:val="20"/>
                <w:szCs w:val="20"/>
                <w:color w:val="auto"/>
              </w:rPr>
            </w:pPr>
            <w:r>
              <w:rPr>
                <w:rFonts w:ascii="Courier New" w:cs="Courier New" w:eastAsia="Courier New" w:hAnsi="Courier New"/>
                <w:sz w:val="14"/>
                <w:szCs w:val="14"/>
                <w:color w:val="auto"/>
              </w:rPr>
              <w:t>affiliates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(104)</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Minority interest in consolidated subsidiary</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675</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2,778</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1,753</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Restructuring costs and impairment costs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2,328</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1,199</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1,083</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472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(9,352)</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(3,728)</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5,170</w:t>
            </w:r>
          </w:p>
        </w:tc>
      </w:tr>
      <w:tr>
        <w:trPr>
          <w:trHeight w:val="163"/>
        </w:trPr>
        <w:tc>
          <w:tcPr>
            <w:tcW w:w="472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(3,711)</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1,479</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1,175</w:t>
            </w:r>
          </w:p>
        </w:tc>
      </w:tr>
      <w:tr>
        <w:trPr>
          <w:trHeight w:val="163"/>
        </w:trPr>
        <w:tc>
          <w:tcPr>
            <w:tcW w:w="472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(1,047)</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4,795</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(1,461)</w:t>
            </w:r>
          </w:p>
        </w:tc>
      </w:tr>
      <w:tr>
        <w:trPr>
          <w:trHeight w:val="163"/>
        </w:trPr>
        <w:tc>
          <w:tcPr>
            <w:tcW w:w="4720" w:type="dxa"/>
            <w:vAlign w:val="bottom"/>
          </w:tcPr>
          <w:p>
            <w:pPr>
              <w:ind w:left="520"/>
              <w:spacing w:after="0"/>
              <w:rPr>
                <w:sz w:val="20"/>
                <w:szCs w:val="20"/>
                <w:color w:val="auto"/>
              </w:rPr>
            </w:pPr>
            <w:r>
              <w:rPr>
                <w:rFonts w:ascii="Courier New" w:cs="Courier New" w:eastAsia="Courier New" w:hAnsi="Courier New"/>
                <w:sz w:val="14"/>
                <w:szCs w:val="14"/>
                <w:color w:val="auto"/>
              </w:rPr>
              <w:t>Other assets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(1,281)</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(618)</w:t>
            </w:r>
          </w:p>
        </w:tc>
      </w:tr>
      <w:tr>
        <w:trPr>
          <w:trHeight w:val="163"/>
        </w:trPr>
        <w:tc>
          <w:tcPr>
            <w:tcW w:w="472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5,118</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5,535</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(2,846)</w:t>
            </w:r>
          </w:p>
        </w:tc>
      </w:tr>
      <w:tr>
        <w:trPr>
          <w:trHeight w:val="163"/>
        </w:trPr>
        <w:tc>
          <w:tcPr>
            <w:tcW w:w="472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(1,517)</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(2,655)</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232</w:t>
            </w:r>
          </w:p>
        </w:tc>
      </w:tr>
      <w:tr>
        <w:trPr>
          <w:trHeight w:val="163"/>
        </w:trPr>
        <w:tc>
          <w:tcPr>
            <w:tcW w:w="4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ind w:left="7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19,606</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31,087</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24,617</w:t>
            </w:r>
          </w:p>
        </w:tc>
      </w:tr>
      <w:tr>
        <w:trPr>
          <w:trHeight w:val="163"/>
        </w:trPr>
        <w:tc>
          <w:tcPr>
            <w:tcW w:w="4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720" w:type="dxa"/>
            <w:vAlign w:val="bottom"/>
          </w:tcPr>
          <w:p>
            <w:pPr>
              <w:spacing w:after="0"/>
              <w:rPr>
                <w:sz w:val="20"/>
                <w:szCs w:val="20"/>
                <w:color w:val="auto"/>
              </w:rPr>
            </w:pPr>
            <w:r>
              <w:rPr>
                <w:rFonts w:ascii="Courier New" w:cs="Courier New" w:eastAsia="Courier New" w:hAnsi="Courier New"/>
                <w:sz w:val="14"/>
                <w:szCs w:val="14"/>
                <w:b w:val="1"/>
                <w:bCs w:val="1"/>
                <w:color w:val="auto"/>
              </w:rPr>
              <w:t>Cash flows from investing activities: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Acquisition of businesses, net of cash acquired</w:t>
            </w:r>
          </w:p>
        </w:tc>
        <w:tc>
          <w:tcPr>
            <w:tcW w:w="9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(21,435)</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(23,496)</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Purchase of minority interest</w:t>
            </w:r>
          </w:p>
        </w:tc>
        <w:tc>
          <w:tcPr>
            <w:tcW w:w="9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(15,586)</w:t>
            </w:r>
          </w:p>
        </w:tc>
        <w:tc>
          <w:tcPr>
            <w:tcW w:w="10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(13,802)</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Acquisition of property, plant and equipmen</w:t>
            </w:r>
          </w:p>
        </w:tc>
        <w:tc>
          <w:tcPr>
            <w:tcW w:w="9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(11,574)</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(7,591)</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(6,314)</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Sale of NNG</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622</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Long-term note receivable</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200</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200</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Proceeds from disposals of property, plant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4720" w:type="dxa"/>
            <w:vAlign w:val="bottom"/>
          </w:tcPr>
          <w:p>
            <w:pPr>
              <w:ind w:left="340"/>
              <w:spacing w:after="0"/>
              <w:rPr>
                <w:sz w:val="20"/>
                <w:szCs w:val="20"/>
                <w:color w:val="auto"/>
              </w:rPr>
            </w:pPr>
            <w:r>
              <w:rPr>
                <w:rFonts w:ascii="Courier New" w:cs="Courier New" w:eastAsia="Courier New" w:hAnsi="Courier New"/>
                <w:sz w:val="14"/>
                <w:szCs w:val="14"/>
                <w:color w:val="auto"/>
              </w:rPr>
              <w:t>and equipment</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212</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65</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106</w:t>
            </w:r>
          </w:p>
        </w:tc>
      </w:tr>
      <w:tr>
        <w:trPr>
          <w:trHeight w:val="163"/>
        </w:trPr>
        <w:tc>
          <w:tcPr>
            <w:tcW w:w="4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ind w:left="600"/>
              <w:spacing w:after="0"/>
              <w:rPr>
                <w:sz w:val="20"/>
                <w:szCs w:val="20"/>
                <w:color w:val="auto"/>
              </w:rPr>
            </w:pPr>
            <w:r>
              <w:rPr>
                <w:rFonts w:ascii="Courier New" w:cs="Courier New" w:eastAsia="Courier New" w:hAnsi="Courier New"/>
                <w:sz w:val="14"/>
                <w:szCs w:val="14"/>
                <w:color w:val="auto"/>
              </w:rPr>
              <w:t>Net cash used by investing activities</w:t>
            </w:r>
          </w:p>
        </w:tc>
        <w:tc>
          <w:tcPr>
            <w:tcW w:w="9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(48,183)</w:t>
            </w:r>
          </w:p>
        </w:tc>
        <w:tc>
          <w:tcPr>
            <w:tcW w:w="10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(21,128)</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(29,082)</w:t>
            </w:r>
          </w:p>
        </w:tc>
      </w:tr>
      <w:tr>
        <w:trPr>
          <w:trHeight w:val="163"/>
        </w:trPr>
        <w:tc>
          <w:tcPr>
            <w:tcW w:w="4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720" w:type="dxa"/>
            <w:vAlign w:val="bottom"/>
          </w:tcPr>
          <w:p>
            <w:pPr>
              <w:spacing w:after="0"/>
              <w:rPr>
                <w:sz w:val="20"/>
                <w:szCs w:val="20"/>
                <w:color w:val="auto"/>
              </w:rPr>
            </w:pPr>
            <w:r>
              <w:rPr>
                <w:rFonts w:ascii="Courier New" w:cs="Courier New" w:eastAsia="Courier New" w:hAnsi="Courier New"/>
                <w:sz w:val="14"/>
                <w:szCs w:val="14"/>
                <w:b w:val="1"/>
                <w:bCs w:val="1"/>
                <w:color w:val="auto"/>
              </w:rPr>
              <w:t>Cash flows from financing activities: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Proceeds from long-term debt</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90,332</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13,802</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71,430</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Debt issue costs paid</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(939)</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Bank overdrafts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(1,103)</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687</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Repayment of long-term debt</w:t>
            </w:r>
          </w:p>
        </w:tc>
        <w:tc>
          <w:tcPr>
            <w:tcW w:w="9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(64,196)</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16,708)</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(65,946)</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Proceeds (repayment) of short-term debt</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(2,000)</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Proceeds from issuance of stock and exercise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4720" w:type="dxa"/>
            <w:vAlign w:val="bottom"/>
          </w:tcPr>
          <w:p>
            <w:pPr>
              <w:ind w:left="340"/>
              <w:spacing w:after="0"/>
              <w:rPr>
                <w:sz w:val="20"/>
                <w:szCs w:val="20"/>
                <w:color w:val="auto"/>
              </w:rPr>
            </w:pPr>
            <w:r>
              <w:rPr>
                <w:rFonts w:ascii="Courier New" w:cs="Courier New" w:eastAsia="Courier New" w:hAnsi="Courier New"/>
                <w:sz w:val="14"/>
                <w:szCs w:val="14"/>
                <w:color w:val="auto"/>
              </w:rPr>
              <w:t>of stock options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5,579</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346</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428</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Cash dividends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(5,231)</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(4,915)</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(4,887)</w:t>
            </w:r>
          </w:p>
        </w:tc>
      </w:tr>
      <w:tr>
        <w:trPr>
          <w:trHeight w:val="163"/>
        </w:trPr>
        <w:tc>
          <w:tcPr>
            <w:tcW w:w="4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ind w:left="520"/>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27,582</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(8,578)</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(288)</w:t>
            </w:r>
          </w:p>
        </w:tc>
      </w:tr>
      <w:tr>
        <w:trPr>
          <w:trHeight w:val="163"/>
        </w:trPr>
        <w:tc>
          <w:tcPr>
            <w:tcW w:w="4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Effect of exchange rate changes</w:t>
            </w:r>
          </w:p>
        </w:tc>
        <w:tc>
          <w:tcPr>
            <w:tcW w:w="220" w:type="dxa"/>
            <w:vAlign w:val="bottom"/>
          </w:tcPr>
          <w:p>
            <w:pPr>
              <w:spacing w:after="0"/>
              <w:rPr>
                <w:sz w:val="24"/>
                <w:szCs w:val="2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829</w:t>
            </w:r>
          </w:p>
        </w:tc>
        <w:tc>
          <w:tcPr>
            <w:tcW w:w="260" w:type="dxa"/>
            <w:vAlign w:val="bottom"/>
          </w:tcPr>
          <w:p>
            <w:pPr>
              <w:spacing w:after="0"/>
              <w:rPr>
                <w:sz w:val="24"/>
                <w:szCs w:val="2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739</w:t>
            </w:r>
          </w:p>
        </w:tc>
        <w:tc>
          <w:tcPr>
            <w:tcW w:w="340" w:type="dxa"/>
            <w:vAlign w:val="bottom"/>
          </w:tcPr>
          <w:p>
            <w:pPr>
              <w:spacing w:after="0"/>
              <w:rPr>
                <w:sz w:val="24"/>
                <w:szCs w:val="2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(496)</w:t>
            </w:r>
          </w:p>
        </w:tc>
      </w:tr>
      <w:tr>
        <w:trPr>
          <w:trHeight w:val="327"/>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Net change in cash and cash equivalents</w:t>
            </w:r>
          </w:p>
        </w:tc>
        <w:tc>
          <w:tcPr>
            <w:tcW w:w="220" w:type="dxa"/>
            <w:vAlign w:val="bottom"/>
          </w:tcPr>
          <w:p>
            <w:pPr>
              <w:spacing w:after="0"/>
              <w:rPr>
                <w:sz w:val="24"/>
                <w:szCs w:val="2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(166)</w:t>
            </w:r>
          </w:p>
        </w:tc>
        <w:tc>
          <w:tcPr>
            <w:tcW w:w="260" w:type="dxa"/>
            <w:vAlign w:val="bottom"/>
          </w:tcPr>
          <w:p>
            <w:pPr>
              <w:spacing w:after="0"/>
              <w:rPr>
                <w:sz w:val="24"/>
                <w:szCs w:val="2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2,120</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(5,249)</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5,144</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3,024</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8,273</w:t>
            </w:r>
          </w:p>
        </w:tc>
      </w:tr>
      <w:tr>
        <w:trPr>
          <w:trHeight w:val="163"/>
        </w:trPr>
        <w:tc>
          <w:tcPr>
            <w:tcW w:w="4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4,978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5,144</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$ 3,024</w:t>
            </w:r>
          </w:p>
        </w:tc>
      </w:tr>
      <w:tr>
        <w:trPr>
          <w:trHeight w:val="163"/>
        </w:trPr>
        <w:tc>
          <w:tcPr>
            <w:tcW w:w="4720" w:type="dxa"/>
            <w:vAlign w:val="bottom"/>
          </w:tcPr>
          <w:p>
            <w:pPr>
              <w:spacing w:after="0"/>
              <w:rPr>
                <w:sz w:val="14"/>
                <w:szCs w:val="14"/>
                <w:color w:val="auto"/>
              </w:rPr>
            </w:pPr>
          </w:p>
        </w:tc>
        <w:tc>
          <w:tcPr>
            <w:tcW w:w="9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5960" w:type="dxa"/>
            <w:vAlign w:val="bottom"/>
            <w:gridSpan w:val="4"/>
          </w:tcPr>
          <w:p>
            <w:pPr>
              <w:spacing w:after="0"/>
              <w:rPr>
                <w:sz w:val="20"/>
                <w:szCs w:val="20"/>
                <w:color w:val="auto"/>
              </w:rPr>
            </w:pPr>
            <w:r>
              <w:rPr>
                <w:rFonts w:ascii="Courier New" w:cs="Courier New" w:eastAsia="Courier New" w:hAnsi="Courier New"/>
                <w:sz w:val="14"/>
                <w:szCs w:val="14"/>
                <w:b w:val="1"/>
                <w:bCs w:val="1"/>
                <w:color w:val="auto"/>
              </w:rPr>
              <w:t>Supplemental schedule of non-cash investing and financing activities:</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Note received related to sale of NNG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$ 3,300</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Stock issued related to acquisition of Veenendaal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6,938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3"/>
        </w:trPr>
        <w:tc>
          <w:tcPr>
            <w:tcW w:w="4720" w:type="dxa"/>
            <w:vAlign w:val="bottom"/>
          </w:tcPr>
          <w:p>
            <w:pPr>
              <w:spacing w:after="0"/>
              <w:rPr>
                <w:sz w:val="20"/>
                <w:szCs w:val="20"/>
                <w:color w:val="auto"/>
              </w:rPr>
            </w:pPr>
            <w:r>
              <w:rPr>
                <w:rFonts w:ascii="Courier New" w:cs="Courier New" w:eastAsia="Courier New" w:hAnsi="Courier New"/>
                <w:sz w:val="14"/>
                <w:szCs w:val="14"/>
                <w:b w:val="1"/>
                <w:bCs w:val="1"/>
                <w:color w:val="auto"/>
              </w:rPr>
              <w:t>Cash paid for interest and income taxes was as follows: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1,965</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$ 3,596</w:t>
            </w:r>
          </w:p>
        </w:tc>
      </w:tr>
      <w:tr>
        <w:trPr>
          <w:trHeight w:val="163"/>
        </w:trPr>
        <w:tc>
          <w:tcPr>
            <w:tcW w:w="4720" w:type="dxa"/>
            <w:vAlign w:val="bottom"/>
          </w:tcPr>
          <w:p>
            <w:pPr>
              <w:ind w:left="260"/>
              <w:spacing w:after="0"/>
              <w:rPr>
                <w:sz w:val="20"/>
                <w:szCs w:val="20"/>
                <w:color w:val="auto"/>
              </w:rPr>
            </w:pPr>
            <w:r>
              <w:rPr>
                <w:rFonts w:ascii="Courier New" w:cs="Courier New" w:eastAsia="Courier New" w:hAnsi="Courier New"/>
                <w:sz w:val="14"/>
                <w:szCs w:val="14"/>
                <w:color w:val="auto"/>
              </w:rPr>
              <w:t>Income taxes</w:t>
            </w:r>
          </w:p>
        </w:tc>
        <w:tc>
          <w:tcPr>
            <w:tcW w:w="22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4,371</w:t>
            </w:r>
          </w:p>
        </w:tc>
        <w:tc>
          <w:tcPr>
            <w:tcW w:w="260" w:type="dxa"/>
            <w:vAlign w:val="bottom"/>
          </w:tcPr>
          <w:p>
            <w:pPr>
              <w:spacing w:after="0"/>
              <w:rPr>
                <w:sz w:val="14"/>
                <w:szCs w:val="14"/>
                <w:color w:val="auto"/>
              </w:rPr>
            </w:pPr>
          </w:p>
        </w:tc>
        <w:tc>
          <w:tcPr>
            <w:tcW w:w="7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4,774</w:t>
            </w:r>
          </w:p>
        </w:tc>
        <w:tc>
          <w:tcPr>
            <w:tcW w:w="34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2,845</w:t>
            </w:r>
          </w:p>
        </w:tc>
      </w:tr>
    </w:tbl>
    <w:p>
      <w:pPr>
        <w:spacing w:after="0" w:line="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b w:val="1"/>
          <w:bCs w:val="1"/>
          <w:color w:val="auto"/>
        </w:rPr>
        <w:t>See accompanying notes to consolidated financial statements</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60" w:hanging="253"/>
        <w:spacing w:after="0"/>
        <w:tabs>
          <w:tab w:leader="none" w:pos="260" w:val="left"/>
        </w:tabs>
        <w:numPr>
          <w:ilvl w:val="0"/>
          <w:numId w:val="10"/>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Summary of Significant Accounting Policies and Practices</w:t>
      </w:r>
    </w:p>
    <w:p>
      <w:pPr>
        <w:spacing w:after="0" w:line="168" w:lineRule="exact"/>
        <w:rPr>
          <w:rFonts w:ascii="Courier New" w:cs="Courier New" w:eastAsia="Courier New" w:hAnsi="Courier New"/>
          <w:sz w:val="14"/>
          <w:szCs w:val="14"/>
          <w:b w:val="1"/>
          <w:bCs w:val="1"/>
          <w:color w:val="auto"/>
        </w:rPr>
      </w:pPr>
    </w:p>
    <w:p>
      <w:pPr>
        <w:ind w:left="860" w:hanging="428"/>
        <w:spacing w:after="0"/>
        <w:tabs>
          <w:tab w:leader="none" w:pos="860" w:val="left"/>
        </w:tabs>
        <w:numPr>
          <w:ilvl w:val="1"/>
          <w:numId w:val="10"/>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Description of Business</w:t>
      </w:r>
    </w:p>
    <w:p>
      <w:pPr>
        <w:spacing w:after="0" w:line="168" w:lineRule="exact"/>
        <w:rPr>
          <w:rFonts w:ascii="Courier New" w:cs="Courier New" w:eastAsia="Courier New" w:hAnsi="Courier New"/>
          <w:sz w:val="14"/>
          <w:szCs w:val="14"/>
          <w:b w:val="1"/>
          <w:bCs w:val="1"/>
          <w:i w:val="1"/>
          <w:iCs w:val="1"/>
          <w:color w:val="auto"/>
        </w:rPr>
      </w:pPr>
    </w:p>
    <w:p>
      <w:pPr>
        <w:ind w:left="860"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NN, Inc. (the "Company") is a manufacturer of precision balls, cylindrical and tapered rollers, bearing retainers, plastic injection molded products, and precision bearing seals. The Company's balls, rollers, retainers, and bearing seals are used primarily in the domestic and international anti-friction bearing industry. The Company's plastic injection molded products are used in the bearing, automotive, instrumentation and fiber optic industries. The Domestic Ball and Roller Segment is comprised of two manufacturing facilities located in the eastern United States. The Company's NN Europe Segment is comprised of manufacturing facilities located in Kilkenny, Ireland, Eltmann, Germany, Pinerolo, Italy, Veenendaal, The Netherlands and Kysucke Nove Mesto, Slovakia. The facilities in the NN Europe Segment are engaged in the production of precision balls, tapered rollers and metal retainers. The Plastic and Rubber Components Segment consists of Industrial Molding Corporation ("IMC"), acquired in July 1999 and Delta Rubber, acquired in February 2001. IMC has two production facilities in Texas and Delta Rubber has two production facilities in Connecticut (see Note 2). All of the Company's Segments sell to foreign and domestic customers.</w:t>
      </w:r>
    </w:p>
    <w:p>
      <w:pPr>
        <w:spacing w:after="0" w:line="165" w:lineRule="exact"/>
        <w:rPr>
          <w:rFonts w:ascii="Courier New" w:cs="Courier New" w:eastAsia="Courier New" w:hAnsi="Courier New"/>
          <w:sz w:val="14"/>
          <w:szCs w:val="14"/>
          <w:b w:val="1"/>
          <w:bCs w:val="1"/>
          <w:i w:val="1"/>
          <w:iCs w:val="1"/>
          <w:color w:val="auto"/>
        </w:rPr>
      </w:pPr>
    </w:p>
    <w:p>
      <w:pPr>
        <w:ind w:left="860" w:hanging="428"/>
        <w:spacing w:after="0"/>
        <w:tabs>
          <w:tab w:leader="none" w:pos="860" w:val="left"/>
        </w:tabs>
        <w:numPr>
          <w:ilvl w:val="1"/>
          <w:numId w:val="10"/>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Cash and Cash Equivalents</w:t>
      </w:r>
    </w:p>
    <w:p>
      <w:pPr>
        <w:spacing w:after="0" w:line="168" w:lineRule="exact"/>
        <w:rPr>
          <w:rFonts w:ascii="Courier New" w:cs="Courier New" w:eastAsia="Courier New" w:hAnsi="Courier New"/>
          <w:sz w:val="14"/>
          <w:szCs w:val="14"/>
          <w:b w:val="1"/>
          <w:bCs w:val="1"/>
          <w:i w:val="1"/>
          <w:iCs w:val="1"/>
          <w:color w:val="auto"/>
        </w:rPr>
      </w:pPr>
    </w:p>
    <w:p>
      <w:pPr>
        <w:ind w:left="860"/>
        <w:spacing w:after="0"/>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The Company considers all highly liquid investments with an original</w:t>
      </w:r>
    </w:p>
    <w:p>
      <w:pPr>
        <w:sectPr>
          <w:pgSz w:w="11900" w:h="16838" w:orient="portrait"/>
          <w:cols w:equalWidth="0" w:num="1">
            <w:col w:w="10239"/>
          </w:cols>
          <w:pgMar w:left="220" w:top="141" w:right="1440" w:bottom="0" w:gutter="0" w:footer="0" w:header="0"/>
        </w:sectPr>
      </w:pPr>
    </w:p>
    <w:bookmarkStart w:id="26" w:name="page27"/>
    <w:bookmarkEnd w:id="26"/>
    <w:p>
      <w:pPr>
        <w:ind w:left="428"/>
        <w:spacing w:after="0"/>
        <w:rPr>
          <w:sz w:val="20"/>
          <w:szCs w:val="20"/>
          <w:color w:val="auto"/>
        </w:rPr>
      </w:pPr>
      <w:r>
        <w:rPr>
          <w:rFonts w:ascii="Courier New" w:cs="Courier New" w:eastAsia="Courier New" w:hAnsi="Courier New"/>
          <w:sz w:val="14"/>
          <w:szCs w:val="14"/>
          <w:color w:val="auto"/>
        </w:rPr>
        <w:t>maturity of three months or less as cash equivalents.</w:t>
      </w:r>
    </w:p>
    <w:p>
      <w:pPr>
        <w:spacing w:after="0" w:line="168" w:lineRule="exact"/>
        <w:rPr>
          <w:sz w:val="20"/>
          <w:szCs w:val="20"/>
          <w:color w:val="auto"/>
        </w:rPr>
      </w:pPr>
    </w:p>
    <w:p>
      <w:pPr>
        <w:ind w:left="428" w:hanging="428"/>
        <w:spacing w:after="0"/>
        <w:tabs>
          <w:tab w:leader="none" w:pos="428" w:val="left"/>
        </w:tabs>
        <w:numPr>
          <w:ilvl w:val="0"/>
          <w:numId w:val="11"/>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Inventories</w:t>
      </w:r>
    </w:p>
    <w:p>
      <w:pPr>
        <w:spacing w:after="0" w:line="168"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Inventories are stated at the lower of cost or market. Actual costs are evaluated and do not exceed the lower of cost or market. Cost is determined using the first-in, first-out method. The Company accounts for inventory under a full absorption method, and accordingly, our inventory carrying value includes cost elements of material, labor and overhead.</w:t>
      </w:r>
    </w:p>
    <w:p>
      <w:pPr>
        <w:spacing w:after="0" w:line="163"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Inventories include tools, molds and dies in progress that the Company is producing and will ultimately sell to its customers. This activity is principally related to our Plastic and Rubber Components Segment. They are carried at the lower of cost or market. Any progress billings related to these inventory assets are recorded as a component of other current assets.</w:t>
      </w:r>
    </w:p>
    <w:p>
      <w:pPr>
        <w:spacing w:after="0" w:line="327" w:lineRule="exact"/>
        <w:rPr>
          <w:rFonts w:ascii="Courier New" w:cs="Courier New" w:eastAsia="Courier New" w:hAnsi="Courier New"/>
          <w:sz w:val="14"/>
          <w:szCs w:val="14"/>
          <w:b w:val="1"/>
          <w:bCs w:val="1"/>
          <w:i w:val="1"/>
          <w:iCs w:val="1"/>
          <w:color w:val="auto"/>
        </w:rPr>
      </w:pPr>
    </w:p>
    <w:p>
      <w:pPr>
        <w:ind w:left="428" w:hanging="428"/>
        <w:spacing w:after="0"/>
        <w:tabs>
          <w:tab w:leader="none" w:pos="428" w:val="left"/>
        </w:tabs>
        <w:numPr>
          <w:ilvl w:val="0"/>
          <w:numId w:val="11"/>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Property, Plant and Equipment</w:t>
      </w:r>
    </w:p>
    <w:p>
      <w:pPr>
        <w:spacing w:after="0" w:line="168"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Property, plant and equipment are stated at cost less accumulated depreciation. Assets held for sale are stated at lower of cost or fair market value less selling cost. Expenditures for maintenance and repairs are charged to expense as incurred. Major renewals and betterments are capitalized. When a major property item is retired, its cost and related accumulated depreciation are removed from the property accounts and any gain or loss is recorded in the statement of income. The Company reviews the carrying values of long-lived assets for impairment whenever events or changes in circumstances indicate the carrying amount of an asset may not be recoverable. During the years ended December 31, 2003, 2002 and 2001, the Company recorded an impairment charge of $0, $1,199 and $1,083 respectively, to write-down the land, building and equipment at the Walterboro, SC production facility to its net realizable value, which was principally based upon fair market value appraisals and valuations. As of December 31, 2003, 2002 and 2001, the carrying value of this land, building and equipment was classified as a component of assets held for sale in the accompanying financial statements at $1,805, $2,214 and $4,348, respectively. During 2003, assets held for sale decreased principally as a result of transferring certain machinery and equipment assets to other NN locations.</w:t>
      </w:r>
    </w:p>
    <w:p>
      <w:pPr>
        <w:spacing w:after="0" w:line="165"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Property, plant and equipment includes tools, molds and dies principally used in our Plastic and Rubber Components Segment that are the property of the Company. These assets are stated at cost less accumulated depreciation.</w:t>
      </w:r>
    </w:p>
    <w:p>
      <w:pPr>
        <w:spacing w:after="0" w:line="163" w:lineRule="exact"/>
        <w:rPr>
          <w:rFonts w:ascii="Courier New" w:cs="Courier New" w:eastAsia="Courier New" w:hAnsi="Courier New"/>
          <w:sz w:val="14"/>
          <w:szCs w:val="14"/>
          <w:b w:val="1"/>
          <w:bCs w:val="1"/>
          <w:i w:val="1"/>
          <w:iCs w:val="1"/>
          <w:color w:val="auto"/>
        </w:rPr>
      </w:pPr>
    </w:p>
    <w:p>
      <w:pPr>
        <w:ind w:left="428" w:right="351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63" w:lineRule="exact"/>
        <w:rPr>
          <w:rFonts w:ascii="Courier New" w:cs="Courier New" w:eastAsia="Courier New" w:hAnsi="Courier New"/>
          <w:sz w:val="14"/>
          <w:szCs w:val="14"/>
          <w:b w:val="1"/>
          <w:bCs w:val="1"/>
          <w:i w:val="1"/>
          <w:iCs w:val="1"/>
          <w:color w:val="auto"/>
        </w:rPr>
      </w:pPr>
    </w:p>
    <w:p>
      <w:pPr>
        <w:ind w:left="428" w:hanging="428"/>
        <w:spacing w:after="0"/>
        <w:tabs>
          <w:tab w:leader="none" w:pos="428" w:val="left"/>
        </w:tabs>
        <w:numPr>
          <w:ilvl w:val="0"/>
          <w:numId w:val="11"/>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Revenue Recognitio</w:t>
      </w:r>
      <w:r>
        <w:rPr>
          <w:rFonts w:ascii="Courier New" w:cs="Courier New" w:eastAsia="Courier New" w:hAnsi="Courier New"/>
          <w:sz w:val="14"/>
          <w:szCs w:val="14"/>
          <w:b w:val="1"/>
          <w:bCs w:val="1"/>
          <w:color w:val="auto"/>
        </w:rPr>
        <w:t>n</w:t>
      </w:r>
    </w:p>
    <w:p>
      <w:pPr>
        <w:spacing w:after="0" w:line="168"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The Company generally recognizes a sale when goods are shipped and the risks of ownership are transferred to the customer. The Company has an inventory management program for certain major ball and roller customers</w:t>
      </w:r>
    </w:p>
    <w:p>
      <w:pPr>
        <w:spacing w:after="0" w:line="327" w:lineRule="exact"/>
        <w:rPr>
          <w:sz w:val="20"/>
          <w:szCs w:val="20"/>
          <w:color w:val="auto"/>
        </w:rPr>
      </w:pPr>
    </w:p>
    <w:p>
      <w:pPr>
        <w:ind w:left="2888"/>
        <w:spacing w:after="0"/>
        <w:rPr>
          <w:sz w:val="20"/>
          <w:szCs w:val="20"/>
          <w:color w:val="auto"/>
        </w:rPr>
      </w:pPr>
      <w:r>
        <w:rPr>
          <w:rFonts w:ascii="Courier New" w:cs="Courier New" w:eastAsia="Courier New" w:hAnsi="Courier New"/>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286385</wp:posOffset>
            </wp:positionV>
            <wp:extent cx="729869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851"/>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jc w:val="center"/>
        <w:ind w:right="3851"/>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1608"/>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448"/>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428" w:right="3519"/>
        <w:spacing w:after="0" w:line="247" w:lineRule="auto"/>
        <w:rPr>
          <w:sz w:val="20"/>
          <w:szCs w:val="20"/>
          <w:color w:val="auto"/>
        </w:rPr>
      </w:pPr>
      <w:r>
        <w:rPr>
          <w:rFonts w:ascii="Courier New" w:cs="Courier New" w:eastAsia="Courier New" w:hAnsi="Courier New"/>
          <w:sz w:val="14"/>
          <w:szCs w:val="14"/>
          <w:color w:val="auto"/>
        </w:rPr>
        <w:t>whereby sales are recognized when products are used by the customer from consigned stock, rather than at the time of shipment. Under both circumstances, revenue is recognized when persuasive evidence of an arrangement exists, delivery has occurred, the sellers' price is determinable and collectibility is reasonably assured.</w:t>
      </w:r>
    </w:p>
    <w:p>
      <w:pPr>
        <w:spacing w:after="0" w:line="164" w:lineRule="exact"/>
        <w:rPr>
          <w:sz w:val="20"/>
          <w:szCs w:val="20"/>
          <w:color w:val="auto"/>
        </w:rPr>
      </w:pPr>
    </w:p>
    <w:p>
      <w:pPr>
        <w:ind w:left="428" w:hanging="428"/>
        <w:spacing w:after="0"/>
        <w:tabs>
          <w:tab w:leader="none" w:pos="428" w:val="left"/>
        </w:tabs>
        <w:numPr>
          <w:ilvl w:val="0"/>
          <w:numId w:val="12"/>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Income Taxes</w:t>
      </w:r>
    </w:p>
    <w:p>
      <w:pPr>
        <w:spacing w:after="0" w:line="168"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4" w:lineRule="exact"/>
        <w:rPr>
          <w:rFonts w:ascii="Courier New" w:cs="Courier New" w:eastAsia="Courier New" w:hAnsi="Courier New"/>
          <w:sz w:val="14"/>
          <w:szCs w:val="14"/>
          <w:b w:val="1"/>
          <w:bCs w:val="1"/>
          <w:i w:val="1"/>
          <w:iCs w:val="1"/>
          <w:color w:val="auto"/>
        </w:rPr>
      </w:pPr>
    </w:p>
    <w:p>
      <w:pPr>
        <w:ind w:left="428" w:hanging="428"/>
        <w:spacing w:after="0"/>
        <w:tabs>
          <w:tab w:leader="none" w:pos="428" w:val="left"/>
        </w:tabs>
        <w:numPr>
          <w:ilvl w:val="0"/>
          <w:numId w:val="12"/>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Net Income Per Common Share</w:t>
      </w:r>
    </w:p>
    <w:p>
      <w:pPr>
        <w:spacing w:after="0" w:line="168"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Basic earnings per share reflect reported earnings divided by the weighted average number of common shares outstanding. Diluted earnings per share include the effect of dilutive stock options outstanding during the year.</w:t>
      </w:r>
    </w:p>
    <w:p>
      <w:pPr>
        <w:sectPr>
          <w:pgSz w:w="11900" w:h="16838" w:orient="portrait"/>
          <w:cols w:equalWidth="0" w:num="1">
            <w:col w:w="9807"/>
          </w:cols>
          <w:pgMar w:left="652" w:top="141" w:right="1440" w:bottom="0" w:gutter="0" w:footer="0" w:header="0"/>
        </w:sectPr>
      </w:pPr>
    </w:p>
    <w:p>
      <w:pPr>
        <w:spacing w:after="0" w:line="164" w:lineRule="exact"/>
        <w:rPr>
          <w:sz w:val="20"/>
          <w:szCs w:val="20"/>
          <w:color w:val="auto"/>
        </w:rPr>
      </w:pPr>
    </w:p>
    <w:p>
      <w:pPr>
        <w:ind w:left="8"/>
        <w:spacing w:after="0"/>
        <w:tabs>
          <w:tab w:leader="none" w:pos="408" w:val="left"/>
        </w:tabs>
        <w:rPr>
          <w:sz w:val="20"/>
          <w:szCs w:val="20"/>
          <w:color w:val="auto"/>
        </w:rPr>
      </w:pPr>
      <w:r>
        <w:rPr>
          <w:rFonts w:ascii="Courier New" w:cs="Courier New" w:eastAsia="Courier New" w:hAnsi="Courier New"/>
          <w:sz w:val="14"/>
          <w:szCs w:val="14"/>
          <w:b w:val="1"/>
          <w:bCs w:val="1"/>
          <w:i w:val="1"/>
          <w:iCs w:val="1"/>
          <w:color w:val="auto"/>
        </w:rPr>
        <w:t>(h)</w:t>
        <w:tab/>
        <w:t>Stock Incentive Plan</w:t>
      </w:r>
    </w:p>
    <w:p>
      <w:pPr>
        <w:sectPr>
          <w:pgSz w:w="11900" w:h="16838" w:orient="portrait"/>
          <w:cols w:equalWidth="0" w:num="1">
            <w:col w:w="9807"/>
          </w:cols>
          <w:pgMar w:left="652" w:top="141" w:right="1440" w:bottom="0" w:gutter="0" w:footer="0" w:header="0"/>
          <w:type w:val="continuous"/>
        </w:sectPr>
      </w:pPr>
    </w:p>
    <w:bookmarkStart w:id="27" w:name="page28"/>
    <w:bookmarkEnd w:id="27"/>
    <w:p>
      <w:pPr>
        <w:ind w:left="428" w:right="3439"/>
        <w:spacing w:after="0" w:line="247" w:lineRule="auto"/>
        <w:rPr>
          <w:sz w:val="20"/>
          <w:szCs w:val="20"/>
          <w:color w:val="auto"/>
        </w:rPr>
      </w:pPr>
      <w:r>
        <w:rPr>
          <w:rFonts w:ascii="Courier New" w:cs="Courier New" w:eastAsia="Courier New" w:hAnsi="Courier New"/>
          <w:sz w:val="14"/>
          <w:szCs w:val="14"/>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exceeds the exercise price. The Company also applies the provision of APB Opinion No. 25 to its variable stock options. Statement of Financial Accounting Standards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 and SFAS No. 148.</w:t>
      </w:r>
    </w:p>
    <w:p>
      <w:pPr>
        <w:spacing w:after="0" w:line="165" w:lineRule="exact"/>
        <w:rPr>
          <w:sz w:val="20"/>
          <w:szCs w:val="20"/>
          <w:color w:val="auto"/>
        </w:rPr>
      </w:pPr>
    </w:p>
    <w:p>
      <w:pPr>
        <w:ind w:left="428" w:right="3439"/>
        <w:spacing w:after="0" w:line="247" w:lineRule="auto"/>
        <w:rPr>
          <w:sz w:val="20"/>
          <w:szCs w:val="20"/>
          <w:color w:val="auto"/>
        </w:rPr>
      </w:pPr>
      <w:r>
        <w:rPr>
          <w:rFonts w:ascii="Courier New" w:cs="Courier New" w:eastAsia="Courier New" w:hAnsi="Courier New"/>
          <w:sz w:val="14"/>
          <w:szCs w:val="14"/>
          <w:color w:val="auto"/>
        </w:rPr>
        <w:t>We have elected to continue accounting for our stock compensation plan using the intrinsic value based method under APB Opinion No. 25 and, accordingly, have not recorded compensation expense for each of the three years ended December 31, 2003, except as related to stock options accounted for under the variable method of accounting. Had compensation cost for the Company's stock compensation plan been determined based on the fair value at the option grant dates, the Company's net income and earnings per share would have been reduced to the proforma amounts indicated below:</w:t>
      </w:r>
    </w:p>
    <w:p>
      <w:pPr>
        <w:spacing w:after="0" w:line="327" w:lineRule="exact"/>
        <w:rPr>
          <w:sz w:val="20"/>
          <w:szCs w:val="20"/>
          <w:color w:val="auto"/>
        </w:rPr>
      </w:pPr>
    </w:p>
    <w:p>
      <w:pPr>
        <w:ind w:left="2888"/>
        <w:spacing w:after="0"/>
        <w:tabs>
          <w:tab w:leader="none" w:pos="5588" w:val="left"/>
        </w:tabs>
        <w:rPr>
          <w:sz w:val="20"/>
          <w:szCs w:val="20"/>
          <w:color w:val="auto"/>
        </w:rPr>
      </w:pPr>
      <w:r>
        <w:rPr>
          <w:rFonts w:ascii="Courier New" w:cs="Courier New" w:eastAsia="Courier New" w:hAnsi="Courier New"/>
          <w:sz w:val="14"/>
          <w:szCs w:val="14"/>
          <w:color w:val="auto"/>
        </w:rPr>
        <w:t>36</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286385</wp:posOffset>
            </wp:positionV>
            <wp:extent cx="729869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548"/>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188"/>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1608"/>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448"/>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ectPr>
          <w:pgSz w:w="11900" w:h="16838" w:orient="portrait"/>
          <w:cols w:equalWidth="0" w:num="1">
            <w:col w:w="9807"/>
          </w:cols>
          <w:pgMar w:left="652" w:top="30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Net income - as reported</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b w:val="1"/>
          <w:bCs w:val="1"/>
          <w:color w:val="auto"/>
        </w:rPr>
        <w:t>Year ended December 31,</w:t>
      </w:r>
    </w:p>
    <w:p>
      <w:pPr>
        <w:spacing w:after="0" w:line="5" w:lineRule="exact"/>
        <w:rPr>
          <w:sz w:val="20"/>
          <w:szCs w:val="20"/>
          <w:color w:val="auto"/>
        </w:rPr>
      </w:pPr>
    </w:p>
    <w:p>
      <w:pPr>
        <w:ind w:left="260"/>
        <w:spacing w:after="0"/>
        <w:tabs>
          <w:tab w:leader="none" w:pos="1260" w:val="left"/>
          <w:tab w:leader="none" w:pos="2280" w:val="left"/>
        </w:tabs>
        <w:rPr>
          <w:sz w:val="20"/>
          <w:szCs w:val="20"/>
          <w:color w:val="auto"/>
        </w:rPr>
      </w:pPr>
      <w:r>
        <w:rPr>
          <w:rFonts w:ascii="Courier New" w:cs="Courier New" w:eastAsia="Courier New" w:hAnsi="Courier New"/>
          <w:sz w:val="14"/>
          <w:szCs w:val="14"/>
          <w:b w:val="1"/>
          <w:bCs w:val="1"/>
          <w:color w:val="auto"/>
        </w:rPr>
        <w:t>2003</w:t>
      </w:r>
      <w:r>
        <w:rPr>
          <w:sz w:val="20"/>
          <w:szCs w:val="20"/>
          <w:color w:val="auto"/>
        </w:rPr>
        <w:tab/>
      </w:r>
      <w:r>
        <w:rPr>
          <w:rFonts w:ascii="Courier New" w:cs="Courier New" w:eastAsia="Courier New" w:hAnsi="Courier New"/>
          <w:sz w:val="14"/>
          <w:szCs w:val="14"/>
          <w:b w:val="1"/>
          <w:bCs w:val="1"/>
          <w:color w:val="auto"/>
        </w:rPr>
        <w:t>2002</w:t>
      </w:r>
      <w:r>
        <w:rPr>
          <w:sz w:val="20"/>
          <w:szCs w:val="20"/>
          <w:color w:val="auto"/>
        </w:rPr>
        <w:tab/>
      </w:r>
      <w:r>
        <w:rPr>
          <w:rFonts w:ascii="Courier New" w:cs="Courier New" w:eastAsia="Courier New" w:hAnsi="Courier New"/>
          <w:sz w:val="14"/>
          <w:szCs w:val="14"/>
          <w:b w:val="1"/>
          <w:bCs w:val="1"/>
          <w:color w:val="auto"/>
        </w:rPr>
        <w:t>2001</w:t>
      </w:r>
    </w:p>
    <w:p>
      <w:pPr>
        <w:spacing w:after="0" w:line="5" w:lineRule="exact"/>
        <w:rPr>
          <w:sz w:val="20"/>
          <w:szCs w:val="20"/>
          <w:color w:val="auto"/>
        </w:rPr>
      </w:pPr>
    </w:p>
    <w:p>
      <w:pPr>
        <w:spacing w:after="0"/>
        <w:tabs>
          <w:tab w:leader="none" w:pos="1000" w:val="left"/>
          <w:tab w:leader="none" w:pos="2020" w:val="left"/>
        </w:tabs>
        <w:rPr>
          <w:sz w:val="20"/>
          <w:szCs w:val="20"/>
          <w:color w:val="auto"/>
        </w:rPr>
      </w:pPr>
      <w:r>
        <w:rPr>
          <w:rFonts w:ascii="Courier New" w:cs="Courier New" w:eastAsia="Courier New" w:hAnsi="Courier New"/>
          <w:sz w:val="14"/>
          <w:szCs w:val="14"/>
          <w:b w:val="1"/>
          <w:bCs w:val="1"/>
          <w:color w:val="auto"/>
        </w:rPr>
        <w:t>----------</w:t>
        <w:tab/>
        <w:t>----------</w:t>
        <w:tab/>
        <w:t>----------</w:t>
      </w:r>
    </w:p>
    <w:p>
      <w:pPr>
        <w:spacing w:after="0" w:line="5" w:lineRule="exact"/>
        <w:rPr>
          <w:sz w:val="20"/>
          <w:szCs w:val="20"/>
          <w:color w:val="auto"/>
        </w:rPr>
      </w:pPr>
    </w:p>
    <w:p>
      <w:pPr>
        <w:ind w:left="100"/>
        <w:spacing w:after="0"/>
        <w:tabs>
          <w:tab w:leader="none" w:pos="1180" w:val="left"/>
          <w:tab w:leader="none" w:pos="2200" w:val="left"/>
        </w:tabs>
        <w:rPr>
          <w:sz w:val="20"/>
          <w:szCs w:val="20"/>
          <w:color w:val="auto"/>
        </w:rPr>
      </w:pPr>
      <w:r>
        <w:rPr>
          <w:rFonts w:ascii="Courier New" w:cs="Courier New" w:eastAsia="Courier New" w:hAnsi="Courier New"/>
          <w:sz w:val="14"/>
          <w:szCs w:val="14"/>
          <w:color w:val="auto"/>
        </w:rPr>
        <w:t>$ 10,178</w:t>
      </w:r>
      <w:r>
        <w:rPr>
          <w:sz w:val="20"/>
          <w:szCs w:val="20"/>
          <w:color w:val="auto"/>
        </w:rPr>
        <w:tab/>
      </w:r>
      <w:r>
        <w:rPr>
          <w:rFonts w:ascii="Courier New" w:cs="Courier New" w:eastAsia="Courier New" w:hAnsi="Courier New"/>
          <w:sz w:val="14"/>
          <w:szCs w:val="14"/>
          <w:color w:val="auto"/>
        </w:rPr>
        <w:t>$ 7,760</w:t>
      </w:r>
      <w:r>
        <w:rPr>
          <w:sz w:val="20"/>
          <w:szCs w:val="20"/>
          <w:color w:val="auto"/>
        </w:rPr>
        <w:tab/>
      </w:r>
      <w:r>
        <w:rPr>
          <w:rFonts w:ascii="Courier New" w:cs="Courier New" w:eastAsia="Courier New" w:hAnsi="Courier New"/>
          <w:sz w:val="14"/>
          <w:szCs w:val="14"/>
          <w:color w:val="auto"/>
        </w:rPr>
        <w:t>$ 4,662</w:t>
      </w:r>
    </w:p>
    <w:p>
      <w:pPr>
        <w:spacing w:after="0" w:line="5" w:lineRule="exact"/>
        <w:rPr>
          <w:sz w:val="20"/>
          <w:szCs w:val="20"/>
          <w:color w:val="auto"/>
        </w:rPr>
      </w:pPr>
    </w:p>
    <w:p>
      <w:pPr>
        <w:sectPr>
          <w:pgSz w:w="11900" w:h="16838" w:orient="portrait"/>
          <w:cols w:equalWidth="0" w:num="2">
            <w:col w:w="4028" w:space="720"/>
            <w:col w:w="5059"/>
          </w:cols>
          <w:pgMar w:left="652" w:top="305" w:right="1440" w:bottom="0" w:gutter="0" w:footer="0" w:header="0"/>
          <w:type w:val="continuous"/>
        </w:sectPr>
      </w:pPr>
    </w:p>
    <w:p>
      <w:pPr>
        <w:ind w:left="588"/>
        <w:spacing w:after="0"/>
        <w:rPr>
          <w:sz w:val="20"/>
          <w:szCs w:val="20"/>
          <w:color w:val="auto"/>
        </w:rPr>
      </w:pPr>
      <w:r>
        <w:rPr>
          <w:rFonts w:ascii="Courier New" w:cs="Courier New" w:eastAsia="Courier New" w:hAnsi="Courier New"/>
          <w:sz w:val="14"/>
          <w:szCs w:val="14"/>
          <w:color w:val="auto"/>
        </w:rPr>
        <w:t>Stock based compensation costs, net of income</w:t>
      </w:r>
    </w:p>
    <w:p>
      <w:pPr>
        <w:sectPr>
          <w:pgSz w:w="11900" w:h="16838" w:orient="portrait"/>
          <w:cols w:equalWidth="0" w:num="1">
            <w:col w:w="9807"/>
          </w:cols>
          <w:pgMar w:left="652" w:top="305" w:right="1440" w:bottom="0" w:gutter="0" w:footer="0" w:header="0"/>
          <w:type w:val="continuous"/>
        </w:sectPr>
      </w:pPr>
    </w:p>
    <w:p>
      <w:pPr>
        <w:spacing w:after="0" w:line="5" w:lineRule="exact"/>
        <w:rPr>
          <w:sz w:val="20"/>
          <w:szCs w:val="20"/>
          <w:color w:val="auto"/>
        </w:rPr>
      </w:pPr>
    </w:p>
    <w:p>
      <w:pPr>
        <w:ind w:left="688"/>
        <w:spacing w:after="0"/>
        <w:rPr>
          <w:sz w:val="20"/>
          <w:szCs w:val="20"/>
          <w:color w:val="auto"/>
        </w:rPr>
      </w:pPr>
      <w:r>
        <w:rPr>
          <w:rFonts w:ascii="Courier New" w:cs="Courier New" w:eastAsia="Courier New" w:hAnsi="Courier New"/>
          <w:sz w:val="14"/>
          <w:szCs w:val="14"/>
          <w:color w:val="auto"/>
        </w:rPr>
        <w:t>tax, included in net income as reported</w:t>
      </w:r>
    </w:p>
    <w:p>
      <w:pPr>
        <w:spacing w:after="0" w:line="20" w:lineRule="exact"/>
        <w:rPr>
          <w:sz w:val="20"/>
          <w:szCs w:val="20"/>
          <w:color w:val="auto"/>
        </w:rPr>
      </w:pPr>
      <w:r>
        <w:rPr>
          <w:sz w:val="20"/>
          <w:szCs w:val="20"/>
          <w:color w:val="auto"/>
        </w:rPr>
        <w:br w:type="column"/>
      </w:r>
    </w:p>
    <w:p>
      <w:pPr>
        <w:spacing w:after="0"/>
        <w:tabs>
          <w:tab w:leader="none" w:pos="920" w:val="left"/>
        </w:tabs>
        <w:rPr>
          <w:sz w:val="20"/>
          <w:szCs w:val="20"/>
          <w:color w:val="auto"/>
        </w:rPr>
      </w:pPr>
      <w:r>
        <w:rPr>
          <w:rFonts w:ascii="Courier New" w:cs="Courier New" w:eastAsia="Courier New" w:hAnsi="Courier New"/>
          <w:sz w:val="14"/>
          <w:szCs w:val="14"/>
          <w:color w:val="auto"/>
        </w:rPr>
        <w:t>160</w:t>
      </w:r>
      <w:r>
        <w:rPr>
          <w:sz w:val="20"/>
          <w:szCs w:val="20"/>
          <w:color w:val="auto"/>
        </w:rPr>
        <w:tab/>
      </w:r>
      <w:r>
        <w:rPr>
          <w:rFonts w:ascii="Courier New" w:cs="Courier New" w:eastAsia="Courier New" w:hAnsi="Courier New"/>
          <w:sz w:val="14"/>
          <w:szCs w:val="14"/>
          <w:color w:val="auto"/>
        </w:rPr>
        <w:t>(69)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69</w:t>
      </w:r>
    </w:p>
    <w:p>
      <w:pPr>
        <w:spacing w:after="0" w:line="5" w:lineRule="exact"/>
        <w:rPr>
          <w:sz w:val="20"/>
          <w:szCs w:val="20"/>
          <w:color w:val="auto"/>
        </w:rPr>
      </w:pPr>
    </w:p>
    <w:p>
      <w:pPr>
        <w:sectPr>
          <w:pgSz w:w="11900" w:h="16838" w:orient="portrait"/>
          <w:cols w:equalWidth="0" w:num="3">
            <w:col w:w="4548" w:space="720"/>
            <w:col w:w="1400" w:space="720"/>
            <w:col w:w="2419"/>
          </w:cols>
          <w:pgMar w:left="652" w:top="305" w:right="1440" w:bottom="0" w:gutter="0" w:footer="0" w:header="0"/>
          <w:type w:val="continuous"/>
        </w:sectPr>
      </w:pPr>
    </w:p>
    <w:p>
      <w:pPr>
        <w:ind w:left="588"/>
        <w:spacing w:after="0"/>
        <w:rPr>
          <w:sz w:val="20"/>
          <w:szCs w:val="20"/>
          <w:color w:val="auto"/>
        </w:rPr>
      </w:pPr>
      <w:r>
        <w:rPr>
          <w:rFonts w:ascii="Courier New" w:cs="Courier New" w:eastAsia="Courier New" w:hAnsi="Courier New"/>
          <w:sz w:val="14"/>
          <w:szCs w:val="14"/>
          <w:color w:val="auto"/>
        </w:rPr>
        <w:t>Stock based compensation costs, net of income</w:t>
      </w:r>
    </w:p>
    <w:p>
      <w:pPr>
        <w:spacing w:after="0" w:line="5" w:lineRule="exact"/>
        <w:rPr>
          <w:sz w:val="20"/>
          <w:szCs w:val="20"/>
          <w:color w:val="auto"/>
        </w:rPr>
      </w:pPr>
    </w:p>
    <w:p>
      <w:pPr>
        <w:ind w:left="688"/>
        <w:spacing w:after="0"/>
        <w:rPr>
          <w:sz w:val="20"/>
          <w:szCs w:val="20"/>
          <w:color w:val="auto"/>
        </w:rPr>
      </w:pPr>
      <w:r>
        <w:rPr>
          <w:rFonts w:ascii="Courier New" w:cs="Courier New" w:eastAsia="Courier New" w:hAnsi="Courier New"/>
          <w:sz w:val="14"/>
          <w:szCs w:val="14"/>
          <w:color w:val="auto"/>
        </w:rPr>
        <w:t>tax, that would have been included in net</w:t>
      </w:r>
    </w:p>
    <w:p>
      <w:pPr>
        <w:spacing w:after="0" w:line="5" w:lineRule="exact"/>
        <w:rPr>
          <w:sz w:val="20"/>
          <w:szCs w:val="20"/>
          <w:color w:val="auto"/>
        </w:rPr>
      </w:pPr>
    </w:p>
    <w:p>
      <w:pPr>
        <w:ind w:left="688"/>
        <w:spacing w:after="0"/>
        <w:rPr>
          <w:sz w:val="20"/>
          <w:szCs w:val="20"/>
          <w:color w:val="auto"/>
        </w:rPr>
      </w:pPr>
      <w:r>
        <w:rPr>
          <w:rFonts w:ascii="Courier New" w:cs="Courier New" w:eastAsia="Courier New" w:hAnsi="Courier New"/>
          <w:sz w:val="14"/>
          <w:szCs w:val="14"/>
          <w:color w:val="auto"/>
        </w:rPr>
        <w:t>income if the fair value method had been</w:t>
      </w:r>
    </w:p>
    <w:p>
      <w:pPr>
        <w:sectPr>
          <w:pgSz w:w="11900" w:h="16838" w:orient="portrait"/>
          <w:cols w:equalWidth="0" w:num="1">
            <w:col w:w="9807"/>
          </w:cols>
          <w:pgMar w:left="652" w:top="305" w:right="1440" w:bottom="0" w:gutter="0" w:footer="0" w:header="0"/>
          <w:type w:val="continuous"/>
        </w:sectPr>
      </w:pPr>
    </w:p>
    <w:p>
      <w:pPr>
        <w:spacing w:after="0" w:line="5" w:lineRule="exact"/>
        <w:rPr>
          <w:sz w:val="20"/>
          <w:szCs w:val="20"/>
          <w:color w:val="auto"/>
        </w:rPr>
      </w:pPr>
    </w:p>
    <w:p>
      <w:pPr>
        <w:ind w:left="688"/>
        <w:spacing w:after="0"/>
        <w:rPr>
          <w:sz w:val="20"/>
          <w:szCs w:val="20"/>
          <w:color w:val="auto"/>
        </w:rPr>
      </w:pPr>
      <w:r>
        <w:rPr>
          <w:rFonts w:ascii="Courier New" w:cs="Courier New" w:eastAsia="Courier New" w:hAnsi="Courier New"/>
          <w:sz w:val="14"/>
          <w:szCs w:val="14"/>
          <w:color w:val="auto"/>
        </w:rPr>
        <w:t>applied</w:t>
      </w:r>
    </w:p>
    <w:p>
      <w:pPr>
        <w:spacing w:after="0" w:line="168"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Net income - proforma</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(1,001)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$ 9,337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(488)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$ 7,203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(315)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$ 4,416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4">
            <w:col w:w="4028" w:space="720"/>
            <w:col w:w="860" w:space="160"/>
            <w:col w:w="860" w:space="160"/>
            <w:col w:w="3019"/>
          </w:cols>
          <w:pgMar w:left="652" w:top="305" w:right="1440" w:bottom="0" w:gutter="0" w:footer="0" w:header="0"/>
          <w:type w:val="continuous"/>
        </w:sectPr>
      </w:pPr>
    </w:p>
    <w:p>
      <w:pPr>
        <w:ind w:left="428"/>
        <w:spacing w:after="0"/>
        <w:rPr>
          <w:sz w:val="20"/>
          <w:szCs w:val="20"/>
          <w:color w:val="auto"/>
        </w:rPr>
      </w:pPr>
      <w:r>
        <w:rPr>
          <w:rFonts w:ascii="Courier New" w:cs="Courier New" w:eastAsia="Courier New" w:hAnsi="Courier New"/>
          <w:sz w:val="14"/>
          <w:szCs w:val="14"/>
          <w:color w:val="auto"/>
        </w:rPr>
        <w:t>Earnings per share - as reported</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0.64</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Courier New" w:cs="Courier New" w:eastAsia="Courier New" w:hAnsi="Courier New"/>
          <w:sz w:val="14"/>
          <w:szCs w:val="14"/>
          <w:color w:val="auto"/>
        </w:rPr>
        <w:t>$</w:t>
        <w:tab/>
        <w:t>0.51</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0.31</w:t>
      </w:r>
    </w:p>
    <w:p>
      <w:pPr>
        <w:spacing w:after="0" w:line="5" w:lineRule="exact"/>
        <w:rPr>
          <w:sz w:val="20"/>
          <w:szCs w:val="20"/>
          <w:color w:val="auto"/>
        </w:rPr>
      </w:pPr>
    </w:p>
    <w:p>
      <w:pPr>
        <w:sectPr>
          <w:pgSz w:w="11900" w:h="16838" w:orient="portrait"/>
          <w:cols w:equalWidth="0" w:num="4">
            <w:col w:w="4208" w:space="720"/>
            <w:col w:w="600" w:space="420"/>
            <w:col w:w="600" w:space="420"/>
            <w:col w:w="2839"/>
          </w:cols>
          <w:pgMar w:left="652" w:top="305" w:right="1440" w:bottom="0" w:gutter="0" w:footer="0" w:header="0"/>
          <w:type w:val="continuous"/>
        </w:sectPr>
      </w:pPr>
    </w:p>
    <w:p>
      <w:pPr>
        <w:ind w:left="588"/>
        <w:spacing w:after="0"/>
        <w:rPr>
          <w:sz w:val="20"/>
          <w:szCs w:val="20"/>
          <w:color w:val="auto"/>
        </w:rPr>
      </w:pPr>
      <w:r>
        <w:rPr>
          <w:rFonts w:ascii="Courier New" w:cs="Courier New" w:eastAsia="Courier New" w:hAnsi="Courier New"/>
          <w:sz w:val="14"/>
          <w:szCs w:val="14"/>
          <w:color w:val="auto"/>
        </w:rPr>
        <w:t>Stock based compensation costs, net of income</w:t>
      </w:r>
    </w:p>
    <w:p>
      <w:pPr>
        <w:sectPr>
          <w:pgSz w:w="11900" w:h="16838" w:orient="portrait"/>
          <w:cols w:equalWidth="0" w:num="1">
            <w:col w:w="9807"/>
          </w:cols>
          <w:pgMar w:left="652" w:top="305" w:right="1440" w:bottom="0" w:gutter="0" w:footer="0" w:header="0"/>
          <w:type w:val="continuous"/>
        </w:sectPr>
      </w:pPr>
    </w:p>
    <w:p>
      <w:pPr>
        <w:spacing w:after="0" w:line="5" w:lineRule="exact"/>
        <w:rPr>
          <w:sz w:val="20"/>
          <w:szCs w:val="20"/>
          <w:color w:val="auto"/>
        </w:rPr>
      </w:pPr>
    </w:p>
    <w:p>
      <w:pPr>
        <w:ind w:left="688"/>
        <w:spacing w:after="0"/>
        <w:rPr>
          <w:sz w:val="20"/>
          <w:szCs w:val="20"/>
          <w:color w:val="auto"/>
        </w:rPr>
      </w:pPr>
      <w:r>
        <w:rPr>
          <w:rFonts w:ascii="Courier New" w:cs="Courier New" w:eastAsia="Courier New" w:hAnsi="Courier New"/>
          <w:sz w:val="14"/>
          <w:szCs w:val="14"/>
          <w:color w:val="auto"/>
        </w:rPr>
        <w:t>tax, included in net income as reported</w:t>
      </w:r>
    </w:p>
    <w:p>
      <w:pPr>
        <w:spacing w:after="0" w:line="20" w:lineRule="exact"/>
        <w:rPr>
          <w:sz w:val="20"/>
          <w:szCs w:val="20"/>
          <w:color w:val="auto"/>
        </w:rPr>
      </w:pPr>
      <w:r>
        <w:rPr>
          <w:sz w:val="20"/>
          <w:szCs w:val="20"/>
          <w:color w:val="auto"/>
        </w:rPr>
        <w:br w:type="column"/>
      </w:r>
    </w:p>
    <w:p>
      <w:pPr>
        <w:spacing w:after="0"/>
        <w:tabs>
          <w:tab w:leader="none" w:pos="820" w:val="left"/>
        </w:tabs>
        <w:rPr>
          <w:sz w:val="20"/>
          <w:szCs w:val="20"/>
          <w:color w:val="auto"/>
        </w:rPr>
      </w:pPr>
      <w:r>
        <w:rPr>
          <w:rFonts w:ascii="Courier New" w:cs="Courier New" w:eastAsia="Courier New" w:hAnsi="Courier New"/>
          <w:sz w:val="14"/>
          <w:szCs w:val="14"/>
          <w:color w:val="auto"/>
        </w:rPr>
        <w:t>0.01</w:t>
      </w:r>
      <w:r>
        <w:rPr>
          <w:sz w:val="20"/>
          <w:szCs w:val="20"/>
          <w:color w:val="auto"/>
        </w:rPr>
        <w:tab/>
      </w:r>
      <w:r>
        <w:rPr>
          <w:rFonts w:ascii="Courier New" w:cs="Courier New" w:eastAsia="Courier New" w:hAnsi="Courier New"/>
          <w:sz w:val="14"/>
          <w:szCs w:val="14"/>
          <w:color w:val="auto"/>
        </w:rPr>
        <w:t>(0.01)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ectPr>
          <w:pgSz w:w="11900" w:h="16838" w:orient="portrait"/>
          <w:cols w:equalWidth="0" w:num="3">
            <w:col w:w="4468" w:space="720"/>
            <w:col w:w="1480" w:space="720"/>
            <w:col w:w="2419"/>
          </w:cols>
          <w:pgMar w:left="652" w:top="305" w:right="1440" w:bottom="0" w:gutter="0" w:footer="0" w:header="0"/>
          <w:type w:val="continuous"/>
        </w:sectPr>
      </w:pPr>
    </w:p>
    <w:p>
      <w:pPr>
        <w:ind w:left="588"/>
        <w:spacing w:after="0"/>
        <w:rPr>
          <w:sz w:val="20"/>
          <w:szCs w:val="20"/>
          <w:color w:val="auto"/>
        </w:rPr>
      </w:pPr>
      <w:r>
        <w:rPr>
          <w:rFonts w:ascii="Courier New" w:cs="Courier New" w:eastAsia="Courier New" w:hAnsi="Courier New"/>
          <w:sz w:val="14"/>
          <w:szCs w:val="14"/>
          <w:color w:val="auto"/>
        </w:rPr>
        <w:t>Stock based compensation costs, net of income</w:t>
      </w:r>
    </w:p>
    <w:p>
      <w:pPr>
        <w:spacing w:after="0" w:line="5" w:lineRule="exact"/>
        <w:rPr>
          <w:sz w:val="20"/>
          <w:szCs w:val="20"/>
          <w:color w:val="auto"/>
        </w:rPr>
      </w:pPr>
    </w:p>
    <w:p>
      <w:pPr>
        <w:ind w:left="688"/>
        <w:spacing w:after="0"/>
        <w:rPr>
          <w:sz w:val="20"/>
          <w:szCs w:val="20"/>
          <w:color w:val="auto"/>
        </w:rPr>
      </w:pPr>
      <w:r>
        <w:rPr>
          <w:rFonts w:ascii="Courier New" w:cs="Courier New" w:eastAsia="Courier New" w:hAnsi="Courier New"/>
          <w:sz w:val="14"/>
          <w:szCs w:val="14"/>
          <w:color w:val="auto"/>
        </w:rPr>
        <w:t>tax, that would have been included in net</w:t>
      </w:r>
    </w:p>
    <w:p>
      <w:pPr>
        <w:spacing w:after="0" w:line="5" w:lineRule="exact"/>
        <w:rPr>
          <w:sz w:val="20"/>
          <w:szCs w:val="20"/>
          <w:color w:val="auto"/>
        </w:rPr>
      </w:pPr>
    </w:p>
    <w:p>
      <w:pPr>
        <w:ind w:left="688"/>
        <w:spacing w:after="0"/>
        <w:rPr>
          <w:sz w:val="20"/>
          <w:szCs w:val="20"/>
          <w:color w:val="auto"/>
        </w:rPr>
      </w:pPr>
      <w:r>
        <w:rPr>
          <w:rFonts w:ascii="Courier New" w:cs="Courier New" w:eastAsia="Courier New" w:hAnsi="Courier New"/>
          <w:sz w:val="14"/>
          <w:szCs w:val="14"/>
          <w:color w:val="auto"/>
        </w:rPr>
        <w:t>income if the fair value method had been</w:t>
      </w:r>
    </w:p>
    <w:p>
      <w:pPr>
        <w:sectPr>
          <w:pgSz w:w="11900" w:h="16838" w:orient="portrait"/>
          <w:cols w:equalWidth="0" w:num="1">
            <w:col w:w="9807"/>
          </w:cols>
          <w:pgMar w:left="652" w:top="305" w:right="1440" w:bottom="0" w:gutter="0" w:footer="0" w:header="0"/>
          <w:type w:val="continuous"/>
        </w:sectPr>
      </w:pPr>
    </w:p>
    <w:p>
      <w:pPr>
        <w:spacing w:after="0" w:line="5" w:lineRule="exact"/>
        <w:rPr>
          <w:sz w:val="20"/>
          <w:szCs w:val="20"/>
          <w:color w:val="auto"/>
        </w:rPr>
      </w:pPr>
    </w:p>
    <w:p>
      <w:pPr>
        <w:ind w:left="688"/>
        <w:spacing w:after="0"/>
        <w:rPr>
          <w:sz w:val="20"/>
          <w:szCs w:val="20"/>
          <w:color w:val="auto"/>
        </w:rPr>
      </w:pPr>
      <w:r>
        <w:rPr>
          <w:rFonts w:ascii="Courier New" w:cs="Courier New" w:eastAsia="Courier New" w:hAnsi="Courier New"/>
          <w:sz w:val="14"/>
          <w:szCs w:val="14"/>
          <w:color w:val="auto"/>
        </w:rPr>
        <w:t>applied</w:t>
      </w:r>
    </w:p>
    <w:p>
      <w:pPr>
        <w:spacing w:after="0" w:line="168"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Earnings per share - proforma</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(0.06)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$0.59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80"/>
        <w:spacing w:after="0"/>
        <w:tabs>
          <w:tab w:leader="none" w:pos="420" w:val="left"/>
        </w:tabs>
        <w:rPr>
          <w:sz w:val="20"/>
          <w:szCs w:val="20"/>
          <w:color w:val="auto"/>
        </w:rPr>
      </w:pPr>
      <w:r>
        <w:rPr>
          <w:rFonts w:ascii="Courier New" w:cs="Courier New" w:eastAsia="Courier New" w:hAnsi="Courier New"/>
          <w:sz w:val="14"/>
          <w:szCs w:val="14"/>
          <w:color w:val="auto"/>
        </w:rPr>
        <w:t>$</w:t>
        <w:tab/>
        <w:t>0.47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$ 0.29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4028" w:space="720"/>
            <w:col w:w="860" w:space="160"/>
            <w:col w:w="860" w:space="160"/>
            <w:col w:w="3019"/>
          </w:cols>
          <w:pgMar w:left="652" w:top="305" w:right="1440" w:bottom="0" w:gutter="0" w:footer="0" w:header="0"/>
          <w:type w:val="continuous"/>
        </w:sectPr>
      </w:pPr>
    </w:p>
    <w:p>
      <w:pPr>
        <w:spacing w:after="0" w:line="131" w:lineRule="exact"/>
        <w:rPr>
          <w:sz w:val="20"/>
          <w:szCs w:val="20"/>
          <w:color w:val="auto"/>
        </w:rPr>
      </w:pPr>
    </w:p>
    <w:p>
      <w:pPr>
        <w:ind w:left="428"/>
        <w:spacing w:after="0"/>
        <w:tabs>
          <w:tab w:leader="none" w:pos="4988" w:val="left"/>
          <w:tab w:leader="none" w:pos="5928" w:val="left"/>
        </w:tabs>
        <w:rPr>
          <w:sz w:val="20"/>
          <w:szCs w:val="20"/>
          <w:color w:val="auto"/>
        </w:rPr>
      </w:pPr>
      <w:r>
        <w:rPr>
          <w:rFonts w:ascii="Courier New" w:cs="Courier New" w:eastAsia="Courier New" w:hAnsi="Courier New"/>
          <w:sz w:val="14"/>
          <w:szCs w:val="14"/>
          <w:color w:val="auto"/>
        </w:rPr>
        <w:t>Earnings per share-assuming dilution - as reported</w:t>
      </w:r>
      <w:r>
        <w:rPr>
          <w:sz w:val="20"/>
          <w:szCs w:val="20"/>
          <w:color w:val="auto"/>
        </w:rPr>
        <w:tab/>
      </w:r>
      <w:r>
        <w:rPr>
          <w:rFonts w:ascii="Courier New" w:cs="Courier New" w:eastAsia="Courier New" w:hAnsi="Courier New"/>
          <w:sz w:val="14"/>
          <w:szCs w:val="14"/>
          <w:color w:val="auto"/>
        </w:rPr>
        <w:t>$ 0.62</w:t>
      </w:r>
      <w:r>
        <w:rPr>
          <w:sz w:val="20"/>
          <w:szCs w:val="20"/>
          <w:color w:val="auto"/>
        </w:rPr>
        <w:tab/>
      </w:r>
      <w:r>
        <w:rPr>
          <w:rFonts w:ascii="Courier New" w:cs="Courier New" w:eastAsia="Courier New" w:hAnsi="Courier New"/>
          <w:sz w:val="14"/>
          <w:szCs w:val="14"/>
          <w:color w:val="auto"/>
        </w:rPr>
        <w:t>$ 0. 49</w:t>
      </w:r>
    </w:p>
    <w:p>
      <w:pPr>
        <w:spacing w:after="0" w:line="5" w:lineRule="exact"/>
        <w:rPr>
          <w:sz w:val="20"/>
          <w:szCs w:val="20"/>
          <w:color w:val="auto"/>
        </w:rPr>
      </w:pPr>
    </w:p>
    <w:p>
      <w:pPr>
        <w:ind w:left="588"/>
        <w:spacing w:after="0"/>
        <w:rPr>
          <w:sz w:val="20"/>
          <w:szCs w:val="20"/>
          <w:color w:val="auto"/>
        </w:rPr>
      </w:pPr>
      <w:r>
        <w:rPr>
          <w:rFonts w:ascii="Courier New" w:cs="Courier New" w:eastAsia="Courier New" w:hAnsi="Courier New"/>
          <w:sz w:val="14"/>
          <w:szCs w:val="14"/>
          <w:color w:val="auto"/>
        </w:rPr>
        <w:t>Stock based compensation costs, net of income tax,</w:t>
      </w:r>
    </w:p>
    <w:p>
      <w:pPr>
        <w:spacing w:after="0" w:line="5" w:lineRule="exact"/>
        <w:rPr>
          <w:sz w:val="20"/>
          <w:szCs w:val="20"/>
          <w:color w:val="auto"/>
        </w:rPr>
      </w:pPr>
    </w:p>
    <w:p>
      <w:pPr>
        <w:ind w:left="688"/>
        <w:spacing w:after="0"/>
        <w:tabs>
          <w:tab w:leader="none" w:pos="5168" w:val="left"/>
          <w:tab w:leader="none" w:pos="6348" w:val="left"/>
        </w:tabs>
        <w:rPr>
          <w:sz w:val="20"/>
          <w:szCs w:val="20"/>
          <w:color w:val="auto"/>
        </w:rPr>
      </w:pPr>
      <w:r>
        <w:rPr>
          <w:rFonts w:ascii="Courier New" w:cs="Courier New" w:eastAsia="Courier New" w:hAnsi="Courier New"/>
          <w:sz w:val="14"/>
          <w:szCs w:val="14"/>
          <w:color w:val="auto"/>
        </w:rPr>
        <w:t>included in net income as reported</w:t>
      </w:r>
      <w:r>
        <w:rPr>
          <w:sz w:val="20"/>
          <w:szCs w:val="20"/>
          <w:color w:val="auto"/>
        </w:rPr>
        <w:tab/>
      </w:r>
      <w:r>
        <w:rPr>
          <w:rFonts w:ascii="Courier New" w:cs="Courier New" w:eastAsia="Courier New" w:hAnsi="Courier New"/>
          <w:sz w:val="14"/>
          <w:szCs w:val="14"/>
          <w:color w:val="auto"/>
        </w:rPr>
        <w:t>0.01</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588"/>
        <w:spacing w:after="0"/>
        <w:rPr>
          <w:sz w:val="20"/>
          <w:szCs w:val="20"/>
          <w:color w:val="auto"/>
        </w:rPr>
      </w:pPr>
      <w:r>
        <w:rPr>
          <w:rFonts w:ascii="Courier New" w:cs="Courier New" w:eastAsia="Courier New" w:hAnsi="Courier New"/>
          <w:sz w:val="14"/>
          <w:szCs w:val="14"/>
          <w:color w:val="auto"/>
        </w:rPr>
        <w:t>Stock based compensation costs, net of income tax,</w:t>
      </w:r>
    </w:p>
    <w:p>
      <w:pPr>
        <w:spacing w:after="0" w:line="5" w:lineRule="exact"/>
        <w:rPr>
          <w:sz w:val="20"/>
          <w:szCs w:val="20"/>
          <w:color w:val="auto"/>
        </w:rPr>
      </w:pPr>
    </w:p>
    <w:p>
      <w:pPr>
        <w:ind w:left="688"/>
        <w:spacing w:after="0"/>
        <w:rPr>
          <w:sz w:val="20"/>
          <w:szCs w:val="20"/>
          <w:color w:val="auto"/>
        </w:rPr>
      </w:pPr>
      <w:r>
        <w:rPr>
          <w:rFonts w:ascii="Courier New" w:cs="Courier New" w:eastAsia="Courier New" w:hAnsi="Courier New"/>
          <w:sz w:val="14"/>
          <w:szCs w:val="14"/>
          <w:color w:val="auto"/>
        </w:rPr>
        <w:t>that would have been included in net income if</w:t>
      </w:r>
    </w:p>
    <w:p>
      <w:pPr>
        <w:spacing w:after="0" w:line="5" w:lineRule="exact"/>
        <w:rPr>
          <w:sz w:val="20"/>
          <w:szCs w:val="20"/>
          <w:color w:val="auto"/>
        </w:rPr>
      </w:pPr>
    </w:p>
    <w:p>
      <w:pPr>
        <w:ind w:left="688"/>
        <w:spacing w:after="0"/>
        <w:tabs>
          <w:tab w:leader="none" w:pos="4988" w:val="left"/>
          <w:tab w:leader="none" w:pos="6008" w:val="left"/>
        </w:tabs>
        <w:rPr>
          <w:sz w:val="20"/>
          <w:szCs w:val="20"/>
          <w:color w:val="auto"/>
        </w:rPr>
      </w:pPr>
      <w:r>
        <w:rPr>
          <w:rFonts w:ascii="Courier New" w:cs="Courier New" w:eastAsia="Courier New" w:hAnsi="Courier New"/>
          <w:sz w:val="14"/>
          <w:szCs w:val="14"/>
          <w:color w:val="auto"/>
        </w:rPr>
        <w:t>the fair value method had been applied</w:t>
      </w:r>
      <w:r>
        <w:rPr>
          <w:sz w:val="20"/>
          <w:szCs w:val="20"/>
          <w:color w:val="auto"/>
        </w:rPr>
        <w:tab/>
      </w:r>
      <w:r>
        <w:rPr>
          <w:rFonts w:ascii="Courier New" w:cs="Courier New" w:eastAsia="Courier New" w:hAnsi="Courier New"/>
          <w:sz w:val="14"/>
          <w:szCs w:val="14"/>
          <w:color w:val="auto"/>
        </w:rPr>
        <w:t>(0.06)</w:t>
      </w:r>
      <w:r>
        <w:rPr>
          <w:sz w:val="20"/>
          <w:szCs w:val="20"/>
          <w:color w:val="auto"/>
        </w:rPr>
        <w:tab/>
      </w:r>
      <w:r>
        <w:rPr>
          <w:rFonts w:ascii="Courier New" w:cs="Courier New" w:eastAsia="Courier New" w:hAnsi="Courier New"/>
          <w:sz w:val="14"/>
          <w:szCs w:val="14"/>
          <w:color w:val="auto"/>
        </w:rPr>
        <w:t>(0.03)</w:t>
      </w:r>
    </w:p>
    <w:p>
      <w:pPr>
        <w:spacing w:after="0" w:line="5" w:lineRule="exact"/>
        <w:rPr>
          <w:sz w:val="20"/>
          <w:szCs w:val="20"/>
          <w:color w:val="auto"/>
        </w:rPr>
      </w:pPr>
    </w:p>
    <w:p>
      <w:pPr>
        <w:ind w:left="4748"/>
        <w:spacing w:after="0"/>
        <w:tabs>
          <w:tab w:leader="none" w:pos="5748"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$ 0.30</w:t>
      </w:r>
    </w:p>
    <w:p>
      <w:pPr>
        <w:spacing w:after="0" w:line="16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6628" w:space="160"/>
            <w:col w:w="3019"/>
          </w:cols>
          <w:pgMar w:left="652" w:top="305" w:right="1440" w:bottom="0" w:gutter="0" w:footer="0" w:header="0"/>
          <w:type w:val="continuous"/>
        </w:sectPr>
      </w:pPr>
    </w:p>
    <w:p>
      <w:pPr>
        <w:ind w:left="428"/>
        <w:spacing w:after="0"/>
        <w:rPr>
          <w:sz w:val="20"/>
          <w:szCs w:val="20"/>
          <w:color w:val="auto"/>
        </w:rPr>
      </w:pPr>
      <w:r>
        <w:rPr>
          <w:rFonts w:ascii="Courier New" w:cs="Courier New" w:eastAsia="Courier New" w:hAnsi="Courier New"/>
          <w:sz w:val="14"/>
          <w:szCs w:val="14"/>
          <w:color w:val="auto"/>
        </w:rPr>
        <w:t>Earnings per share - assuming dilution-proforma</w:t>
      </w:r>
    </w:p>
    <w:p>
      <w:pPr>
        <w:spacing w:after="0" w:line="20" w:lineRule="exact"/>
        <w:rPr>
          <w:sz w:val="20"/>
          <w:szCs w:val="20"/>
          <w:color w:val="auto"/>
        </w:rPr>
      </w:pPr>
      <w:r>
        <w:rPr>
          <w:sz w:val="20"/>
          <w:szCs w:val="20"/>
          <w:color w:val="auto"/>
        </w:rPr>
        <w:br w:type="column"/>
      </w:r>
    </w:p>
    <w:p>
      <w:pPr>
        <w:ind w:firstLine="255"/>
        <w:spacing w:after="0" w:line="249" w:lineRule="auto"/>
        <w:rPr>
          <w:sz w:val="20"/>
          <w:szCs w:val="20"/>
          <w:color w:val="auto"/>
        </w:rPr>
      </w:pPr>
      <w:r>
        <w:rPr>
          <w:rFonts w:ascii="Courier New" w:cs="Courier New" w:eastAsia="Courier New" w:hAnsi="Courier New"/>
          <w:sz w:val="14"/>
          <w:szCs w:val="14"/>
          <w:color w:val="auto"/>
        </w:rPr>
        <w:t>$ 0.57 ==========</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$ 0.46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$ 0.28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7" w:lineRule="exact"/>
        <w:rPr>
          <w:sz w:val="20"/>
          <w:szCs w:val="20"/>
          <w:color w:val="auto"/>
        </w:rPr>
      </w:pPr>
    </w:p>
    <w:p>
      <w:pPr>
        <w:sectPr>
          <w:pgSz w:w="11900" w:h="16838" w:orient="portrait"/>
          <w:cols w:equalWidth="0" w:num="4">
            <w:col w:w="4408" w:space="340"/>
            <w:col w:w="860" w:space="160"/>
            <w:col w:w="860" w:space="160"/>
            <w:col w:w="3019"/>
          </w:cols>
          <w:pgMar w:left="652" w:top="305" w:right="1440" w:bottom="0" w:gutter="0" w:footer="0" w:header="0"/>
          <w:type w:val="continuous"/>
        </w:sectPr>
      </w:pPr>
    </w:p>
    <w:p>
      <w:pPr>
        <w:spacing w:after="0" w:line="124" w:lineRule="exact"/>
        <w:rPr>
          <w:sz w:val="20"/>
          <w:szCs w:val="20"/>
          <w:color w:val="auto"/>
        </w:rPr>
      </w:pPr>
    </w:p>
    <w:p>
      <w:pPr>
        <w:ind w:left="428" w:right="3439"/>
        <w:spacing w:after="0" w:line="248" w:lineRule="auto"/>
        <w:rPr>
          <w:sz w:val="20"/>
          <w:szCs w:val="20"/>
          <w:color w:val="auto"/>
        </w:rPr>
      </w:pPr>
      <w:r>
        <w:rPr>
          <w:rFonts w:ascii="Courier New" w:cs="Courier New" w:eastAsia="Courier New" w:hAnsi="Courier New"/>
          <w:sz w:val="14"/>
          <w:szCs w:val="14"/>
          <w:color w:val="auto"/>
        </w:rPr>
        <w:t>The fair value of each option grant was estimated based on actual information available through December 31, 2003, 2002 and 2001 using the Black Scholes option-pricing model with the following assumptions:</w:t>
      </w:r>
    </w:p>
    <w:p>
      <w:pPr>
        <w:sectPr>
          <w:pgSz w:w="11900" w:h="16838" w:orient="portrait"/>
          <w:cols w:equalWidth="0" w:num="1">
            <w:col w:w="9807"/>
          </w:cols>
          <w:pgMar w:left="652" w:top="305" w:right="1440" w:bottom="0" w:gutter="0" w:footer="0" w:header="0"/>
          <w:type w:val="continuous"/>
        </w:sectPr>
      </w:pPr>
    </w:p>
    <w:p>
      <w:pPr>
        <w:spacing w:after="0" w:line="162" w:lineRule="exact"/>
        <w:rPr>
          <w:sz w:val="20"/>
          <w:szCs w:val="20"/>
          <w:color w:val="auto"/>
        </w:rPr>
      </w:pPr>
    </w:p>
    <w:p>
      <w:pPr>
        <w:ind w:left="168"/>
        <w:spacing w:after="0"/>
        <w:rPr>
          <w:sz w:val="20"/>
          <w:szCs w:val="20"/>
          <w:color w:val="auto"/>
        </w:rPr>
      </w:pPr>
      <w:r>
        <w:rPr>
          <w:rFonts w:ascii="Courier New" w:cs="Courier New" w:eastAsia="Courier New" w:hAnsi="Courier New"/>
          <w:sz w:val="14"/>
          <w:szCs w:val="14"/>
          <w:color w:val="auto"/>
        </w:rPr>
        <w:t>Term</w:t>
      </w:r>
    </w:p>
    <w:p>
      <w:pPr>
        <w:spacing w:after="0" w:line="5" w:lineRule="exact"/>
        <w:rPr>
          <w:sz w:val="20"/>
          <w:szCs w:val="20"/>
          <w:color w:val="auto"/>
        </w:rPr>
      </w:pPr>
    </w:p>
    <w:p>
      <w:pPr>
        <w:ind w:left="168"/>
        <w:spacing w:after="0"/>
        <w:rPr>
          <w:sz w:val="20"/>
          <w:szCs w:val="20"/>
          <w:color w:val="auto"/>
        </w:rPr>
      </w:pPr>
      <w:r>
        <w:rPr>
          <w:rFonts w:ascii="Courier New" w:cs="Courier New" w:eastAsia="Courier New" w:hAnsi="Courier New"/>
          <w:sz w:val="14"/>
          <w:szCs w:val="14"/>
          <w:color w:val="auto"/>
        </w:rPr>
        <w:t>Risk free interest rate</w:t>
      </w:r>
    </w:p>
    <w:p>
      <w:pPr>
        <w:spacing w:after="0" w:line="5" w:lineRule="exact"/>
        <w:rPr>
          <w:sz w:val="20"/>
          <w:szCs w:val="20"/>
          <w:color w:val="auto"/>
        </w:rPr>
      </w:pPr>
    </w:p>
    <w:p>
      <w:pPr>
        <w:ind w:left="168"/>
        <w:spacing w:after="0"/>
        <w:rPr>
          <w:sz w:val="20"/>
          <w:szCs w:val="20"/>
          <w:color w:val="auto"/>
        </w:rPr>
      </w:pPr>
      <w:r>
        <w:rPr>
          <w:rFonts w:ascii="Courier New" w:cs="Courier New" w:eastAsia="Courier New" w:hAnsi="Courier New"/>
          <w:sz w:val="14"/>
          <w:szCs w:val="14"/>
          <w:color w:val="auto"/>
        </w:rPr>
        <w:t>Dividend yield</w:t>
      </w:r>
    </w:p>
    <w:p>
      <w:pPr>
        <w:spacing w:after="0" w:line="5" w:lineRule="exact"/>
        <w:rPr>
          <w:sz w:val="20"/>
          <w:szCs w:val="20"/>
          <w:color w:val="auto"/>
        </w:rPr>
      </w:pPr>
    </w:p>
    <w:p>
      <w:pPr>
        <w:ind w:left="168"/>
        <w:spacing w:after="0"/>
        <w:rPr>
          <w:sz w:val="20"/>
          <w:szCs w:val="20"/>
          <w:color w:val="auto"/>
        </w:rPr>
      </w:pPr>
      <w:r>
        <w:rPr>
          <w:rFonts w:ascii="Courier New" w:cs="Courier New" w:eastAsia="Courier New" w:hAnsi="Courier New"/>
          <w:sz w:val="14"/>
          <w:szCs w:val="14"/>
          <w:color w:val="auto"/>
        </w:rPr>
        <w:t>Volatility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Vesting period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3.38%, 3.28% and 4.75% for 2003, 2002 and 2001, respectively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 3.2%, and 2.8% annually for 2003, 2002 and 2001, respectively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49.8%, 50.1% and 40.7% for 2003, 2002 and 2001, respectively</w:t>
      </w:r>
    </w:p>
    <w:p>
      <w:pPr>
        <w:spacing w:after="0" w:line="200" w:lineRule="exact"/>
        <w:rPr>
          <w:sz w:val="20"/>
          <w:szCs w:val="20"/>
          <w:color w:val="auto"/>
        </w:rPr>
      </w:pPr>
    </w:p>
    <w:p>
      <w:pPr>
        <w:sectPr>
          <w:pgSz w:w="11900" w:h="16838" w:orient="portrait"/>
          <w:cols w:equalWidth="0" w:num="2">
            <w:col w:w="2128" w:space="160"/>
            <w:col w:w="7519"/>
          </w:cols>
          <w:pgMar w:left="652" w:top="305" w:right="1440" w:bottom="0" w:gutter="0" w:footer="0" w:header="0"/>
          <w:type w:val="continuous"/>
        </w:sectPr>
      </w:pPr>
    </w:p>
    <w:p>
      <w:pPr>
        <w:spacing w:after="0" w:line="131" w:lineRule="exact"/>
        <w:rPr>
          <w:sz w:val="20"/>
          <w:szCs w:val="20"/>
          <w:color w:val="auto"/>
        </w:rPr>
      </w:pPr>
    </w:p>
    <w:p>
      <w:pPr>
        <w:ind w:left="428" w:hanging="428"/>
        <w:spacing w:after="0"/>
        <w:tabs>
          <w:tab w:leader="none" w:pos="428" w:val="left"/>
        </w:tabs>
        <w:numPr>
          <w:ilvl w:val="0"/>
          <w:numId w:val="13"/>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Principles of Consolidation</w:t>
      </w:r>
    </w:p>
    <w:p>
      <w:pPr>
        <w:spacing w:after="0" w:line="168" w:lineRule="exact"/>
        <w:rPr>
          <w:rFonts w:ascii="Courier New" w:cs="Courier New" w:eastAsia="Courier New" w:hAnsi="Courier New"/>
          <w:sz w:val="14"/>
          <w:szCs w:val="14"/>
          <w:b w:val="1"/>
          <w:bCs w:val="1"/>
          <w:i w:val="1"/>
          <w:iCs w:val="1"/>
          <w:color w:val="auto"/>
        </w:rPr>
      </w:pPr>
    </w:p>
    <w:p>
      <w:pPr>
        <w:ind w:left="428" w:right="359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The Company's consolidated financial statements include the accounts of NN, Inc. and subsidiaries in which the Company owns more than 50% voting interest. Unconsolidated subsidiaries and investments where ownership is between 20% and 50% are accounted for under the equity method. All significant intercompany profits, transactions, and balances have been eliminated in consolidation. The ownership interests of other shareholders in companies that are more than 50% owned, but less than 100% owned by the Company, are reflected as</w:t>
      </w:r>
    </w:p>
    <w:p>
      <w:pPr>
        <w:sectPr>
          <w:pgSz w:w="11900" w:h="16838" w:orient="portrait"/>
          <w:cols w:equalWidth="0" w:num="1">
            <w:col w:w="9807"/>
          </w:cols>
          <w:pgMar w:left="652" w:top="305" w:right="1440" w:bottom="0" w:gutter="0" w:footer="0" w:header="0"/>
          <w:type w:val="continuous"/>
        </w:sectPr>
      </w:pPr>
    </w:p>
    <w:bookmarkStart w:id="28" w:name="page29"/>
    <w:bookmarkEnd w:id="28"/>
    <w:p>
      <w:pPr>
        <w:ind w:left="428" w:right="3439"/>
        <w:spacing w:after="0" w:line="247" w:lineRule="auto"/>
        <w:rPr>
          <w:sz w:val="20"/>
          <w:szCs w:val="20"/>
          <w:color w:val="auto"/>
        </w:rPr>
      </w:pPr>
      <w:r>
        <w:rPr>
          <w:rFonts w:ascii="Courier New" w:cs="Courier New" w:eastAsia="Courier New" w:hAnsi="Courier New"/>
          <w:sz w:val="14"/>
          <w:szCs w:val="14"/>
          <w:color w:val="auto"/>
        </w:rPr>
        <w:t>minority interests. Minority interest in consolidated subsidiaries represents the minority shareholders interest of NN Euroball ApS at December 31, 2002. There were no minority interests in consolidated subsidiaries at December 31, 2003 as a result of the Company acquiring the remaining additional interests in Euroball on May 2, 2003.</w:t>
      </w:r>
    </w:p>
    <w:p>
      <w:pPr>
        <w:spacing w:after="0" w:line="327" w:lineRule="exact"/>
        <w:rPr>
          <w:sz w:val="20"/>
          <w:szCs w:val="20"/>
          <w:color w:val="auto"/>
        </w:rPr>
      </w:pPr>
    </w:p>
    <w:p>
      <w:pPr>
        <w:jc w:val="both"/>
        <w:ind w:left="2888"/>
        <w:spacing w:after="0"/>
        <w:tabs>
          <w:tab w:leader="none" w:pos="5588" w:val="left"/>
        </w:tabs>
        <w:rPr>
          <w:sz w:val="20"/>
          <w:szCs w:val="20"/>
          <w:color w:val="auto"/>
        </w:rPr>
      </w:pPr>
      <w:r>
        <w:rPr>
          <w:rFonts w:ascii="Courier New" w:cs="Courier New" w:eastAsia="Courier New" w:hAnsi="Courier New"/>
          <w:sz w:val="14"/>
          <w:szCs w:val="14"/>
          <w:color w:val="auto"/>
        </w:rPr>
        <w:t>37</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286385</wp:posOffset>
            </wp:positionV>
            <wp:extent cx="729869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548"/>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188"/>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1608"/>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448"/>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428" w:hanging="428"/>
        <w:spacing w:after="0"/>
        <w:tabs>
          <w:tab w:leader="none" w:pos="428" w:val="left"/>
        </w:tabs>
        <w:numPr>
          <w:ilvl w:val="0"/>
          <w:numId w:val="14"/>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Foreign Currency Translation</w:t>
      </w:r>
    </w:p>
    <w:p>
      <w:pPr>
        <w:spacing w:after="0" w:line="168" w:lineRule="exact"/>
        <w:rPr>
          <w:rFonts w:ascii="Courier New" w:cs="Courier New" w:eastAsia="Courier New" w:hAnsi="Courier New"/>
          <w:sz w:val="14"/>
          <w:szCs w:val="14"/>
          <w:b w:val="1"/>
          <w:bCs w:val="1"/>
          <w:i w:val="1"/>
          <w:iCs w:val="1"/>
          <w:color w:val="auto"/>
        </w:rPr>
      </w:pPr>
    </w:p>
    <w:p>
      <w:pPr>
        <w:ind w:left="428" w:right="351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Assets and liabilities of the Company's foreign subsidiaries are translated at current exchange rates, while revenue, costs and expenses are translated at average rates prevailing during each reporting period. Translation adjustments are reported as a component of other comprehensive income. Net exchange gains or losses resulting from the translation of foreign financial statements are accumulated with other comprehensive earnings as a separate component of shareholders equity.</w:t>
      </w:r>
    </w:p>
    <w:p>
      <w:pPr>
        <w:spacing w:after="0" w:line="164" w:lineRule="exact"/>
        <w:rPr>
          <w:rFonts w:ascii="Courier New" w:cs="Courier New" w:eastAsia="Courier New" w:hAnsi="Courier New"/>
          <w:sz w:val="14"/>
          <w:szCs w:val="14"/>
          <w:b w:val="1"/>
          <w:bCs w:val="1"/>
          <w:i w:val="1"/>
          <w:iCs w:val="1"/>
          <w:color w:val="auto"/>
        </w:rPr>
      </w:pPr>
    </w:p>
    <w:p>
      <w:pPr>
        <w:ind w:left="428" w:hanging="428"/>
        <w:spacing w:after="0"/>
        <w:tabs>
          <w:tab w:leader="none" w:pos="428" w:val="left"/>
        </w:tabs>
        <w:numPr>
          <w:ilvl w:val="0"/>
          <w:numId w:val="14"/>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Goodwill</w:t>
      </w:r>
    </w:p>
    <w:p>
      <w:pPr>
        <w:spacing w:after="0" w:line="168"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In June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was January 1, 2002. As of the date of adoption, the Company had unamortized goodwill of approximately $36.6 million, which is subject to the provisions of Statement No. 142.</w:t>
      </w:r>
    </w:p>
    <w:p>
      <w:pPr>
        <w:spacing w:after="0" w:line="164" w:lineRule="exact"/>
        <w:rPr>
          <w:rFonts w:ascii="Courier New" w:cs="Courier New" w:eastAsia="Courier New" w:hAnsi="Courier New"/>
          <w:sz w:val="14"/>
          <w:szCs w:val="14"/>
          <w:b w:val="1"/>
          <w:bCs w:val="1"/>
          <w:i w:val="1"/>
          <w:iCs w:val="1"/>
          <w:color w:val="auto"/>
        </w:rPr>
      </w:pPr>
    </w:p>
    <w:p>
      <w:pPr>
        <w:ind w:left="428" w:right="3519"/>
        <w:spacing w:after="0" w:line="248"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As a result of adopting these new standards, the Company's accounting policies for goodwill and other intangibles changed on January 1, 2002, as described below:</w:t>
      </w:r>
    </w:p>
    <w:p>
      <w:pPr>
        <w:spacing w:after="0" w:line="161" w:lineRule="exact"/>
        <w:rPr>
          <w:rFonts w:ascii="Courier New" w:cs="Courier New" w:eastAsia="Courier New" w:hAnsi="Courier New"/>
          <w:sz w:val="14"/>
          <w:szCs w:val="14"/>
          <w:b w:val="1"/>
          <w:bCs w:val="1"/>
          <w:i w:val="1"/>
          <w:iCs w:val="1"/>
          <w:color w:val="auto"/>
        </w:rPr>
      </w:pPr>
    </w:p>
    <w:p>
      <w:pPr>
        <w:ind w:left="428" w:right="351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Goodwill: The Company recognized the excess of the purchase price of an acquired entity over the fair value of the net identifiable assets as goodwill. Goodwill 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164"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reviews the lives of intangible assets each reporting period and, if necessary, recognizes impairment losses if the carrying amount of an intangible asset subject to amortization is not recoverable from expected future cash flows and its carrying amount exceeds its fair value.</w:t>
      </w:r>
    </w:p>
    <w:p>
      <w:pPr>
        <w:spacing w:after="0" w:line="164"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We completed the transitional goodwill impairment reviews required by the new standards during the first six months of 2002 and the annual required goodwill impairment review during the fourth quarter of 2002 and 2003. In performing the impairment reviews, the Company estimated the fair values of the reporting units using a method that incorporates valuations derived from EBITDA multiples based upon market multiples and recent capital market transactions and also incorporates valuations determined by each segment's discounted future cash flows. As of January 1, 2002, the transition date and as of October 1, 2002 and 2003, the annual review dates, there was no impairment to goodwill as the fair values of the reporting units exceeded their carrying values of the reporting units. As a result of closing our NN Arte facility in Guadalajara, Mexico, we performed a test of the recoverability of the goodwill asset associated with this operation. This test was pursuant to the provisions of Statement of Financial Accounting Standards No. 142 "Goodwill and Other Intangible Assets" which require that interim tests of the recoverability of goodwill be performed under certain circumstances. As a result, we recorded an impairment charge of approximately $1.3 million to fully write-off the goodwill asset during the twelve month period ended December 31, 2003. See Note 3.</w:t>
      </w:r>
    </w:p>
    <w:p>
      <w:pPr>
        <w:spacing w:after="0" w:line="329" w:lineRule="exact"/>
        <w:rPr>
          <w:sz w:val="20"/>
          <w:szCs w:val="20"/>
          <w:color w:val="auto"/>
        </w:rPr>
      </w:pPr>
    </w:p>
    <w:p>
      <w:pPr>
        <w:jc w:val="both"/>
        <w:ind w:left="2888"/>
        <w:spacing w:after="0"/>
        <w:tabs>
          <w:tab w:leader="none" w:pos="5588" w:val="left"/>
        </w:tabs>
        <w:rPr>
          <w:sz w:val="20"/>
          <w:szCs w:val="20"/>
          <w:color w:val="auto"/>
        </w:rPr>
      </w:pPr>
      <w:r>
        <w:rPr>
          <w:rFonts w:ascii="Courier New" w:cs="Courier New" w:eastAsia="Courier New" w:hAnsi="Courier New"/>
          <w:sz w:val="14"/>
          <w:szCs w:val="14"/>
          <w:color w:val="auto"/>
        </w:rPr>
        <w:t>38</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286385</wp:posOffset>
            </wp:positionV>
            <wp:extent cx="729869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ectPr>
          <w:pgSz w:w="11900" w:h="16838" w:orient="portrait"/>
          <w:cols w:equalWidth="0" w:num="1">
            <w:col w:w="9807"/>
          </w:cols>
          <w:pgMar w:left="652" w:top="141" w:right="1440" w:bottom="154" w:gutter="0" w:footer="0" w:header="0"/>
        </w:sectPr>
      </w:pPr>
    </w:p>
    <w:bookmarkStart w:id="29" w:name="page30"/>
    <w:bookmarkEnd w:id="29"/>
    <w:p>
      <w:pPr>
        <w:ind w:left="298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860" w:right="3439"/>
        <w:spacing w:after="0" w:line="247" w:lineRule="auto"/>
        <w:rPr>
          <w:sz w:val="20"/>
          <w:szCs w:val="20"/>
          <w:color w:val="auto"/>
        </w:rPr>
      </w:pPr>
      <w:r>
        <w:rPr>
          <w:rFonts w:ascii="Courier New" w:cs="Courier New" w:eastAsia="Courier New" w:hAnsi="Courier New"/>
          <w:sz w:val="14"/>
          <w:szCs w:val="14"/>
          <w:color w:val="auto"/>
        </w:rPr>
        <w:t>As of December 31, 2003, the carrying amounts of goodwill by reporting units are as follows: $25,755 for the Plastic and Rubber Components Segment and $17,138 for the NN Europe Segment. Since the transition date, January 1, 2002, approximately $3,558 of the increase in goodwill is due to foreign currency translation adjustments at the NN Europe Segment.</w:t>
      </w:r>
    </w:p>
    <w:p>
      <w:pPr>
        <w:spacing w:after="0" w:line="164" w:lineRule="exact"/>
        <w:rPr>
          <w:sz w:val="20"/>
          <w:szCs w:val="20"/>
          <w:color w:val="auto"/>
        </w:rPr>
      </w:pPr>
    </w:p>
    <w:p>
      <w:pPr>
        <w:ind w:right="3519"/>
        <w:spacing w:after="0" w:line="249" w:lineRule="auto"/>
        <w:rPr>
          <w:sz w:val="20"/>
          <w:szCs w:val="20"/>
          <w:color w:val="auto"/>
        </w:rPr>
      </w:pPr>
      <w:r>
        <w:rPr>
          <w:rFonts w:ascii="Courier New" w:cs="Courier New" w:eastAsia="Courier New" w:hAnsi="Courier New"/>
          <w:sz w:val="14"/>
          <w:szCs w:val="14"/>
          <w:color w:val="auto"/>
        </w:rPr>
        <w:t>The changes in the carrying amount of goodwill for the years ended December 31, 2002 and 2003 are as follows:</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2920" w:type="dxa"/>
            <w:vAlign w:val="bottom"/>
          </w:tcPr>
          <w:p>
            <w:pPr>
              <w:spacing w:after="0"/>
              <w:rPr>
                <w:sz w:val="13"/>
                <w:szCs w:val="13"/>
                <w:color w:val="auto"/>
              </w:rPr>
            </w:pPr>
          </w:p>
        </w:tc>
        <w:tc>
          <w:tcPr>
            <w:tcW w:w="1620" w:type="dxa"/>
            <w:vAlign w:val="bottom"/>
          </w:tcPr>
          <w:p>
            <w:pPr>
              <w:jc w:val="right"/>
              <w:ind w:right="229"/>
              <w:spacing w:after="0"/>
              <w:rPr>
                <w:sz w:val="20"/>
                <w:szCs w:val="20"/>
                <w:color w:val="auto"/>
              </w:rPr>
            </w:pPr>
            <w:r>
              <w:rPr>
                <w:rFonts w:ascii="Courier New" w:cs="Courier New" w:eastAsia="Courier New" w:hAnsi="Courier New"/>
                <w:sz w:val="14"/>
                <w:szCs w:val="14"/>
                <w:b w:val="1"/>
                <w:bCs w:val="1"/>
                <w:color w:val="auto"/>
              </w:rPr>
              <w:t>Plastic and</w:t>
            </w:r>
          </w:p>
        </w:tc>
        <w:tc>
          <w:tcPr>
            <w:tcW w:w="1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3"/>
        </w:trPr>
        <w:tc>
          <w:tcPr>
            <w:tcW w:w="2920" w:type="dxa"/>
            <w:vAlign w:val="bottom"/>
          </w:tcPr>
          <w:p>
            <w:pPr>
              <w:spacing w:after="0"/>
              <w:rPr>
                <w:sz w:val="14"/>
                <w:szCs w:val="14"/>
                <w:color w:val="auto"/>
              </w:rPr>
            </w:pPr>
          </w:p>
        </w:tc>
        <w:tc>
          <w:tcPr>
            <w:tcW w:w="1620" w:type="dxa"/>
            <w:vAlign w:val="bottom"/>
          </w:tcPr>
          <w:p>
            <w:pPr>
              <w:jc w:val="right"/>
              <w:ind w:right="389"/>
              <w:spacing w:after="0"/>
              <w:rPr>
                <w:sz w:val="20"/>
                <w:szCs w:val="20"/>
                <w:color w:val="auto"/>
              </w:rPr>
            </w:pPr>
            <w:r>
              <w:rPr>
                <w:rFonts w:ascii="Courier New" w:cs="Courier New" w:eastAsia="Courier New" w:hAnsi="Courier New"/>
                <w:sz w:val="14"/>
                <w:szCs w:val="14"/>
                <w:b w:val="1"/>
                <w:bCs w:val="1"/>
                <w:color w:val="auto"/>
              </w:rPr>
              <w:t>Rubber</w:t>
            </w: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2920" w:type="dxa"/>
            <w:vAlign w:val="bottom"/>
          </w:tcPr>
          <w:p>
            <w:pPr>
              <w:spacing w:after="0"/>
              <w:rPr>
                <w:sz w:val="14"/>
                <w:szCs w:val="14"/>
                <w:color w:val="auto"/>
              </w:rPr>
            </w:pPr>
          </w:p>
        </w:tc>
        <w:tc>
          <w:tcPr>
            <w:tcW w:w="1620" w:type="dxa"/>
            <w:vAlign w:val="bottom"/>
          </w:tcPr>
          <w:p>
            <w:pPr>
              <w:jc w:val="right"/>
              <w:ind w:right="229"/>
              <w:spacing w:after="0"/>
              <w:rPr>
                <w:sz w:val="20"/>
                <w:szCs w:val="20"/>
                <w:color w:val="auto"/>
              </w:rPr>
            </w:pPr>
            <w:r>
              <w:rPr>
                <w:rFonts w:ascii="Courier New" w:cs="Courier New" w:eastAsia="Courier New" w:hAnsi="Courier New"/>
                <w:sz w:val="14"/>
                <w:szCs w:val="14"/>
                <w:b w:val="1"/>
                <w:bCs w:val="1"/>
                <w:color w:val="auto"/>
              </w:rPr>
              <w:t>Components</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b w:val="1"/>
                <w:bCs w:val="1"/>
                <w:color w:val="auto"/>
              </w:rPr>
              <w:t>NN Europe</w:t>
            </w:r>
          </w:p>
        </w:tc>
        <w:tc>
          <w:tcPr>
            <w:tcW w:w="1200" w:type="dxa"/>
            <w:vAlign w:val="bottom"/>
          </w:tcPr>
          <w:p>
            <w:pPr>
              <w:spacing w:after="0"/>
              <w:rPr>
                <w:sz w:val="14"/>
                <w:szCs w:val="14"/>
                <w:color w:val="auto"/>
              </w:rPr>
            </w:pP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b w:val="1"/>
                <w:bCs w:val="1"/>
                <w:color w:val="auto"/>
              </w:rPr>
              <w:t>In thousands</w:t>
            </w:r>
          </w:p>
        </w:tc>
        <w:tc>
          <w:tcPr>
            <w:tcW w:w="1620" w:type="dxa"/>
            <w:vAlign w:val="bottom"/>
          </w:tcPr>
          <w:p>
            <w:pPr>
              <w:jc w:val="right"/>
              <w:ind w:right="389"/>
              <w:spacing w:after="0"/>
              <w:rPr>
                <w:sz w:val="20"/>
                <w:szCs w:val="20"/>
                <w:color w:val="auto"/>
              </w:rPr>
            </w:pPr>
            <w:r>
              <w:rPr>
                <w:rFonts w:ascii="Courier New" w:cs="Courier New" w:eastAsia="Courier New" w:hAnsi="Courier New"/>
                <w:sz w:val="14"/>
                <w:szCs w:val="14"/>
                <w:b w:val="1"/>
                <w:bCs w:val="1"/>
                <w:color w:val="auto"/>
              </w:rPr>
              <w:t>Segment</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b w:val="1"/>
                <w:bCs w:val="1"/>
                <w:color w:val="auto"/>
              </w:rPr>
              <w:t>Segment</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b w:val="1"/>
                <w:bCs w:val="1"/>
                <w:color w:val="auto"/>
              </w:rPr>
              <w:t>Total</w:t>
            </w:r>
          </w:p>
        </w:tc>
      </w:tr>
      <w:tr>
        <w:trPr>
          <w:trHeight w:val="163"/>
        </w:trPr>
        <w:tc>
          <w:tcPr>
            <w:tcW w:w="2920" w:type="dxa"/>
            <w:vAlign w:val="bottom"/>
          </w:tcPr>
          <w:p>
            <w:pPr>
              <w:spacing w:after="0"/>
              <w:rPr>
                <w:sz w:val="14"/>
                <w:szCs w:val="14"/>
                <w:color w:val="auto"/>
              </w:rPr>
            </w:pPr>
          </w:p>
        </w:tc>
        <w:tc>
          <w:tcPr>
            <w:tcW w:w="3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Balance as of January 1, 2002</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$26,712</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$ 9,912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$ 36,624</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Goodwill acquired</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1,517</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1,517</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Impairment losses</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Currency impacts/reclassification</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1,233</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1,233</w:t>
            </w:r>
          </w:p>
        </w:tc>
      </w:tr>
      <w:tr>
        <w:trPr>
          <w:trHeight w:val="163"/>
        </w:trPr>
        <w:tc>
          <w:tcPr>
            <w:tcW w:w="2920" w:type="dxa"/>
            <w:vAlign w:val="bottom"/>
          </w:tcPr>
          <w:p>
            <w:pPr>
              <w:spacing w:after="0"/>
              <w:rPr>
                <w:sz w:val="14"/>
                <w:szCs w:val="14"/>
                <w:color w:val="auto"/>
              </w:rPr>
            </w:pPr>
          </w:p>
        </w:tc>
        <w:tc>
          <w:tcPr>
            <w:tcW w:w="3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2920" w:type="dxa"/>
            <w:vAlign w:val="bottom"/>
          </w:tcPr>
          <w:p>
            <w:pPr>
              <w:spacing w:after="0"/>
              <w:rPr>
                <w:sz w:val="20"/>
                <w:szCs w:val="20"/>
                <w:color w:val="auto"/>
              </w:rPr>
            </w:pPr>
            <w:r>
              <w:rPr>
                <w:rFonts w:ascii="Courier New" w:cs="Courier New" w:eastAsia="Courier New" w:hAnsi="Courier New"/>
                <w:sz w:val="14"/>
                <w:szCs w:val="14"/>
                <w:color w:val="auto"/>
              </w:rPr>
              <w:t>Balance as of January 1, 2003</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$ 26,712</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$ 12,662</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$ 39,374</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Goodwill acquired</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2,151</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2,151</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Impairment losses</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(1,285)</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(1,285)</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Currency impacts/reclassification</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328</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2,325</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2,653</w:t>
            </w:r>
          </w:p>
        </w:tc>
      </w:tr>
      <w:tr>
        <w:trPr>
          <w:trHeight w:val="163"/>
        </w:trPr>
        <w:tc>
          <w:tcPr>
            <w:tcW w:w="2920" w:type="dxa"/>
            <w:vAlign w:val="bottom"/>
          </w:tcPr>
          <w:p>
            <w:pPr>
              <w:spacing w:after="0"/>
              <w:rPr>
                <w:sz w:val="14"/>
                <w:szCs w:val="14"/>
                <w:color w:val="auto"/>
              </w:rPr>
            </w:pPr>
          </w:p>
        </w:tc>
        <w:tc>
          <w:tcPr>
            <w:tcW w:w="3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920" w:type="dxa"/>
            <w:vAlign w:val="bottom"/>
          </w:tcPr>
          <w:p>
            <w:pPr>
              <w:spacing w:after="0"/>
              <w:rPr>
                <w:sz w:val="20"/>
                <w:szCs w:val="20"/>
                <w:color w:val="auto"/>
              </w:rPr>
            </w:pPr>
            <w:r>
              <w:rPr>
                <w:rFonts w:ascii="Courier New" w:cs="Courier New" w:eastAsia="Courier New" w:hAnsi="Courier New"/>
                <w:sz w:val="14"/>
                <w:szCs w:val="14"/>
                <w:color w:val="auto"/>
              </w:rPr>
              <w:t>Balance as of December 31, 2003</w:t>
            </w:r>
          </w:p>
        </w:tc>
        <w:tc>
          <w:tcPr>
            <w:tcW w:w="16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$ 25,755</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$ 17,138</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$ 42,893</w:t>
            </w:r>
          </w:p>
        </w:tc>
      </w:tr>
      <w:tr>
        <w:trPr>
          <w:trHeight w:val="163"/>
        </w:trPr>
        <w:tc>
          <w:tcPr>
            <w:tcW w:w="2920" w:type="dxa"/>
            <w:vAlign w:val="bottom"/>
          </w:tcPr>
          <w:p>
            <w:pPr>
              <w:spacing w:after="0"/>
              <w:rPr>
                <w:sz w:val="14"/>
                <w:szCs w:val="14"/>
                <w:color w:val="auto"/>
              </w:rPr>
            </w:pPr>
          </w:p>
        </w:tc>
        <w:tc>
          <w:tcPr>
            <w:tcW w:w="3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right="3779"/>
        <w:spacing w:after="0" w:line="249" w:lineRule="auto"/>
        <w:rPr>
          <w:sz w:val="20"/>
          <w:szCs w:val="20"/>
          <w:color w:val="auto"/>
        </w:rPr>
      </w:pPr>
      <w:r>
        <w:rPr>
          <w:rFonts w:ascii="Courier New" w:cs="Courier New" w:eastAsia="Courier New" w:hAnsi="Courier New"/>
          <w:sz w:val="14"/>
          <w:szCs w:val="14"/>
          <w:color w:val="auto"/>
        </w:rPr>
        <w:t>The table below describes the impact of the amortization of goodwill for the years ended December 31, 2003, 2002 and 2001:</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160"/>
        </w:trPr>
        <w:tc>
          <w:tcPr>
            <w:tcW w:w="2380" w:type="dxa"/>
            <w:vAlign w:val="bottom"/>
          </w:tcPr>
          <w:p>
            <w:pPr>
              <w:spacing w:after="0"/>
              <w:rPr>
                <w:sz w:val="13"/>
                <w:szCs w:val="13"/>
                <w:color w:val="auto"/>
              </w:rPr>
            </w:pPr>
          </w:p>
        </w:tc>
        <w:tc>
          <w:tcPr>
            <w:tcW w:w="3400" w:type="dxa"/>
            <w:vAlign w:val="bottom"/>
            <w:gridSpan w:val="3"/>
          </w:tcPr>
          <w:p>
            <w:pPr>
              <w:jc w:val="right"/>
              <w:ind w:right="609"/>
              <w:spacing w:after="0"/>
              <w:rPr>
                <w:sz w:val="20"/>
                <w:szCs w:val="20"/>
                <w:color w:val="auto"/>
              </w:rPr>
            </w:pPr>
            <w:r>
              <w:rPr>
                <w:rFonts w:ascii="Courier New" w:cs="Courier New" w:eastAsia="Courier New" w:hAnsi="Courier New"/>
                <w:sz w:val="14"/>
                <w:szCs w:val="14"/>
                <w:b w:val="1"/>
                <w:bCs w:val="1"/>
                <w:color w:val="auto"/>
              </w:rPr>
              <w:t>For the Twelve Months</w:t>
            </w:r>
          </w:p>
        </w:tc>
      </w:tr>
      <w:tr>
        <w:trPr>
          <w:trHeight w:val="163"/>
        </w:trPr>
        <w:tc>
          <w:tcPr>
            <w:tcW w:w="2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b w:val="1"/>
                <w:bCs w:val="1"/>
                <w:color w:val="auto"/>
                <w:w w:val="99"/>
              </w:rPr>
              <w:t>Ended December 31,</w:t>
            </w:r>
          </w:p>
        </w:tc>
        <w:tc>
          <w:tcPr>
            <w:tcW w:w="860" w:type="dxa"/>
            <w:vAlign w:val="bottom"/>
          </w:tcPr>
          <w:p>
            <w:pPr>
              <w:spacing w:after="0"/>
              <w:rPr>
                <w:sz w:val="14"/>
                <w:szCs w:val="14"/>
                <w:color w:val="auto"/>
              </w:rPr>
            </w:pPr>
          </w:p>
        </w:tc>
      </w:tr>
      <w:tr>
        <w:trPr>
          <w:trHeight w:val="327"/>
        </w:trPr>
        <w:tc>
          <w:tcPr>
            <w:tcW w:w="2380" w:type="dxa"/>
            <w:vAlign w:val="bottom"/>
          </w:tcPr>
          <w:p>
            <w:pPr>
              <w:spacing w:after="0"/>
              <w:rPr>
                <w:sz w:val="24"/>
                <w:szCs w:val="24"/>
                <w:color w:val="auto"/>
              </w:rPr>
            </w:pPr>
          </w:p>
        </w:tc>
        <w:tc>
          <w:tcPr>
            <w:tcW w:w="1020" w:type="dxa"/>
            <w:vAlign w:val="bottom"/>
          </w:tcPr>
          <w:p>
            <w:pPr>
              <w:jc w:val="right"/>
              <w:ind w:right="189"/>
              <w:spacing w:after="0"/>
              <w:rPr>
                <w:sz w:val="20"/>
                <w:szCs w:val="20"/>
                <w:color w:val="auto"/>
              </w:rPr>
            </w:pPr>
            <w:r>
              <w:rPr>
                <w:rFonts w:ascii="Courier New" w:cs="Courier New" w:eastAsia="Courier New" w:hAnsi="Courier New"/>
                <w:sz w:val="14"/>
                <w:szCs w:val="14"/>
                <w:b w:val="1"/>
                <w:bCs w:val="1"/>
                <w:color w:val="auto"/>
              </w:rPr>
              <w:t>2003</w:t>
            </w:r>
          </w:p>
        </w:tc>
        <w:tc>
          <w:tcPr>
            <w:tcW w:w="152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2002</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b w:val="1"/>
                <w:bCs w:val="1"/>
                <w:color w:val="auto"/>
              </w:rPr>
              <w:t>2001(1)</w:t>
            </w:r>
          </w:p>
        </w:tc>
      </w:tr>
      <w:tr>
        <w:trPr>
          <w:trHeight w:val="163"/>
        </w:trPr>
        <w:tc>
          <w:tcPr>
            <w:tcW w:w="2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Reported net income</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$ 10,178</w:t>
            </w:r>
          </w:p>
        </w:tc>
        <w:tc>
          <w:tcPr>
            <w:tcW w:w="15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$ 7,760</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$ 4,662</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Add back:  Goodwill</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amortization, net of tax</w:t>
            </w: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and minority interest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983</w:t>
            </w:r>
          </w:p>
        </w:tc>
      </w:tr>
      <w:tr>
        <w:trPr>
          <w:trHeight w:val="163"/>
        </w:trPr>
        <w:tc>
          <w:tcPr>
            <w:tcW w:w="2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3"/>
        </w:trPr>
        <w:tc>
          <w:tcPr>
            <w:tcW w:w="2380" w:type="dxa"/>
            <w:vAlign w:val="bottom"/>
          </w:tcPr>
          <w:p>
            <w:pPr>
              <w:spacing w:after="0"/>
              <w:rPr>
                <w:sz w:val="20"/>
                <w:szCs w:val="20"/>
                <w:color w:val="auto"/>
              </w:rPr>
            </w:pPr>
            <w:r>
              <w:rPr>
                <w:rFonts w:ascii="Courier New" w:cs="Courier New" w:eastAsia="Courier New" w:hAnsi="Courier New"/>
                <w:sz w:val="14"/>
                <w:szCs w:val="14"/>
                <w:color w:val="auto"/>
              </w:rPr>
              <w:t>Pro-forma net income</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$ 10,178</w:t>
            </w:r>
          </w:p>
        </w:tc>
        <w:tc>
          <w:tcPr>
            <w:tcW w:w="15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$ 7,760</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$ 5,645</w:t>
            </w:r>
          </w:p>
        </w:tc>
      </w:tr>
      <w:tr>
        <w:trPr>
          <w:trHeight w:val="163"/>
        </w:trPr>
        <w:tc>
          <w:tcPr>
            <w:tcW w:w="2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t>
            </w:r>
          </w:p>
        </w:tc>
      </w:tr>
      <w:tr>
        <w:trPr>
          <w:trHeight w:val="327"/>
        </w:trPr>
        <w:tc>
          <w:tcPr>
            <w:tcW w:w="23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Reported net income</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$ 0.64</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$ 0.51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$ 0.31</w:t>
            </w:r>
          </w:p>
        </w:tc>
      </w:tr>
      <w:tr>
        <w:trPr>
          <w:trHeight w:val="163"/>
        </w:trPr>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Goodwill amortization</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0.06</w:t>
            </w:r>
          </w:p>
        </w:tc>
      </w:tr>
      <w:tr>
        <w:trPr>
          <w:trHeight w:val="163"/>
        </w:trPr>
        <w:tc>
          <w:tcPr>
            <w:tcW w:w="2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Pro-forma net income</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$ 0.64</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$ 0.51</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$ 0.37</w:t>
            </w:r>
          </w:p>
        </w:tc>
      </w:tr>
      <w:tr>
        <w:trPr>
          <w:trHeight w:val="163"/>
        </w:trPr>
        <w:tc>
          <w:tcPr>
            <w:tcW w:w="2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t>
            </w:r>
          </w:p>
        </w:tc>
      </w:tr>
      <w:tr>
        <w:trPr>
          <w:trHeight w:val="327"/>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3"/>
        </w:trPr>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Reported net income</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$ 0.62</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$ 0.49</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$ 0.30</w:t>
            </w:r>
          </w:p>
        </w:tc>
      </w:tr>
      <w:tr>
        <w:trPr>
          <w:trHeight w:val="163"/>
        </w:trPr>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Goodwill amortization</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0.06</w:t>
            </w:r>
          </w:p>
        </w:tc>
      </w:tr>
      <w:tr>
        <w:trPr>
          <w:trHeight w:val="163"/>
        </w:trPr>
        <w:tc>
          <w:tcPr>
            <w:tcW w:w="2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t>
            </w:r>
          </w:p>
        </w:tc>
      </w:tr>
      <w:tr>
        <w:trPr>
          <w:trHeight w:val="163"/>
        </w:trPr>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Pro-forma net income</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$ 0.62</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$ 0.49</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$ 0.36</w:t>
            </w:r>
          </w:p>
        </w:tc>
      </w:tr>
      <w:tr>
        <w:trPr>
          <w:trHeight w:val="163"/>
        </w:trPr>
        <w:tc>
          <w:tcPr>
            <w:tcW w:w="2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t>
            </w:r>
          </w:p>
        </w:tc>
      </w:tr>
    </w:tbl>
    <w:p>
      <w:pPr>
        <w:spacing w:after="0" w:line="330" w:lineRule="exact"/>
        <w:rPr>
          <w:sz w:val="20"/>
          <w:szCs w:val="20"/>
          <w:color w:val="auto"/>
        </w:rPr>
      </w:pPr>
    </w:p>
    <w:p>
      <w:pPr>
        <w:ind w:left="860" w:right="3439" w:hanging="4"/>
        <w:spacing w:after="0" w:line="247" w:lineRule="auto"/>
        <w:tabs>
          <w:tab w:leader="none" w:pos="12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twelve months ended December 31, 2001, income before cumulative effect of change in accounting principle was $4,760 and basic earnings per share and diluted earnings per share were $0.31 and $0.31, respectively. Adjusting for the impact of the amortization of goodwill during 2001, pro-forma net income was $5,743, pro-forma basic earnings per share and pro-forma diluted earnings per share were $0.38 and $0.37, respectively.</w:t>
      </w:r>
    </w:p>
    <w:p>
      <w:pPr>
        <w:spacing w:after="0" w:line="327" w:lineRule="exact"/>
        <w:rPr>
          <w:sz w:val="20"/>
          <w:szCs w:val="20"/>
          <w:color w:val="auto"/>
        </w:rPr>
      </w:pPr>
    </w:p>
    <w:p>
      <w:pPr>
        <w:jc w:val="both"/>
        <w:ind w:left="3320"/>
        <w:spacing w:after="0"/>
        <w:tabs>
          <w:tab w:leader="none" w:pos="602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860" w:right="3599" w:hanging="428"/>
        <w:spacing w:after="0" w:line="249" w:lineRule="auto"/>
        <w:tabs>
          <w:tab w:leader="none" w:pos="860" w:val="left"/>
        </w:tabs>
        <w:numPr>
          <w:ilvl w:val="0"/>
          <w:numId w:val="16"/>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Impairment of Long-Lived Assets and Long-Lived Assets to Be Disposed Of</w:t>
      </w:r>
    </w:p>
    <w:p>
      <w:pPr>
        <w:spacing w:after="0" w:line="160" w:lineRule="exact"/>
        <w:rPr>
          <w:rFonts w:ascii="Courier New" w:cs="Courier New" w:eastAsia="Courier New" w:hAnsi="Courier New"/>
          <w:sz w:val="14"/>
          <w:szCs w:val="14"/>
          <w:b w:val="1"/>
          <w:bCs w:val="1"/>
          <w:i w:val="1"/>
          <w:iCs w:val="1"/>
          <w:color w:val="auto"/>
        </w:rPr>
      </w:pPr>
    </w:p>
    <w:p>
      <w:pPr>
        <w:ind w:left="860" w:right="351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The Company accounts for long-lived assets in accordance with the provisions of SFAS No. 144, "Accounting for the Impairment of or Disposal of Long-Lived Assets." This Statement superceded Statement No. 121 but retains many of its fundamental provisions. Additionally, this Statement expanded the scope of discontinued operations to include more disposal transactions. The provisions of this Statement are effective for financial statements issued for fiscal years beginning after December 15, 2001. The Company adopted Statement No. 144 effective January 1, 2002. Assets to be held and used are tested for recoverability when indications of impairment are evident. If the</w:t>
      </w:r>
    </w:p>
    <w:p>
      <w:pPr>
        <w:sectPr>
          <w:pgSz w:w="11900" w:h="16838" w:orient="portrait"/>
          <w:cols w:equalWidth="0" w:num="1">
            <w:col w:w="10239"/>
          </w:cols>
          <w:pgMar w:left="220" w:top="305" w:right="1440" w:bottom="0" w:gutter="0" w:footer="0" w:header="0"/>
        </w:sectPr>
      </w:pPr>
    </w:p>
    <w:bookmarkStart w:id="30" w:name="page31"/>
    <w:bookmarkEnd w:id="30"/>
    <w:p>
      <w:pPr>
        <w:ind w:left="428" w:right="3519"/>
        <w:spacing w:after="0" w:line="247" w:lineRule="auto"/>
        <w:rPr>
          <w:sz w:val="20"/>
          <w:szCs w:val="20"/>
          <w:color w:val="auto"/>
        </w:rPr>
      </w:pPr>
      <w:r>
        <w:rPr>
          <w:rFonts w:ascii="Courier New" w:cs="Courier New" w:eastAsia="Courier New" w:hAnsi="Courier New"/>
          <w:sz w:val="14"/>
          <w:szCs w:val="14"/>
          <w:color w:val="auto"/>
        </w:rPr>
        <w:t>reviewed carrying value of the asset is not recoverable based on underlying cash flows related to specific groups of acquired long-lived assets, the asset is written down to the lesser of recoverable value or carrying value. Assets held for sale are carried at the lesser of carrying value or fair value less costs of disposal. The fair value of impaired assets is generally determined by independent appraisals and valuations, when available.</w:t>
      </w:r>
    </w:p>
    <w:p>
      <w:pPr>
        <w:spacing w:after="0" w:line="164" w:lineRule="exact"/>
        <w:rPr>
          <w:sz w:val="20"/>
          <w:szCs w:val="20"/>
          <w:color w:val="auto"/>
        </w:rPr>
      </w:pPr>
    </w:p>
    <w:p>
      <w:pPr>
        <w:ind w:left="428" w:hanging="428"/>
        <w:spacing w:after="0"/>
        <w:tabs>
          <w:tab w:leader="none" w:pos="428" w:val="left"/>
        </w:tabs>
        <w:numPr>
          <w:ilvl w:val="0"/>
          <w:numId w:val="17"/>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Use of Estimates in the Preparation of Financial Statements</w:t>
      </w:r>
    </w:p>
    <w:p>
      <w:pPr>
        <w:spacing w:after="0" w:line="168"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3" w:lineRule="exact"/>
        <w:rPr>
          <w:rFonts w:ascii="Courier New" w:cs="Courier New" w:eastAsia="Courier New" w:hAnsi="Courier New"/>
          <w:sz w:val="14"/>
          <w:szCs w:val="14"/>
          <w:b w:val="1"/>
          <w:bCs w:val="1"/>
          <w:i w:val="1"/>
          <w:iCs w:val="1"/>
          <w:color w:val="auto"/>
        </w:rPr>
      </w:pPr>
    </w:p>
    <w:p>
      <w:pPr>
        <w:ind w:left="428" w:hanging="428"/>
        <w:spacing w:after="0"/>
        <w:tabs>
          <w:tab w:leader="none" w:pos="428" w:val="left"/>
        </w:tabs>
        <w:numPr>
          <w:ilvl w:val="0"/>
          <w:numId w:val="17"/>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Reclassifications</w:t>
      </w:r>
    </w:p>
    <w:p>
      <w:pPr>
        <w:spacing w:after="0" w:line="168" w:lineRule="exact"/>
        <w:rPr>
          <w:rFonts w:ascii="Courier New" w:cs="Courier New" w:eastAsia="Courier New" w:hAnsi="Courier New"/>
          <w:sz w:val="14"/>
          <w:szCs w:val="14"/>
          <w:b w:val="1"/>
          <w:bCs w:val="1"/>
          <w:i w:val="1"/>
          <w:iCs w:val="1"/>
          <w:color w:val="auto"/>
        </w:rPr>
      </w:pPr>
    </w:p>
    <w:p>
      <w:pPr>
        <w:ind w:left="428" w:right="3599"/>
        <w:spacing w:after="0" w:line="249"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Certain 2002 and 2001 amounts have been reclassified to conform with the 2003 presentation.</w:t>
      </w:r>
    </w:p>
    <w:p>
      <w:pPr>
        <w:spacing w:after="0" w:line="160" w:lineRule="exact"/>
        <w:rPr>
          <w:rFonts w:ascii="Courier New" w:cs="Courier New" w:eastAsia="Courier New" w:hAnsi="Courier New"/>
          <w:sz w:val="14"/>
          <w:szCs w:val="14"/>
          <w:b w:val="1"/>
          <w:bCs w:val="1"/>
          <w:i w:val="1"/>
          <w:iCs w:val="1"/>
          <w:color w:val="auto"/>
        </w:rPr>
      </w:pPr>
    </w:p>
    <w:p>
      <w:pPr>
        <w:ind w:left="428" w:hanging="428"/>
        <w:spacing w:after="0"/>
        <w:tabs>
          <w:tab w:leader="none" w:pos="428" w:val="left"/>
        </w:tabs>
        <w:numPr>
          <w:ilvl w:val="0"/>
          <w:numId w:val="17"/>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Derivative Financial Instruments</w:t>
      </w:r>
    </w:p>
    <w:p>
      <w:pPr>
        <w:spacing w:after="0" w:line="168"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64"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The Company has an interest rate swap accounted for in accordance with Statement of Financial Accounting Standards (SFAS) No. 133, "Accounting for Derivative Instruments and Hedging Activities".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64"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In connection with a variable EURIBOR rate debt financing in July 2000 the Company's majority owned subsidiary, NN Euroball ApS entered into an interest rate swap with a notional amount of 12.5 million Euro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w:t>
      </w:r>
    </w:p>
    <w:p>
      <w:pPr>
        <w:spacing w:after="0" w:line="164" w:lineRule="exact"/>
        <w:rPr>
          <w:rFonts w:ascii="Courier New" w:cs="Courier New" w:eastAsia="Courier New" w:hAnsi="Courier New"/>
          <w:sz w:val="14"/>
          <w:szCs w:val="14"/>
          <w:b w:val="1"/>
          <w:bCs w:val="1"/>
          <w:i w:val="1"/>
          <w:iCs w:val="1"/>
          <w:color w:val="auto"/>
        </w:rPr>
      </w:pPr>
    </w:p>
    <w:p>
      <w:pPr>
        <w:ind w:left="428" w:right="359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The cumulative effect of a change in accounting principle for the adoption of SFAS No. 133 effective January 1, 2001 resulted in a transition adjustment net loss of $98 which is net of an income tax benefit of $112 and the related minority interest impact of $84. The interest rate swap does not qualify for hedge accounting under the provisions of SFAS No. 133; therefore, the transition adjustment for adoption of SFAS No. 133 and any subsequent periodic changes in fair value of the interest rate swap are recorded in earnings as a component of other income.</w:t>
      </w:r>
    </w:p>
    <w:p>
      <w:pPr>
        <w:spacing w:after="0" w:line="327" w:lineRule="exact"/>
        <w:rPr>
          <w:sz w:val="20"/>
          <w:szCs w:val="20"/>
          <w:color w:val="auto"/>
        </w:rPr>
      </w:pPr>
    </w:p>
    <w:p>
      <w:pPr>
        <w:jc w:val="both"/>
        <w:ind w:left="2888"/>
        <w:spacing w:after="0"/>
        <w:tabs>
          <w:tab w:leader="none" w:pos="5588" w:val="left"/>
        </w:tabs>
        <w:rPr>
          <w:sz w:val="20"/>
          <w:szCs w:val="20"/>
          <w:color w:val="auto"/>
        </w:rPr>
      </w:pP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286385</wp:posOffset>
            </wp:positionV>
            <wp:extent cx="729869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468"/>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188"/>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1608"/>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448"/>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168"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As of December 31, 2003 and 2002, the fair value of the swap is a</w:t>
      </w:r>
    </w:p>
    <w:p>
      <w:pPr>
        <w:spacing w:after="0" w:line="5"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liability of approximately $360 and $485, respectively, which is</w:t>
      </w:r>
    </w:p>
    <w:p>
      <w:pPr>
        <w:spacing w:after="0" w:line="5"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recorded in other non-current liabilities. The change in fair value</w:t>
      </w:r>
    </w:p>
    <w:p>
      <w:pPr>
        <w:spacing w:after="0" w:line="5"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during the year ended December 31, 2003 was a gain of approximately</w:t>
      </w:r>
    </w:p>
    <w:p>
      <w:pPr>
        <w:spacing w:after="0" w:line="5"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$125 and for the years ended December 31, 2002 and 2001 the change in</w:t>
      </w:r>
    </w:p>
    <w:p>
      <w:pPr>
        <w:spacing w:after="0" w:line="5"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fair value was a loss of approximately $51 and $80 (excluding the</w:t>
      </w:r>
    </w:p>
    <w:p>
      <w:pPr>
        <w:spacing w:after="0" w:line="5"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impact of foreign currency), respectively, which has been included as</w:t>
      </w:r>
    </w:p>
    <w:p>
      <w:pPr>
        <w:spacing w:after="0" w:line="5" w:lineRule="exact"/>
        <w:rPr>
          <w:sz w:val="20"/>
          <w:szCs w:val="20"/>
          <w:color w:val="auto"/>
        </w:rPr>
      </w:pPr>
    </w:p>
    <w:p>
      <w:pPr>
        <w:ind w:left="428"/>
        <w:spacing w:after="0"/>
        <w:rPr>
          <w:sz w:val="20"/>
          <w:szCs w:val="20"/>
          <w:color w:val="auto"/>
        </w:rPr>
      </w:pPr>
      <w:r>
        <w:rPr>
          <w:rFonts w:ascii="Courier New" w:cs="Courier New" w:eastAsia="Courier New" w:hAnsi="Courier New"/>
          <w:sz w:val="14"/>
          <w:szCs w:val="14"/>
          <w:color w:val="auto"/>
        </w:rPr>
        <w:t>a component of other income.</w:t>
      </w:r>
    </w:p>
    <w:p>
      <w:pPr>
        <w:spacing w:after="0" w:line="168" w:lineRule="exact"/>
        <w:rPr>
          <w:sz w:val="20"/>
          <w:szCs w:val="20"/>
          <w:color w:val="auto"/>
        </w:rPr>
      </w:pPr>
    </w:p>
    <w:p>
      <w:pPr>
        <w:ind w:left="428" w:hanging="428"/>
        <w:spacing w:after="0"/>
        <w:tabs>
          <w:tab w:leader="none" w:pos="428" w:val="left"/>
        </w:tabs>
        <w:numPr>
          <w:ilvl w:val="0"/>
          <w:numId w:val="18"/>
        </w:numPr>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b w:val="1"/>
          <w:bCs w:val="1"/>
          <w:i w:val="1"/>
          <w:iCs w:val="1"/>
          <w:color w:val="auto"/>
        </w:rPr>
        <w:t>Recently Issued Accounting Standards</w:t>
      </w:r>
    </w:p>
    <w:p>
      <w:pPr>
        <w:spacing w:after="0" w:line="168" w:lineRule="exact"/>
        <w:rPr>
          <w:rFonts w:ascii="Courier New" w:cs="Courier New" w:eastAsia="Courier New" w:hAnsi="Courier New"/>
          <w:sz w:val="14"/>
          <w:szCs w:val="14"/>
          <w:b w:val="1"/>
          <w:bCs w:val="1"/>
          <w:i w:val="1"/>
          <w:iCs w:val="1"/>
          <w:color w:val="auto"/>
        </w:rPr>
      </w:pPr>
    </w:p>
    <w:p>
      <w:pPr>
        <w:ind w:left="428" w:right="3439"/>
        <w:spacing w:after="0" w:line="247"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The adoption of SFAS 143 did not have a material impact on the Company's financial condition.</w:t>
      </w:r>
    </w:p>
    <w:p>
      <w:pPr>
        <w:spacing w:after="0" w:line="164" w:lineRule="exact"/>
        <w:rPr>
          <w:rFonts w:ascii="Courier New" w:cs="Courier New" w:eastAsia="Courier New" w:hAnsi="Courier New"/>
          <w:sz w:val="14"/>
          <w:szCs w:val="14"/>
          <w:b w:val="1"/>
          <w:bCs w:val="1"/>
          <w:i w:val="1"/>
          <w:iCs w:val="1"/>
          <w:color w:val="auto"/>
        </w:rPr>
      </w:pPr>
    </w:p>
    <w:p>
      <w:pPr>
        <w:ind w:left="428" w:right="3519"/>
        <w:spacing w:after="0" w:line="249" w:lineRule="auto"/>
        <w:rPr>
          <w:rFonts w:ascii="Courier New" w:cs="Courier New" w:eastAsia="Courier New" w:hAnsi="Courier New"/>
          <w:sz w:val="14"/>
          <w:szCs w:val="14"/>
          <w:b w:val="1"/>
          <w:bCs w:val="1"/>
          <w:i w:val="1"/>
          <w:iCs w:val="1"/>
          <w:color w:val="auto"/>
        </w:rPr>
      </w:pPr>
      <w:r>
        <w:rPr>
          <w:rFonts w:ascii="Courier New" w:cs="Courier New" w:eastAsia="Courier New" w:hAnsi="Courier New"/>
          <w:sz w:val="14"/>
          <w:szCs w:val="14"/>
          <w:color w:val="auto"/>
        </w:rPr>
        <w:t>In April 2002, the FASB issued SFAS No. 145, "Rescission of FASB Statements No. 4, 44, and 64, Amendment of FASB Statement No. 13, and</w:t>
      </w:r>
    </w:p>
    <w:p>
      <w:pPr>
        <w:sectPr>
          <w:pgSz w:w="11900" w:h="16838" w:orient="portrait"/>
          <w:cols w:equalWidth="0" w:num="1">
            <w:col w:w="9807"/>
          </w:cols>
          <w:pgMar w:left="652" w:top="141" w:right="1440" w:bottom="0" w:gutter="0" w:footer="0" w:header="0"/>
        </w:sectPr>
      </w:pPr>
    </w:p>
    <w:bookmarkStart w:id="31" w:name="page32"/>
    <w:bookmarkEnd w:id="31"/>
    <w:p>
      <w:pPr>
        <w:ind w:right="3439"/>
        <w:spacing w:after="0" w:line="247" w:lineRule="auto"/>
        <w:rPr>
          <w:sz w:val="20"/>
          <w:szCs w:val="20"/>
          <w:color w:val="auto"/>
        </w:rPr>
      </w:pPr>
      <w:r>
        <w:rPr>
          <w:rFonts w:ascii="Courier New" w:cs="Courier New" w:eastAsia="Courier New" w:hAnsi="Courier New"/>
          <w:sz w:val="14"/>
          <w:szCs w:val="14"/>
          <w:color w:val="auto"/>
        </w:rPr>
        <w:t>Technical Corrections". SFAS No. 4 had required all gains and losses from extinguishment of debt to be aggregated and, if material, classified as an extraordinary item, net of related income tax effect. SFAS No. 145 rescinds SFAS No. 4 and the related required classifications gains and losses from extinguishment of debt as extraordinary items. Additionally, the SFAS No. 145 amends SFAS No. 13 to require that certain lease modifications that have economic effects similar to sale-leaseback transactions be accounted for in the same manner as sale-leaseback transactions. SFAS No. 145 was applicable for the Company at the beginning of fiscal year 2003, with the provisions related to SFAS No. 13 for transactions occurring after May 15, 2002. The adoption of SFAS 145 did not have a material impact on the Company's financial condition or results of operations.</w:t>
      </w:r>
    </w:p>
    <w:p>
      <w:pPr>
        <w:spacing w:after="0" w:line="164" w:lineRule="exact"/>
        <w:rPr>
          <w:sz w:val="20"/>
          <w:szCs w:val="20"/>
          <w:color w:val="auto"/>
        </w:rPr>
      </w:pPr>
    </w:p>
    <w:p>
      <w:pPr>
        <w:ind w:right="3519"/>
        <w:spacing w:after="0" w:line="247" w:lineRule="auto"/>
        <w:rPr>
          <w:sz w:val="20"/>
          <w:szCs w:val="20"/>
          <w:color w:val="auto"/>
        </w:rPr>
      </w:pPr>
      <w:r>
        <w:rPr>
          <w:rFonts w:ascii="Courier New" w:cs="Courier New" w:eastAsia="Courier New" w:hAnsi="Courier New"/>
          <w:sz w:val="14"/>
          <w:szCs w:val="14"/>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 31, 2002.</w:t>
      </w:r>
    </w:p>
    <w:p>
      <w:pPr>
        <w:spacing w:after="0" w:line="164"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In November 2002, the FASB issued FASB Interpretation ("FIN") No. 45, "Guarantor's Accounting and Disclosure Requirements for Guarantees, Including Indirect Guarantees of Indebtedness of Others," an interpretation of FASB Statements No. 5, 57, and 107 and rescission of FASB Interpretation No. 34. This interpretation elaborates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initial recognition and initial measurement provisions of this interpretation were applicable on a prospective basis to guarantees issued or modified after December 31, 2002 and did not have a material effect on the Company's consolidated results of operations, financial position or cash flows.</w:t>
      </w:r>
    </w:p>
    <w:p>
      <w:pPr>
        <w:spacing w:after="0" w:line="165"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In December 2002, the FASB issued SFAS No. 148, "Accounting for Stock-Based Compensation - Transition and Disclosure - an amendment of FASB Statement No. 123". SFAS No. 148 provides alternative methods of transition for a voluntary change to the fair value based method of accounting for stock-based employee compensation. In addition, SFAS No. 148 amends the disclosures in both annual and interim financial statements about the method of accounting for stock-based employee compensation and the effect of the method used on reported results. We have adopted the provisions of SFAS 123, which encourages but does not require a fair value based method of accounting for stock compensation plans. We have elected to continue accounting for its stock compensation plan using the intrinsic value based method under Auditing Practice Board ("APB") Opinion No. 25.</w:t>
      </w:r>
    </w:p>
    <w:p>
      <w:pPr>
        <w:spacing w:after="0" w:line="164" w:lineRule="exact"/>
        <w:rPr>
          <w:sz w:val="20"/>
          <w:szCs w:val="20"/>
          <w:color w:val="auto"/>
        </w:rPr>
      </w:pPr>
    </w:p>
    <w:p>
      <w:pPr>
        <w:ind w:right="3519"/>
        <w:spacing w:after="0" w:line="248" w:lineRule="auto"/>
        <w:rPr>
          <w:sz w:val="20"/>
          <w:szCs w:val="20"/>
          <w:color w:val="auto"/>
        </w:rPr>
      </w:pPr>
      <w:r>
        <w:rPr>
          <w:rFonts w:ascii="Courier New" w:cs="Courier New" w:eastAsia="Courier New" w:hAnsi="Courier New"/>
          <w:sz w:val="14"/>
          <w:szCs w:val="14"/>
          <w:color w:val="auto"/>
        </w:rPr>
        <w:t>In December 2003, the FASB issued Financial Interpretation No. 46(R), "Consolidation of Variable Interest Entities," ("FIN 46(R)"). This interpretation addresses consolidation by business enterprises of</w:t>
      </w:r>
    </w:p>
    <w:p>
      <w:pPr>
        <w:spacing w:after="0" w:line="325" w:lineRule="exact"/>
        <w:rPr>
          <w:sz w:val="20"/>
          <w:szCs w:val="20"/>
          <w:color w:val="auto"/>
        </w:rPr>
      </w:pPr>
    </w:p>
    <w:p>
      <w:pPr>
        <w:jc w:val="both"/>
        <w:ind w:left="2460"/>
        <w:spacing w:after="0"/>
        <w:tabs>
          <w:tab w:leader="none" w:pos="516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286385</wp:posOffset>
            </wp:positionV>
            <wp:extent cx="72986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4"/>
          <w:szCs w:val="14"/>
          <w:color w:val="auto"/>
        </w:rPr>
        <w:t>variable interest entities with certain defined characteristics and replaces Financial Interpretation No. 46. We do not expect FIN 46(R) to have a significant impact on the Company's consolidated financial statements.</w:t>
      </w:r>
    </w:p>
    <w:p>
      <w:pPr>
        <w:spacing w:after="0" w:line="164"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In April 2003, the FASB issued SFAS No. 149, "Derivative Instruments and Hedging Activities". SFAS No. 149 amends and clarifies financial accounting and reporting for derivative instruments, including certain derivative instruments embedded in other contracts and for hedging activities under SFAS No. 133, "Accounting for Derivative Instruments and Hedging Activities". SFAS No. 149 requires that contracts with comparable characteristics be accounted for similarly and is effective for contracts entered into or modified after June 30, 2003 and for hedging relationships designated after June 30, 2003. The adoption of this standard has not had a material impact on the Company's financial statements.</w:t>
      </w:r>
    </w:p>
    <w:p>
      <w:pPr>
        <w:spacing w:after="0" w:line="164"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In May 2003, the FASB issued SFAS No. 150, "Accounting for Certain Financial Instruments with Characteristics of both Liabilities and Equity". SFAS No. 150 establishes standards for how an issuer classifies and measures certain financial instruments with characteristics of both liabilities and equity. SFAS No. 150 is otherwise generally effective for financial instruments entered into or modified after May 31, 2003, and otherwise is effective at the beginning of the first interim period beginning after June 15, 2003. The Company adopted SFAS No. 150 on July 1, 2003 and this adoption did not have a material impact on the financial statements.</w:t>
      </w:r>
    </w:p>
    <w:p>
      <w:pPr>
        <w:spacing w:after="0" w:line="164" w:lineRule="exact"/>
        <w:rPr>
          <w:sz w:val="20"/>
          <w:szCs w:val="20"/>
          <w:color w:val="auto"/>
        </w:rPr>
      </w:pPr>
    </w:p>
    <w:p>
      <w:pPr>
        <w:ind w:right="3519"/>
        <w:spacing w:after="0" w:line="247" w:lineRule="auto"/>
        <w:rPr>
          <w:sz w:val="20"/>
          <w:szCs w:val="20"/>
          <w:color w:val="auto"/>
        </w:rPr>
      </w:pPr>
      <w:r>
        <w:rPr>
          <w:rFonts w:ascii="Courier New" w:cs="Courier New" w:eastAsia="Courier New" w:hAnsi="Courier New"/>
          <w:sz w:val="14"/>
          <w:szCs w:val="14"/>
          <w:color w:val="auto"/>
        </w:rPr>
        <w:t>In December 2003 the FASB issued SFAS No. 132 (revised 2003), "Employers' Disclosures about Pensions and Other Postretirement Benefits". SFAS No. 132 revises employers' disclosures about pension plans and other postretirement benefit plans. It does not change the measurement or recognition of those plans required by FASB Statements</w:t>
      </w:r>
    </w:p>
    <w:p>
      <w:pPr>
        <w:sectPr>
          <w:pgSz w:w="11900" w:h="16838" w:orient="portrait"/>
          <w:cols w:equalWidth="0" w:num="1">
            <w:col w:w="9379"/>
          </w:cols>
          <w:pgMar w:left="1080" w:top="141" w:right="1440" w:bottom="0" w:gutter="0" w:footer="0" w:header="0"/>
        </w:sectPr>
      </w:pPr>
    </w:p>
    <w:bookmarkStart w:id="32" w:name="page33"/>
    <w:bookmarkEnd w:id="32"/>
    <w:p>
      <w:pPr>
        <w:ind w:left="853" w:right="3439"/>
        <w:spacing w:after="0" w:line="247" w:lineRule="auto"/>
        <w:rPr>
          <w:sz w:val="20"/>
          <w:szCs w:val="20"/>
          <w:color w:val="auto"/>
        </w:rPr>
      </w:pPr>
      <w:r>
        <w:rPr>
          <w:rFonts w:ascii="Courier New" w:cs="Courier New" w:eastAsia="Courier New" w:hAnsi="Courier New"/>
          <w:sz w:val="14"/>
          <w:szCs w:val="14"/>
          <w:color w:val="auto"/>
        </w:rPr>
        <w:t>No. 87, "Employers' Accounting for Pensions", No. 88, "Employers' Accounting for Settlements and Curtailments of Defined Benefit Pensions Plans and for Termination Benefits, and No. 106, "Employers' Accounting for Postretirement Benefits Other Than Pensions". SFAS No. 132 requires additional disclosures to those in the original Statement 132 about the assets, obligations, cash flows, and net periodic benefit cost of defined benefit pension plans and other defined benefit postretirement plans. With certain exceptions, principally related to disclosure requirements of foreign plans, SFAS No. 132 is effective for financial statements with fiscal years ending after December 15, 2003. As of December 31, 2003, we have complied with the requirements of SFAS No. 132.</w:t>
      </w:r>
    </w:p>
    <w:p>
      <w:pPr>
        <w:spacing w:after="0" w:line="328" w:lineRule="exact"/>
        <w:rPr>
          <w:sz w:val="20"/>
          <w:szCs w:val="20"/>
          <w:color w:val="auto"/>
        </w:rPr>
      </w:pPr>
    </w:p>
    <w:p>
      <w:pPr>
        <w:jc w:val="both"/>
        <w:ind w:left="3313"/>
        <w:spacing w:after="0"/>
        <w:tabs>
          <w:tab w:leader="none" w:pos="6012"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286385</wp:posOffset>
            </wp:positionV>
            <wp:extent cx="729869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73"/>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613"/>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33"/>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873"/>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433" w:hanging="433"/>
        <w:spacing w:after="0"/>
        <w:tabs>
          <w:tab w:leader="none" w:pos="433" w:val="left"/>
        </w:tabs>
        <w:numPr>
          <w:ilvl w:val="0"/>
          <w:numId w:val="19"/>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Acquisitions and Purchase of Minority Interest</w:t>
      </w:r>
    </w:p>
    <w:p>
      <w:pPr>
        <w:spacing w:after="0" w:line="168" w:lineRule="exact"/>
        <w:rPr>
          <w:rFonts w:ascii="Courier New" w:cs="Courier New" w:eastAsia="Courier New" w:hAnsi="Courier New"/>
          <w:sz w:val="14"/>
          <w:szCs w:val="14"/>
          <w:b w:val="1"/>
          <w:bCs w:val="1"/>
          <w:color w:val="auto"/>
        </w:rPr>
      </w:pPr>
    </w:p>
    <w:p>
      <w:pPr>
        <w:ind w:left="433" w:right="343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On October 9, 2003, we acquired certain assets comprised of land, building and machinery and equipment of the precision ball operations of KLF - Gulickaren ("KLF"), based in Kysucke Nove Mesto, Slovakia. We paid consideration of approximately 1,664 Euros ($1,967). The assets will be utilized by our newly established subsidiary AKMCH based in Kysucke Nove Mesto, Slovakia, which will begin production in 2004. The financial results of the operations are included in our NN Europe Segment.</w:t>
      </w:r>
    </w:p>
    <w:p>
      <w:pPr>
        <w:spacing w:after="0" w:line="163" w:lineRule="exact"/>
        <w:rPr>
          <w:rFonts w:ascii="Courier New" w:cs="Courier New" w:eastAsia="Courier New" w:hAnsi="Courier New"/>
          <w:sz w:val="14"/>
          <w:szCs w:val="14"/>
          <w:b w:val="1"/>
          <w:bCs w:val="1"/>
          <w:color w:val="auto"/>
        </w:rPr>
      </w:pPr>
    </w:p>
    <w:p>
      <w:pPr>
        <w:ind w:left="433" w:right="351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On May 2, 2003 we acquired the 23 percent interest in NN Euroball, ApS ("Euroball") held by SKF. We paid approximately 13,842 Euros ($15,586) for SKF's interest in Euroball. The excess of the purchase price paid to SKF for its 23% interest over the fair value of SKF's 23% interest in the net assets of Euroball of approximately $2,151 was allocated to goodwill. Upon consummation of this transaction, we became the sole owner of Euroball.</w:t>
      </w:r>
    </w:p>
    <w:p>
      <w:pPr>
        <w:spacing w:after="0" w:line="163" w:lineRule="exact"/>
        <w:rPr>
          <w:rFonts w:ascii="Courier New" w:cs="Courier New" w:eastAsia="Courier New" w:hAnsi="Courier New"/>
          <w:sz w:val="14"/>
          <w:szCs w:val="14"/>
          <w:b w:val="1"/>
          <w:bCs w:val="1"/>
          <w:color w:val="auto"/>
        </w:rPr>
      </w:pPr>
    </w:p>
    <w:p>
      <w:pPr>
        <w:ind w:left="433" w:right="343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On May 2, 2003 we acquired 100 percent of the tapered roller and metal cage manufacturing operations of SKF in Veenendaal, The Netherlands. The results of Veenendaal's operations have been included in the consolidated financial statements since that date. We paid consideration of approximately 22,952 Euros ($25,671) and incurred other costs of approximately $1,022, for the Veenendaal net assets acquired from SKF. The excess of the fair value of the net assets acquired over the purchase price paid of 4,195 Euros ($4,692) has been allocated as a proportionate reduction of certain assets acquired. The Veenendaal operation manufactures rollers for tapered roller bearings and metal cages for both tapered roller and spherical roller bearings allowing us to expand our bearing component offering. The financial results of the Veenendaal operation are included in the NN Europe Segment.</w:t>
      </w:r>
    </w:p>
    <w:p>
      <w:pPr>
        <w:spacing w:after="0" w:line="164" w:lineRule="exact"/>
        <w:rPr>
          <w:rFonts w:ascii="Courier New" w:cs="Courier New" w:eastAsia="Courier New" w:hAnsi="Courier New"/>
          <w:sz w:val="14"/>
          <w:szCs w:val="14"/>
          <w:b w:val="1"/>
          <w:bCs w:val="1"/>
          <w:color w:val="auto"/>
        </w:rPr>
      </w:pPr>
    </w:p>
    <w:p>
      <w:pPr>
        <w:ind w:left="433" w:right="343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In connection with the acquisition of SKF's Veenendaal, The Netherlands operations, SKF purchased from us 700,000 shares of our common stock for an aggregate fair value of approximately $6,937 million which was applied to the purchase of SKF's Veenendaal, The Netherlands operations. For purposes of valuing the 700,000 common shares issued in our Consolidated Financial Statements, the value was determined based on the average market price of NN, Inc.'s common shares over the two-day period before, the day of, and the two-day period after the terms of the acquisition were agreed to, April 14, 2003.</w:t>
      </w:r>
    </w:p>
    <w:p>
      <w:pPr>
        <w:spacing w:after="0" w:line="164" w:lineRule="exact"/>
        <w:rPr>
          <w:rFonts w:ascii="Courier New" w:cs="Courier New" w:eastAsia="Courier New" w:hAnsi="Courier New"/>
          <w:sz w:val="14"/>
          <w:szCs w:val="14"/>
          <w:b w:val="1"/>
          <w:bCs w:val="1"/>
          <w:color w:val="auto"/>
        </w:rPr>
      </w:pPr>
    </w:p>
    <w:p>
      <w:pPr>
        <w:ind w:left="433" w:right="3439"/>
        <w:spacing w:after="0" w:line="249"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The following table summarizes the allocation of the purchase price related to the assets acquired and liabilities assumed at the date of acquisition.</w:t>
      </w:r>
    </w:p>
    <w:p>
      <w:pPr>
        <w:spacing w:after="0" w:line="161" w:lineRule="exact"/>
        <w:rPr>
          <w:sz w:val="20"/>
          <w:szCs w:val="20"/>
          <w:color w:val="auto"/>
        </w:rPr>
      </w:pPr>
    </w:p>
    <w:tbl>
      <w:tblPr>
        <w:tblLayout w:type="fixed"/>
        <w:tblInd w:w="1353" w:type="dxa"/>
        <w:tblCellMar>
          <w:top w:w="0" w:type="dxa"/>
          <w:left w:w="0" w:type="dxa"/>
          <w:bottom w:w="0" w:type="dxa"/>
          <w:right w:w="0" w:type="dxa"/>
        </w:tblCellMar>
      </w:tblPr>
      <w:tr>
        <w:trPr>
          <w:trHeight w:val="160"/>
        </w:trPr>
        <w:tc>
          <w:tcPr>
            <w:tcW w:w="2760" w:type="dxa"/>
            <w:vAlign w:val="bottom"/>
          </w:tcPr>
          <w:p>
            <w:pPr>
              <w:spacing w:after="0"/>
              <w:rPr>
                <w:sz w:val="13"/>
                <w:szCs w:val="13"/>
                <w:color w:val="auto"/>
              </w:rPr>
            </w:pPr>
          </w:p>
        </w:tc>
        <w:tc>
          <w:tcPr>
            <w:tcW w:w="1660" w:type="dxa"/>
            <w:vAlign w:val="bottom"/>
          </w:tcPr>
          <w:p>
            <w:pPr>
              <w:jc w:val="right"/>
              <w:ind w:right="9"/>
              <w:spacing w:after="0"/>
              <w:rPr>
                <w:sz w:val="20"/>
                <w:szCs w:val="20"/>
                <w:color w:val="auto"/>
              </w:rPr>
            </w:pPr>
            <w:r>
              <w:rPr>
                <w:rFonts w:ascii="Courier New" w:cs="Courier New" w:eastAsia="Courier New" w:hAnsi="Courier New"/>
                <w:sz w:val="14"/>
                <w:szCs w:val="14"/>
                <w:b w:val="1"/>
                <w:bCs w:val="1"/>
                <w:color w:val="auto"/>
              </w:rPr>
              <w:t>(In thousands)</w:t>
            </w:r>
          </w:p>
        </w:tc>
      </w:tr>
      <w:tr>
        <w:trPr>
          <w:trHeight w:val="163"/>
        </w:trPr>
        <w:tc>
          <w:tcPr>
            <w:tcW w:w="2760" w:type="dxa"/>
            <w:vAlign w:val="bottom"/>
          </w:tcPr>
          <w:p>
            <w:pPr>
              <w:spacing w:after="0"/>
              <w:rPr>
                <w:sz w:val="14"/>
                <w:szCs w:val="14"/>
                <w:color w:val="auto"/>
              </w:rPr>
            </w:pPr>
          </w:p>
        </w:tc>
        <w:tc>
          <w:tcPr>
            <w:tcW w:w="1660" w:type="dxa"/>
            <w:vAlign w:val="bottom"/>
          </w:tcPr>
          <w:p>
            <w:pPr>
              <w:jc w:val="right"/>
              <w:ind w:right="9"/>
              <w:spacing w:after="0"/>
              <w:rPr>
                <w:sz w:val="20"/>
                <w:szCs w:val="20"/>
                <w:color w:val="auto"/>
              </w:rPr>
            </w:pPr>
            <w:r>
              <w:rPr>
                <w:rFonts w:ascii="Courier New" w:cs="Courier New" w:eastAsia="Courier New" w:hAnsi="Courier New"/>
                <w:sz w:val="14"/>
                <w:szCs w:val="14"/>
                <w:b w:val="1"/>
                <w:bCs w:val="1"/>
                <w:color w:val="auto"/>
              </w:rPr>
              <w:t>At May 2, 2003</w:t>
            </w:r>
          </w:p>
        </w:tc>
      </w:tr>
      <w:tr>
        <w:trPr>
          <w:trHeight w:val="163"/>
        </w:trPr>
        <w:tc>
          <w:tcPr>
            <w:tcW w:w="27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$ 6,611</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27,690</w:t>
            </w:r>
          </w:p>
        </w:tc>
      </w:tr>
      <w:tr>
        <w:trPr>
          <w:trHeight w:val="163"/>
        </w:trPr>
        <w:tc>
          <w:tcPr>
            <w:tcW w:w="2760" w:type="dxa"/>
            <w:vAlign w:val="bottom"/>
          </w:tcPr>
          <w:p>
            <w:pPr>
              <w:spacing w:after="0"/>
              <w:rPr>
                <w:sz w:val="14"/>
                <w:szCs w:val="14"/>
                <w:color w:val="auto"/>
              </w:rPr>
            </w:pPr>
          </w:p>
        </w:tc>
        <w:tc>
          <w:tcPr>
            <w:tcW w:w="16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 assets acquired</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34,301</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7,608</w:t>
            </w:r>
          </w:p>
        </w:tc>
      </w:tr>
      <w:tr>
        <w:trPr>
          <w:trHeight w:val="163"/>
        </w:trPr>
        <w:tc>
          <w:tcPr>
            <w:tcW w:w="2760" w:type="dxa"/>
            <w:vAlign w:val="bottom"/>
          </w:tcPr>
          <w:p>
            <w:pPr>
              <w:spacing w:after="0"/>
              <w:rPr>
                <w:sz w:val="14"/>
                <w:szCs w:val="14"/>
                <w:color w:val="auto"/>
              </w:rPr>
            </w:pPr>
          </w:p>
        </w:tc>
        <w:tc>
          <w:tcPr>
            <w:tcW w:w="16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 purchase price</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$ 26,693</w:t>
            </w:r>
          </w:p>
        </w:tc>
      </w:tr>
      <w:tr>
        <w:trPr>
          <w:trHeight w:val="163"/>
        </w:trPr>
        <w:tc>
          <w:tcPr>
            <w:tcW w:w="2760" w:type="dxa"/>
            <w:vAlign w:val="bottom"/>
          </w:tcPr>
          <w:p>
            <w:pPr>
              <w:spacing w:after="0"/>
              <w:rPr>
                <w:sz w:val="14"/>
                <w:szCs w:val="14"/>
                <w:color w:val="auto"/>
              </w:rPr>
            </w:pPr>
          </w:p>
        </w:tc>
        <w:tc>
          <w:tcPr>
            <w:tcW w:w="16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433" w:right="3439"/>
        <w:spacing w:after="0" w:line="247" w:lineRule="auto"/>
        <w:rPr>
          <w:sz w:val="20"/>
          <w:szCs w:val="20"/>
          <w:color w:val="auto"/>
        </w:rPr>
      </w:pPr>
      <w:r>
        <w:rPr>
          <w:rFonts w:ascii="Courier New" w:cs="Courier New" w:eastAsia="Courier New" w:hAnsi="Courier New"/>
          <w:sz w:val="14"/>
          <w:szCs w:val="14"/>
          <w:color w:val="auto"/>
        </w:rPr>
        <w:t>The following unaudited proforma summary presents the financial information for the twelve month periods ended December 31, 2003 and 2002 as if our Veenendaal acquisition had occurred as of the beginning of each of the periods presented. These pro forma results have been prepared for comparative purposes and do not purport to be indicative of what would have occurred had the acquisition been made as of the beginning of each of the periods presented, nor are they indicative of future results.</w:t>
      </w:r>
    </w:p>
    <w:p>
      <w:pPr>
        <w:spacing w:after="0" w:line="327" w:lineRule="exact"/>
        <w:rPr>
          <w:sz w:val="20"/>
          <w:szCs w:val="20"/>
          <w:color w:val="auto"/>
        </w:rPr>
      </w:pPr>
    </w:p>
    <w:p>
      <w:pPr>
        <w:jc w:val="both"/>
        <w:ind w:left="3313"/>
        <w:spacing w:after="0"/>
        <w:tabs>
          <w:tab w:leader="none" w:pos="6012"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286385</wp:posOffset>
            </wp:positionV>
            <wp:extent cx="72986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73"/>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613"/>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33"/>
        <w:spacing w:after="0"/>
        <w:rPr>
          <w:sz w:val="20"/>
          <w:szCs w:val="20"/>
          <w:color w:val="auto"/>
        </w:rPr>
      </w:pPr>
      <w:r>
        <w:rPr>
          <w:rFonts w:ascii="Courier New" w:cs="Courier New" w:eastAsia="Courier New" w:hAnsi="Courier New"/>
          <w:sz w:val="14"/>
          <w:szCs w:val="14"/>
          <w:b w:val="1"/>
          <w:bCs w:val="1"/>
          <w:color w:val="auto"/>
        </w:rPr>
        <w:t>December 31, 2003, 2002 and 2001</w:t>
      </w:r>
    </w:p>
    <w:p>
      <w:pPr>
        <w:sectPr>
          <w:pgSz w:w="11900" w:h="16838" w:orient="portrait"/>
          <w:cols w:equalWidth="0" w:num="1">
            <w:col w:w="10232"/>
          </w:cols>
          <w:pgMar w:left="227" w:top="141" w:right="1440" w:bottom="0" w:gutter="0" w:footer="0" w:header="0"/>
        </w:sectPr>
      </w:pPr>
    </w:p>
    <w:bookmarkStart w:id="33" w:name="page34"/>
    <w:bookmarkEnd w:id="33"/>
    <w:p>
      <w:pPr>
        <w:ind w:left="188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200" w:lineRule="exact"/>
        <w:rPr>
          <w:sz w:val="20"/>
          <w:szCs w:val="20"/>
          <w:color w:val="auto"/>
        </w:rPr>
      </w:pPr>
    </w:p>
    <w:p>
      <w:pPr>
        <w:spacing w:after="0" w:line="295" w:lineRule="exact"/>
        <w:rPr>
          <w:sz w:val="20"/>
          <w:szCs w:val="20"/>
          <w:color w:val="auto"/>
        </w:rPr>
      </w:pPr>
    </w:p>
    <w:tbl>
      <w:tblPr>
        <w:tblLayout w:type="fixed"/>
        <w:tblInd w:w="1460" w:type="dxa"/>
        <w:tblCellMar>
          <w:top w:w="0" w:type="dxa"/>
          <w:left w:w="0" w:type="dxa"/>
          <w:bottom w:w="0" w:type="dxa"/>
          <w:right w:w="0" w:type="dxa"/>
        </w:tblCellMar>
      </w:tblPr>
      <w:tr>
        <w:trPr>
          <w:trHeight w:val="160"/>
        </w:trPr>
        <w:tc>
          <w:tcPr>
            <w:tcW w:w="2360" w:type="dxa"/>
            <w:vAlign w:val="bottom"/>
          </w:tcPr>
          <w:p>
            <w:pPr>
              <w:spacing w:after="0"/>
              <w:rPr>
                <w:sz w:val="13"/>
                <w:szCs w:val="13"/>
                <w:color w:val="auto"/>
              </w:rPr>
            </w:pPr>
          </w:p>
        </w:tc>
        <w:tc>
          <w:tcPr>
            <w:tcW w:w="188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Twelve months</w:t>
            </w:r>
          </w:p>
        </w:tc>
      </w:tr>
      <w:tr>
        <w:trPr>
          <w:trHeight w:val="163"/>
        </w:trPr>
        <w:tc>
          <w:tcPr>
            <w:tcW w:w="2360" w:type="dxa"/>
            <w:vAlign w:val="bottom"/>
          </w:tcPr>
          <w:p>
            <w:pPr>
              <w:spacing w:after="0"/>
              <w:rPr>
                <w:sz w:val="14"/>
                <w:szCs w:val="14"/>
                <w:color w:val="auto"/>
              </w:rPr>
            </w:pPr>
          </w:p>
        </w:tc>
        <w:tc>
          <w:tcPr>
            <w:tcW w:w="1880" w:type="dxa"/>
            <w:vAlign w:val="bottom"/>
          </w:tcPr>
          <w:p>
            <w:pPr>
              <w:jc w:val="right"/>
              <w:ind w:right="689"/>
              <w:spacing w:after="0"/>
              <w:rPr>
                <w:sz w:val="20"/>
                <w:szCs w:val="20"/>
                <w:color w:val="auto"/>
              </w:rPr>
            </w:pPr>
            <w:r>
              <w:rPr>
                <w:rFonts w:ascii="Courier New" w:cs="Courier New" w:eastAsia="Courier New" w:hAnsi="Courier New"/>
                <w:sz w:val="14"/>
                <w:szCs w:val="14"/>
                <w:b w:val="1"/>
                <w:bCs w:val="1"/>
                <w:color w:val="auto"/>
              </w:rPr>
              <w:t>ended</w:t>
            </w:r>
          </w:p>
        </w:tc>
      </w:tr>
      <w:tr>
        <w:trPr>
          <w:trHeight w:val="163"/>
        </w:trPr>
        <w:tc>
          <w:tcPr>
            <w:tcW w:w="2360" w:type="dxa"/>
            <w:vAlign w:val="bottom"/>
          </w:tcPr>
          <w:p>
            <w:pPr>
              <w:spacing w:after="0"/>
              <w:rPr>
                <w:sz w:val="14"/>
                <w:szCs w:val="14"/>
                <w:color w:val="auto"/>
              </w:rPr>
            </w:pPr>
          </w:p>
        </w:tc>
        <w:tc>
          <w:tcPr>
            <w:tcW w:w="188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December 31,</w:t>
            </w:r>
          </w:p>
        </w:tc>
      </w:tr>
      <w:tr>
        <w:trPr>
          <w:trHeight w:val="163"/>
        </w:trPr>
        <w:tc>
          <w:tcPr>
            <w:tcW w:w="2360" w:type="dxa"/>
            <w:vAlign w:val="bottom"/>
          </w:tcPr>
          <w:p>
            <w:pPr>
              <w:spacing w:after="0"/>
              <w:rPr>
                <w:sz w:val="14"/>
                <w:szCs w:val="14"/>
                <w:color w:val="auto"/>
              </w:rPr>
            </w:pPr>
          </w:p>
        </w:tc>
        <w:tc>
          <w:tcPr>
            <w:tcW w:w="1880" w:type="dxa"/>
            <w:vAlign w:val="bottom"/>
          </w:tcPr>
          <w:p>
            <w:pPr>
              <w:jc w:val="right"/>
              <w:ind w:right="689"/>
              <w:spacing w:after="0"/>
              <w:rPr>
                <w:sz w:val="20"/>
                <w:szCs w:val="20"/>
                <w:color w:val="auto"/>
              </w:rPr>
            </w:pPr>
            <w:r>
              <w:rPr>
                <w:rFonts w:ascii="Courier New" w:cs="Courier New" w:eastAsia="Courier New" w:hAnsi="Courier New"/>
                <w:sz w:val="14"/>
                <w:szCs w:val="14"/>
                <w:b w:val="1"/>
                <w:bCs w:val="1"/>
                <w:color w:val="auto"/>
              </w:rPr>
              <w:t>2003</w:t>
            </w:r>
          </w:p>
        </w:tc>
      </w:tr>
      <w:tr>
        <w:trPr>
          <w:trHeight w:val="163"/>
        </w:trPr>
        <w:tc>
          <w:tcPr>
            <w:tcW w:w="2360" w:type="dxa"/>
            <w:vAlign w:val="bottom"/>
          </w:tcPr>
          <w:p>
            <w:pPr>
              <w:spacing w:after="0"/>
              <w:rPr>
                <w:sz w:val="14"/>
                <w:szCs w:val="14"/>
                <w:color w:val="auto"/>
              </w:rPr>
            </w:pPr>
          </w:p>
        </w:tc>
        <w:tc>
          <w:tcPr>
            <w:tcW w:w="1880" w:type="dxa"/>
            <w:vAlign w:val="bottom"/>
          </w:tcPr>
          <w:p>
            <w:pPr>
              <w:jc w:val="right"/>
              <w:ind w:right="349"/>
              <w:spacing w:after="0"/>
              <w:rPr>
                <w:sz w:val="20"/>
                <w:szCs w:val="20"/>
                <w:color w:val="auto"/>
              </w:rPr>
            </w:pPr>
            <w:r>
              <w:rPr>
                <w:rFonts w:ascii="Courier New" w:cs="Courier New" w:eastAsia="Courier New" w:hAnsi="Courier New"/>
                <w:sz w:val="14"/>
                <w:szCs w:val="14"/>
                <w:b w:val="1"/>
                <w:bCs w:val="1"/>
                <w:color w:val="auto"/>
              </w:rPr>
              <w:t>(unaudited)</w:t>
            </w:r>
          </w:p>
        </w:tc>
      </w:tr>
      <w:tr>
        <w:trPr>
          <w:trHeight w:val="163"/>
        </w:trPr>
        <w:tc>
          <w:tcPr>
            <w:tcW w:w="2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$ 270,989</w:t>
            </w:r>
          </w:p>
        </w:tc>
      </w:tr>
      <w:tr>
        <w:trPr>
          <w:trHeight w:val="163"/>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10,478</w:t>
            </w:r>
          </w:p>
        </w:tc>
      </w:tr>
      <w:tr>
        <w:trPr>
          <w:trHeight w:val="163"/>
        </w:trPr>
        <w:tc>
          <w:tcPr>
            <w:tcW w:w="23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0.66</w:t>
            </w:r>
          </w:p>
        </w:tc>
      </w:tr>
      <w:tr>
        <w:trPr>
          <w:trHeight w:val="163"/>
        </w:trPr>
        <w:tc>
          <w:tcPr>
            <w:tcW w:w="23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0.64</w:t>
            </w:r>
          </w:p>
        </w:tc>
      </w:tr>
      <w:tr>
        <w:trPr>
          <w:trHeight w:val="327"/>
        </w:trPr>
        <w:tc>
          <w:tcPr>
            <w:tcW w:w="2360" w:type="dxa"/>
            <w:vAlign w:val="bottom"/>
          </w:tcPr>
          <w:p>
            <w:pPr>
              <w:spacing w:after="0"/>
              <w:rPr>
                <w:sz w:val="24"/>
                <w:szCs w:val="24"/>
                <w:color w:val="auto"/>
              </w:rPr>
            </w:pPr>
          </w:p>
        </w:tc>
        <w:tc>
          <w:tcPr>
            <w:tcW w:w="1880" w:type="dxa"/>
            <w:vAlign w:val="bottom"/>
          </w:tcPr>
          <w:p>
            <w:pPr>
              <w:jc w:val="right"/>
              <w:ind w:right="189"/>
              <w:spacing w:after="0"/>
              <w:rPr>
                <w:sz w:val="20"/>
                <w:szCs w:val="20"/>
                <w:color w:val="auto"/>
              </w:rPr>
            </w:pPr>
            <w:r>
              <w:rPr>
                <w:rFonts w:ascii="Courier New" w:cs="Courier New" w:eastAsia="Courier New" w:hAnsi="Courier New"/>
                <w:sz w:val="14"/>
                <w:szCs w:val="14"/>
                <w:b w:val="1"/>
                <w:bCs w:val="1"/>
                <w:color w:val="auto"/>
              </w:rPr>
              <w:t>Twelve months</w:t>
            </w:r>
          </w:p>
        </w:tc>
      </w:tr>
      <w:tr>
        <w:trPr>
          <w:trHeight w:val="163"/>
        </w:trPr>
        <w:tc>
          <w:tcPr>
            <w:tcW w:w="2360" w:type="dxa"/>
            <w:vAlign w:val="bottom"/>
          </w:tcPr>
          <w:p>
            <w:pPr>
              <w:spacing w:after="0"/>
              <w:rPr>
                <w:sz w:val="14"/>
                <w:szCs w:val="14"/>
                <w:color w:val="auto"/>
              </w:rPr>
            </w:pPr>
          </w:p>
        </w:tc>
        <w:tc>
          <w:tcPr>
            <w:tcW w:w="1880" w:type="dxa"/>
            <w:vAlign w:val="bottom"/>
          </w:tcPr>
          <w:p>
            <w:pPr>
              <w:jc w:val="right"/>
              <w:ind w:right="609"/>
              <w:spacing w:after="0"/>
              <w:rPr>
                <w:sz w:val="20"/>
                <w:szCs w:val="20"/>
                <w:color w:val="auto"/>
              </w:rPr>
            </w:pPr>
            <w:r>
              <w:rPr>
                <w:rFonts w:ascii="Courier New" w:cs="Courier New" w:eastAsia="Courier New" w:hAnsi="Courier New"/>
                <w:sz w:val="14"/>
                <w:szCs w:val="14"/>
                <w:b w:val="1"/>
                <w:bCs w:val="1"/>
                <w:color w:val="auto"/>
              </w:rPr>
              <w:t>ended</w:t>
            </w:r>
          </w:p>
        </w:tc>
      </w:tr>
      <w:tr>
        <w:trPr>
          <w:trHeight w:val="163"/>
        </w:trPr>
        <w:tc>
          <w:tcPr>
            <w:tcW w:w="2360" w:type="dxa"/>
            <w:vAlign w:val="bottom"/>
          </w:tcPr>
          <w:p>
            <w:pPr>
              <w:spacing w:after="0"/>
              <w:rPr>
                <w:sz w:val="14"/>
                <w:szCs w:val="14"/>
                <w:color w:val="auto"/>
              </w:rPr>
            </w:pPr>
          </w:p>
        </w:tc>
        <w:tc>
          <w:tcPr>
            <w:tcW w:w="1880" w:type="dxa"/>
            <w:vAlign w:val="bottom"/>
          </w:tcPr>
          <w:p>
            <w:pPr>
              <w:jc w:val="right"/>
              <w:ind w:right="189"/>
              <w:spacing w:after="0"/>
              <w:rPr>
                <w:sz w:val="20"/>
                <w:szCs w:val="20"/>
                <w:color w:val="auto"/>
              </w:rPr>
            </w:pPr>
            <w:r>
              <w:rPr>
                <w:rFonts w:ascii="Courier New" w:cs="Courier New" w:eastAsia="Courier New" w:hAnsi="Courier New"/>
                <w:sz w:val="14"/>
                <w:szCs w:val="14"/>
                <w:b w:val="1"/>
                <w:bCs w:val="1"/>
                <w:color w:val="auto"/>
              </w:rPr>
              <w:t>December 31,</w:t>
            </w:r>
          </w:p>
        </w:tc>
      </w:tr>
      <w:tr>
        <w:trPr>
          <w:trHeight w:val="163"/>
        </w:trPr>
        <w:tc>
          <w:tcPr>
            <w:tcW w:w="2360" w:type="dxa"/>
            <w:vAlign w:val="bottom"/>
          </w:tcPr>
          <w:p>
            <w:pPr>
              <w:spacing w:after="0"/>
              <w:rPr>
                <w:sz w:val="14"/>
                <w:szCs w:val="14"/>
                <w:color w:val="auto"/>
              </w:rPr>
            </w:pPr>
          </w:p>
        </w:tc>
        <w:tc>
          <w:tcPr>
            <w:tcW w:w="1880" w:type="dxa"/>
            <w:vAlign w:val="bottom"/>
          </w:tcPr>
          <w:p>
            <w:pPr>
              <w:jc w:val="right"/>
              <w:ind w:right="609"/>
              <w:spacing w:after="0"/>
              <w:rPr>
                <w:sz w:val="20"/>
                <w:szCs w:val="20"/>
                <w:color w:val="auto"/>
              </w:rPr>
            </w:pPr>
            <w:r>
              <w:rPr>
                <w:rFonts w:ascii="Courier New" w:cs="Courier New" w:eastAsia="Courier New" w:hAnsi="Courier New"/>
                <w:sz w:val="14"/>
                <w:szCs w:val="14"/>
                <w:b w:val="1"/>
                <w:bCs w:val="1"/>
                <w:color w:val="auto"/>
              </w:rPr>
              <w:t>2002</w:t>
            </w:r>
          </w:p>
        </w:tc>
      </w:tr>
      <w:tr>
        <w:trPr>
          <w:trHeight w:val="163"/>
        </w:trPr>
        <w:tc>
          <w:tcPr>
            <w:tcW w:w="2360" w:type="dxa"/>
            <w:vAlign w:val="bottom"/>
          </w:tcPr>
          <w:p>
            <w:pPr>
              <w:spacing w:after="0"/>
              <w:rPr>
                <w:sz w:val="14"/>
                <w:szCs w:val="14"/>
                <w:color w:val="auto"/>
              </w:rPr>
            </w:pPr>
          </w:p>
        </w:tc>
        <w:tc>
          <w:tcPr>
            <w:tcW w:w="188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(unaudited)</w:t>
            </w:r>
          </w:p>
        </w:tc>
      </w:tr>
      <w:tr>
        <w:trPr>
          <w:trHeight w:val="163"/>
        </w:trPr>
        <w:tc>
          <w:tcPr>
            <w:tcW w:w="236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$ 245,437</w:t>
            </w:r>
          </w:p>
        </w:tc>
      </w:tr>
      <w:tr>
        <w:trPr>
          <w:trHeight w:val="163"/>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8,658</w:t>
            </w:r>
          </w:p>
        </w:tc>
      </w:tr>
      <w:tr>
        <w:trPr>
          <w:trHeight w:val="163"/>
        </w:trPr>
        <w:tc>
          <w:tcPr>
            <w:tcW w:w="236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0.56</w:t>
            </w:r>
          </w:p>
        </w:tc>
      </w:tr>
      <w:tr>
        <w:trPr>
          <w:trHeight w:val="163"/>
        </w:trPr>
        <w:tc>
          <w:tcPr>
            <w:tcW w:w="236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0.55</w:t>
            </w:r>
          </w:p>
        </w:tc>
      </w:tr>
    </w:tbl>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December 20, 2002 the Company completed the purchase of the 23% interest in</w:t>
      </w:r>
    </w:p>
    <w:p>
      <w:pPr>
        <w:spacing w:after="0" w:line="5" w:lineRule="exact"/>
        <w:rPr>
          <w:sz w:val="20"/>
          <w:szCs w:val="20"/>
          <w:color w:val="auto"/>
        </w:rPr>
      </w:pPr>
    </w:p>
    <w:p>
      <w:pPr>
        <w:ind w:right="3519" w:firstLine="7"/>
        <w:spacing w:after="0" w:line="247" w:lineRule="auto"/>
        <w:tabs>
          <w:tab w:leader="none" w:pos="25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Euroball, ApS ("Euroball") held by INA/FAG. Euroball was formed in 2000 by the Company, FAG Kugelfischer George Schaefer AG, which was subsequently acquired by INA - Schaeffler KG (collectively, "INA/FAG"), and AB SKF ("SKF"). INA/FAG is a global bearing manufacturer and one of our largest customers. The Company paid approximately 13,400 Euro ($13,802) for INA/FAG's interest in Euroball. The excess of the purchase price paid to INA/FAG for its 23% interest over the fair value of INA/FAG's 23% interest in the net assets of Euroball of approximately $1,517 was recorded as goodwill (see Note 1).</w:t>
      </w:r>
    </w:p>
    <w:p>
      <w:pPr>
        <w:spacing w:after="0" w:line="164" w:lineRule="exact"/>
        <w:rPr>
          <w:sz w:val="20"/>
          <w:szCs w:val="20"/>
          <w:color w:val="auto"/>
        </w:rPr>
      </w:pPr>
    </w:p>
    <w:p>
      <w:pPr>
        <w:ind w:right="3519"/>
        <w:spacing w:after="0" w:line="247" w:lineRule="auto"/>
        <w:rPr>
          <w:sz w:val="20"/>
          <w:szCs w:val="20"/>
          <w:color w:val="auto"/>
        </w:rPr>
      </w:pPr>
      <w:r>
        <w:rPr>
          <w:rFonts w:ascii="Courier New" w:cs="Courier New" w:eastAsia="Courier New" w:hAnsi="Courier New"/>
          <w:sz w:val="14"/>
          <w:szCs w:val="14"/>
          <w:color w:val="auto"/>
        </w:rPr>
        <w:t>On February 16, 2001, the Company completed the acquisition of all of the outstanding stock of The Delta Rubber Company, ("Delta") a Connecticut corporation for $22,500 in cash, of which $500 was to be held in escrow for one year from the date of closing. Delta provides high quality engineered bearing seals and other precision-molded rubber products to original equipment manufacturers. The excess of the purchase price over the fair value of the net identifiable assets acquired of $14,107 was recorded as goodwill.</w:t>
      </w:r>
    </w:p>
    <w:p>
      <w:pPr>
        <w:spacing w:after="0" w:line="164"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Effective July 31, 2000, the Company completed its Euroball transaction. Completion of the transaction required the Company to start a majority owned stand-alone company in Europe, NN Euroball ApS, for the manufacture and sale of precision steel balls used for ball bearings and other products. As a result of this transaction the Company owned 54% of the shares of NN Euroball, ApS, AB SKF (SKF), a Swedish Company, and FAG Kugelfischer Georg Schafer AG (FAG), a German Company, owned 23% each. NN Euroball ApS subsequently acquired the steel ball manufacturing facilities located in Pinerolo, Italy (previously owned by SKF), Eltmann, Germany (previously owned by FAG) and Kilkenny, Ireland (previously owned by the Company). NN Euroball ApS paid approximately $47,433 for the net assets originally acquired from SKF and FAG. The acquisitions of the Pinerolo, Italy and Eltmann, Germany ball manufacturing facilities have been accounted for by the purchase method of accounting and, accordingly, the results of operations of Euroball have been included in the Company's consolidated financial statements from July 31, 2000. The excess of the purchase price over the fair value of the net identifiable assets acquired of $8,761 was recorded as goodwill.</w:t>
      </w:r>
    </w:p>
    <w:p>
      <w:pPr>
        <w:spacing w:after="0" w:line="165" w:lineRule="exact"/>
        <w:rPr>
          <w:sz w:val="20"/>
          <w:szCs w:val="20"/>
          <w:color w:val="auto"/>
        </w:rPr>
      </w:pPr>
    </w:p>
    <w:p>
      <w:pPr>
        <w:ind w:left="440" w:hanging="433"/>
        <w:spacing w:after="0"/>
        <w:tabs>
          <w:tab w:leader="none" w:pos="440" w:val="left"/>
        </w:tabs>
        <w:numPr>
          <w:ilvl w:val="0"/>
          <w:numId w:val="21"/>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Restructuring and Impairment Charges</w:t>
      </w:r>
    </w:p>
    <w:p>
      <w:pPr>
        <w:spacing w:after="0" w:line="331" w:lineRule="exact"/>
        <w:rPr>
          <w:rFonts w:ascii="Courier New" w:cs="Courier New" w:eastAsia="Courier New" w:hAnsi="Courier New"/>
          <w:sz w:val="14"/>
          <w:szCs w:val="14"/>
          <w:b w:val="1"/>
          <w:bCs w:val="1"/>
          <w:color w:val="auto"/>
        </w:rPr>
      </w:pPr>
    </w:p>
    <w:p>
      <w:pPr>
        <w:ind w:left="440"/>
        <w:spacing w:after="0"/>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NN Arte Plant Closing in Guadalajara, Mexico</w:t>
      </w:r>
    </w:p>
    <w:p>
      <w:pPr>
        <w:spacing w:after="0" w:line="331" w:lineRule="exact"/>
        <w:rPr>
          <w:sz w:val="20"/>
          <w:szCs w:val="20"/>
          <w:color w:val="auto"/>
        </w:rPr>
      </w:pPr>
    </w:p>
    <w:p>
      <w:pPr>
        <w:jc w:val="both"/>
        <w:ind w:left="3320"/>
        <w:spacing w:after="0"/>
        <w:tabs>
          <w:tab w:leader="none" w:pos="602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440" w:right="3439"/>
        <w:spacing w:after="0" w:line="247" w:lineRule="auto"/>
        <w:rPr>
          <w:sz w:val="20"/>
          <w:szCs w:val="20"/>
          <w:color w:val="auto"/>
        </w:rPr>
      </w:pPr>
      <w:r>
        <w:rPr>
          <w:rFonts w:ascii="Courier New" w:cs="Courier New" w:eastAsia="Courier New" w:hAnsi="Courier New"/>
          <w:sz w:val="14"/>
          <w:szCs w:val="14"/>
          <w:color w:val="auto"/>
        </w:rPr>
        <w:t>In May 2003, we decided to close our Guadalajara, Mexico plastic injection molding facility. This operation was started in September of 2000 to supply certain Mexican operations of multi-national manufacturers of office automation equipment. The closure was substantially completed during the third quarter of 2003. The financial results of this operation have been included in the Plastic and Rubber Components Segment.</w:t>
      </w:r>
    </w:p>
    <w:p>
      <w:pPr>
        <w:spacing w:after="0" w:line="164" w:lineRule="exact"/>
        <w:rPr>
          <w:sz w:val="20"/>
          <w:szCs w:val="20"/>
          <w:color w:val="auto"/>
        </w:rPr>
      </w:pPr>
    </w:p>
    <w:p>
      <w:pPr>
        <w:ind w:left="440" w:right="3439"/>
        <w:spacing w:after="0" w:line="247" w:lineRule="auto"/>
        <w:rPr>
          <w:sz w:val="20"/>
          <w:szCs w:val="20"/>
          <w:color w:val="auto"/>
        </w:rPr>
      </w:pPr>
      <w:r>
        <w:rPr>
          <w:rFonts w:ascii="Courier New" w:cs="Courier New" w:eastAsia="Courier New" w:hAnsi="Courier New"/>
          <w:sz w:val="14"/>
          <w:szCs w:val="14"/>
          <w:color w:val="auto"/>
        </w:rPr>
        <w:t>The plant closing resulted in the termination of approximately 42 full time hourly and salary employees located at the Guadalajara facility. For the twelve months ended December 31, 2003 total restructuring costs of $230 have been recorded related to the severance payments for the affected employees.</w:t>
      </w:r>
    </w:p>
    <w:p>
      <w:pPr>
        <w:spacing w:after="0" w:line="164" w:lineRule="exact"/>
        <w:rPr>
          <w:sz w:val="20"/>
          <w:szCs w:val="20"/>
          <w:color w:val="auto"/>
        </w:rPr>
      </w:pPr>
    </w:p>
    <w:p>
      <w:pPr>
        <w:ind w:left="440" w:right="3439"/>
        <w:spacing w:after="0" w:line="247" w:lineRule="auto"/>
        <w:rPr>
          <w:sz w:val="20"/>
          <w:szCs w:val="20"/>
          <w:color w:val="auto"/>
        </w:rPr>
      </w:pPr>
      <w:r>
        <w:rPr>
          <w:rFonts w:ascii="Courier New" w:cs="Courier New" w:eastAsia="Courier New" w:hAnsi="Courier New"/>
          <w:sz w:val="14"/>
          <w:szCs w:val="14"/>
          <w:color w:val="auto"/>
        </w:rPr>
        <w:t>As a result of the closing, we performed a test of the recoverability of the goodwill asset associated with the Guadalajara, Mexico operation. This test was pursuant to the provisions of Statement of Financial Accounting Standards No. 142 "Goodwill and Other Intangible Assets" which require that interim tests of the recoverability of goodwill be performed under certain circumstances. As a result, we recorded an impairment charge of approximately $1,285 to fully write-off the goodwill asset during the twelve month period ended December 31, 2003.</w:t>
      </w:r>
    </w:p>
    <w:p>
      <w:pPr>
        <w:sectPr>
          <w:pgSz w:w="11900" w:h="16838" w:orient="portrait"/>
          <w:cols w:equalWidth="0" w:num="1">
            <w:col w:w="10239"/>
          </w:cols>
          <w:pgMar w:left="220" w:top="141" w:right="1440" w:bottom="0" w:gutter="0" w:footer="0" w:header="0"/>
        </w:sectPr>
      </w:pPr>
    </w:p>
    <w:bookmarkStart w:id="34" w:name="page35"/>
    <w:bookmarkEnd w:id="34"/>
    <w:p>
      <w:pPr>
        <w:ind w:right="3439"/>
        <w:spacing w:after="0" w:line="247" w:lineRule="auto"/>
        <w:rPr>
          <w:sz w:val="20"/>
          <w:szCs w:val="20"/>
          <w:color w:val="auto"/>
        </w:rPr>
      </w:pPr>
      <w:r>
        <w:rPr>
          <w:rFonts w:ascii="Courier New" w:cs="Courier New" w:eastAsia="Courier New" w:hAnsi="Courier New"/>
          <w:sz w:val="14"/>
          <w:szCs w:val="14"/>
          <w:color w:val="auto"/>
        </w:rPr>
        <w:t>We have decided to sell much of the machinery and equipment with certain pieces of machinery and equipment to be transferred and utilized by our Industrial Molding facility in Lubbock, Texas. Pursuant to the provisions of Statement of Accounting Standards No. 144 "Accounting for the Impairment or Disposal of Long-lived Assets" we recorded an impairment charge of approximately $1,049 during 2003 to write-down the machinery and equipment to its estimated fair market value. During the three months ended September 30, 2003 we recorded a gain of $145 related to the disposition of certain pieces of the machinery and equipment assets that were previously assessed as impaired. During the twelve months ended December 31, 2003, we recorded a total impairment charge related to the machinery and equipment of approximately $904.</w:t>
      </w:r>
    </w:p>
    <w:p>
      <w:pPr>
        <w:spacing w:after="0" w:line="164" w:lineRule="exact"/>
        <w:rPr>
          <w:sz w:val="20"/>
          <w:szCs w:val="20"/>
          <w:color w:val="auto"/>
        </w:rPr>
      </w:pPr>
    </w:p>
    <w:p>
      <w:pPr>
        <w:ind w:right="3519"/>
        <w:spacing w:after="0" w:line="247" w:lineRule="auto"/>
        <w:rPr>
          <w:sz w:val="20"/>
          <w:szCs w:val="20"/>
          <w:color w:val="auto"/>
        </w:rPr>
      </w:pPr>
      <w:r>
        <w:rPr>
          <w:rFonts w:ascii="Courier New" w:cs="Courier New" w:eastAsia="Courier New" w:hAnsi="Courier New"/>
          <w:sz w:val="14"/>
          <w:szCs w:val="14"/>
          <w:color w:val="auto"/>
        </w:rPr>
        <w:t>During 2003, we also recorded an accounts receivable write-down of $31 to reduce accounts receivable to its estimated fair market value. Additionally, we recorded an inventory write-down of $108 during 2003 to reduce the carrying value of inventory to its estimated fair market value. These amounts related to the inventory asset have been recorded as a component of cost of products sold.</w:t>
      </w:r>
    </w:p>
    <w:p>
      <w:pPr>
        <w:spacing w:after="0" w:line="164" w:lineRule="exact"/>
        <w:rPr>
          <w:sz w:val="20"/>
          <w:szCs w:val="20"/>
          <w:color w:val="auto"/>
        </w:rPr>
      </w:pPr>
    </w:p>
    <w:p>
      <w:pPr>
        <w:ind w:right="3859"/>
        <w:spacing w:after="0" w:line="249" w:lineRule="auto"/>
        <w:rPr>
          <w:sz w:val="20"/>
          <w:szCs w:val="20"/>
          <w:color w:val="auto"/>
        </w:rPr>
      </w:pPr>
      <w:r>
        <w:rPr>
          <w:rFonts w:ascii="Courier New" w:cs="Courier New" w:eastAsia="Courier New" w:hAnsi="Courier New"/>
          <w:sz w:val="14"/>
          <w:szCs w:val="14"/>
          <w:color w:val="auto"/>
        </w:rPr>
        <w:t>The following summarizes the 2003 restructuring and impairment charges related to the closure of NN Arte:</w:t>
      </w:r>
    </w:p>
    <w:p>
      <w:pPr>
        <w:sectPr>
          <w:pgSz w:w="11900" w:h="16838" w:orient="portrait"/>
          <w:cols w:equalWidth="0" w:num="1">
            <w:col w:w="9799"/>
          </w:cols>
          <w:pgMar w:left="660" w:top="305" w:right="1440" w:bottom="0" w:gutter="0" w:footer="0" w:header="0"/>
        </w:sectPr>
      </w:pP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b w:val="1"/>
          <w:bCs w:val="1"/>
          <w:color w:val="auto"/>
        </w:rPr>
        <w:t>In thousands</w:t>
      </w:r>
    </w:p>
    <w:p>
      <w:pPr>
        <w:spacing w:after="0" w:line="168"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Asset impairments</w:t>
      </w: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Lease exit costs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b w:val="1"/>
          <w:bCs w:val="1"/>
          <w:color w:val="auto"/>
        </w:rPr>
        <w:t>Reserve</w:t>
      </w:r>
    </w:p>
    <w:p>
      <w:pPr>
        <w:spacing w:after="0" w:line="5" w:lineRule="exact"/>
        <w:rPr>
          <w:sz w:val="20"/>
          <w:szCs w:val="20"/>
          <w:color w:val="auto"/>
        </w:rPr>
      </w:pPr>
    </w:p>
    <w:p>
      <w:pPr>
        <w:ind w:left="1260"/>
        <w:spacing w:after="0"/>
        <w:tabs>
          <w:tab w:leader="none" w:pos="2600" w:val="left"/>
          <w:tab w:leader="none" w:pos="3720" w:val="left"/>
        </w:tabs>
        <w:rPr>
          <w:sz w:val="20"/>
          <w:szCs w:val="20"/>
          <w:color w:val="auto"/>
        </w:rPr>
      </w:pPr>
      <w:r>
        <w:rPr>
          <w:rFonts w:ascii="Courier New" w:cs="Courier New" w:eastAsia="Courier New" w:hAnsi="Courier New"/>
          <w:sz w:val="14"/>
          <w:szCs w:val="14"/>
          <w:b w:val="1"/>
          <w:bCs w:val="1"/>
          <w:color w:val="auto"/>
        </w:rPr>
        <w:t>Non-Cash</w:t>
      </w:r>
      <w:r>
        <w:rPr>
          <w:sz w:val="20"/>
          <w:szCs w:val="20"/>
          <w:color w:val="auto"/>
        </w:rPr>
        <w:tab/>
      </w:r>
      <w:r>
        <w:rPr>
          <w:rFonts w:ascii="Courier New" w:cs="Courier New" w:eastAsia="Courier New" w:hAnsi="Courier New"/>
          <w:sz w:val="14"/>
          <w:szCs w:val="14"/>
          <w:b w:val="1"/>
          <w:bCs w:val="1"/>
          <w:color w:val="auto"/>
        </w:rPr>
        <w:t>Paid in</w:t>
      </w:r>
      <w:r>
        <w:rPr>
          <w:sz w:val="20"/>
          <w:szCs w:val="20"/>
          <w:color w:val="auto"/>
        </w:rPr>
        <w:tab/>
      </w:r>
      <w:r>
        <w:rPr>
          <w:rFonts w:ascii="Courier New" w:cs="Courier New" w:eastAsia="Courier New" w:hAnsi="Courier New"/>
          <w:sz w:val="13"/>
          <w:szCs w:val="13"/>
          <w:b w:val="1"/>
          <w:bCs w:val="1"/>
          <w:color w:val="auto"/>
        </w:rPr>
        <w:t>Balance At</w:t>
      </w:r>
    </w:p>
    <w:p>
      <w:pPr>
        <w:spacing w:after="0" w:line="5" w:lineRule="exact"/>
        <w:rPr>
          <w:sz w:val="20"/>
          <w:szCs w:val="20"/>
          <w:color w:val="auto"/>
        </w:rPr>
      </w:pPr>
    </w:p>
    <w:p>
      <w:pPr>
        <w:ind w:left="80"/>
        <w:spacing w:after="0"/>
        <w:tabs>
          <w:tab w:leader="none" w:pos="1160" w:val="left"/>
          <w:tab w:leader="none" w:pos="2780" w:val="left"/>
          <w:tab w:leader="none" w:pos="3800" w:val="left"/>
        </w:tabs>
        <w:rPr>
          <w:sz w:val="20"/>
          <w:szCs w:val="20"/>
          <w:color w:val="auto"/>
        </w:rPr>
      </w:pPr>
      <w:r>
        <w:rPr>
          <w:rFonts w:ascii="Courier New" w:cs="Courier New" w:eastAsia="Courier New" w:hAnsi="Courier New"/>
          <w:sz w:val="14"/>
          <w:szCs w:val="14"/>
          <w:b w:val="1"/>
          <w:bCs w:val="1"/>
          <w:color w:val="auto"/>
        </w:rPr>
        <w:t>Charges</w:t>
      </w:r>
      <w:r>
        <w:rPr>
          <w:sz w:val="20"/>
          <w:szCs w:val="20"/>
          <w:color w:val="auto"/>
        </w:rPr>
        <w:tab/>
      </w:r>
      <w:r>
        <w:rPr>
          <w:rFonts w:ascii="Courier New" w:cs="Courier New" w:eastAsia="Courier New" w:hAnsi="Courier New"/>
          <w:sz w:val="14"/>
          <w:szCs w:val="14"/>
          <w:b w:val="1"/>
          <w:bCs w:val="1"/>
          <w:color w:val="auto"/>
        </w:rPr>
        <w:t>Write-downs</w:t>
      </w:r>
      <w:r>
        <w:rPr>
          <w:sz w:val="20"/>
          <w:szCs w:val="20"/>
          <w:color w:val="auto"/>
        </w:rPr>
        <w:tab/>
      </w:r>
      <w:r>
        <w:rPr>
          <w:rFonts w:ascii="Courier New" w:cs="Courier New" w:eastAsia="Courier New" w:hAnsi="Courier New"/>
          <w:sz w:val="14"/>
          <w:szCs w:val="14"/>
          <w:b w:val="1"/>
          <w:bCs w:val="1"/>
          <w:color w:val="auto"/>
        </w:rPr>
        <w:t>2003</w:t>
      </w:r>
      <w:r>
        <w:rPr>
          <w:sz w:val="20"/>
          <w:szCs w:val="20"/>
          <w:color w:val="auto"/>
        </w:rPr>
        <w:tab/>
      </w:r>
      <w:r>
        <w:rPr>
          <w:rFonts w:ascii="Courier New" w:cs="Courier New" w:eastAsia="Courier New" w:hAnsi="Courier New"/>
          <w:sz w:val="14"/>
          <w:szCs w:val="14"/>
          <w:b w:val="1"/>
          <w:bCs w:val="1"/>
          <w:color w:val="auto"/>
        </w:rPr>
        <w:t>12/31/03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40"/>
        <w:spacing w:after="0"/>
        <w:tabs>
          <w:tab w:leader="none" w:pos="1680" w:val="left"/>
          <w:tab w:leader="none" w:pos="2940" w:val="left"/>
          <w:tab w:leader="none" w:pos="3200" w:val="left"/>
          <w:tab w:leader="none" w:pos="4220" w:val="left"/>
          <w:tab w:leader="none" w:pos="4480" w:val="left"/>
        </w:tabs>
        <w:rPr>
          <w:sz w:val="20"/>
          <w:szCs w:val="20"/>
          <w:color w:val="auto"/>
        </w:rPr>
      </w:pPr>
      <w:r>
        <w:rPr>
          <w:rFonts w:ascii="Courier New" w:cs="Courier New" w:eastAsia="Courier New" w:hAnsi="Courier New"/>
          <w:sz w:val="14"/>
          <w:szCs w:val="14"/>
          <w:color w:val="auto"/>
        </w:rPr>
        <w:t>$2,328</w:t>
      </w:r>
      <w:r>
        <w:rPr>
          <w:sz w:val="20"/>
          <w:szCs w:val="20"/>
          <w:color w:val="auto"/>
        </w:rPr>
        <w:tab/>
      </w:r>
      <w:r>
        <w:rPr>
          <w:rFonts w:ascii="Courier New" w:cs="Courier New" w:eastAsia="Courier New" w:hAnsi="Courier New"/>
          <w:sz w:val="14"/>
          <w:szCs w:val="14"/>
          <w:color w:val="auto"/>
        </w:rPr>
        <w:t>$2,328</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580"/>
        <w:spacing w:after="0"/>
        <w:tabs>
          <w:tab w:leader="none" w:pos="2020" w:val="left"/>
          <w:tab w:leader="none" w:pos="3200" w:val="left"/>
          <w:tab w:leader="none" w:pos="4480" w:val="left"/>
        </w:tabs>
        <w:rPr>
          <w:sz w:val="20"/>
          <w:szCs w:val="20"/>
          <w:color w:val="auto"/>
        </w:rPr>
      </w:pP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sectPr>
          <w:pgSz w:w="11900" w:h="16838" w:orient="portrait"/>
          <w:cols w:equalWidth="0" w:num="2">
            <w:col w:w="2080" w:space="720"/>
            <w:col w:w="6999"/>
          </w:cols>
          <w:pgMar w:left="660" w:top="305" w:right="1440" w:bottom="0" w:gutter="0" w:footer="0" w:header="0"/>
          <w:type w:val="continuous"/>
        </w:sectPr>
      </w:pPr>
    </w:p>
    <w:p>
      <w:pPr>
        <w:ind w:left="240"/>
        <w:spacing w:after="0"/>
        <w:rPr>
          <w:sz w:val="20"/>
          <w:szCs w:val="20"/>
          <w:color w:val="auto"/>
        </w:rPr>
      </w:pPr>
      <w:r>
        <w:rPr>
          <w:rFonts w:ascii="Courier New" w:cs="Courier New" w:eastAsia="Courier New" w:hAnsi="Courier New"/>
          <w:sz w:val="14"/>
          <w:szCs w:val="14"/>
          <w:color w:val="auto"/>
        </w:rPr>
        <w:t>Severance and other employee</w:t>
      </w:r>
    </w:p>
    <w:p>
      <w:pPr>
        <w:sectPr>
          <w:pgSz w:w="11900" w:h="16838" w:orient="portrait"/>
          <w:cols w:equalWidth="0" w:num="1">
            <w:col w:w="9799"/>
          </w:cols>
          <w:pgMar w:left="660" w:top="305" w:right="1440" w:bottom="0" w:gutter="0" w:footer="0" w:header="0"/>
          <w:type w:val="continuous"/>
        </w:sectPr>
      </w:pPr>
    </w:p>
    <w:p>
      <w:pPr>
        <w:spacing w:after="0" w:line="5"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costs</w:t>
      </w:r>
    </w:p>
    <w:p>
      <w:pPr>
        <w:spacing w:after="0" w:line="168"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ind w:left="500"/>
        <w:spacing w:after="0"/>
        <w:tabs>
          <w:tab w:leader="none" w:pos="2020" w:val="left"/>
          <w:tab w:leader="none" w:pos="3120" w:val="left"/>
          <w:tab w:leader="none" w:pos="4480" w:val="left"/>
        </w:tabs>
        <w:rPr>
          <w:sz w:val="20"/>
          <w:szCs w:val="20"/>
          <w:color w:val="auto"/>
        </w:rPr>
      </w:pPr>
      <w:r>
        <w:rPr>
          <w:rFonts w:ascii="Courier New" w:cs="Courier New" w:eastAsia="Courier New" w:hAnsi="Courier New"/>
          <w:sz w:val="14"/>
          <w:szCs w:val="14"/>
          <w:color w:val="auto"/>
        </w:rPr>
        <w:t>230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185</w:t>
      </w:r>
      <w:r>
        <w:rPr>
          <w:sz w:val="20"/>
          <w:szCs w:val="20"/>
          <w:color w:val="auto"/>
        </w:rPr>
        <w:tab/>
      </w:r>
      <w:r>
        <w:rPr>
          <w:rFonts w:ascii="Courier New" w:cs="Courier New" w:eastAsia="Courier New" w:hAnsi="Courier New"/>
          <w:sz w:val="13"/>
          <w:szCs w:val="13"/>
          <w:color w:val="auto"/>
        </w:rPr>
        <w:t>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40"/>
        <w:spacing w:after="0"/>
        <w:tabs>
          <w:tab w:leader="none" w:pos="1680" w:val="left"/>
          <w:tab w:leader="none" w:pos="2940" w:val="left"/>
          <w:tab w:leader="none" w:pos="4300" w:val="left"/>
        </w:tabs>
        <w:rPr>
          <w:sz w:val="20"/>
          <w:szCs w:val="20"/>
          <w:color w:val="auto"/>
        </w:rPr>
      </w:pPr>
      <w:r>
        <w:rPr>
          <w:rFonts w:ascii="Courier New" w:cs="Courier New" w:eastAsia="Courier New" w:hAnsi="Courier New"/>
          <w:sz w:val="14"/>
          <w:szCs w:val="14"/>
          <w:color w:val="auto"/>
        </w:rPr>
        <w:t>$2,598</w:t>
      </w:r>
      <w:r>
        <w:rPr>
          <w:sz w:val="20"/>
          <w:szCs w:val="20"/>
          <w:color w:val="auto"/>
        </w:rPr>
        <w:tab/>
      </w:r>
      <w:r>
        <w:rPr>
          <w:rFonts w:ascii="Courier New" w:cs="Courier New" w:eastAsia="Courier New" w:hAnsi="Courier New"/>
          <w:sz w:val="14"/>
          <w:szCs w:val="14"/>
          <w:color w:val="auto"/>
        </w:rPr>
        <w:t>$2,328</w:t>
      </w:r>
      <w:r>
        <w:rPr>
          <w:sz w:val="20"/>
          <w:szCs w:val="20"/>
          <w:color w:val="auto"/>
        </w:rPr>
        <w:tab/>
      </w:r>
      <w:r>
        <w:rPr>
          <w:rFonts w:ascii="Courier New" w:cs="Courier New" w:eastAsia="Courier New" w:hAnsi="Courier New"/>
          <w:sz w:val="14"/>
          <w:szCs w:val="14"/>
          <w:color w:val="auto"/>
        </w:rPr>
        <w:t>$ 225</w:t>
      </w:r>
      <w:r>
        <w:rPr>
          <w:sz w:val="20"/>
          <w:szCs w:val="20"/>
          <w:color w:val="auto"/>
        </w:rPr>
        <w:tab/>
      </w:r>
      <w:r>
        <w:rPr>
          <w:rFonts w:ascii="Courier New" w:cs="Courier New" w:eastAsia="Courier New" w:hAnsi="Courier New"/>
          <w:sz w:val="14"/>
          <w:szCs w:val="14"/>
          <w:color w:val="auto"/>
        </w:rPr>
        <w:t>$ 45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8" w:lineRule="exact"/>
        <w:rPr>
          <w:sz w:val="20"/>
          <w:szCs w:val="20"/>
          <w:color w:val="auto"/>
        </w:rPr>
      </w:pPr>
    </w:p>
    <w:p>
      <w:pPr>
        <w:sectPr>
          <w:pgSz w:w="11900" w:h="16838" w:orient="portrait"/>
          <w:cols w:equalWidth="0" w:num="2">
            <w:col w:w="2080" w:space="720"/>
            <w:col w:w="6999"/>
          </w:cols>
          <w:pgMar w:left="660" w:top="305" w:right="1440" w:bottom="0" w:gutter="0" w:footer="0" w:header="0"/>
          <w:type w:val="continuous"/>
        </w:sectPr>
      </w:pPr>
    </w:p>
    <w:p>
      <w:pPr>
        <w:spacing w:after="0"/>
        <w:rPr>
          <w:sz w:val="20"/>
          <w:szCs w:val="20"/>
          <w:color w:val="auto"/>
        </w:rPr>
      </w:pPr>
      <w:r>
        <w:rPr>
          <w:rFonts w:ascii="Courier New" w:cs="Courier New" w:eastAsia="Courier New" w:hAnsi="Courier New"/>
          <w:sz w:val="14"/>
          <w:szCs w:val="14"/>
          <w:b w:val="1"/>
          <w:bCs w:val="1"/>
          <w:u w:val="single" w:color="auto"/>
          <w:color w:val="auto"/>
        </w:rPr>
        <w:t>Walterboro, South Carolina Plant Closing</w:t>
      </w:r>
    </w:p>
    <w:p>
      <w:pPr>
        <w:spacing w:after="0" w:line="168"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In September 2001, we announced the closure of our Walterboro, South Carolina ball manufacturing facility as a part of our ongoing strategy to locate manufacturing capacity in closer proximity to our customers. This facility is included in our Domestic Ball and Roller Segment (see Note 11). The closure was substantially completed by December 31, 2001.</w:t>
      </w:r>
    </w:p>
    <w:p>
      <w:pPr>
        <w:spacing w:after="0" w:line="164"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Prior to December 31, 2001, production capacity and certain machinery and equipment was transferred from the Walterboro facility to the Company's two domestic ball facilities in Erwin, Tennessee and Mountain City, Tennessee. The plant closing resulted in the termination of approximately 80 full time hourly and salaried employees located at the Walterboro facility. The Company recorded restructuring costs of $62 and $750 during the years ended December 31, 2002 and 2001, respectively, for the related severance payments. Additionally, prior to December 31, 2001, the Company decided to sell the Walterboro land, building and certain machinery. The Company incurred an impairment charge of $564 and $1,083 during 2002 and 2001,</w:t>
      </w:r>
    </w:p>
    <w:p>
      <w:pPr>
        <w:spacing w:after="0" w:line="328" w:lineRule="exact"/>
        <w:rPr>
          <w:sz w:val="20"/>
          <w:szCs w:val="20"/>
          <w:color w:val="auto"/>
        </w:rPr>
      </w:pPr>
    </w:p>
    <w:p>
      <w:pPr>
        <w:jc w:val="both"/>
        <w:ind w:left="2880"/>
        <w:spacing w:after="0"/>
        <w:tabs>
          <w:tab w:leader="none" w:pos="5580" w:val="left"/>
        </w:tabs>
        <w:rPr>
          <w:sz w:val="20"/>
          <w:szCs w:val="20"/>
          <w:color w:val="auto"/>
        </w:rPr>
      </w:pP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286385</wp:posOffset>
            </wp:positionV>
            <wp:extent cx="729869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respectively, to write-down the land and building at the Walterboro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to its net realizable value of $1,128 at December 31, 2002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$1,692 at December 31, 2001, which were based upon fair market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appraisals. Additionally, the Company incurred an impairment charge of $635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2002 to write down the equipment to its net realizable value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$1,086. The amounts the Company will ultimately realize upon disposition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assets could differ materially from the amounts assumed in arriving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2002 and 2001 impairment losses. The land, building, and equipment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with a recorded book value of $1,805 are held for sale. In arriving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the carrying value of the assets held for sale, we have principally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relied upon independent, third party fair value appraisals and valuations.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appraisals and valuations are as of December 31, 2002 and December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2003 for the land and building, and machinery, respectively.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is attempting to sell the land, building and machinery. All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payments were paid in 2002 and 2001.</w:t>
      </w:r>
    </w:p>
    <w:p>
      <w:pPr>
        <w:spacing w:after="0" w:line="168"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The Company has charged expenses to cost of products sold for moving machinery, equipment and inventory to other production facilities and other costs to close the facility, which will benefit future operations, in the period they are incurred.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u w:val="single" w:color="auto"/>
          <w:color w:val="auto"/>
        </w:rPr>
        <w:t>Euroball Restructuring</w:t>
      </w:r>
    </w:p>
    <w:p>
      <w:pPr>
        <w:spacing w:after="0" w:line="168"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In addition to this restructuring charge, the Company's Euroball subsidiary incurred restructuring charges of $16 and $479 for severance payments as a result of the termination of 15 hourly employees and 3 salaried employees at its Italy production facility during 2002 and 2001, respectively. All of the severance payments were paid during 2002 and 2001.</w:t>
      </w:r>
    </w:p>
    <w:p>
      <w:pPr>
        <w:spacing w:after="0" w:line="164"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4"/>
          <w:szCs w:val="14"/>
          <w:color w:val="auto"/>
        </w:rPr>
        <w:t>The following summarizes the 2002 restructurings (related to the Walterboro closing and the Euroball restructuring):</w:t>
      </w:r>
    </w:p>
    <w:p>
      <w:pPr>
        <w:sectPr>
          <w:pgSz w:w="11900" w:h="16838" w:orient="portrait"/>
          <w:cols w:equalWidth="0" w:num="1">
            <w:col w:w="9799"/>
          </w:cols>
          <w:pgMar w:left="660" w:top="305" w:right="1440" w:bottom="0" w:gutter="0" w:footer="0" w:header="0"/>
          <w:type w:val="continuous"/>
        </w:sectPr>
      </w:pPr>
    </w:p>
    <w:bookmarkStart w:id="35" w:name="page36"/>
    <w:bookmarkEnd w:id="35"/>
    <w:tbl>
      <w:tblPr>
        <w:tblLayout w:type="fixed"/>
        <w:tblInd w:w="440" w:type="dxa"/>
        <w:tblCellMar>
          <w:top w:w="0" w:type="dxa"/>
          <w:left w:w="0" w:type="dxa"/>
          <w:bottom w:w="0" w:type="dxa"/>
          <w:right w:w="0" w:type="dxa"/>
        </w:tblCellMar>
      </w:tblPr>
      <w:tr>
        <w:trPr>
          <w:trHeight w:val="160"/>
        </w:trPr>
        <w:tc>
          <w:tcPr>
            <w:tcW w:w="3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w w:val="98"/>
              </w:rPr>
              <w:t>Reserve</w:t>
            </w:r>
          </w:p>
        </w:tc>
      </w:tr>
      <w:tr>
        <w:trPr>
          <w:trHeight w:val="163"/>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Non-Cash</w:t>
            </w:r>
          </w:p>
        </w:tc>
        <w:tc>
          <w:tcPr>
            <w:tcW w:w="12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Paid in</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w w:val="98"/>
              </w:rPr>
              <w:t>Balance</w:t>
            </w:r>
          </w:p>
        </w:tc>
      </w:tr>
      <w:tr>
        <w:trPr>
          <w:trHeight w:val="163"/>
        </w:trPr>
        <w:tc>
          <w:tcPr>
            <w:tcW w:w="310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Courier New" w:cs="Courier New" w:eastAsia="Courier New" w:hAnsi="Courier New"/>
                <w:sz w:val="14"/>
                <w:szCs w:val="14"/>
                <w:color w:val="auto"/>
              </w:rPr>
              <w:t>Charges</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9"/>
              </w:rPr>
              <w:t>Writedowns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c>
          <w:tcPr>
            <w:tcW w:w="5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at 12/31/02</w:t>
            </w:r>
          </w:p>
        </w:tc>
      </w:tr>
      <w:tr>
        <w:trPr>
          <w:trHeight w:val="163"/>
        </w:trPr>
        <w:tc>
          <w:tcPr>
            <w:tcW w:w="3100" w:type="dxa"/>
            <w:vAlign w:val="bottom"/>
          </w:tcPr>
          <w:p>
            <w:pPr>
              <w:spacing w:after="0"/>
              <w:rPr>
                <w:sz w:val="14"/>
                <w:szCs w:val="14"/>
                <w:color w:val="auto"/>
              </w:rPr>
            </w:pP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Asset impairments</w:t>
            </w:r>
          </w:p>
        </w:tc>
        <w:tc>
          <w:tcPr>
            <w:tcW w:w="50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1,199</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$ 1,199</w:t>
            </w:r>
          </w:p>
        </w:tc>
        <w:tc>
          <w:tcPr>
            <w:tcW w:w="720" w:type="dxa"/>
            <w:vAlign w:val="bottom"/>
          </w:tcPr>
          <w:p>
            <w:pPr>
              <w:jc w:val="center"/>
              <w:ind w:left="409"/>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w:t>
            </w:r>
          </w:p>
        </w:tc>
      </w:tr>
      <w:tr>
        <w:trPr>
          <w:trHeight w:val="163"/>
        </w:trPr>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Severance and other employee costs</w:t>
            </w:r>
          </w:p>
        </w:tc>
        <w:tc>
          <w:tcPr>
            <w:tcW w:w="500" w:type="dxa"/>
            <w:vAlign w:val="bottom"/>
          </w:tcPr>
          <w:p>
            <w:pPr>
              <w:spacing w:after="0"/>
              <w:rPr>
                <w:sz w:val="14"/>
                <w:szCs w:val="14"/>
                <w:color w:val="auto"/>
              </w:rPr>
            </w:pPr>
          </w:p>
        </w:tc>
        <w:tc>
          <w:tcPr>
            <w:tcW w:w="7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78</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591</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100" w:type="dxa"/>
            <w:vAlign w:val="bottom"/>
          </w:tcPr>
          <w:p>
            <w:pPr>
              <w:spacing w:after="0"/>
              <w:rPr>
                <w:sz w:val="14"/>
                <w:szCs w:val="14"/>
                <w:color w:val="auto"/>
              </w:rPr>
            </w:pP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50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1,277</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$ 1,199</w:t>
            </w:r>
          </w:p>
        </w:tc>
        <w:tc>
          <w:tcPr>
            <w:tcW w:w="12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$ 591</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w:t>
            </w:r>
          </w:p>
        </w:tc>
      </w:tr>
      <w:tr>
        <w:trPr>
          <w:trHeight w:val="163"/>
        </w:trPr>
        <w:tc>
          <w:tcPr>
            <w:tcW w:w="3100" w:type="dxa"/>
            <w:vAlign w:val="bottom"/>
          </w:tcPr>
          <w:p>
            <w:pPr>
              <w:spacing w:after="0"/>
              <w:rPr>
                <w:sz w:val="14"/>
                <w:szCs w:val="14"/>
                <w:color w:val="auto"/>
              </w:rPr>
            </w:pP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63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The following summarizes the 2001 restructurings (related to the Walterboro</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3"/>
        </w:trPr>
        <w:tc>
          <w:tcPr>
            <w:tcW w:w="3600" w:type="dxa"/>
            <w:vAlign w:val="bottom"/>
            <w:gridSpan w:val="2"/>
          </w:tcPr>
          <w:p>
            <w:pPr>
              <w:spacing w:after="0"/>
              <w:rPr>
                <w:sz w:val="20"/>
                <w:szCs w:val="20"/>
                <w:color w:val="auto"/>
              </w:rPr>
            </w:pPr>
            <w:r>
              <w:rPr>
                <w:rFonts w:ascii="Courier New" w:cs="Courier New" w:eastAsia="Courier New" w:hAnsi="Courier New"/>
                <w:sz w:val="14"/>
                <w:szCs w:val="14"/>
                <w:color w:val="auto"/>
              </w:rPr>
              <w:t>closing and the Euroball restructuring):</w:t>
            </w: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27"/>
        </w:trPr>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w w:val="98"/>
              </w:rPr>
              <w:t>Reserve</w:t>
            </w:r>
          </w:p>
        </w:tc>
      </w:tr>
      <w:tr>
        <w:trPr>
          <w:trHeight w:val="163"/>
        </w:trPr>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Non-Cash</w:t>
            </w:r>
          </w:p>
        </w:tc>
        <w:tc>
          <w:tcPr>
            <w:tcW w:w="12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Paid in</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w w:val="98"/>
              </w:rPr>
              <w:t>Balance</w:t>
            </w:r>
          </w:p>
        </w:tc>
      </w:tr>
      <w:tr>
        <w:trPr>
          <w:trHeight w:val="163"/>
        </w:trPr>
        <w:tc>
          <w:tcPr>
            <w:tcW w:w="3100" w:type="dxa"/>
            <w:vAlign w:val="bottom"/>
          </w:tcPr>
          <w:p>
            <w:pPr>
              <w:spacing w:after="0"/>
              <w:rPr>
                <w:sz w:val="14"/>
                <w:szCs w:val="14"/>
                <w:color w:val="auto"/>
              </w:rPr>
            </w:pPr>
          </w:p>
        </w:tc>
        <w:tc>
          <w:tcPr>
            <w:tcW w:w="1260" w:type="dxa"/>
            <w:vAlign w:val="bottom"/>
            <w:gridSpan w:val="2"/>
          </w:tcPr>
          <w:p>
            <w:pPr>
              <w:ind w:left="280"/>
              <w:spacing w:after="0"/>
              <w:rPr>
                <w:sz w:val="20"/>
                <w:szCs w:val="20"/>
                <w:color w:val="auto"/>
              </w:rPr>
            </w:pPr>
            <w:r>
              <w:rPr>
                <w:rFonts w:ascii="Courier New" w:cs="Courier New" w:eastAsia="Courier New" w:hAnsi="Courier New"/>
                <w:sz w:val="14"/>
                <w:szCs w:val="14"/>
                <w:color w:val="auto"/>
              </w:rPr>
              <w:t>Charges</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w w:val="99"/>
              </w:rPr>
              <w:t>Writedowns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c>
          <w:tcPr>
            <w:tcW w:w="5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at 12/31/01</w:t>
            </w:r>
          </w:p>
        </w:tc>
      </w:tr>
      <w:tr>
        <w:trPr>
          <w:trHeight w:val="163"/>
        </w:trPr>
        <w:tc>
          <w:tcPr>
            <w:tcW w:w="3100" w:type="dxa"/>
            <w:vAlign w:val="bottom"/>
          </w:tcPr>
          <w:p>
            <w:pPr>
              <w:spacing w:after="0"/>
              <w:rPr>
                <w:sz w:val="14"/>
                <w:szCs w:val="14"/>
                <w:color w:val="auto"/>
              </w:rPr>
            </w:pP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Asset impairments</w:t>
            </w:r>
          </w:p>
        </w:tc>
        <w:tc>
          <w:tcPr>
            <w:tcW w:w="50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1,083</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$ 1,083</w:t>
            </w:r>
          </w:p>
        </w:tc>
        <w:tc>
          <w:tcPr>
            <w:tcW w:w="720" w:type="dxa"/>
            <w:vAlign w:val="bottom"/>
          </w:tcPr>
          <w:p>
            <w:pPr>
              <w:jc w:val="center"/>
              <w:ind w:left="409"/>
              <w:spacing w:after="0"/>
              <w:rPr>
                <w:sz w:val="20"/>
                <w:szCs w:val="20"/>
                <w:color w:val="auto"/>
              </w:rPr>
            </w:pPr>
            <w:r>
              <w:rPr>
                <w:rFonts w:ascii="Courier New" w:cs="Courier New" w:eastAsia="Courier New" w:hAnsi="Courier New"/>
                <w:sz w:val="14"/>
                <w:szCs w:val="14"/>
                <w:color w:val="auto"/>
                <w:w w:val="94"/>
              </w:rPr>
              <w:t>$</w:t>
            </w: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w:t>
            </w:r>
          </w:p>
        </w:tc>
      </w:tr>
      <w:tr>
        <w:trPr>
          <w:trHeight w:val="163"/>
        </w:trPr>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Severance and other employee costs</w:t>
            </w:r>
          </w:p>
        </w:tc>
        <w:tc>
          <w:tcPr>
            <w:tcW w:w="500" w:type="dxa"/>
            <w:vAlign w:val="bottom"/>
          </w:tcPr>
          <w:p>
            <w:pPr>
              <w:spacing w:after="0"/>
              <w:rPr>
                <w:sz w:val="14"/>
                <w:szCs w:val="14"/>
                <w:color w:val="auto"/>
              </w:rPr>
            </w:pPr>
          </w:p>
        </w:tc>
        <w:tc>
          <w:tcPr>
            <w:tcW w:w="7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1,229</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716</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513</w:t>
            </w:r>
          </w:p>
        </w:tc>
      </w:tr>
      <w:tr>
        <w:trPr>
          <w:trHeight w:val="163"/>
        </w:trPr>
        <w:tc>
          <w:tcPr>
            <w:tcW w:w="3100" w:type="dxa"/>
            <w:vAlign w:val="bottom"/>
          </w:tcPr>
          <w:p>
            <w:pPr>
              <w:spacing w:after="0"/>
              <w:rPr>
                <w:sz w:val="14"/>
                <w:szCs w:val="14"/>
                <w:color w:val="auto"/>
              </w:rPr>
            </w:pP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10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50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2,312</w:t>
            </w:r>
          </w:p>
        </w:tc>
        <w:tc>
          <w:tcPr>
            <w:tcW w:w="12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$ 1,083</w:t>
            </w:r>
          </w:p>
        </w:tc>
        <w:tc>
          <w:tcPr>
            <w:tcW w:w="124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$ 716</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$ 513</w:t>
            </w:r>
          </w:p>
        </w:tc>
      </w:tr>
      <w:tr>
        <w:trPr>
          <w:trHeight w:val="163"/>
        </w:trPr>
        <w:tc>
          <w:tcPr>
            <w:tcW w:w="3100" w:type="dxa"/>
            <w:vAlign w:val="bottom"/>
          </w:tcPr>
          <w:p>
            <w:pPr>
              <w:spacing w:after="0"/>
              <w:rPr>
                <w:sz w:val="14"/>
                <w:szCs w:val="14"/>
                <w:color w:val="auto"/>
              </w:rPr>
            </w:pPr>
          </w:p>
        </w:tc>
        <w:tc>
          <w:tcPr>
            <w:tcW w:w="12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440" w:hanging="433"/>
        <w:spacing w:after="0"/>
        <w:tabs>
          <w:tab w:leader="none" w:pos="440" w:val="left"/>
        </w:tabs>
        <w:numPr>
          <w:ilvl w:val="0"/>
          <w:numId w:val="22"/>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Investments in Affiliated Companies</w:t>
      </w:r>
    </w:p>
    <w:p>
      <w:pPr>
        <w:spacing w:after="0" w:line="168" w:lineRule="exact"/>
        <w:rPr>
          <w:rFonts w:ascii="Courier New" w:cs="Courier New" w:eastAsia="Courier New" w:hAnsi="Courier New"/>
          <w:sz w:val="14"/>
          <w:szCs w:val="14"/>
          <w:b w:val="1"/>
          <w:bCs w:val="1"/>
          <w:color w:val="auto"/>
        </w:rPr>
      </w:pPr>
    </w:p>
    <w:p>
      <w:pPr>
        <w:ind w:left="440" w:right="343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Effective December 21, 2001, the Company sold its 50% ownership in NN General, LLC to its partner, General Bearing Corporation for cash of $622 and notes of $3,305. The notes are due in annual installments of $200 with the balance due on December 21, 2006. The notes bear interest at an average LIBOR (1.15% at December 31, 2003) plus 1.5%. In 2001, the Company recorded a non-cash loss on the sale of its investment in this joint venture of $144. Interest income on this note of $85 and $109 was recorded during 2003 and 2002, respectively, and has been included as a component of other income in the accompanying consolidated statement of income. Payments totaling $285 and $309 were received during 2003 and 2002, respectively which include $200 of principal and $85 and $109 of interest payments, respectively. At December 31, 2003, the note receivable balance is $2,905 and is included as a component of other non-current assets.</w:t>
      </w:r>
    </w:p>
    <w:p>
      <w:pPr>
        <w:spacing w:after="0" w:line="328" w:lineRule="exact"/>
        <w:rPr>
          <w:sz w:val="20"/>
          <w:szCs w:val="20"/>
          <w:color w:val="auto"/>
        </w:rPr>
      </w:pPr>
    </w:p>
    <w:p>
      <w:pPr>
        <w:jc w:val="both"/>
        <w:ind w:left="3320"/>
        <w:spacing w:after="0"/>
        <w:tabs>
          <w:tab w:leader="none" w:pos="6020" w:val="left"/>
        </w:tabs>
        <w:rPr>
          <w:sz w:val="20"/>
          <w:szCs w:val="20"/>
          <w:color w:val="auto"/>
        </w:rPr>
      </w:pPr>
      <w:r>
        <w:rPr>
          <w:rFonts w:ascii="Courier New" w:cs="Courier New" w:eastAsia="Courier New" w:hAnsi="Courier New"/>
          <w:sz w:val="14"/>
          <w:szCs w:val="14"/>
          <w:color w:val="auto"/>
        </w:rPr>
        <w:t>46</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960" w:type="dxa"/>
            <w:vAlign w:val="bottom"/>
          </w:tcPr>
          <w:p>
            <w:pPr>
              <w:spacing w:after="0"/>
              <w:rPr>
                <w:sz w:val="20"/>
                <w:szCs w:val="20"/>
                <w:color w:val="auto"/>
              </w:rPr>
            </w:pPr>
            <w:r>
              <w:rPr>
                <w:rFonts w:ascii="Courier New" w:cs="Courier New" w:eastAsia="Courier New" w:hAnsi="Courier New"/>
                <w:sz w:val="14"/>
                <w:szCs w:val="14"/>
                <w:b w:val="1"/>
                <w:bCs w:val="1"/>
                <w:color w:val="auto"/>
              </w:rPr>
              <w:t>5)   Accounts Receivable</w:t>
            </w: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27"/>
        </w:trPr>
        <w:tc>
          <w:tcPr>
            <w:tcW w:w="3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80" w:type="dxa"/>
            <w:vAlign w:val="bottom"/>
            <w:gridSpan w:val="2"/>
          </w:tcPr>
          <w:p>
            <w:pPr>
              <w:jc w:val="right"/>
              <w:ind w:right="609"/>
              <w:spacing w:after="0"/>
              <w:rPr>
                <w:sz w:val="20"/>
                <w:szCs w:val="20"/>
                <w:color w:val="auto"/>
              </w:rPr>
            </w:pPr>
            <w:r>
              <w:rPr>
                <w:rFonts w:ascii="Courier New" w:cs="Courier New" w:eastAsia="Courier New" w:hAnsi="Courier New"/>
                <w:sz w:val="14"/>
                <w:szCs w:val="14"/>
                <w:b w:val="1"/>
                <w:bCs w:val="1"/>
                <w:color w:val="auto"/>
              </w:rPr>
              <w:t>December 31,</w:t>
            </w:r>
          </w:p>
        </w:tc>
      </w:tr>
      <w:tr>
        <w:trPr>
          <w:trHeight w:val="163"/>
        </w:trPr>
        <w:tc>
          <w:tcPr>
            <w:tcW w:w="3960" w:type="dxa"/>
            <w:vAlign w:val="bottom"/>
          </w:tcPr>
          <w:p>
            <w:pPr>
              <w:spacing w:after="0"/>
              <w:rPr>
                <w:sz w:val="14"/>
                <w:szCs w:val="14"/>
                <w:color w:val="auto"/>
              </w:rPr>
            </w:pPr>
          </w:p>
        </w:tc>
        <w:tc>
          <w:tcPr>
            <w:tcW w:w="1440" w:type="dxa"/>
            <w:vAlign w:val="bottom"/>
            <w:gridSpan w:val="2"/>
          </w:tcPr>
          <w:p>
            <w:pPr>
              <w:ind w:left="640"/>
              <w:spacing w:after="0"/>
              <w:rPr>
                <w:sz w:val="20"/>
                <w:szCs w:val="20"/>
                <w:color w:val="auto"/>
              </w:rPr>
            </w:pPr>
            <w:r>
              <w:rPr>
                <w:rFonts w:ascii="Courier New" w:cs="Courier New" w:eastAsia="Courier New" w:hAnsi="Courier New"/>
                <w:sz w:val="14"/>
                <w:szCs w:val="14"/>
                <w:b w:val="1"/>
                <w:bCs w:val="1"/>
                <w:color w:val="auto"/>
              </w:rPr>
              <w:t>2003</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2002</w:t>
            </w:r>
          </w:p>
        </w:tc>
      </w:tr>
      <w:tr>
        <w:trPr>
          <w:trHeight w:val="163"/>
        </w:trPr>
        <w:tc>
          <w:tcPr>
            <w:tcW w:w="3960" w:type="dxa"/>
            <w:vAlign w:val="bottom"/>
          </w:tcPr>
          <w:p>
            <w:pPr>
              <w:spacing w:after="0"/>
              <w:rPr>
                <w:sz w:val="14"/>
                <w:szCs w:val="14"/>
                <w:color w:val="auto"/>
              </w:rPr>
            </w:pPr>
          </w:p>
        </w:tc>
        <w:tc>
          <w:tcPr>
            <w:tcW w:w="14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Trade</w:t>
            </w:r>
          </w:p>
        </w:tc>
        <w:tc>
          <w:tcPr>
            <w:tcW w:w="8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42,644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$ 30,631</w:t>
            </w:r>
          </w:p>
        </w:tc>
      </w:tr>
      <w:tr>
        <w:trPr>
          <w:trHeight w:val="163"/>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Less - Allowance for doubtful accounts</w:t>
            </w:r>
          </w:p>
        </w:tc>
        <w:tc>
          <w:tcPr>
            <w:tcW w:w="8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1,780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1,666</w:t>
            </w:r>
          </w:p>
        </w:tc>
      </w:tr>
      <w:tr>
        <w:trPr>
          <w:trHeight w:val="163"/>
        </w:trPr>
        <w:tc>
          <w:tcPr>
            <w:tcW w:w="3960" w:type="dxa"/>
            <w:vAlign w:val="bottom"/>
          </w:tcPr>
          <w:p>
            <w:pPr>
              <w:spacing w:after="0"/>
              <w:rPr>
                <w:sz w:val="14"/>
                <w:szCs w:val="14"/>
                <w:color w:val="auto"/>
              </w:rPr>
            </w:pPr>
          </w:p>
        </w:tc>
        <w:tc>
          <w:tcPr>
            <w:tcW w:w="14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960" w:type="dxa"/>
            <w:vAlign w:val="bottom"/>
          </w:tcPr>
          <w:p>
            <w:pPr>
              <w:ind w:left="520"/>
              <w:spacing w:after="0"/>
              <w:rPr>
                <w:sz w:val="20"/>
                <w:szCs w:val="20"/>
                <w:color w:val="auto"/>
              </w:rPr>
            </w:pPr>
            <w:r>
              <w:rPr>
                <w:rFonts w:ascii="Courier New" w:cs="Courier New" w:eastAsia="Courier New" w:hAnsi="Courier New"/>
                <w:sz w:val="14"/>
                <w:szCs w:val="14"/>
                <w:color w:val="auto"/>
              </w:rPr>
              <w:t>Accounts receivable, net</w:t>
            </w:r>
          </w:p>
        </w:tc>
        <w:tc>
          <w:tcPr>
            <w:tcW w:w="8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40,864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$ 28,965</w:t>
            </w:r>
          </w:p>
        </w:tc>
      </w:tr>
      <w:tr>
        <w:trPr>
          <w:trHeight w:val="163"/>
        </w:trPr>
        <w:tc>
          <w:tcPr>
            <w:tcW w:w="3960" w:type="dxa"/>
            <w:vAlign w:val="bottom"/>
          </w:tcPr>
          <w:p>
            <w:pPr>
              <w:spacing w:after="0"/>
              <w:rPr>
                <w:sz w:val="14"/>
                <w:szCs w:val="14"/>
                <w:color w:val="auto"/>
              </w:rPr>
            </w:pPr>
          </w:p>
        </w:tc>
        <w:tc>
          <w:tcPr>
            <w:tcW w:w="14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Activity in the allowance for doubtful accounts is as follows:</w:t>
      </w:r>
    </w:p>
    <w:p>
      <w:pPr>
        <w:spacing w:after="0" w:line="331" w:lineRule="exact"/>
        <w:rPr>
          <w:sz w:val="20"/>
          <w:szCs w:val="20"/>
          <w:color w:val="auto"/>
        </w:rPr>
      </w:pPr>
    </w:p>
    <w:tbl>
      <w:tblPr>
        <w:tblLayout w:type="fixed"/>
        <w:tblInd w:w="520" w:type="dxa"/>
        <w:tblCellMar>
          <w:top w:w="0" w:type="dxa"/>
          <w:left w:w="0" w:type="dxa"/>
          <w:bottom w:w="0" w:type="dxa"/>
          <w:right w:w="0" w:type="dxa"/>
        </w:tblCellMar>
      </w:tblPr>
      <w:tr>
        <w:trPr>
          <w:trHeight w:val="160"/>
        </w:trPr>
        <w:tc>
          <w:tcPr>
            <w:tcW w:w="1780" w:type="dxa"/>
            <w:vAlign w:val="bottom"/>
          </w:tcPr>
          <w:p>
            <w:pPr>
              <w:ind w:left="340"/>
              <w:spacing w:after="0"/>
              <w:rPr>
                <w:sz w:val="20"/>
                <w:szCs w:val="20"/>
                <w:color w:val="auto"/>
              </w:rPr>
            </w:pPr>
            <w:r>
              <w:rPr>
                <w:rFonts w:ascii="Courier New" w:cs="Courier New" w:eastAsia="Courier New" w:hAnsi="Courier New"/>
                <w:sz w:val="14"/>
                <w:szCs w:val="14"/>
                <w:b w:val="1"/>
                <w:bCs w:val="1"/>
                <w:color w:val="auto"/>
              </w:rPr>
              <w:t>Description</w:t>
            </w:r>
          </w:p>
        </w:tc>
        <w:tc>
          <w:tcPr>
            <w:tcW w:w="1440" w:type="dxa"/>
            <w:vAlign w:val="bottom"/>
            <w:gridSpan w:val="2"/>
          </w:tcPr>
          <w:p>
            <w:pPr>
              <w:jc w:val="center"/>
              <w:ind w:left="9"/>
              <w:spacing w:after="0"/>
              <w:rPr>
                <w:sz w:val="20"/>
                <w:szCs w:val="20"/>
                <w:color w:val="auto"/>
              </w:rPr>
            </w:pPr>
            <w:r>
              <w:rPr>
                <w:rFonts w:ascii="Courier New" w:cs="Courier New" w:eastAsia="Courier New" w:hAnsi="Courier New"/>
                <w:sz w:val="14"/>
                <w:szCs w:val="14"/>
                <w:b w:val="1"/>
                <w:bCs w:val="1"/>
                <w:color w:val="auto"/>
                <w:w w:val="99"/>
              </w:rPr>
              <w:t>Balance at</w:t>
            </w: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3"/>
        </w:trPr>
        <w:tc>
          <w:tcPr>
            <w:tcW w:w="1780" w:type="dxa"/>
            <w:vAlign w:val="bottom"/>
          </w:tcPr>
          <w:p>
            <w:pPr>
              <w:spacing w:after="0"/>
              <w:rPr>
                <w:sz w:val="14"/>
                <w:szCs w:val="14"/>
                <w:color w:val="auto"/>
              </w:rPr>
            </w:pPr>
          </w:p>
        </w:tc>
        <w:tc>
          <w:tcPr>
            <w:tcW w:w="1440" w:type="dxa"/>
            <w:vAlign w:val="bottom"/>
            <w:gridSpan w:val="2"/>
          </w:tcPr>
          <w:p>
            <w:pPr>
              <w:jc w:val="center"/>
              <w:ind w:left="29"/>
              <w:spacing w:after="0"/>
              <w:rPr>
                <w:sz w:val="20"/>
                <w:szCs w:val="20"/>
                <w:color w:val="auto"/>
              </w:rPr>
            </w:pPr>
            <w:r>
              <w:rPr>
                <w:rFonts w:ascii="Courier New" w:cs="Courier New" w:eastAsia="Courier New" w:hAnsi="Courier New"/>
                <w:sz w:val="14"/>
                <w:szCs w:val="14"/>
                <w:b w:val="1"/>
                <w:bCs w:val="1"/>
                <w:color w:val="auto"/>
              </w:rPr>
              <w:t>beginning of</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right"/>
              <w:ind w:right="109"/>
              <w:spacing w:after="0"/>
              <w:rPr>
                <w:sz w:val="20"/>
                <w:szCs w:val="20"/>
                <w:color w:val="auto"/>
              </w:rPr>
            </w:pPr>
            <w:r>
              <w:rPr>
                <w:rFonts w:ascii="Courier New" w:cs="Courier New" w:eastAsia="Courier New" w:hAnsi="Courier New"/>
                <w:sz w:val="14"/>
                <w:szCs w:val="14"/>
                <w:b w:val="1"/>
                <w:bCs w:val="1"/>
                <w:color w:val="auto"/>
              </w:rPr>
              <w:t>Balance at</w:t>
            </w:r>
          </w:p>
        </w:tc>
      </w:tr>
      <w:tr>
        <w:trPr>
          <w:trHeight w:val="163"/>
        </w:trPr>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center"/>
              <w:ind w:right="429"/>
              <w:spacing w:after="0"/>
              <w:rPr>
                <w:sz w:val="20"/>
                <w:szCs w:val="20"/>
                <w:color w:val="auto"/>
              </w:rPr>
            </w:pPr>
            <w:r>
              <w:rPr>
                <w:rFonts w:ascii="Courier New" w:cs="Courier New" w:eastAsia="Courier New" w:hAnsi="Courier New"/>
                <w:sz w:val="14"/>
                <w:szCs w:val="14"/>
                <w:b w:val="1"/>
                <w:bCs w:val="1"/>
                <w:color w:val="auto"/>
              </w:rPr>
              <w:t>year</w:t>
            </w:r>
          </w:p>
        </w:tc>
        <w:tc>
          <w:tcPr>
            <w:tcW w:w="128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rPr>
              <w:t>Additions</w:t>
            </w:r>
          </w:p>
        </w:tc>
        <w:tc>
          <w:tcPr>
            <w:tcW w:w="1180" w:type="dxa"/>
            <w:vAlign w:val="bottom"/>
            <w:gridSpan w:val="2"/>
          </w:tcPr>
          <w:p>
            <w:pPr>
              <w:jc w:val="right"/>
              <w:ind w:right="89"/>
              <w:spacing w:after="0"/>
              <w:rPr>
                <w:sz w:val="20"/>
                <w:szCs w:val="20"/>
                <w:color w:val="auto"/>
              </w:rPr>
            </w:pPr>
            <w:r>
              <w:rPr>
                <w:rFonts w:ascii="Courier New" w:cs="Courier New" w:eastAsia="Courier New" w:hAnsi="Courier New"/>
                <w:sz w:val="14"/>
                <w:szCs w:val="14"/>
                <w:b w:val="1"/>
                <w:bCs w:val="1"/>
                <w:color w:val="auto"/>
              </w:rPr>
              <w:t>Write-offs</w:t>
            </w:r>
          </w:p>
        </w:tc>
        <w:tc>
          <w:tcPr>
            <w:tcW w:w="1200" w:type="dxa"/>
            <w:vAlign w:val="bottom"/>
            <w:gridSpan w:val="2"/>
          </w:tcPr>
          <w:p>
            <w:pPr>
              <w:jc w:val="center"/>
              <w:ind w:left="29"/>
              <w:spacing w:after="0"/>
              <w:rPr>
                <w:sz w:val="20"/>
                <w:szCs w:val="20"/>
                <w:color w:val="auto"/>
              </w:rPr>
            </w:pPr>
            <w:r>
              <w:rPr>
                <w:rFonts w:ascii="Courier New" w:cs="Courier New" w:eastAsia="Courier New" w:hAnsi="Courier New"/>
                <w:sz w:val="14"/>
                <w:szCs w:val="14"/>
                <w:b w:val="1"/>
                <w:bCs w:val="1"/>
                <w:color w:val="auto"/>
              </w:rPr>
              <w:t>end of year</w:t>
            </w:r>
          </w:p>
        </w:tc>
      </w:tr>
      <w:tr>
        <w:trPr>
          <w:trHeight w:val="163"/>
        </w:trPr>
        <w:tc>
          <w:tcPr>
            <w:tcW w:w="1780" w:type="dxa"/>
            <w:vAlign w:val="bottom"/>
          </w:tcPr>
          <w:p>
            <w:pPr>
              <w:spacing w:after="0"/>
              <w:rPr>
                <w:sz w:val="14"/>
                <w:szCs w:val="14"/>
                <w:color w:val="auto"/>
              </w:rPr>
            </w:pPr>
          </w:p>
        </w:tc>
        <w:tc>
          <w:tcPr>
            <w:tcW w:w="1440" w:type="dxa"/>
            <w:vAlign w:val="bottom"/>
            <w:gridSpan w:val="2"/>
          </w:tcPr>
          <w:p>
            <w:pPr>
              <w:jc w:val="center"/>
              <w:ind w:left="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center"/>
              <w:ind w:left="29"/>
              <w:spacing w:after="0"/>
              <w:rPr>
                <w:sz w:val="20"/>
                <w:szCs w:val="20"/>
                <w:color w:val="auto"/>
              </w:rPr>
            </w:pPr>
            <w:r>
              <w:rPr>
                <w:rFonts w:ascii="Courier New" w:cs="Courier New" w:eastAsia="Courier New" w:hAnsi="Courier New"/>
                <w:sz w:val="14"/>
                <w:szCs w:val="14"/>
                <w:color w:val="auto"/>
              </w:rPr>
              <w:t>-------------</w:t>
            </w:r>
          </w:p>
        </w:tc>
      </w:tr>
      <w:tr>
        <w:trPr>
          <w:trHeight w:val="327"/>
        </w:trPr>
        <w:tc>
          <w:tcPr>
            <w:tcW w:w="1780" w:type="dxa"/>
            <w:vAlign w:val="bottom"/>
          </w:tcPr>
          <w:p>
            <w:pPr>
              <w:spacing w:after="0"/>
              <w:rPr>
                <w:sz w:val="20"/>
                <w:szCs w:val="20"/>
                <w:color w:val="auto"/>
              </w:rPr>
            </w:pPr>
            <w:r>
              <w:rPr>
                <w:rFonts w:ascii="Courier New" w:cs="Courier New" w:eastAsia="Courier New" w:hAnsi="Courier New"/>
                <w:sz w:val="14"/>
                <w:szCs w:val="14"/>
                <w:b w:val="1"/>
                <w:bCs w:val="1"/>
                <w:color w:val="auto"/>
              </w:rPr>
              <w:t>December 31, 2002</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3"/>
        </w:trPr>
        <w:tc>
          <w:tcPr>
            <w:tcW w:w="1780" w:type="dxa"/>
            <w:vAlign w:val="bottom"/>
          </w:tcPr>
          <w:p>
            <w:pPr>
              <w:spacing w:after="0"/>
              <w:rPr>
                <w:sz w:val="20"/>
                <w:szCs w:val="20"/>
                <w:color w:val="auto"/>
              </w:rPr>
            </w:pPr>
            <w:r>
              <w:rPr>
                <w:rFonts w:ascii="Courier New" w:cs="Courier New" w:eastAsia="Courier New" w:hAnsi="Courier New"/>
                <w:sz w:val="14"/>
                <w:szCs w:val="14"/>
                <w:color w:val="auto"/>
              </w:rPr>
              <w:t>Allowance for</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doubtful accounts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1,791</w:t>
            </w:r>
          </w:p>
        </w:tc>
        <w:tc>
          <w:tcPr>
            <w:tcW w:w="820" w:type="dxa"/>
            <w:vAlign w:val="bottom"/>
          </w:tcPr>
          <w:p>
            <w:pPr>
              <w:jc w:val="center"/>
              <w:ind w:left="389"/>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263</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1,666</w:t>
            </w:r>
          </w:p>
        </w:tc>
      </w:tr>
      <w:tr>
        <w:trPr>
          <w:trHeight w:val="163"/>
        </w:trPr>
        <w:tc>
          <w:tcPr>
            <w:tcW w:w="1780" w:type="dxa"/>
            <w:vAlign w:val="bottom"/>
          </w:tcPr>
          <w:p>
            <w:pPr>
              <w:spacing w:after="0"/>
              <w:rPr>
                <w:sz w:val="14"/>
                <w:szCs w:val="14"/>
                <w:color w:val="auto"/>
              </w:rPr>
            </w:pPr>
          </w:p>
        </w:tc>
        <w:tc>
          <w:tcPr>
            <w:tcW w:w="1440" w:type="dxa"/>
            <w:vAlign w:val="bottom"/>
            <w:gridSpan w:val="2"/>
          </w:tcPr>
          <w:p>
            <w:pPr>
              <w:jc w:val="center"/>
              <w:ind w:left="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center"/>
              <w:ind w:left="29"/>
              <w:spacing w:after="0"/>
              <w:rPr>
                <w:sz w:val="20"/>
                <w:szCs w:val="20"/>
                <w:color w:val="auto"/>
              </w:rPr>
            </w:pPr>
            <w:r>
              <w:rPr>
                <w:rFonts w:ascii="Courier New" w:cs="Courier New" w:eastAsia="Courier New" w:hAnsi="Courier New"/>
                <w:sz w:val="14"/>
                <w:szCs w:val="14"/>
                <w:color w:val="auto"/>
              </w:rPr>
              <w:t>=============</w:t>
            </w:r>
          </w:p>
        </w:tc>
      </w:tr>
      <w:tr>
        <w:trPr>
          <w:trHeight w:val="327"/>
        </w:trPr>
        <w:tc>
          <w:tcPr>
            <w:tcW w:w="1780" w:type="dxa"/>
            <w:vAlign w:val="bottom"/>
          </w:tcPr>
          <w:p>
            <w:pPr>
              <w:spacing w:after="0"/>
              <w:rPr>
                <w:sz w:val="20"/>
                <w:szCs w:val="20"/>
                <w:color w:val="auto"/>
              </w:rPr>
            </w:pPr>
            <w:r>
              <w:rPr>
                <w:rFonts w:ascii="Courier New" w:cs="Courier New" w:eastAsia="Courier New" w:hAnsi="Courier New"/>
                <w:sz w:val="14"/>
                <w:szCs w:val="14"/>
                <w:b w:val="1"/>
                <w:bCs w:val="1"/>
                <w:color w:val="auto"/>
              </w:rPr>
              <w:t>December 31, 2003</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3"/>
        </w:trPr>
        <w:tc>
          <w:tcPr>
            <w:tcW w:w="1780" w:type="dxa"/>
            <w:vAlign w:val="bottom"/>
          </w:tcPr>
          <w:p>
            <w:pPr>
              <w:spacing w:after="0"/>
              <w:rPr>
                <w:sz w:val="20"/>
                <w:szCs w:val="20"/>
                <w:color w:val="auto"/>
              </w:rPr>
            </w:pPr>
            <w:r>
              <w:rPr>
                <w:rFonts w:ascii="Courier New" w:cs="Courier New" w:eastAsia="Courier New" w:hAnsi="Courier New"/>
                <w:sz w:val="14"/>
                <w:szCs w:val="14"/>
                <w:color w:val="auto"/>
              </w:rPr>
              <w:t>Allowance for</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1780" w:type="dxa"/>
            <w:vAlign w:val="bottom"/>
          </w:tcPr>
          <w:p>
            <w:pPr>
              <w:ind w:left="160"/>
              <w:spacing w:after="0"/>
              <w:rPr>
                <w:sz w:val="20"/>
                <w:szCs w:val="20"/>
                <w:color w:val="auto"/>
              </w:rPr>
            </w:pPr>
            <w:r>
              <w:rPr>
                <w:rFonts w:ascii="Courier New" w:cs="Courier New" w:eastAsia="Courier New" w:hAnsi="Courier New"/>
                <w:sz w:val="14"/>
                <w:szCs w:val="14"/>
                <w:color w:val="auto"/>
              </w:rPr>
              <w:t>doubtful accounts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1,666</w:t>
            </w:r>
          </w:p>
        </w:tc>
        <w:tc>
          <w:tcPr>
            <w:tcW w:w="820" w:type="dxa"/>
            <w:vAlign w:val="bottom"/>
          </w:tcPr>
          <w:p>
            <w:pPr>
              <w:jc w:val="center"/>
              <w:ind w:left="389"/>
              <w:spacing w:after="0"/>
              <w:rPr>
                <w:sz w:val="20"/>
                <w:szCs w:val="20"/>
                <w:color w:val="auto"/>
              </w:rPr>
            </w:pPr>
            <w:r>
              <w:rPr>
                <w:rFonts w:ascii="Courier New" w:cs="Courier New" w:eastAsia="Courier New" w:hAnsi="Courier New"/>
                <w:sz w:val="14"/>
                <w:szCs w:val="14"/>
                <w:color w:val="auto"/>
                <w:w w:val="94"/>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183</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69</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1,780</w:t>
            </w:r>
          </w:p>
        </w:tc>
      </w:tr>
      <w:tr>
        <w:trPr>
          <w:trHeight w:val="163"/>
        </w:trPr>
        <w:tc>
          <w:tcPr>
            <w:tcW w:w="1780" w:type="dxa"/>
            <w:vAlign w:val="bottom"/>
          </w:tcPr>
          <w:p>
            <w:pPr>
              <w:spacing w:after="0"/>
              <w:rPr>
                <w:sz w:val="14"/>
                <w:szCs w:val="14"/>
                <w:color w:val="auto"/>
              </w:rPr>
            </w:pPr>
          </w:p>
        </w:tc>
        <w:tc>
          <w:tcPr>
            <w:tcW w:w="1440" w:type="dxa"/>
            <w:vAlign w:val="bottom"/>
            <w:gridSpan w:val="2"/>
          </w:tcPr>
          <w:p>
            <w:pPr>
              <w:jc w:val="center"/>
              <w:ind w:left="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center"/>
              <w:ind w:left="29"/>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440" w:right="3519"/>
        <w:spacing w:after="0" w:line="247" w:lineRule="auto"/>
        <w:rPr>
          <w:sz w:val="20"/>
          <w:szCs w:val="20"/>
          <w:color w:val="auto"/>
        </w:rPr>
      </w:pPr>
      <w:r>
        <w:rPr>
          <w:rFonts w:ascii="Courier New" w:cs="Courier New" w:eastAsia="Courier New" w:hAnsi="Courier New"/>
          <w:sz w:val="14"/>
          <w:szCs w:val="14"/>
          <w:color w:val="auto"/>
        </w:rPr>
        <w:t>On November 6, 2001, a customer of IMC filed for voluntary Chapter 7 bankruptcy. As of December 31, 2003 and 2002, we had a trade accounts receivable balance of approximately $829 with this customer. For the years ended December 31, 2003, 2002 and 2001, the Company recorded sales of approximately $0, $0 and $1,900 to this customer. As of December 31, 2001, the Company increased its allowance for doubtful accounts by approximately $829 as a result of this bankruptcy filing. This receivable is fully reserved as of December 31, 2001, 2002 and 2003.</w:t>
      </w:r>
    </w:p>
    <w:p>
      <w:pPr>
        <w:spacing w:after="0" w:line="164" w:lineRule="exact"/>
        <w:rPr>
          <w:sz w:val="20"/>
          <w:szCs w:val="20"/>
          <w:color w:val="auto"/>
        </w:rPr>
      </w:pPr>
    </w:p>
    <w:p>
      <w:pPr>
        <w:ind w:left="440" w:hanging="433"/>
        <w:spacing w:after="0"/>
        <w:tabs>
          <w:tab w:leader="none" w:pos="440" w:val="left"/>
        </w:tabs>
        <w:numPr>
          <w:ilvl w:val="0"/>
          <w:numId w:val="23"/>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Inventories</w:t>
      </w:r>
    </w:p>
    <w:p>
      <w:pPr>
        <w:spacing w:after="0" w:line="331"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b w:val="1"/>
          <w:bCs w:val="1"/>
          <w:color w:val="auto"/>
        </w:rPr>
        <w:t>December 31,</w:t>
      </w:r>
    </w:p>
    <w:p>
      <w:pPr>
        <w:spacing w:after="0" w:line="168" w:lineRule="exact"/>
        <w:rPr>
          <w:sz w:val="20"/>
          <w:szCs w:val="20"/>
          <w:color w:val="auto"/>
        </w:rPr>
      </w:pPr>
    </w:p>
    <w:p>
      <w:pPr>
        <w:ind w:left="3060"/>
        <w:spacing w:after="0"/>
        <w:tabs>
          <w:tab w:leader="none" w:pos="4660" w:val="left"/>
        </w:tabs>
        <w:rPr>
          <w:sz w:val="20"/>
          <w:szCs w:val="20"/>
          <w:color w:val="auto"/>
        </w:rPr>
      </w:pPr>
      <w:r>
        <w:rPr>
          <w:rFonts w:ascii="Courier New" w:cs="Courier New" w:eastAsia="Courier New" w:hAnsi="Courier New"/>
          <w:sz w:val="14"/>
          <w:szCs w:val="14"/>
          <w:b w:val="1"/>
          <w:bCs w:val="1"/>
          <w:color w:val="auto"/>
        </w:rPr>
        <w:t>2003</w:t>
      </w:r>
      <w:r>
        <w:rPr>
          <w:sz w:val="20"/>
          <w:szCs w:val="20"/>
          <w:color w:val="auto"/>
        </w:rPr>
        <w:tab/>
      </w:r>
      <w:r>
        <w:rPr>
          <w:rFonts w:ascii="Courier New" w:cs="Courier New" w:eastAsia="Courier New" w:hAnsi="Courier New"/>
          <w:sz w:val="14"/>
          <w:szCs w:val="14"/>
          <w:b w:val="1"/>
          <w:bCs w:val="1"/>
          <w:color w:val="auto"/>
        </w:rPr>
        <w:t>2002</w:t>
      </w:r>
    </w:p>
    <w:p>
      <w:pPr>
        <w:spacing w:after="0" w:line="5" w:lineRule="exact"/>
        <w:rPr>
          <w:sz w:val="20"/>
          <w:szCs w:val="20"/>
          <w:color w:val="auto"/>
        </w:rPr>
      </w:pPr>
    </w:p>
    <w:p>
      <w:pPr>
        <w:ind w:left="2560"/>
        <w:spacing w:after="0"/>
        <w:tabs>
          <w:tab w:leader="none" w:pos="4140" w:val="left"/>
        </w:tabs>
        <w:rPr>
          <w:sz w:val="20"/>
          <w:szCs w:val="20"/>
          <w:color w:val="auto"/>
        </w:rPr>
      </w:pPr>
      <w:r>
        <w:rPr>
          <w:rFonts w:ascii="Courier New" w:cs="Courier New" w:eastAsia="Courier New" w:hAnsi="Courier New"/>
          <w:sz w:val="14"/>
          <w:szCs w:val="14"/>
          <w:color w:val="auto"/>
        </w:rPr>
        <w:t>----------------</w:t>
        <w:tab/>
        <w:t>----------------</w:t>
      </w:r>
    </w:p>
    <w:p>
      <w:pPr>
        <w:sectPr>
          <w:pgSz w:w="11900" w:h="16838" w:orient="portrait"/>
          <w:cols w:equalWidth="0" w:num="1">
            <w:col w:w="10239"/>
          </w:cols>
          <w:pgMar w:left="220" w:top="141" w:right="1440" w:bottom="0" w:gutter="0" w:footer="0" w:header="0"/>
        </w:sectPr>
      </w:pPr>
    </w:p>
    <w:bookmarkStart w:id="36" w:name="page37"/>
    <w:bookmarkEnd w:id="36"/>
    <w:tbl>
      <w:tblPr>
        <w:tblLayout w:type="fixed"/>
        <w:tblInd w:w="440" w:type="dxa"/>
        <w:tblCellMar>
          <w:top w:w="0" w:type="dxa"/>
          <w:left w:w="0" w:type="dxa"/>
          <w:bottom w:w="0" w:type="dxa"/>
          <w:right w:w="0" w:type="dxa"/>
        </w:tblCellMar>
      </w:tblPr>
      <w:tr>
        <w:trPr>
          <w:trHeight w:val="160"/>
        </w:trPr>
        <w:tc>
          <w:tcPr>
            <w:tcW w:w="198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8,492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5,400</w:t>
            </w:r>
          </w:p>
        </w:tc>
      </w:tr>
      <w:tr>
        <w:trPr>
          <w:trHeight w:val="163"/>
        </w:trPr>
        <w:tc>
          <w:tcPr>
            <w:tcW w:w="19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68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6,808</w:t>
            </w:r>
          </w:p>
        </w:tc>
        <w:tc>
          <w:tcPr>
            <w:tcW w:w="56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5,139</w:t>
            </w:r>
          </w:p>
        </w:tc>
      </w:tr>
      <w:tr>
        <w:trPr>
          <w:trHeight w:val="163"/>
        </w:trPr>
        <w:tc>
          <w:tcPr>
            <w:tcW w:w="19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68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22,128</w:t>
            </w:r>
          </w:p>
        </w:tc>
        <w:tc>
          <w:tcPr>
            <w:tcW w:w="560" w:type="dxa"/>
            <w:vAlign w:val="bottom"/>
          </w:tcPr>
          <w:p>
            <w:pPr>
              <w:spacing w:after="0"/>
              <w:rPr>
                <w:sz w:val="14"/>
                <w:szCs w:val="1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13,065</w:t>
            </w:r>
          </w:p>
        </w:tc>
      </w:tr>
      <w:tr>
        <w:trPr>
          <w:trHeight w:val="163"/>
        </w:trPr>
        <w:tc>
          <w:tcPr>
            <w:tcW w:w="1980" w:type="dxa"/>
            <w:vAlign w:val="bottom"/>
          </w:tcPr>
          <w:p>
            <w:pPr>
              <w:spacing w:after="0"/>
              <w:rPr>
                <w:sz w:val="20"/>
                <w:szCs w:val="20"/>
                <w:color w:val="auto"/>
              </w:rPr>
            </w:pPr>
            <w:r>
              <w:rPr>
                <w:rFonts w:ascii="Courier New" w:cs="Courier New" w:eastAsia="Courier New" w:hAnsi="Courier New"/>
                <w:sz w:val="14"/>
                <w:szCs w:val="14"/>
                <w:color w:val="auto"/>
              </w:rPr>
              <w:t>Less-inventory reserve</w:t>
            </w:r>
          </w:p>
        </w:tc>
        <w:tc>
          <w:tcPr>
            <w:tcW w:w="68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(1,150)</w:t>
            </w:r>
          </w:p>
        </w:tc>
        <w:tc>
          <w:tcPr>
            <w:tcW w:w="56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(202)</w:t>
            </w:r>
          </w:p>
        </w:tc>
      </w:tr>
      <w:tr>
        <w:trPr>
          <w:trHeight w:val="163"/>
        </w:trPr>
        <w:tc>
          <w:tcPr>
            <w:tcW w:w="1980" w:type="dxa"/>
            <w:vAlign w:val="bottom"/>
          </w:tcPr>
          <w:p>
            <w:pPr>
              <w:spacing w:after="0"/>
              <w:rPr>
                <w:sz w:val="14"/>
                <w:szCs w:val="14"/>
                <w:color w:val="auto"/>
              </w:rPr>
            </w:pPr>
          </w:p>
        </w:tc>
        <w:tc>
          <w:tcPr>
            <w:tcW w:w="16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1980" w:type="dxa"/>
            <w:vAlign w:val="bottom"/>
          </w:tcPr>
          <w:p>
            <w:pPr>
              <w:spacing w:after="0"/>
              <w:rPr>
                <w:sz w:val="20"/>
                <w:szCs w:val="20"/>
                <w:color w:val="auto"/>
              </w:rPr>
            </w:pPr>
            <w:r>
              <w:rPr>
                <w:rFonts w:ascii="Courier New" w:cs="Courier New" w:eastAsia="Courier New" w:hAnsi="Courier New"/>
                <w:sz w:val="14"/>
                <w:szCs w:val="14"/>
                <w:color w:val="auto"/>
              </w:rPr>
              <w:t>Inventories, net</w:t>
            </w:r>
          </w:p>
        </w:tc>
        <w:tc>
          <w:tcPr>
            <w:tcW w:w="680" w:type="dxa"/>
            <w:vAlign w:val="bottom"/>
          </w:tcPr>
          <w:p>
            <w:pPr>
              <w:spacing w:after="0"/>
              <w:rPr>
                <w:sz w:val="24"/>
                <w:szCs w:val="2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$36,278</w:t>
            </w:r>
          </w:p>
        </w:tc>
        <w:tc>
          <w:tcPr>
            <w:tcW w:w="560" w:type="dxa"/>
            <w:vAlign w:val="bottom"/>
          </w:tcPr>
          <w:p>
            <w:pPr>
              <w:spacing w:after="0"/>
              <w:rPr>
                <w:sz w:val="24"/>
                <w:szCs w:val="24"/>
                <w:color w:val="auto"/>
              </w:rPr>
            </w:pPr>
          </w:p>
        </w:tc>
        <w:tc>
          <w:tcPr>
            <w:tcW w:w="920" w:type="dxa"/>
            <w:vAlign w:val="bottom"/>
          </w:tcPr>
          <w:p>
            <w:pPr>
              <w:jc w:val="right"/>
              <w:ind w:right="169"/>
              <w:spacing w:after="0"/>
              <w:rPr>
                <w:sz w:val="20"/>
                <w:szCs w:val="20"/>
                <w:color w:val="auto"/>
              </w:rPr>
            </w:pPr>
            <w:r>
              <w:rPr>
                <w:rFonts w:ascii="Courier New" w:cs="Courier New" w:eastAsia="Courier New" w:hAnsi="Courier New"/>
                <w:sz w:val="14"/>
                <w:szCs w:val="14"/>
                <w:color w:val="auto"/>
                <w:w w:val="98"/>
              </w:rPr>
              <w:t>$ 23,402</w:t>
            </w:r>
          </w:p>
        </w:tc>
      </w:tr>
      <w:tr>
        <w:trPr>
          <w:trHeight w:val="163"/>
        </w:trPr>
        <w:tc>
          <w:tcPr>
            <w:tcW w:w="1980" w:type="dxa"/>
            <w:vAlign w:val="bottom"/>
          </w:tcPr>
          <w:p>
            <w:pPr>
              <w:spacing w:after="0"/>
              <w:rPr>
                <w:sz w:val="14"/>
                <w:szCs w:val="14"/>
                <w:color w:val="auto"/>
              </w:rPr>
            </w:pPr>
          </w:p>
        </w:tc>
        <w:tc>
          <w:tcPr>
            <w:tcW w:w="16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440" w:right="3699"/>
        <w:spacing w:after="0" w:line="249" w:lineRule="auto"/>
        <w:rPr>
          <w:sz w:val="20"/>
          <w:szCs w:val="20"/>
          <w:color w:val="auto"/>
        </w:rPr>
      </w:pPr>
      <w:r>
        <w:rPr>
          <w:rFonts w:ascii="Courier New" w:cs="Courier New" w:eastAsia="Courier New" w:hAnsi="Courier New"/>
          <w:sz w:val="14"/>
          <w:szCs w:val="14"/>
          <w:color w:val="auto"/>
        </w:rPr>
        <w:t>Inventory on consignment at December 31, 2003 and 2002 was approximately $3,046 and $3,093, respectively.</w:t>
      </w:r>
    </w:p>
    <w:p>
      <w:pPr>
        <w:spacing w:after="0" w:line="324" w:lineRule="exact"/>
        <w:rPr>
          <w:sz w:val="20"/>
          <w:szCs w:val="20"/>
          <w:color w:val="auto"/>
        </w:rPr>
      </w:pPr>
    </w:p>
    <w:p>
      <w:pPr>
        <w:ind w:left="3320"/>
        <w:spacing w:after="0"/>
        <w:tabs>
          <w:tab w:leader="none" w:pos="6020" w:val="left"/>
        </w:tabs>
        <w:rPr>
          <w:sz w:val="20"/>
          <w:szCs w:val="20"/>
          <w:color w:val="auto"/>
        </w:rPr>
      </w:pPr>
      <w:r>
        <w:rPr>
          <w:rFonts w:ascii="Courier New" w:cs="Courier New" w:eastAsia="Courier New" w:hAnsi="Courier New"/>
          <w:sz w:val="14"/>
          <w:szCs w:val="14"/>
          <w:color w:val="auto"/>
        </w:rPr>
        <w:t>47</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60" w:type="dxa"/>
            <w:vAlign w:val="bottom"/>
            <w:gridSpan w:val="2"/>
          </w:tcPr>
          <w:p>
            <w:pPr>
              <w:ind w:left="1880"/>
              <w:spacing w:after="0"/>
              <w:rPr>
                <w:sz w:val="20"/>
                <w:szCs w:val="20"/>
                <w:color w:val="auto"/>
              </w:rPr>
            </w:pPr>
            <w:r>
              <w:rPr>
                <w:rFonts w:ascii="Courier New" w:cs="Courier New" w:eastAsia="Courier New" w:hAnsi="Courier New"/>
                <w:sz w:val="14"/>
                <w:szCs w:val="14"/>
                <w:b w:val="1"/>
                <w:bCs w:val="1"/>
                <w:color w:val="auto"/>
              </w:rPr>
              <w:t>(In thousands, except per share data)</w:t>
            </w:r>
          </w:p>
        </w:tc>
        <w:tc>
          <w:tcPr>
            <w:tcW w:w="1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653"/>
        </w:trPr>
        <w:tc>
          <w:tcPr>
            <w:tcW w:w="3360" w:type="dxa"/>
            <w:vAlign w:val="bottom"/>
          </w:tcPr>
          <w:p>
            <w:pPr>
              <w:spacing w:after="0"/>
              <w:rPr>
                <w:sz w:val="20"/>
                <w:szCs w:val="20"/>
                <w:color w:val="auto"/>
              </w:rPr>
            </w:pPr>
            <w:r>
              <w:rPr>
                <w:rFonts w:ascii="Courier New" w:cs="Courier New" w:eastAsia="Courier New" w:hAnsi="Courier New"/>
                <w:sz w:val="14"/>
                <w:szCs w:val="14"/>
                <w:b w:val="1"/>
                <w:bCs w:val="1"/>
                <w:color w:val="auto"/>
              </w:rPr>
              <w:t>7)   Property, Plant and Equipment</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90"/>
        </w:trPr>
        <w:tc>
          <w:tcPr>
            <w:tcW w:w="3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40" w:type="dxa"/>
            <w:vAlign w:val="bottom"/>
            <w:gridSpan w:val="2"/>
          </w:tcPr>
          <w:p>
            <w:pPr>
              <w:jc w:val="right"/>
              <w:ind w:right="609"/>
              <w:spacing w:after="0"/>
              <w:rPr>
                <w:sz w:val="20"/>
                <w:szCs w:val="20"/>
                <w:color w:val="auto"/>
              </w:rPr>
            </w:pPr>
            <w:r>
              <w:rPr>
                <w:rFonts w:ascii="Courier New" w:cs="Courier New" w:eastAsia="Courier New" w:hAnsi="Courier New"/>
                <w:sz w:val="14"/>
                <w:szCs w:val="14"/>
                <w:b w:val="1"/>
                <w:bCs w:val="1"/>
                <w:color w:val="auto"/>
              </w:rPr>
              <w:t>December 31,</w:t>
            </w:r>
          </w:p>
        </w:tc>
      </w:tr>
      <w:tr>
        <w:trPr>
          <w:trHeight w:val="163"/>
        </w:trPr>
        <w:tc>
          <w:tcPr>
            <w:tcW w:w="3360" w:type="dxa"/>
            <w:vAlign w:val="bottom"/>
          </w:tcPr>
          <w:p>
            <w:pPr>
              <w:spacing w:after="0"/>
              <w:rPr>
                <w:sz w:val="14"/>
                <w:szCs w:val="14"/>
                <w:color w:val="auto"/>
              </w:rPr>
            </w:pPr>
          </w:p>
        </w:tc>
        <w:tc>
          <w:tcPr>
            <w:tcW w:w="1700" w:type="dxa"/>
            <w:vAlign w:val="bottom"/>
          </w:tcPr>
          <w:p>
            <w:pPr>
              <w:jc w:val="center"/>
              <w:ind w:right="29"/>
              <w:spacing w:after="0"/>
              <w:rPr>
                <w:sz w:val="20"/>
                <w:szCs w:val="20"/>
                <w:color w:val="auto"/>
              </w:rPr>
            </w:pPr>
            <w:r>
              <w:rPr>
                <w:rFonts w:ascii="Courier New" w:cs="Courier New" w:eastAsia="Courier New" w:hAnsi="Courier New"/>
                <w:sz w:val="14"/>
                <w:szCs w:val="14"/>
                <w:b w:val="1"/>
                <w:bCs w:val="1"/>
                <w:color w:val="auto"/>
              </w:rPr>
              <w:t>Estimated Useful</w:t>
            </w:r>
          </w:p>
        </w:tc>
        <w:tc>
          <w:tcPr>
            <w:tcW w:w="114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2003</w:t>
            </w: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b w:val="1"/>
                <w:bCs w:val="1"/>
                <w:color w:val="auto"/>
              </w:rPr>
              <w:t>2002</w:t>
            </w:r>
          </w:p>
        </w:tc>
      </w:tr>
      <w:tr>
        <w:trPr>
          <w:trHeight w:val="163"/>
        </w:trPr>
        <w:tc>
          <w:tcPr>
            <w:tcW w:w="3360" w:type="dxa"/>
            <w:vAlign w:val="bottom"/>
          </w:tcPr>
          <w:p>
            <w:pPr>
              <w:spacing w:after="0"/>
              <w:rPr>
                <w:sz w:val="14"/>
                <w:szCs w:val="14"/>
                <w:color w:val="auto"/>
              </w:rPr>
            </w:pPr>
          </w:p>
        </w:tc>
        <w:tc>
          <w:tcPr>
            <w:tcW w:w="1700" w:type="dxa"/>
            <w:vAlign w:val="bottom"/>
          </w:tcPr>
          <w:p>
            <w:pPr>
              <w:jc w:val="center"/>
              <w:ind w:right="9"/>
              <w:spacing w:after="0"/>
              <w:rPr>
                <w:sz w:val="20"/>
                <w:szCs w:val="20"/>
                <w:color w:val="auto"/>
              </w:rPr>
            </w:pPr>
            <w:r>
              <w:rPr>
                <w:rFonts w:ascii="Courier New" w:cs="Courier New" w:eastAsia="Courier New" w:hAnsi="Courier New"/>
                <w:sz w:val="14"/>
                <w:szCs w:val="14"/>
                <w:b w:val="1"/>
                <w:bCs w:val="1"/>
                <w:color w:val="auto"/>
              </w:rPr>
              <w:t>Life</w:t>
            </w: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3"/>
        </w:trPr>
        <w:tc>
          <w:tcPr>
            <w:tcW w:w="3360" w:type="dxa"/>
            <w:vAlign w:val="bottom"/>
          </w:tcPr>
          <w:p>
            <w:pPr>
              <w:spacing w:after="0"/>
              <w:rPr>
                <w:sz w:val="14"/>
                <w:szCs w:val="14"/>
                <w:color w:val="auto"/>
              </w:rPr>
            </w:pPr>
          </w:p>
        </w:tc>
        <w:tc>
          <w:tcPr>
            <w:tcW w:w="1700" w:type="dxa"/>
            <w:vAlign w:val="bottom"/>
          </w:tcPr>
          <w:p>
            <w:pPr>
              <w:jc w:val="center"/>
              <w:ind w:right="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Land</w:t>
            </w:r>
          </w:p>
        </w:tc>
        <w:tc>
          <w:tcPr>
            <w:tcW w:w="1700" w:type="dxa"/>
            <w:vAlign w:val="bottom"/>
          </w:tcPr>
          <w:p>
            <w:pPr>
              <w:spacing w:after="0"/>
              <w:rPr>
                <w:sz w:val="14"/>
                <w:szCs w:val="14"/>
                <w:color w:val="auto"/>
              </w:rPr>
            </w:pP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$ 7,940</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$ 2,058</w:t>
            </w:r>
          </w:p>
        </w:tc>
      </w:tr>
      <w:tr>
        <w:trPr>
          <w:trHeight w:val="163"/>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Buildings and improvements</w:t>
            </w:r>
          </w:p>
        </w:tc>
        <w:tc>
          <w:tcPr>
            <w:tcW w:w="17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10-40 years</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31,415</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23,877</w:t>
            </w:r>
          </w:p>
        </w:tc>
      </w:tr>
      <w:tr>
        <w:trPr>
          <w:trHeight w:val="163"/>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Machinery and equipment</w:t>
            </w:r>
          </w:p>
        </w:tc>
        <w:tc>
          <w:tcPr>
            <w:tcW w:w="17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3-10 years</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156,263</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113,197</w:t>
            </w:r>
          </w:p>
        </w:tc>
      </w:tr>
      <w:tr>
        <w:trPr>
          <w:trHeight w:val="163"/>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Construction in process</w:t>
            </w:r>
          </w:p>
        </w:tc>
        <w:tc>
          <w:tcPr>
            <w:tcW w:w="1700" w:type="dxa"/>
            <w:vAlign w:val="bottom"/>
          </w:tcPr>
          <w:p>
            <w:pPr>
              <w:spacing w:after="0"/>
              <w:rPr>
                <w:sz w:val="14"/>
                <w:szCs w:val="14"/>
                <w:color w:val="auto"/>
              </w:rPr>
            </w:pP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4,681</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3,958</w:t>
            </w:r>
          </w:p>
        </w:tc>
      </w:tr>
      <w:tr>
        <w:trPr>
          <w:trHeight w:val="163"/>
        </w:trPr>
        <w:tc>
          <w:tcPr>
            <w:tcW w:w="3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3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200,299</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143,090</w:t>
            </w:r>
          </w:p>
        </w:tc>
      </w:tr>
      <w:tr>
        <w:trPr>
          <w:trHeight w:val="163"/>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Less - accumulated depreciation</w:t>
            </w:r>
          </w:p>
        </w:tc>
        <w:tc>
          <w:tcPr>
            <w:tcW w:w="1700" w:type="dxa"/>
            <w:vAlign w:val="bottom"/>
          </w:tcPr>
          <w:p>
            <w:pPr>
              <w:spacing w:after="0"/>
              <w:rPr>
                <w:sz w:val="14"/>
                <w:szCs w:val="14"/>
                <w:color w:val="auto"/>
              </w:rPr>
            </w:pP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71,303</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54,891</w:t>
            </w:r>
          </w:p>
        </w:tc>
      </w:tr>
      <w:tr>
        <w:trPr>
          <w:trHeight w:val="163"/>
        </w:trPr>
        <w:tc>
          <w:tcPr>
            <w:tcW w:w="3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Property, plant and equipment, net</w:t>
            </w:r>
          </w:p>
        </w:tc>
        <w:tc>
          <w:tcPr>
            <w:tcW w:w="1700" w:type="dxa"/>
            <w:vAlign w:val="bottom"/>
          </w:tcPr>
          <w:p>
            <w:pPr>
              <w:spacing w:after="0"/>
              <w:rPr>
                <w:sz w:val="24"/>
                <w:szCs w:val="24"/>
                <w:color w:val="auto"/>
              </w:rPr>
            </w:pP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$128,996</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$ 88,199</w:t>
            </w:r>
          </w:p>
        </w:tc>
      </w:tr>
      <w:tr>
        <w:trPr>
          <w:trHeight w:val="163"/>
        </w:trPr>
        <w:tc>
          <w:tcPr>
            <w:tcW w:w="3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440" w:right="3439"/>
        <w:spacing w:after="0" w:line="247" w:lineRule="auto"/>
        <w:rPr>
          <w:sz w:val="20"/>
          <w:szCs w:val="20"/>
          <w:color w:val="auto"/>
        </w:rPr>
      </w:pPr>
      <w:r>
        <w:rPr>
          <w:rFonts w:ascii="Courier New" w:cs="Courier New" w:eastAsia="Courier New" w:hAnsi="Courier New"/>
          <w:sz w:val="14"/>
          <w:szCs w:val="14"/>
          <w:color w:val="auto"/>
        </w:rPr>
        <w:t>On September 11, 2001, the Company announced the closing of its Walterboro, South Carolina ball manufacturing facility effective December 2001. As a result of that closing, land and building was classified as a component of assets held for sale in the accompanying consolidated financial statements with a carrying value of $1,128 as of December 31, 2003 and 2002. Certain machinery and equipment assets are also held for sale with a carrying value of $677 and $1,086 as of December 31, 2003 and 2002, respectively.</w:t>
      </w:r>
    </w:p>
    <w:p>
      <w:pPr>
        <w:spacing w:after="0" w:line="327" w:lineRule="exact"/>
        <w:rPr>
          <w:sz w:val="20"/>
          <w:szCs w:val="20"/>
          <w:color w:val="auto"/>
        </w:rPr>
      </w:pPr>
    </w:p>
    <w:p>
      <w:pPr>
        <w:ind w:left="440" w:hanging="433"/>
        <w:spacing w:after="0"/>
        <w:tabs>
          <w:tab w:leader="none" w:pos="440" w:val="left"/>
        </w:tabs>
        <w:numPr>
          <w:ilvl w:val="0"/>
          <w:numId w:val="24"/>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Debt</w:t>
      </w:r>
    </w:p>
    <w:p>
      <w:pPr>
        <w:spacing w:after="0" w:line="168" w:lineRule="exact"/>
        <w:rPr>
          <w:rFonts w:ascii="Courier New" w:cs="Courier New" w:eastAsia="Courier New" w:hAnsi="Courier New"/>
          <w:sz w:val="14"/>
          <w:szCs w:val="14"/>
          <w:b w:val="1"/>
          <w:bCs w:val="1"/>
          <w:color w:val="auto"/>
        </w:rPr>
      </w:pPr>
    </w:p>
    <w:p>
      <w:pPr>
        <w:ind w:left="860" w:hanging="428"/>
        <w:spacing w:after="0"/>
        <w:tabs>
          <w:tab w:leader="none" w:pos="860"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w:t>
      </w:r>
    </w:p>
    <w:p>
      <w:pPr>
        <w:spacing w:after="0" w:line="168" w:lineRule="exact"/>
        <w:rPr>
          <w:sz w:val="20"/>
          <w:szCs w:val="20"/>
          <w:color w:val="auto"/>
        </w:rPr>
      </w:pPr>
    </w:p>
    <w:p>
      <w:pPr>
        <w:ind w:left="600" w:right="3519"/>
        <w:spacing w:after="0" w:line="248" w:lineRule="auto"/>
        <w:rPr>
          <w:sz w:val="20"/>
          <w:szCs w:val="20"/>
          <w:color w:val="auto"/>
        </w:rPr>
      </w:pPr>
      <w:r>
        <w:rPr>
          <w:rFonts w:ascii="Courier New" w:cs="Courier New" w:eastAsia="Courier New" w:hAnsi="Courier New"/>
          <w:sz w:val="14"/>
          <w:szCs w:val="14"/>
          <w:color w:val="auto"/>
        </w:rPr>
        <w:t>At December 31, 2003, we had outstanding a $2,000 unsecured note payable to AmSouth Bank ("AmSouth") bearing interest at prime rate (4.0% at December 31, 2003). The maturity date of this note is May 12, 2004.</w:t>
      </w:r>
    </w:p>
    <w:p>
      <w:pPr>
        <w:spacing w:after="0" w:line="325" w:lineRule="exact"/>
        <w:rPr>
          <w:sz w:val="20"/>
          <w:szCs w:val="20"/>
          <w:color w:val="auto"/>
        </w:rPr>
      </w:pPr>
    </w:p>
    <w:p>
      <w:pPr>
        <w:ind w:left="860" w:right="4279" w:hanging="428"/>
        <w:spacing w:after="0" w:line="249" w:lineRule="auto"/>
        <w:tabs>
          <w:tab w:leader="none" w:pos="8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at December 31, 2003 and 2002 consists of the following:</w:t>
      </w:r>
    </w:p>
    <w:p>
      <w:pPr>
        <w:spacing w:after="0" w:line="161" w:lineRule="exact"/>
        <w:rPr>
          <w:sz w:val="20"/>
          <w:szCs w:val="20"/>
          <w:color w:val="auto"/>
        </w:rPr>
      </w:pPr>
    </w:p>
    <w:tbl>
      <w:tblPr>
        <w:tblLayout w:type="fixed"/>
        <w:tblInd w:w="600" w:type="dxa"/>
        <w:tblCellMar>
          <w:top w:w="0" w:type="dxa"/>
          <w:left w:w="0" w:type="dxa"/>
          <w:bottom w:w="0" w:type="dxa"/>
          <w:right w:w="0" w:type="dxa"/>
        </w:tblCellMar>
      </w:tblPr>
      <w:tr>
        <w:trPr>
          <w:trHeight w:val="160"/>
        </w:trPr>
        <w:tc>
          <w:tcPr>
            <w:tcW w:w="4160" w:type="dxa"/>
            <w:vAlign w:val="bottom"/>
          </w:tcPr>
          <w:p>
            <w:pPr>
              <w:spacing w:after="0"/>
              <w:rPr>
                <w:sz w:val="13"/>
                <w:szCs w:val="13"/>
                <w:color w:val="auto"/>
              </w:rPr>
            </w:pP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b w:val="1"/>
                <w:bCs w:val="1"/>
                <w:color w:val="auto"/>
              </w:rPr>
              <w:t>2003</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2002</w:t>
            </w:r>
          </w:p>
        </w:tc>
      </w:tr>
      <w:tr>
        <w:trPr>
          <w:trHeight w:val="163"/>
        </w:trPr>
        <w:tc>
          <w:tcPr>
            <w:tcW w:w="4160" w:type="dxa"/>
            <w:vAlign w:val="bottom"/>
          </w:tcPr>
          <w:p>
            <w:pPr>
              <w:spacing w:after="0"/>
              <w:rPr>
                <w:sz w:val="14"/>
                <w:szCs w:val="14"/>
                <w:color w:val="auto"/>
              </w:rPr>
            </w:pPr>
          </w:p>
        </w:tc>
        <w:tc>
          <w:tcPr>
            <w:tcW w:w="1200" w:type="dxa"/>
            <w:vAlign w:val="bottom"/>
          </w:tcPr>
          <w:p>
            <w:pPr>
              <w:jc w:val="right"/>
              <w:ind w:right="29"/>
              <w:spacing w:after="0"/>
              <w:rPr>
                <w:sz w:val="20"/>
                <w:szCs w:val="20"/>
                <w:color w:val="auto"/>
              </w:rPr>
            </w:pPr>
            <w:r>
              <w:rPr>
                <w:rFonts w:ascii="Courier New" w:cs="Courier New" w:eastAsia="Courier New" w:hAnsi="Courier New"/>
                <w:sz w:val="14"/>
                <w:szCs w:val="14"/>
                <w:b w:val="1"/>
                <w:bCs w:val="1"/>
                <w:color w:val="auto"/>
                <w:w w:val="98"/>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4160" w:type="dxa"/>
            <w:vAlign w:val="bottom"/>
          </w:tcPr>
          <w:p>
            <w:pPr>
              <w:spacing w:after="0"/>
              <w:rPr>
                <w:sz w:val="20"/>
                <w:szCs w:val="20"/>
                <w:color w:val="auto"/>
              </w:rPr>
            </w:pPr>
            <w:r>
              <w:rPr>
                <w:rFonts w:ascii="Courier New" w:cs="Courier New" w:eastAsia="Courier New" w:hAnsi="Courier New"/>
                <w:sz w:val="14"/>
                <w:szCs w:val="14"/>
                <w:color w:val="auto"/>
              </w:rPr>
              <w:t>Borrowings under our $30,000 revolving credit</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facility bearing interest at a floating rate</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equal to LIBOR (1.15% at December 31, 2003)</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plus an applicable margin of 1.25 to 2.0,</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expiring on March 1, 2005</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$27,104</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7"/>
        </w:trPr>
        <w:tc>
          <w:tcPr>
            <w:tcW w:w="4160" w:type="dxa"/>
            <w:vAlign w:val="bottom"/>
          </w:tcPr>
          <w:p>
            <w:pPr>
              <w:spacing w:after="0"/>
              <w:rPr>
                <w:sz w:val="20"/>
                <w:szCs w:val="20"/>
                <w:color w:val="auto"/>
              </w:rPr>
            </w:pPr>
            <w:r>
              <w:rPr>
                <w:rFonts w:ascii="Courier New" w:cs="Courier New" w:eastAsia="Courier New" w:hAnsi="Courier New"/>
                <w:sz w:val="14"/>
                <w:szCs w:val="14"/>
                <w:color w:val="auto"/>
              </w:rPr>
              <w:t>Borrowings under our $30,400 term loan expiring</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on May 1, 2008, bearing interest at a floating</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rate equal to LIBOR (1.15% at December 31, 2003)</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plus an applicable margin of 1.25 to 2.0 payable</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in quarterly installments of $1,520 beginning</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July 1, 2003 through April 1, 2008</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27,152</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7"/>
        </w:trPr>
        <w:tc>
          <w:tcPr>
            <w:tcW w:w="4160" w:type="dxa"/>
            <w:vAlign w:val="bottom"/>
          </w:tcPr>
          <w:p>
            <w:pPr>
              <w:spacing w:after="0"/>
              <w:rPr>
                <w:sz w:val="20"/>
                <w:szCs w:val="20"/>
                <w:color w:val="auto"/>
              </w:rPr>
            </w:pPr>
            <w:r>
              <w:rPr>
                <w:rFonts w:ascii="Courier New" w:cs="Courier New" w:eastAsia="Courier New" w:hAnsi="Courier New"/>
                <w:sz w:val="14"/>
                <w:szCs w:val="14"/>
                <w:color w:val="auto"/>
              </w:rPr>
              <w:t>Borrowings under our 26,300 Euro term loan</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expiring on May 1, 2008, bearing interest at a</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floating rate equal to Euro LIBOR (2.12% at</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December 31, 2003) plus an applicable margin of</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1.25 to 2.0 payable in quarterly installments of</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Euro 1,314 beginning July 1, 2003 through</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April 1, 2008</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28,221</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7"/>
        </w:trPr>
        <w:tc>
          <w:tcPr>
            <w:tcW w:w="4160" w:type="dxa"/>
            <w:vAlign w:val="bottom"/>
          </w:tcPr>
          <w:p>
            <w:pPr>
              <w:spacing w:after="0"/>
              <w:rPr>
                <w:sz w:val="20"/>
                <w:szCs w:val="20"/>
                <w:color w:val="auto"/>
              </w:rPr>
            </w:pPr>
            <w:r>
              <w:rPr>
                <w:rFonts w:ascii="Courier New" w:cs="Courier New" w:eastAsia="Courier New" w:hAnsi="Courier New"/>
                <w:sz w:val="14"/>
                <w:szCs w:val="14"/>
                <w:color w:val="auto"/>
              </w:rPr>
              <w:t>Borrowings under a revolving credit facility</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bearing interest at variable rates (2.92% -</w:t>
            </w: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4160" w:type="dxa"/>
            <w:vAlign w:val="bottom"/>
          </w:tcPr>
          <w:p>
            <w:pPr>
              <w:ind w:left="80"/>
              <w:spacing w:after="0"/>
              <w:rPr>
                <w:sz w:val="20"/>
                <w:szCs w:val="20"/>
                <w:color w:val="auto"/>
              </w:rPr>
            </w:pPr>
            <w:r>
              <w:rPr>
                <w:rFonts w:ascii="Courier New" w:cs="Courier New" w:eastAsia="Courier New" w:hAnsi="Courier New"/>
                <w:sz w:val="14"/>
                <w:szCs w:val="14"/>
                <w:color w:val="auto"/>
              </w:rPr>
              <w:t>4.25% at December 31, 2002) paid during 2003</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$ 24,270</w:t>
            </w:r>
          </w:p>
        </w:tc>
      </w:tr>
      <w:tr>
        <w:trPr>
          <w:trHeight w:val="490"/>
        </w:trPr>
        <w:tc>
          <w:tcPr>
            <w:tcW w:w="4160" w:type="dxa"/>
            <w:vAlign w:val="bottom"/>
          </w:tcPr>
          <w:p>
            <w:pPr>
              <w:ind w:left="2720"/>
              <w:spacing w:after="0"/>
              <w:rPr>
                <w:sz w:val="20"/>
                <w:szCs w:val="20"/>
                <w:color w:val="auto"/>
              </w:rPr>
            </w:pPr>
            <w:r>
              <w:rPr>
                <w:rFonts w:ascii="Courier New" w:cs="Courier New" w:eastAsia="Courier New" w:hAnsi="Courier New"/>
                <w:sz w:val="14"/>
                <w:szCs w:val="14"/>
                <w:color w:val="auto"/>
              </w:rPr>
              <w:t>48</w:t>
            </w:r>
          </w:p>
        </w:tc>
        <w:tc>
          <w:tcPr>
            <w:tcW w:w="1200" w:type="dxa"/>
            <w:vAlign w:val="bottom"/>
          </w:tcPr>
          <w:p>
            <w:pPr>
              <w:spacing w:after="0"/>
              <w:rPr>
                <w:sz w:val="24"/>
                <w:szCs w:val="24"/>
                <w:color w:val="auto"/>
              </w:rPr>
            </w:pP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Continued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285750</wp:posOffset>
            </wp:positionV>
            <wp:extent cx="729869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ectPr>
          <w:pgSz w:w="11900" w:h="16838" w:orient="portrait"/>
          <w:cols w:equalWidth="0" w:num="1">
            <w:col w:w="10239"/>
          </w:cols>
          <w:pgMar w:left="220" w:top="141" w:right="1440" w:bottom="316" w:gutter="0" w:footer="0" w:header="0"/>
        </w:sectPr>
      </w:pPr>
    </w:p>
    <w:bookmarkStart w:id="37" w:name="page38"/>
    <w:bookmarkEnd w:id="37"/>
    <w:p>
      <w:pPr>
        <w:ind w:left="254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60"/>
        </w:trPr>
        <w:tc>
          <w:tcPr>
            <w:tcW w:w="5440" w:type="dxa"/>
            <w:vAlign w:val="bottom"/>
            <w:gridSpan w:val="2"/>
          </w:tcPr>
          <w:p>
            <w:pPr>
              <w:ind w:left="1280"/>
              <w:spacing w:after="0"/>
              <w:rPr>
                <w:sz w:val="20"/>
                <w:szCs w:val="20"/>
                <w:color w:val="auto"/>
              </w:rPr>
            </w:pPr>
            <w:r>
              <w:rPr>
                <w:rFonts w:ascii="Courier New" w:cs="Courier New" w:eastAsia="Courier New" w:hAnsi="Courier New"/>
                <w:sz w:val="14"/>
                <w:szCs w:val="14"/>
                <w:b w:val="1"/>
                <w:bCs w:val="1"/>
                <w:color w:val="auto"/>
              </w:rPr>
              <w:t>(In thousands, except per share data)</w:t>
            </w:r>
          </w:p>
        </w:tc>
        <w:tc>
          <w:tcPr>
            <w:tcW w:w="1100" w:type="dxa"/>
            <w:vAlign w:val="bottom"/>
          </w:tcPr>
          <w:p>
            <w:pPr>
              <w:spacing w:after="0"/>
              <w:rPr>
                <w:sz w:val="13"/>
                <w:szCs w:val="13"/>
                <w:color w:val="auto"/>
              </w:rPr>
            </w:pPr>
          </w:p>
        </w:tc>
      </w:tr>
      <w:tr>
        <w:trPr>
          <w:trHeight w:val="490"/>
        </w:trPr>
        <w:tc>
          <w:tcPr>
            <w:tcW w:w="4300" w:type="dxa"/>
            <w:vAlign w:val="bottom"/>
          </w:tcPr>
          <w:p>
            <w:pPr>
              <w:spacing w:after="0"/>
              <w:rPr>
                <w:sz w:val="20"/>
                <w:szCs w:val="20"/>
                <w:color w:val="auto"/>
              </w:rPr>
            </w:pPr>
            <w:r>
              <w:rPr>
                <w:rFonts w:ascii="Courier New" w:cs="Courier New" w:eastAsia="Courier New" w:hAnsi="Courier New"/>
                <w:sz w:val="14"/>
                <w:szCs w:val="14"/>
                <w:color w:val="auto"/>
              </w:rPr>
              <w:t>Reducing, revolving credit facility bearing</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interest at variable rates (2.92% at December 31,</w:t>
            </w: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2002) paid during 2003</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23,878</w:t>
            </w:r>
          </w:p>
        </w:tc>
      </w:tr>
      <w:tr>
        <w:trPr>
          <w:trHeight w:val="327"/>
        </w:trPr>
        <w:tc>
          <w:tcPr>
            <w:tcW w:w="4300" w:type="dxa"/>
            <w:vAlign w:val="bottom"/>
          </w:tcPr>
          <w:p>
            <w:pPr>
              <w:spacing w:after="0"/>
              <w:rPr>
                <w:sz w:val="20"/>
                <w:szCs w:val="20"/>
                <w:color w:val="auto"/>
              </w:rPr>
            </w:pPr>
            <w:r>
              <w:rPr>
                <w:rFonts w:ascii="Courier New" w:cs="Courier New" w:eastAsia="Courier New" w:hAnsi="Courier New"/>
                <w:sz w:val="14"/>
                <w:szCs w:val="14"/>
                <w:color w:val="auto"/>
              </w:rPr>
              <w:t>Euro term loans bearing interest at variable rates</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(3.75% at December 31, 2002) paid during 2003</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4,987</w:t>
            </w:r>
          </w:p>
        </w:tc>
      </w:tr>
      <w:tr>
        <w:trPr>
          <w:trHeight w:val="163"/>
        </w:trPr>
        <w:tc>
          <w:tcPr>
            <w:tcW w:w="4300" w:type="dxa"/>
            <w:vAlign w:val="bottom"/>
          </w:tcPr>
          <w:p>
            <w:pPr>
              <w:spacing w:after="0"/>
              <w:rPr>
                <w:sz w:val="14"/>
                <w:szCs w:val="14"/>
                <w:color w:val="auto"/>
              </w:rPr>
            </w:pP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Total long-term debt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82,477</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53,135</w:t>
            </w:r>
          </w:p>
        </w:tc>
      </w:tr>
      <w:tr>
        <w:trPr>
          <w:trHeight w:val="32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Less current maturities of long-term debt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12,725</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7,000</w:t>
            </w:r>
          </w:p>
        </w:tc>
      </w:tr>
      <w:tr>
        <w:trPr>
          <w:trHeight w:val="163"/>
        </w:trPr>
        <w:tc>
          <w:tcPr>
            <w:tcW w:w="4300" w:type="dxa"/>
            <w:vAlign w:val="bottom"/>
          </w:tcPr>
          <w:p>
            <w:pPr>
              <w:spacing w:after="0"/>
              <w:rPr>
                <w:sz w:val="14"/>
                <w:szCs w:val="14"/>
                <w:color w:val="auto"/>
              </w:rPr>
            </w:pP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Long-term debt, excluding current maturities</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3"/>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of long-term debt</w:t>
            </w:r>
          </w:p>
        </w:tc>
        <w:tc>
          <w:tcPr>
            <w:tcW w:w="1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$ 69,752</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$ 46,135</w:t>
            </w:r>
          </w:p>
        </w:tc>
      </w:tr>
      <w:tr>
        <w:trPr>
          <w:trHeight w:val="163"/>
        </w:trPr>
        <w:tc>
          <w:tcPr>
            <w:tcW w:w="4300" w:type="dxa"/>
            <w:vAlign w:val="bottom"/>
          </w:tcPr>
          <w:p>
            <w:pPr>
              <w:spacing w:after="0"/>
              <w:rPr>
                <w:sz w:val="14"/>
                <w:szCs w:val="14"/>
                <w:color w:val="auto"/>
              </w:rPr>
            </w:pP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On May 1, 2003, we entered into a new $90,000 syndicated credit facility with AmSouth Bank ("AmSouth") as the administrative agent and Suntrust Bank as the Euro loan agent for the lenders under which we borrowed $60,400 and 26,300 Euros ($29,600). This new financing arrangement replaces our prior credit facilities with AmSouth and Hypo Vereinsbank Luxembourg, S.A. The credit facility consists of a $30,000 revolver expiring on March 1, 2005, bearing interest at a floating rate equal to LIBOR (1.15% at December 31, 2003) plus an applicable margin of 1.25 to 2.0, a $30,400 million term loan expiring on May 1, 2008, bearing interest at a floating rate equal to LIBOR (1.15% at December 31, 2003) plus an applicable margin of 1.25 to 2.0 and a 26,300 Euro ($29,600) term loan expiring on May 1, 2008 which bears interest at a floating rate equal to Euro LIBOR (2.12% at December 31, 2003) plus an applicable margin of 1.25 to 2.0. The loan agreement contains customary financial and non-financial covenants. Such covenants specify that the Company must maintain a minimum fixed charge coverage ratio, must not exceed a maximum funded indebtedness to EBITDA ratio as well as a maximum funded indebtedness to capitalization ratio and limits the amount of capital expenditures we may make in any fiscal year.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the Company's business. The credit agreement is un-collateralized except for the pledge of stock of certain foreign subsidiaries. Additionally, the terms of the Company's revolving credit facility restrict the declaration and payment of dividends in excess of certain amounts specified in the credit agreement. As of December 31, 2003, we were not in compliance with certain technical, non-financial covenants. Subsequently, the necessary waivers, effective as of December 31, 2003, have been received from the participating banks. Except for certain technical, non-financial covenants, we were in compliance with all such covenants as of December 31, 2003. In connection with this refinancing, capitalized costs in the amount of $455 associated with the paid-off credit facilities were written-off during 2003 and are included as a component of other (income) expense. We incurred $939 of debt issue costs as a result of entering into this credit facility.</w:t>
      </w:r>
    </w:p>
    <w:p>
      <w:pPr>
        <w:spacing w:after="0" w:line="167" w:lineRule="exact"/>
        <w:rPr>
          <w:sz w:val="20"/>
          <w:szCs w:val="20"/>
          <w:color w:val="auto"/>
        </w:rPr>
      </w:pPr>
    </w:p>
    <w:p>
      <w:pPr>
        <w:ind w:right="3439"/>
        <w:spacing w:after="0" w:line="247" w:lineRule="auto"/>
        <w:rPr>
          <w:sz w:val="20"/>
          <w:szCs w:val="20"/>
          <w:color w:val="auto"/>
        </w:rPr>
      </w:pPr>
      <w:r>
        <w:rPr>
          <w:rFonts w:ascii="Courier New" w:cs="Courier New" w:eastAsia="Courier New" w:hAnsi="Courier New"/>
          <w:sz w:val="14"/>
          <w:szCs w:val="14"/>
          <w:color w:val="auto"/>
        </w:rPr>
        <w:t>On July 20, 2001, the Company entered into a syndicated loan agreement with AmSouth Bank ("AmSouth") as the administrative agent for the lenders, for a senior non-secured revolving credit facility of up to $25,000, expiring on July 25, 2003 and a senior non-secured term loan for $35,000 expiring on July 1, 2006. On July 12, 2002, the Company amended this credit facility to convert the term loan portion into a reducing revolving credit line providing initial availability equivalent to the balance of the term loan prior to the amendment. Amounts available for borrowing under this facility reduce by $7,000 per annum and the facility expired on July 1, 2006. Additionally, on July 31, 2002, the Company amended the credit facility again to extend the $25,000 senior non-secured revolving credit facility to July 25, 2004. Amounts outstanding under the revolving facility and term loan facility bore interest at a floating rate equal to LIBOR (1.38% at December 31, 2002) plus an applicable margin of 0.75 to 2.00 based upon calculated financial ratios. The loan agreement contained customary financial and non-financial covenants. Such covenants specified that the Company must maintain a minimum fixed charge coverage ratio, must not exceed a maximum funded indebtedness to EBITDA ratio as well as a maximum funded indebtedness to capitalization ratio and limits the amount of capital expenditures we may make in any fiscal year. The loan agreement also contained customary restrictions on, among other things, additional indebtedness, liens on the Company's assets, sales or transfers of assets, investments, restricted payments (including payment of dividends and stock repurchases), issuance</w:t>
      </w:r>
    </w:p>
    <w:p>
      <w:pPr>
        <w:spacing w:after="0" w:line="329" w:lineRule="exact"/>
        <w:rPr>
          <w:sz w:val="20"/>
          <w:szCs w:val="20"/>
          <w:color w:val="auto"/>
        </w:rPr>
      </w:pPr>
    </w:p>
    <w:p>
      <w:pPr>
        <w:jc w:val="both"/>
        <w:ind w:left="2880"/>
        <w:spacing w:after="0"/>
        <w:tabs>
          <w:tab w:leader="none" w:pos="5580" w:val="left"/>
        </w:tabs>
        <w:rPr>
          <w:sz w:val="20"/>
          <w:szCs w:val="20"/>
          <w:color w:val="auto"/>
        </w:rPr>
      </w:pPr>
      <w:r>
        <w:rPr>
          <w:rFonts w:ascii="Courier New" w:cs="Courier New" w:eastAsia="Courier New" w:hAnsi="Courier New"/>
          <w:sz w:val="14"/>
          <w:szCs w:val="14"/>
          <w:color w:val="auto"/>
        </w:rPr>
        <w:t>49</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286385</wp:posOffset>
            </wp:positionV>
            <wp:extent cx="729869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54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4"/>
          <w:szCs w:val="14"/>
          <w:color w:val="auto"/>
        </w:rPr>
        <w:t>of equity securities, and mergers, acquisitions and other fundamental changes in the Company's business. Additionally, the terms of the Company's</w:t>
      </w:r>
    </w:p>
    <w:p>
      <w:pPr>
        <w:sectPr>
          <w:pgSz w:w="11900" w:h="16838" w:orient="portrait"/>
          <w:cols w:equalWidth="0" w:num="1">
            <w:col w:w="9799"/>
          </w:cols>
          <w:pgMar w:left="660" w:top="305" w:right="1440" w:bottom="0" w:gutter="0" w:footer="0" w:header="0"/>
        </w:sectPr>
      </w:pPr>
    </w:p>
    <w:bookmarkStart w:id="38" w:name="page39"/>
    <w:bookmarkEnd w:id="38"/>
    <w:p>
      <w:pPr>
        <w:ind w:left="433" w:right="3439"/>
        <w:spacing w:after="0" w:line="247" w:lineRule="auto"/>
        <w:rPr>
          <w:sz w:val="20"/>
          <w:szCs w:val="20"/>
          <w:color w:val="auto"/>
        </w:rPr>
      </w:pPr>
      <w:r>
        <w:rPr>
          <w:rFonts w:ascii="Courier New" w:cs="Courier New" w:eastAsia="Courier New" w:hAnsi="Courier New"/>
          <w:sz w:val="14"/>
          <w:szCs w:val="14"/>
          <w:color w:val="auto"/>
        </w:rPr>
        <w:t>loan agreement restricted the declaration and payment of dividends in excess of $5,500 in any fiscal year. The Company's ownership in NN Euroball ApS was pledged as collateral. All amounts owed under this credit facility were paid during 2003.</w:t>
      </w:r>
    </w:p>
    <w:p>
      <w:pPr>
        <w:spacing w:after="0" w:line="164" w:lineRule="exact"/>
        <w:rPr>
          <w:sz w:val="20"/>
          <w:szCs w:val="20"/>
          <w:color w:val="auto"/>
        </w:rPr>
      </w:pPr>
    </w:p>
    <w:p>
      <w:pPr>
        <w:ind w:left="433" w:right="3439"/>
        <w:spacing w:after="0" w:line="247" w:lineRule="auto"/>
        <w:rPr>
          <w:sz w:val="20"/>
          <w:szCs w:val="20"/>
          <w:color w:val="auto"/>
        </w:rPr>
      </w:pPr>
      <w:r>
        <w:rPr>
          <w:rFonts w:ascii="Courier New" w:cs="Courier New" w:eastAsia="Courier New" w:hAnsi="Courier New"/>
          <w:sz w:val="14"/>
          <w:szCs w:val="14"/>
          <w:color w:val="auto"/>
        </w:rPr>
        <w:t>In connection with the Euroball transaction (see Note 2) the Company and NN Euroball ApS, entered into a Facility Agreement with a bank to provide up to 36,000 Euros in Term Loans and 5,000 Euros in revolving credit loans. The Company borrowed 30,500 Euros ($28,755) under the term loan facility and 1,000 Euros ($943) under the revolving credit facility. Amounts outstanding under the Facility Agreement are secured by inventory and accounts receivable and bear interest at EURIBOR (2.87% at December 31, 2002) plus an applicable margin between 0.8 and 2.25 based upon financial ratios. The shareholders of NN Euroball ApS have provided guarantees for the Facility Agreement. The Facility Agreement contains restrictive covenants, which specify, among other things, restrictions on the incurrence of indebtedness and the maintenance of certain financial ratios. Euroball was in compliance with all such covenants at December 31, 2002. Amounts outstanding under the Facility Agreement are secured by the stock, inventory and accounts receivable of NN Euroball ApS. At December 31, 2002, 9,800 Euros was available to Euroball under these facilities. All amounts owed under this credit facility were paid during 2003.</w:t>
      </w:r>
    </w:p>
    <w:p>
      <w:pPr>
        <w:spacing w:after="0" w:line="165" w:lineRule="exact"/>
        <w:rPr>
          <w:sz w:val="20"/>
          <w:szCs w:val="20"/>
          <w:color w:val="auto"/>
        </w:rPr>
      </w:pPr>
    </w:p>
    <w:p>
      <w:pPr>
        <w:ind w:left="433" w:right="3939"/>
        <w:spacing w:after="0" w:line="249" w:lineRule="auto"/>
        <w:rPr>
          <w:sz w:val="20"/>
          <w:szCs w:val="20"/>
          <w:color w:val="auto"/>
        </w:rPr>
      </w:pPr>
      <w:r>
        <w:rPr>
          <w:rFonts w:ascii="Courier New" w:cs="Courier New" w:eastAsia="Courier New" w:hAnsi="Courier New"/>
          <w:sz w:val="14"/>
          <w:szCs w:val="14"/>
          <w:color w:val="auto"/>
        </w:rPr>
        <w:t>The aggregate maturities of long-term debt for each of the five years subsequent to December 31, 2003 are as follows:</w:t>
      </w:r>
    </w:p>
    <w:p>
      <w:pPr>
        <w:spacing w:after="0" w:line="161" w:lineRule="exact"/>
        <w:rPr>
          <w:sz w:val="20"/>
          <w:szCs w:val="20"/>
          <w:color w:val="auto"/>
        </w:rPr>
      </w:pPr>
    </w:p>
    <w:tbl>
      <w:tblPr>
        <w:tblLayout w:type="fixed"/>
        <w:tblInd w:w="2033" w:type="dxa"/>
        <w:tblCellMar>
          <w:top w:w="0" w:type="dxa"/>
          <w:left w:w="0" w:type="dxa"/>
          <w:bottom w:w="0" w:type="dxa"/>
          <w:right w:w="0" w:type="dxa"/>
        </w:tblCellMar>
      </w:tblPr>
      <w:tr>
        <w:trPr>
          <w:trHeight w:val="160"/>
        </w:trPr>
        <w:tc>
          <w:tcPr>
            <w:tcW w:w="10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$12,725</w:t>
            </w:r>
          </w:p>
        </w:tc>
      </w:tr>
      <w:tr>
        <w:trPr>
          <w:trHeight w:val="163"/>
        </w:trPr>
        <w:tc>
          <w:tcPr>
            <w:tcW w:w="10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42,725</w:t>
            </w:r>
          </w:p>
        </w:tc>
      </w:tr>
      <w:tr>
        <w:trPr>
          <w:trHeight w:val="163"/>
        </w:trPr>
        <w:tc>
          <w:tcPr>
            <w:tcW w:w="102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1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12,725</w:t>
            </w:r>
          </w:p>
        </w:tc>
      </w:tr>
      <w:tr>
        <w:trPr>
          <w:trHeight w:val="163"/>
        </w:trPr>
        <w:tc>
          <w:tcPr>
            <w:tcW w:w="102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1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12,725</w:t>
            </w:r>
          </w:p>
        </w:tc>
      </w:tr>
      <w:tr>
        <w:trPr>
          <w:trHeight w:val="163"/>
        </w:trPr>
        <w:tc>
          <w:tcPr>
            <w:tcW w:w="102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1,577</w:t>
            </w:r>
          </w:p>
        </w:tc>
      </w:tr>
      <w:tr>
        <w:trPr>
          <w:trHeight w:val="163"/>
        </w:trPr>
        <w:tc>
          <w:tcPr>
            <w:tcW w:w="10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10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20" w:type="dxa"/>
            <w:vAlign w:val="bottom"/>
          </w:tcPr>
          <w:p>
            <w:pPr>
              <w:jc w:val="right"/>
              <w:ind w:right="9"/>
              <w:spacing w:after="0"/>
              <w:rPr>
                <w:sz w:val="20"/>
                <w:szCs w:val="20"/>
                <w:color w:val="auto"/>
              </w:rPr>
            </w:pPr>
            <w:r>
              <w:rPr>
                <w:rFonts w:ascii="Courier New" w:cs="Courier New" w:eastAsia="Courier New" w:hAnsi="Courier New"/>
                <w:sz w:val="14"/>
                <w:szCs w:val="14"/>
                <w:color w:val="auto"/>
              </w:rPr>
              <w:t>$ 82,477</w:t>
            </w:r>
          </w:p>
        </w:tc>
      </w:tr>
      <w:tr>
        <w:trPr>
          <w:trHeight w:val="163"/>
        </w:trPr>
        <w:tc>
          <w:tcPr>
            <w:tcW w:w="10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433" w:hanging="433"/>
        <w:spacing w:after="0"/>
        <w:tabs>
          <w:tab w:leader="none" w:pos="433" w:val="left"/>
        </w:tabs>
        <w:numPr>
          <w:ilvl w:val="0"/>
          <w:numId w:val="26"/>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Employee Benefit Plans</w:t>
      </w:r>
    </w:p>
    <w:p>
      <w:pPr>
        <w:spacing w:after="0" w:line="168" w:lineRule="exact"/>
        <w:rPr>
          <w:rFonts w:ascii="Courier New" w:cs="Courier New" w:eastAsia="Courier New" w:hAnsi="Courier New"/>
          <w:sz w:val="14"/>
          <w:szCs w:val="14"/>
          <w:b w:val="1"/>
          <w:bCs w:val="1"/>
          <w:color w:val="auto"/>
        </w:rPr>
      </w:pPr>
    </w:p>
    <w:p>
      <w:pPr>
        <w:ind w:left="433" w:right="343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We have one defined contribution 401(k) profit sharing plan covering substantially all employees of the Domestic Ball and Roller and Plastic and Rubber Components Segments. All employees are eligible for the plan on the first day of the month following their hire date. A participant may elect to contribute between 1% and 60% of compensation to the plan, subject to Internal Revenue Service ("IRS") dollar limitations. Participants age 50 and older may defer an additional amount up to the applicable IRS Catch Up Provision Limit. The company provides a matching contribution which is determined on an individual, participating company basis. Currently, the matching contribution for employees of the Domestic Ball and Roller Segment is the higher of $500 or 50% of the first 4% of compensation. The matching contribution for IMC employees is 25% of the first 6% of compensation and the matching contribution for Delta employees is 50% of the first 6% of compensation. All participants are immediately vested at 100%. Contributions by the Company for the Domestic Ball and Roller Segment were $126, $126, and $152 in 2003, 2002 and 2001, respectively. Contributions by the Company for the Plastic and Rubber Components Segment were $126, $100, and $125 in 2003, 2002 and 2001, respectively.</w:t>
      </w:r>
    </w:p>
    <w:p>
      <w:pPr>
        <w:spacing w:after="0" w:line="164" w:lineRule="exact"/>
        <w:rPr>
          <w:rFonts w:ascii="Courier New" w:cs="Courier New" w:eastAsia="Courier New" w:hAnsi="Courier New"/>
          <w:sz w:val="14"/>
          <w:szCs w:val="14"/>
          <w:b w:val="1"/>
          <w:bCs w:val="1"/>
          <w:color w:val="auto"/>
        </w:rPr>
      </w:pPr>
    </w:p>
    <w:p>
      <w:pPr>
        <w:ind w:left="433" w:right="343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The Company has a defined benefit pension plan covering its Eltmann, Germany facility employees (a Euroball division). The benefits are based on the expected years of service including the rate of compensation increase. The plan is unfunded.</w:t>
      </w:r>
    </w:p>
    <w:p>
      <w:pPr>
        <w:spacing w:after="0" w:line="327" w:lineRule="exact"/>
        <w:rPr>
          <w:sz w:val="20"/>
          <w:szCs w:val="20"/>
          <w:color w:val="auto"/>
        </w:rPr>
      </w:pPr>
    </w:p>
    <w:p>
      <w:pPr>
        <w:jc w:val="both"/>
        <w:ind w:left="3313"/>
        <w:spacing w:after="0"/>
        <w:tabs>
          <w:tab w:leader="none" w:pos="6012" w:val="left"/>
        </w:tabs>
        <w:rPr>
          <w:sz w:val="20"/>
          <w:szCs w:val="20"/>
          <w:color w:val="auto"/>
        </w:rPr>
      </w:pP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286385</wp:posOffset>
            </wp:positionV>
            <wp:extent cx="729869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73"/>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613"/>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33"/>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873"/>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433" w:right="3599"/>
        <w:spacing w:after="0" w:line="249" w:lineRule="auto"/>
        <w:rPr>
          <w:sz w:val="20"/>
          <w:szCs w:val="20"/>
          <w:color w:val="auto"/>
        </w:rPr>
      </w:pPr>
      <w:r>
        <w:rPr>
          <w:rFonts w:ascii="Courier New" w:cs="Courier New" w:eastAsia="Courier New" w:hAnsi="Courier New"/>
          <w:sz w:val="14"/>
          <w:szCs w:val="14"/>
          <w:color w:val="auto"/>
        </w:rPr>
        <w:t>Following is a summary of the changes in the projected benefit obligation for the defined benefit pension plan during 2003 and 2002:</w:t>
      </w:r>
    </w:p>
    <w:p>
      <w:pPr>
        <w:spacing w:after="0" w:line="161" w:lineRule="exact"/>
        <w:rPr>
          <w:sz w:val="20"/>
          <w:szCs w:val="20"/>
          <w:color w:val="auto"/>
        </w:rPr>
      </w:pPr>
    </w:p>
    <w:tbl>
      <w:tblPr>
        <w:tblLayout w:type="fixed"/>
        <w:tblInd w:w="513" w:type="dxa"/>
        <w:tblCellMar>
          <w:top w:w="0" w:type="dxa"/>
          <w:left w:w="0" w:type="dxa"/>
          <w:bottom w:w="0" w:type="dxa"/>
          <w:right w:w="0" w:type="dxa"/>
        </w:tblCellMar>
      </w:tblPr>
      <w:tr>
        <w:trPr>
          <w:trHeight w:val="160"/>
        </w:trPr>
        <w:tc>
          <w:tcPr>
            <w:tcW w:w="3740" w:type="dxa"/>
            <w:vAlign w:val="bottom"/>
          </w:tcPr>
          <w:p>
            <w:pPr>
              <w:spacing w:after="0"/>
              <w:rPr>
                <w:sz w:val="13"/>
                <w:szCs w:val="13"/>
                <w:color w:val="auto"/>
              </w:rPr>
            </w:pPr>
          </w:p>
        </w:tc>
        <w:tc>
          <w:tcPr>
            <w:tcW w:w="1360" w:type="dxa"/>
            <w:vAlign w:val="bottom"/>
          </w:tcPr>
          <w:p>
            <w:pPr>
              <w:jc w:val="center"/>
              <w:ind w:left="69"/>
              <w:spacing w:after="0"/>
              <w:rPr>
                <w:sz w:val="20"/>
                <w:szCs w:val="20"/>
                <w:color w:val="auto"/>
              </w:rPr>
            </w:pPr>
            <w:r>
              <w:rPr>
                <w:rFonts w:ascii="Courier New" w:cs="Courier New" w:eastAsia="Courier New" w:hAnsi="Courier New"/>
                <w:sz w:val="14"/>
                <w:szCs w:val="14"/>
                <w:b w:val="1"/>
                <w:bCs w:val="1"/>
                <w:color w:val="auto"/>
              </w:rPr>
              <w:t>2003</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2002</w:t>
            </w:r>
          </w:p>
        </w:tc>
      </w:tr>
      <w:tr>
        <w:trPr>
          <w:trHeight w:val="163"/>
        </w:trPr>
        <w:tc>
          <w:tcPr>
            <w:tcW w:w="3740" w:type="dxa"/>
            <w:vAlign w:val="bottom"/>
          </w:tcPr>
          <w:p>
            <w:pPr>
              <w:spacing w:after="0"/>
              <w:rPr>
                <w:sz w:val="14"/>
                <w:szCs w:val="14"/>
                <w:color w:val="auto"/>
              </w:rPr>
            </w:pPr>
          </w:p>
        </w:tc>
        <w:tc>
          <w:tcPr>
            <w:tcW w:w="1360" w:type="dxa"/>
            <w:vAlign w:val="bottom"/>
          </w:tcPr>
          <w:p>
            <w:pPr>
              <w:jc w:val="center"/>
              <w:ind w:left="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3740" w:type="dxa"/>
            <w:vAlign w:val="bottom"/>
          </w:tcPr>
          <w:p>
            <w:pPr>
              <w:spacing w:after="0"/>
              <w:rPr>
                <w:sz w:val="20"/>
                <w:szCs w:val="20"/>
                <w:color w:val="auto"/>
              </w:rPr>
            </w:pPr>
            <w:r>
              <w:rPr>
                <w:rFonts w:ascii="Courier New" w:cs="Courier New" w:eastAsia="Courier New" w:hAnsi="Courier New"/>
                <w:sz w:val="14"/>
                <w:szCs w:val="14"/>
                <w:b w:val="1"/>
                <w:bCs w:val="1"/>
                <w:color w:val="auto"/>
              </w:rPr>
              <w:t>Change in projected benefit obligation:</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Benefit obligation at beginning of year</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$ 3,059</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$ 2,390</w:t>
            </w:r>
          </w:p>
        </w:tc>
      </w:tr>
      <w:tr>
        <w:trPr>
          <w:trHeight w:val="163"/>
        </w:trPr>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Service cost</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114</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w:t>
            </w:r>
          </w:p>
        </w:tc>
      </w:tr>
      <w:tr>
        <w:trPr>
          <w:trHeight w:val="163"/>
        </w:trPr>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Interest cost</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208</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161</w:t>
            </w:r>
          </w:p>
        </w:tc>
      </w:tr>
      <w:tr>
        <w:trPr>
          <w:trHeight w:val="163"/>
        </w:trPr>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Benefits paid</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(45)</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w:t>
            </w:r>
          </w:p>
        </w:tc>
      </w:tr>
      <w:tr>
        <w:trPr>
          <w:trHeight w:val="163"/>
        </w:trPr>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Effect of currency translation</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625</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430</w:t>
            </w:r>
          </w:p>
        </w:tc>
      </w:tr>
      <w:tr>
        <w:trPr>
          <w:trHeight w:val="163"/>
        </w:trPr>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Actuarial loss</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w:t>
            </w:r>
          </w:p>
        </w:tc>
      </w:tr>
      <w:tr>
        <w:trPr>
          <w:trHeight w:val="163"/>
        </w:trPr>
        <w:tc>
          <w:tcPr>
            <w:tcW w:w="3740" w:type="dxa"/>
            <w:vAlign w:val="bottom"/>
          </w:tcPr>
          <w:p>
            <w:pPr>
              <w:spacing w:after="0"/>
              <w:rPr>
                <w:sz w:val="14"/>
                <w:szCs w:val="14"/>
                <w:color w:val="auto"/>
              </w:rPr>
            </w:pPr>
          </w:p>
        </w:tc>
        <w:tc>
          <w:tcPr>
            <w:tcW w:w="1360" w:type="dxa"/>
            <w:vAlign w:val="bottom"/>
          </w:tcPr>
          <w:p>
            <w:pPr>
              <w:jc w:val="center"/>
              <w:ind w:left="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Benefit obligation at December 31</w:t>
            </w:r>
          </w:p>
        </w:tc>
        <w:tc>
          <w:tcPr>
            <w:tcW w:w="13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$ 3,987</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$ 3,059</w:t>
            </w:r>
          </w:p>
        </w:tc>
      </w:tr>
      <w:tr>
        <w:trPr>
          <w:trHeight w:val="163"/>
        </w:trPr>
        <w:tc>
          <w:tcPr>
            <w:tcW w:w="3740" w:type="dxa"/>
            <w:vAlign w:val="bottom"/>
          </w:tcPr>
          <w:p>
            <w:pPr>
              <w:spacing w:after="0"/>
              <w:rPr>
                <w:sz w:val="14"/>
                <w:szCs w:val="14"/>
                <w:color w:val="auto"/>
              </w:rPr>
            </w:pPr>
          </w:p>
        </w:tc>
        <w:tc>
          <w:tcPr>
            <w:tcW w:w="1360" w:type="dxa"/>
            <w:vAlign w:val="bottom"/>
          </w:tcPr>
          <w:p>
            <w:pPr>
              <w:jc w:val="center"/>
              <w:ind w:left="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0" w:lineRule="exact"/>
        <w:rPr>
          <w:sz w:val="20"/>
          <w:szCs w:val="20"/>
          <w:color w:val="auto"/>
        </w:rPr>
      </w:pPr>
    </w:p>
    <w:tbl>
      <w:tblPr>
        <w:tblLayout w:type="fixed"/>
        <w:tblInd w:w="513" w:type="dxa"/>
        <w:tblCellMar>
          <w:top w:w="0" w:type="dxa"/>
          <w:left w:w="0" w:type="dxa"/>
          <w:bottom w:w="0" w:type="dxa"/>
          <w:right w:w="0" w:type="dxa"/>
        </w:tblCellMar>
      </w:tblPr>
      <w:tr>
        <w:trPr>
          <w:trHeight w:val="160"/>
        </w:trPr>
        <w:tc>
          <w:tcPr>
            <w:tcW w:w="3980" w:type="dxa"/>
            <w:vAlign w:val="bottom"/>
          </w:tcPr>
          <w:p>
            <w:pPr>
              <w:spacing w:after="0"/>
              <w:rPr>
                <w:sz w:val="13"/>
                <w:szCs w:val="13"/>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b w:val="1"/>
                <w:bCs w:val="1"/>
                <w:color w:val="auto"/>
              </w:rPr>
              <w:t>2003</w:t>
            </w:r>
          </w:p>
        </w:tc>
        <w:tc>
          <w:tcPr>
            <w:tcW w:w="1260" w:type="dxa"/>
            <w:vAlign w:val="bottom"/>
          </w:tcPr>
          <w:p>
            <w:pPr>
              <w:jc w:val="right"/>
              <w:ind w:right="429"/>
              <w:spacing w:after="0"/>
              <w:rPr>
                <w:sz w:val="20"/>
                <w:szCs w:val="20"/>
                <w:color w:val="auto"/>
              </w:rPr>
            </w:pPr>
            <w:r>
              <w:rPr>
                <w:rFonts w:ascii="Courier New" w:cs="Courier New" w:eastAsia="Courier New" w:hAnsi="Courier New"/>
                <w:sz w:val="14"/>
                <w:szCs w:val="14"/>
                <w:b w:val="1"/>
                <w:bCs w:val="1"/>
                <w:color w:val="auto"/>
              </w:rPr>
              <w:t>2002</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2001</w:t>
            </w:r>
          </w:p>
        </w:tc>
      </w:tr>
      <w:tr>
        <w:trPr>
          <w:trHeight w:val="163"/>
        </w:trPr>
        <w:tc>
          <w:tcPr>
            <w:tcW w:w="398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3980" w:type="dxa"/>
            <w:vAlign w:val="bottom"/>
          </w:tcPr>
          <w:p>
            <w:pPr>
              <w:spacing w:after="0"/>
              <w:rPr>
                <w:sz w:val="20"/>
                <w:szCs w:val="20"/>
                <w:color w:val="auto"/>
              </w:rPr>
            </w:pPr>
            <w:r>
              <w:rPr>
                <w:rFonts w:ascii="Courier New" w:cs="Courier New" w:eastAsia="Courier New" w:hAnsi="Courier New"/>
                <w:sz w:val="14"/>
                <w:szCs w:val="14"/>
                <w:b w:val="1"/>
                <w:bCs w:val="1"/>
                <w:color w:val="auto"/>
              </w:rPr>
              <w:t>Weighted-average assumptions as of December 31:</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3"/>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Discount rate</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5.5%</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3"/>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Rate of compensation increase</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1.3%-2.5%</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 - 2.1%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 - 2.1%</w:t>
            </w:r>
          </w:p>
        </w:tc>
      </w:tr>
    </w:tbl>
    <w:p>
      <w:pPr>
        <w:spacing w:after="0" w:line="200" w:lineRule="exact"/>
        <w:rPr>
          <w:sz w:val="20"/>
          <w:szCs w:val="20"/>
          <w:color w:val="auto"/>
        </w:rPr>
      </w:pPr>
    </w:p>
    <w:p>
      <w:pPr>
        <w:sectPr>
          <w:pgSz w:w="11900" w:h="16838" w:orient="portrait"/>
          <w:cols w:equalWidth="0" w:num="1">
            <w:col w:w="10232"/>
          </w:cols>
          <w:pgMar w:left="227" w:top="141" w:right="1440" w:bottom="0" w:gutter="0" w:footer="0" w:header="0"/>
        </w:sectPr>
      </w:pPr>
    </w:p>
    <w:p>
      <w:pPr>
        <w:spacing w:after="0" w:line="130" w:lineRule="exact"/>
        <w:rPr>
          <w:sz w:val="20"/>
          <w:szCs w:val="20"/>
          <w:color w:val="auto"/>
        </w:rPr>
      </w:pPr>
    </w:p>
    <w:p>
      <w:pPr>
        <w:ind w:left="4833"/>
        <w:spacing w:after="0"/>
        <w:tabs>
          <w:tab w:leader="none" w:pos="6092" w:val="left"/>
          <w:tab w:leader="none" w:pos="7292" w:val="left"/>
        </w:tabs>
        <w:rPr>
          <w:sz w:val="20"/>
          <w:szCs w:val="20"/>
          <w:color w:val="auto"/>
        </w:rPr>
      </w:pPr>
      <w:r>
        <w:rPr>
          <w:rFonts w:ascii="Courier New" w:cs="Courier New" w:eastAsia="Courier New" w:hAnsi="Courier New"/>
          <w:sz w:val="14"/>
          <w:szCs w:val="14"/>
          <w:b w:val="1"/>
          <w:bCs w:val="1"/>
          <w:color w:val="auto"/>
        </w:rPr>
        <w:t>2003</w:t>
      </w:r>
      <w:r>
        <w:rPr>
          <w:sz w:val="20"/>
          <w:szCs w:val="20"/>
          <w:color w:val="auto"/>
        </w:rPr>
        <w:tab/>
      </w:r>
      <w:r>
        <w:rPr>
          <w:rFonts w:ascii="Courier New" w:cs="Courier New" w:eastAsia="Courier New" w:hAnsi="Courier New"/>
          <w:sz w:val="14"/>
          <w:szCs w:val="14"/>
          <w:b w:val="1"/>
          <w:bCs w:val="1"/>
          <w:color w:val="auto"/>
        </w:rPr>
        <w:t>2002</w:t>
      </w:r>
      <w:r>
        <w:rPr>
          <w:sz w:val="20"/>
          <w:szCs w:val="20"/>
          <w:color w:val="auto"/>
        </w:rPr>
        <w:tab/>
      </w:r>
      <w:r>
        <w:rPr>
          <w:rFonts w:ascii="Courier New" w:cs="Courier New" w:eastAsia="Courier New" w:hAnsi="Courier New"/>
          <w:sz w:val="14"/>
          <w:szCs w:val="14"/>
          <w:b w:val="1"/>
          <w:bCs w:val="1"/>
          <w:color w:val="auto"/>
        </w:rPr>
        <w:t>2001</w:t>
      </w:r>
    </w:p>
    <w:p>
      <w:pPr>
        <w:sectPr>
          <w:pgSz w:w="11900" w:h="16838" w:orient="portrait"/>
          <w:cols w:equalWidth="0" w:num="1">
            <w:col w:w="10232"/>
          </w:cols>
          <w:pgMar w:left="227" w:top="141" w:right="1440" w:bottom="0" w:gutter="0" w:footer="0" w:header="0"/>
          <w:type w:val="continuous"/>
        </w:sectPr>
      </w:pPr>
    </w:p>
    <w:bookmarkStart w:id="39" w:name="page40"/>
    <w:bookmarkEnd w:id="39"/>
    <w:tbl>
      <w:tblPr>
        <w:tblLayout w:type="fixed"/>
        <w:tblInd w:w="520" w:type="dxa"/>
        <w:tblCellMar>
          <w:top w:w="0" w:type="dxa"/>
          <w:left w:w="0" w:type="dxa"/>
          <w:bottom w:w="0" w:type="dxa"/>
          <w:right w:w="0" w:type="dxa"/>
        </w:tblCellMar>
      </w:tblPr>
      <w:tr>
        <w:trPr>
          <w:trHeight w:val="160"/>
        </w:trPr>
        <w:tc>
          <w:tcPr>
            <w:tcW w:w="3980" w:type="dxa"/>
            <w:vAlign w:val="bottom"/>
          </w:tcPr>
          <w:p>
            <w:pPr>
              <w:spacing w:after="0"/>
              <w:rPr>
                <w:sz w:val="13"/>
                <w:szCs w:val="13"/>
                <w:color w:val="auto"/>
              </w:rPr>
            </w:pPr>
          </w:p>
        </w:tc>
        <w:tc>
          <w:tcPr>
            <w:tcW w:w="11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center"/>
              <w:ind w:left="29"/>
              <w:spacing w:after="0"/>
              <w:rPr>
                <w:sz w:val="20"/>
                <w:szCs w:val="20"/>
                <w:color w:val="auto"/>
              </w:rPr>
            </w:pPr>
            <w:r>
              <w:rPr>
                <w:rFonts w:ascii="Courier New" w:cs="Courier New" w:eastAsia="Courier New" w:hAnsi="Courier New"/>
                <w:sz w:val="14"/>
                <w:szCs w:val="14"/>
                <w:color w:val="auto"/>
              </w:rPr>
              <w:t>-------------</w:t>
            </w:r>
          </w:p>
        </w:tc>
      </w:tr>
      <w:tr>
        <w:trPr>
          <w:trHeight w:val="327"/>
        </w:trPr>
        <w:tc>
          <w:tcPr>
            <w:tcW w:w="3980" w:type="dxa"/>
            <w:vAlign w:val="bottom"/>
          </w:tcPr>
          <w:p>
            <w:pPr>
              <w:spacing w:after="0"/>
              <w:rPr>
                <w:sz w:val="20"/>
                <w:szCs w:val="20"/>
                <w:color w:val="auto"/>
              </w:rPr>
            </w:pPr>
            <w:r>
              <w:rPr>
                <w:rFonts w:ascii="Courier New" w:cs="Courier New" w:eastAsia="Courier New" w:hAnsi="Courier New"/>
                <w:sz w:val="14"/>
                <w:szCs w:val="14"/>
                <w:b w:val="1"/>
                <w:bCs w:val="1"/>
                <w:color w:val="auto"/>
              </w:rPr>
              <w:t>Components of net periodic benefit cost:</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3"/>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Service cost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$ 114</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95</w:t>
            </w:r>
          </w:p>
        </w:tc>
        <w:tc>
          <w:tcPr>
            <w:tcW w:w="780" w:type="dxa"/>
            <w:vAlign w:val="bottom"/>
          </w:tcPr>
          <w:p>
            <w:pPr>
              <w:jc w:val="center"/>
              <w:ind w:left="429"/>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w:t>
            </w:r>
          </w:p>
        </w:tc>
      </w:tr>
      <w:tr>
        <w:trPr>
          <w:trHeight w:val="163"/>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Interest cost on projected benefit obligation</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208</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161</w:t>
            </w:r>
          </w:p>
        </w:tc>
        <w:tc>
          <w:tcPr>
            <w:tcW w:w="780" w:type="dxa"/>
            <w:vAlign w:val="bottom"/>
          </w:tcPr>
          <w:p>
            <w:pPr>
              <w:spacing w:after="0"/>
              <w:rPr>
                <w:sz w:val="14"/>
                <w:szCs w:val="14"/>
                <w:color w:val="auto"/>
              </w:rPr>
            </w:pP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116</w:t>
            </w:r>
          </w:p>
        </w:tc>
      </w:tr>
      <w:tr>
        <w:trPr>
          <w:trHeight w:val="163"/>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Amortization of net gain</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spacing w:after="0"/>
              <w:rPr>
                <w:sz w:val="14"/>
                <w:szCs w:val="14"/>
                <w:color w:val="auto"/>
              </w:rPr>
            </w:pP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3980" w:type="dxa"/>
            <w:vAlign w:val="bottom"/>
          </w:tcPr>
          <w:p>
            <w:pPr>
              <w:spacing w:after="0"/>
              <w:rPr>
                <w:sz w:val="14"/>
                <w:szCs w:val="14"/>
                <w:color w:val="auto"/>
              </w:rPr>
            </w:pPr>
          </w:p>
        </w:tc>
        <w:tc>
          <w:tcPr>
            <w:tcW w:w="11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center"/>
              <w:ind w:left="29"/>
              <w:spacing w:after="0"/>
              <w:rPr>
                <w:sz w:val="20"/>
                <w:szCs w:val="20"/>
                <w:color w:val="auto"/>
              </w:rPr>
            </w:pPr>
            <w:r>
              <w:rPr>
                <w:rFonts w:ascii="Courier New" w:cs="Courier New" w:eastAsia="Courier New" w:hAnsi="Courier New"/>
                <w:sz w:val="14"/>
                <w:szCs w:val="14"/>
                <w:color w:val="auto"/>
              </w:rPr>
              <w:t>-------------</w:t>
            </w:r>
          </w:p>
        </w:tc>
      </w:tr>
      <w:tr>
        <w:trPr>
          <w:trHeight w:val="327"/>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Net periodic pension benefit cost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$ 331</w:t>
            </w: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$ 265</w:t>
            </w:r>
          </w:p>
        </w:tc>
        <w:tc>
          <w:tcPr>
            <w:tcW w:w="780" w:type="dxa"/>
            <w:vAlign w:val="bottom"/>
          </w:tcPr>
          <w:p>
            <w:pPr>
              <w:jc w:val="center"/>
              <w:ind w:left="429"/>
              <w:spacing w:after="0"/>
              <w:rPr>
                <w:sz w:val="20"/>
                <w:szCs w:val="20"/>
                <w:color w:val="auto"/>
              </w:rPr>
            </w:pPr>
            <w:r>
              <w:rPr>
                <w:rFonts w:ascii="Courier New" w:cs="Courier New" w:eastAsia="Courier New" w:hAnsi="Courier New"/>
                <w:sz w:val="14"/>
                <w:szCs w:val="14"/>
                <w:color w:val="auto"/>
                <w:w w:val="94"/>
              </w:rPr>
              <w:t>$</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193</w:t>
            </w:r>
          </w:p>
        </w:tc>
      </w:tr>
      <w:tr>
        <w:trPr>
          <w:trHeight w:val="163"/>
        </w:trPr>
        <w:tc>
          <w:tcPr>
            <w:tcW w:w="3980" w:type="dxa"/>
            <w:vAlign w:val="bottom"/>
          </w:tcPr>
          <w:p>
            <w:pPr>
              <w:spacing w:after="0"/>
              <w:rPr>
                <w:sz w:val="14"/>
                <w:szCs w:val="14"/>
                <w:color w:val="auto"/>
              </w:rPr>
            </w:pPr>
          </w:p>
        </w:tc>
        <w:tc>
          <w:tcPr>
            <w:tcW w:w="11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center"/>
              <w:ind w:left="29"/>
              <w:spacing w:after="0"/>
              <w:rPr>
                <w:sz w:val="20"/>
                <w:szCs w:val="20"/>
                <w:color w:val="auto"/>
              </w:rPr>
            </w:pPr>
            <w:r>
              <w:rPr>
                <w:rFonts w:ascii="Courier New" w:cs="Courier New" w:eastAsia="Courier New" w:hAnsi="Courier New"/>
                <w:sz w:val="14"/>
                <w:szCs w:val="14"/>
                <w:color w:val="auto"/>
              </w:rPr>
              <w:t>=============</w:t>
            </w:r>
          </w:p>
        </w:tc>
      </w:tr>
      <w:tr>
        <w:trPr>
          <w:trHeight w:val="327"/>
        </w:trPr>
        <w:tc>
          <w:tcPr>
            <w:tcW w:w="3980" w:type="dxa"/>
            <w:vAlign w:val="bottom"/>
          </w:tcPr>
          <w:p>
            <w:pPr>
              <w:spacing w:after="0"/>
              <w:rPr>
                <w:sz w:val="20"/>
                <w:szCs w:val="20"/>
                <w:color w:val="auto"/>
              </w:rPr>
            </w:pPr>
            <w:r>
              <w:rPr>
                <w:rFonts w:ascii="Courier New" w:cs="Courier New" w:eastAsia="Courier New" w:hAnsi="Courier New"/>
                <w:sz w:val="14"/>
                <w:szCs w:val="14"/>
                <w:color w:val="auto"/>
              </w:rPr>
              <w:t>Amounts recognized in the Consolidated Balance</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3"/>
        </w:trPr>
        <w:tc>
          <w:tcPr>
            <w:tcW w:w="3980" w:type="dxa"/>
            <w:vAlign w:val="bottom"/>
          </w:tcPr>
          <w:p>
            <w:pPr>
              <w:spacing w:after="0"/>
              <w:rPr>
                <w:sz w:val="20"/>
                <w:szCs w:val="20"/>
                <w:color w:val="auto"/>
              </w:rPr>
            </w:pPr>
            <w:r>
              <w:rPr>
                <w:rFonts w:ascii="Courier New" w:cs="Courier New" w:eastAsia="Courier New" w:hAnsi="Courier New"/>
                <w:sz w:val="14"/>
                <w:szCs w:val="14"/>
                <w:color w:val="auto"/>
              </w:rPr>
              <w:t>Sheets consist of:</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27"/>
        </w:trPr>
        <w:tc>
          <w:tcPr>
            <w:tcW w:w="3980" w:type="dxa"/>
            <w:vAlign w:val="bottom"/>
          </w:tcPr>
          <w:p>
            <w:pPr>
              <w:spacing w:after="0"/>
              <w:rPr>
                <w:sz w:val="24"/>
                <w:szCs w:val="24"/>
                <w:color w:val="auto"/>
              </w:rPr>
            </w:pPr>
          </w:p>
        </w:tc>
        <w:tc>
          <w:tcPr>
            <w:tcW w:w="1120" w:type="dxa"/>
            <w:vAlign w:val="bottom"/>
          </w:tcPr>
          <w:p>
            <w:pPr>
              <w:jc w:val="center"/>
              <w:ind w:right="29"/>
              <w:spacing w:after="0"/>
              <w:rPr>
                <w:sz w:val="20"/>
                <w:szCs w:val="20"/>
                <w:color w:val="auto"/>
              </w:rPr>
            </w:pPr>
            <w:r>
              <w:rPr>
                <w:rFonts w:ascii="Courier New" w:cs="Courier New" w:eastAsia="Courier New" w:hAnsi="Courier New"/>
                <w:sz w:val="14"/>
                <w:szCs w:val="14"/>
                <w:b w:val="1"/>
                <w:bCs w:val="1"/>
                <w:color w:val="auto"/>
              </w:rPr>
              <w:t>2003</w:t>
            </w:r>
          </w:p>
        </w:tc>
        <w:tc>
          <w:tcPr>
            <w:tcW w:w="1260" w:type="dxa"/>
            <w:vAlign w:val="bottom"/>
          </w:tcPr>
          <w:p>
            <w:pPr>
              <w:ind w:left="500"/>
              <w:spacing w:after="0"/>
              <w:rPr>
                <w:sz w:val="20"/>
                <w:szCs w:val="20"/>
                <w:color w:val="auto"/>
              </w:rPr>
            </w:pPr>
            <w:r>
              <w:rPr>
                <w:rFonts w:ascii="Courier New" w:cs="Courier New" w:eastAsia="Courier New" w:hAnsi="Courier New"/>
                <w:sz w:val="14"/>
                <w:szCs w:val="14"/>
                <w:b w:val="1"/>
                <w:bCs w:val="1"/>
                <w:color w:val="auto"/>
              </w:rPr>
              <w:t>2002</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3"/>
        </w:trPr>
        <w:tc>
          <w:tcPr>
            <w:tcW w:w="3980" w:type="dxa"/>
            <w:vAlign w:val="bottom"/>
          </w:tcPr>
          <w:p>
            <w:pPr>
              <w:spacing w:after="0"/>
              <w:rPr>
                <w:sz w:val="14"/>
                <w:szCs w:val="14"/>
                <w:color w:val="auto"/>
              </w:rPr>
            </w:pPr>
          </w:p>
        </w:tc>
        <w:tc>
          <w:tcPr>
            <w:tcW w:w="11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Accrued benefit liability</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$ 3,987</w:t>
            </w:r>
          </w:p>
        </w:tc>
        <w:tc>
          <w:tcPr>
            <w:tcW w:w="1260" w:type="dxa"/>
            <w:vAlign w:val="bottom"/>
          </w:tcPr>
          <w:p>
            <w:pPr>
              <w:ind w:left="500"/>
              <w:spacing w:after="0"/>
              <w:rPr>
                <w:sz w:val="20"/>
                <w:szCs w:val="20"/>
                <w:color w:val="auto"/>
              </w:rPr>
            </w:pPr>
            <w:r>
              <w:rPr>
                <w:rFonts w:ascii="Courier New" w:cs="Courier New" w:eastAsia="Courier New" w:hAnsi="Courier New"/>
                <w:sz w:val="14"/>
                <w:szCs w:val="14"/>
                <w:color w:val="auto"/>
              </w:rPr>
              <w:t>$ 3,059</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Accumulated other comprehensive loss, net</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3980" w:type="dxa"/>
            <w:vAlign w:val="bottom"/>
          </w:tcPr>
          <w:p>
            <w:pPr>
              <w:ind w:left="160"/>
              <w:spacing w:after="0"/>
              <w:rPr>
                <w:sz w:val="20"/>
                <w:szCs w:val="20"/>
                <w:color w:val="auto"/>
              </w:rPr>
            </w:pPr>
            <w:r>
              <w:rPr>
                <w:rFonts w:ascii="Courier New" w:cs="Courier New" w:eastAsia="Courier New" w:hAnsi="Courier New"/>
                <w:sz w:val="14"/>
                <w:szCs w:val="14"/>
                <w:color w:val="auto"/>
              </w:rPr>
              <w:t>of tax</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(258)</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(81)</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3980" w:type="dxa"/>
            <w:vAlign w:val="bottom"/>
          </w:tcPr>
          <w:p>
            <w:pPr>
              <w:spacing w:after="0"/>
              <w:rPr>
                <w:sz w:val="14"/>
                <w:szCs w:val="14"/>
                <w:color w:val="auto"/>
              </w:rPr>
            </w:pPr>
          </w:p>
        </w:tc>
        <w:tc>
          <w:tcPr>
            <w:tcW w:w="11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Net amount recognized in other non-current</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3980" w:type="dxa"/>
            <w:vAlign w:val="bottom"/>
          </w:tcPr>
          <w:p>
            <w:pPr>
              <w:ind w:left="260"/>
              <w:spacing w:after="0"/>
              <w:rPr>
                <w:sz w:val="20"/>
                <w:szCs w:val="20"/>
                <w:color w:val="auto"/>
              </w:rPr>
            </w:pPr>
            <w:r>
              <w:rPr>
                <w:rFonts w:ascii="Courier New" w:cs="Courier New" w:eastAsia="Courier New" w:hAnsi="Courier New"/>
                <w:sz w:val="14"/>
                <w:szCs w:val="14"/>
                <w:color w:val="auto"/>
              </w:rPr>
              <w:t>liabilities</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$ 3,729</w:t>
            </w:r>
          </w:p>
        </w:tc>
        <w:tc>
          <w:tcPr>
            <w:tcW w:w="1260" w:type="dxa"/>
            <w:vAlign w:val="bottom"/>
          </w:tcPr>
          <w:p>
            <w:pPr>
              <w:ind w:left="500"/>
              <w:spacing w:after="0"/>
              <w:rPr>
                <w:sz w:val="20"/>
                <w:szCs w:val="20"/>
                <w:color w:val="auto"/>
              </w:rPr>
            </w:pPr>
            <w:r>
              <w:rPr>
                <w:rFonts w:ascii="Courier New" w:cs="Courier New" w:eastAsia="Courier New" w:hAnsi="Courier New"/>
                <w:sz w:val="14"/>
                <w:szCs w:val="14"/>
                <w:color w:val="auto"/>
              </w:rPr>
              <w:t>$ 2,978</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3980" w:type="dxa"/>
            <w:vAlign w:val="bottom"/>
          </w:tcPr>
          <w:p>
            <w:pPr>
              <w:spacing w:after="0"/>
              <w:rPr>
                <w:sz w:val="14"/>
                <w:szCs w:val="14"/>
                <w:color w:val="auto"/>
              </w:rPr>
            </w:pPr>
          </w:p>
        </w:tc>
        <w:tc>
          <w:tcPr>
            <w:tcW w:w="1120" w:type="dxa"/>
            <w:vAlign w:val="bottom"/>
          </w:tcPr>
          <w:p>
            <w:pPr>
              <w:jc w:val="center"/>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r>
    </w:tbl>
    <w:p>
      <w:pPr>
        <w:spacing w:after="0" w:line="167" w:lineRule="exact"/>
        <w:rPr>
          <w:sz w:val="20"/>
          <w:szCs w:val="20"/>
          <w:color w:val="auto"/>
        </w:rPr>
      </w:pPr>
    </w:p>
    <w:p>
      <w:pPr>
        <w:ind w:right="3660"/>
        <w:spacing w:after="0" w:line="249" w:lineRule="auto"/>
        <w:rPr>
          <w:sz w:val="20"/>
          <w:szCs w:val="20"/>
          <w:color w:val="auto"/>
        </w:rPr>
      </w:pPr>
      <w:r>
        <w:rPr>
          <w:rFonts w:ascii="Courier New" w:cs="Courier New" w:eastAsia="Courier New" w:hAnsi="Courier New"/>
          <w:sz w:val="14"/>
          <w:szCs w:val="14"/>
          <w:color w:val="auto"/>
        </w:rPr>
        <w:t>Accumulated other comprehensive loss is shown net of tax of $135, $47 and $31 at December 31, 2003, 2002 and 2001, respectively.</w:t>
      </w:r>
    </w:p>
    <w:p>
      <w:pPr>
        <w:spacing w:after="0" w:line="324" w:lineRule="exact"/>
        <w:rPr>
          <w:sz w:val="20"/>
          <w:szCs w:val="20"/>
          <w:color w:val="auto"/>
        </w:rPr>
      </w:pPr>
    </w:p>
    <w:p>
      <w:pPr>
        <w:ind w:left="3320"/>
        <w:spacing w:after="0"/>
        <w:tabs>
          <w:tab w:leader="none" w:pos="602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440" w:hanging="433"/>
        <w:spacing w:after="0"/>
        <w:tabs>
          <w:tab w:leader="none" w:pos="440" w:val="left"/>
        </w:tabs>
        <w:numPr>
          <w:ilvl w:val="0"/>
          <w:numId w:val="27"/>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Stock Incentive Plan</w:t>
      </w:r>
    </w:p>
    <w:p>
      <w:pPr>
        <w:spacing w:after="0" w:line="331" w:lineRule="exact"/>
        <w:rPr>
          <w:rFonts w:ascii="Courier New" w:cs="Courier New" w:eastAsia="Courier New" w:hAnsi="Courier New"/>
          <w:sz w:val="14"/>
          <w:szCs w:val="14"/>
          <w:b w:val="1"/>
          <w:bCs w:val="1"/>
          <w:color w:val="auto"/>
        </w:rPr>
      </w:pPr>
    </w:p>
    <w:p>
      <w:pPr>
        <w:ind w:left="440" w:right="3740"/>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The Company has a Stock Incentive Plan under which 2,450 shares of the Company's Common Stock were reserved for issuance to officers and key employees of the Company.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pacing w:after="0" w:line="164" w:lineRule="exact"/>
        <w:rPr>
          <w:rFonts w:ascii="Courier New" w:cs="Courier New" w:eastAsia="Courier New" w:hAnsi="Courier New"/>
          <w:sz w:val="14"/>
          <w:szCs w:val="14"/>
          <w:b w:val="1"/>
          <w:bCs w:val="1"/>
          <w:color w:val="auto"/>
        </w:rPr>
      </w:pPr>
    </w:p>
    <w:p>
      <w:pPr>
        <w:ind w:left="440" w:right="3740"/>
        <w:spacing w:after="0" w:line="248"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A summary of the status of the Company's stock option plan as described above as of December 31, 2003, 2002 and 2001, and changes during the years ending on those dates is presented below:</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2020" w:type="dxa"/>
            <w:vAlign w:val="bottom"/>
          </w:tcPr>
          <w:p>
            <w:pPr>
              <w:spacing w:after="0"/>
              <w:rPr>
                <w:sz w:val="13"/>
                <w:szCs w:val="13"/>
                <w:color w:val="auto"/>
              </w:rPr>
            </w:pPr>
          </w:p>
        </w:tc>
        <w:tc>
          <w:tcPr>
            <w:tcW w:w="2820" w:type="dxa"/>
            <w:vAlign w:val="bottom"/>
            <w:gridSpan w:val="2"/>
          </w:tcPr>
          <w:p>
            <w:pPr>
              <w:jc w:val="right"/>
              <w:ind w:right="1209"/>
              <w:spacing w:after="0"/>
              <w:rPr>
                <w:sz w:val="20"/>
                <w:szCs w:val="20"/>
                <w:color w:val="auto"/>
              </w:rPr>
            </w:pPr>
            <w:r>
              <w:rPr>
                <w:rFonts w:ascii="Courier New" w:cs="Courier New" w:eastAsia="Courier New" w:hAnsi="Courier New"/>
                <w:sz w:val="14"/>
                <w:szCs w:val="14"/>
                <w:b w:val="1"/>
                <w:bCs w:val="1"/>
                <w:color w:val="auto"/>
              </w:rPr>
              <w:t>2003</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60" w:type="dxa"/>
            <w:vAlign w:val="bottom"/>
          </w:tcPr>
          <w:p>
            <w:pPr>
              <w:jc w:val="right"/>
              <w:ind w:right="1049"/>
              <w:spacing w:after="0"/>
              <w:rPr>
                <w:sz w:val="20"/>
                <w:szCs w:val="20"/>
                <w:color w:val="auto"/>
              </w:rPr>
            </w:pPr>
            <w:r>
              <w:rPr>
                <w:rFonts w:ascii="Courier New" w:cs="Courier New" w:eastAsia="Courier New" w:hAnsi="Courier New"/>
                <w:sz w:val="14"/>
                <w:szCs w:val="14"/>
                <w:b w:val="1"/>
                <w:bCs w:val="1"/>
                <w:color w:val="auto"/>
                <w:w w:val="95"/>
              </w:rPr>
              <w:t>2002</w:t>
            </w:r>
          </w:p>
        </w:tc>
        <w:tc>
          <w:tcPr>
            <w:tcW w:w="1260" w:type="dxa"/>
            <w:vAlign w:val="bottom"/>
          </w:tcPr>
          <w:p>
            <w:pPr>
              <w:spacing w:after="0"/>
              <w:rPr>
                <w:sz w:val="13"/>
                <w:szCs w:val="13"/>
                <w:color w:val="auto"/>
              </w:rPr>
            </w:pPr>
          </w:p>
        </w:tc>
        <w:tc>
          <w:tcPr>
            <w:tcW w:w="1540" w:type="dxa"/>
            <w:vAlign w:val="bottom"/>
          </w:tcPr>
          <w:p>
            <w:pPr>
              <w:jc w:val="right"/>
              <w:ind w:right="1129"/>
              <w:spacing w:after="0"/>
              <w:rPr>
                <w:sz w:val="20"/>
                <w:szCs w:val="20"/>
                <w:color w:val="auto"/>
              </w:rPr>
            </w:pPr>
            <w:r>
              <w:rPr>
                <w:rFonts w:ascii="Courier New" w:cs="Courier New" w:eastAsia="Courier New" w:hAnsi="Courier New"/>
                <w:sz w:val="14"/>
                <w:szCs w:val="14"/>
                <w:b w:val="1"/>
                <w:bCs w:val="1"/>
                <w:color w:val="auto"/>
                <w:w w:val="95"/>
              </w:rPr>
              <w:t>2001</w:t>
            </w:r>
          </w:p>
        </w:tc>
      </w:tr>
      <w:tr>
        <w:trPr>
          <w:trHeight w:val="163"/>
        </w:trPr>
        <w:tc>
          <w:tcPr>
            <w:tcW w:w="2020" w:type="dxa"/>
            <w:vAlign w:val="bottom"/>
          </w:tcPr>
          <w:p>
            <w:pPr>
              <w:spacing w:after="0"/>
              <w:rPr>
                <w:sz w:val="14"/>
                <w:szCs w:val="14"/>
                <w:color w:val="auto"/>
              </w:rPr>
            </w:pPr>
          </w:p>
        </w:tc>
        <w:tc>
          <w:tcPr>
            <w:tcW w:w="2820" w:type="dxa"/>
            <w:vAlign w:val="bottom"/>
            <w:gridSpan w:val="2"/>
          </w:tcPr>
          <w:p>
            <w:pPr>
              <w:ind w:left="260"/>
              <w:spacing w:after="0"/>
              <w:rPr>
                <w:sz w:val="20"/>
                <w:szCs w:val="20"/>
                <w:color w:val="auto"/>
              </w:rPr>
            </w:pPr>
            <w:r>
              <w:rPr>
                <w:rFonts w:ascii="Courier New" w:cs="Courier New" w:eastAsia="Courier New" w:hAnsi="Courier New"/>
                <w:sz w:val="14"/>
                <w:szCs w:val="14"/>
                <w:b w:val="1"/>
                <w:bCs w:val="1"/>
                <w:color w:val="auto"/>
              </w:rPr>
              <w:t>----------------------------</w:t>
            </w:r>
          </w:p>
        </w:tc>
        <w:tc>
          <w:tcPr>
            <w:tcW w:w="2380" w:type="dxa"/>
            <w:vAlign w:val="bottom"/>
            <w:gridSpan w:val="3"/>
          </w:tcPr>
          <w:p>
            <w:pPr>
              <w:spacing w:after="0"/>
              <w:rPr>
                <w:sz w:val="20"/>
                <w:szCs w:val="20"/>
                <w:color w:val="auto"/>
              </w:rPr>
            </w:pPr>
            <w:r>
              <w:rPr>
                <w:rFonts w:ascii="Courier New" w:cs="Courier New" w:eastAsia="Courier New" w:hAnsi="Courier New"/>
                <w:sz w:val="14"/>
                <w:szCs w:val="14"/>
                <w:b w:val="1"/>
                <w:bCs w:val="1"/>
                <w:color w:val="auto"/>
              </w:rPr>
              <w:t>----------------------------</w:t>
            </w:r>
          </w:p>
        </w:tc>
        <w:tc>
          <w:tcPr>
            <w:tcW w:w="2800" w:type="dxa"/>
            <w:vAlign w:val="bottom"/>
            <w:gridSpan w:val="2"/>
          </w:tcPr>
          <w:p>
            <w:pPr>
              <w:ind w:left="240"/>
              <w:spacing w:after="0"/>
              <w:rPr>
                <w:sz w:val="20"/>
                <w:szCs w:val="20"/>
                <w:color w:val="auto"/>
              </w:rPr>
            </w:pPr>
            <w:r>
              <w:rPr>
                <w:rFonts w:ascii="Courier New" w:cs="Courier New" w:eastAsia="Courier New" w:hAnsi="Courier New"/>
                <w:sz w:val="14"/>
                <w:szCs w:val="14"/>
                <w:b w:val="1"/>
                <w:bCs w:val="1"/>
                <w:color w:val="auto"/>
              </w:rPr>
              <w:t>-----------------------------</w:t>
            </w:r>
          </w:p>
        </w:tc>
      </w:tr>
      <w:tr>
        <w:trPr>
          <w:trHeight w:val="163"/>
        </w:trPr>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jc w:val="center"/>
              <w:ind w:right="209"/>
              <w:spacing w:after="0"/>
              <w:rPr>
                <w:sz w:val="20"/>
                <w:szCs w:val="20"/>
                <w:color w:val="auto"/>
              </w:rPr>
            </w:pPr>
            <w:r>
              <w:rPr>
                <w:rFonts w:ascii="Courier New" w:cs="Courier New" w:eastAsia="Courier New" w:hAnsi="Courier New"/>
                <w:sz w:val="14"/>
                <w:szCs w:val="14"/>
                <w:b w:val="1"/>
                <w:bCs w:val="1"/>
                <w:color w:val="auto"/>
              </w:rPr>
              <w:t>Weighted-</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tcPr>
          <w:p>
            <w:pPr>
              <w:jc w:val="center"/>
              <w:ind w:left="109"/>
              <w:spacing w:after="0"/>
              <w:rPr>
                <w:sz w:val="20"/>
                <w:szCs w:val="20"/>
                <w:color w:val="auto"/>
              </w:rPr>
            </w:pPr>
            <w:r>
              <w:rPr>
                <w:rFonts w:ascii="Courier New" w:cs="Courier New" w:eastAsia="Courier New" w:hAnsi="Courier New"/>
                <w:sz w:val="14"/>
                <w:szCs w:val="14"/>
                <w:b w:val="1"/>
                <w:bCs w:val="1"/>
                <w:color w:val="auto"/>
              </w:rPr>
              <w:t>Weighted-</w:t>
            </w:r>
          </w:p>
        </w:tc>
        <w:tc>
          <w:tcPr>
            <w:tcW w:w="1260" w:type="dxa"/>
            <w:vAlign w:val="bottom"/>
          </w:tcPr>
          <w:p>
            <w:pPr>
              <w:spacing w:after="0"/>
              <w:rPr>
                <w:sz w:val="14"/>
                <w:szCs w:val="14"/>
                <w:color w:val="auto"/>
              </w:rPr>
            </w:pPr>
          </w:p>
        </w:tc>
        <w:tc>
          <w:tcPr>
            <w:tcW w:w="1540" w:type="dxa"/>
            <w:vAlign w:val="bottom"/>
          </w:tcPr>
          <w:p>
            <w:pPr>
              <w:jc w:val="center"/>
              <w:ind w:left="189"/>
              <w:spacing w:after="0"/>
              <w:rPr>
                <w:sz w:val="20"/>
                <w:szCs w:val="20"/>
                <w:color w:val="auto"/>
              </w:rPr>
            </w:pPr>
            <w:r>
              <w:rPr>
                <w:rFonts w:ascii="Courier New" w:cs="Courier New" w:eastAsia="Courier New" w:hAnsi="Courier New"/>
                <w:sz w:val="14"/>
                <w:szCs w:val="14"/>
                <w:b w:val="1"/>
                <w:bCs w:val="1"/>
                <w:color w:val="auto"/>
              </w:rPr>
              <w:t>Weighted-</w:t>
            </w:r>
          </w:p>
        </w:tc>
      </w:tr>
      <w:tr>
        <w:trPr>
          <w:trHeight w:val="163"/>
        </w:trPr>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jc w:val="center"/>
              <w:ind w:right="209"/>
              <w:spacing w:after="0"/>
              <w:rPr>
                <w:sz w:val="20"/>
                <w:szCs w:val="20"/>
                <w:color w:val="auto"/>
              </w:rPr>
            </w:pPr>
            <w:r>
              <w:rPr>
                <w:rFonts w:ascii="Courier New" w:cs="Courier New" w:eastAsia="Courier New" w:hAnsi="Courier New"/>
                <w:sz w:val="14"/>
                <w:szCs w:val="14"/>
                <w:b w:val="1"/>
                <w:bCs w:val="1"/>
                <w:color w:val="auto"/>
              </w:rPr>
              <w:t>average</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tcPr>
          <w:p>
            <w:pPr>
              <w:jc w:val="center"/>
              <w:ind w:left="109"/>
              <w:spacing w:after="0"/>
              <w:rPr>
                <w:sz w:val="20"/>
                <w:szCs w:val="20"/>
                <w:color w:val="auto"/>
              </w:rPr>
            </w:pPr>
            <w:r>
              <w:rPr>
                <w:rFonts w:ascii="Courier New" w:cs="Courier New" w:eastAsia="Courier New" w:hAnsi="Courier New"/>
                <w:sz w:val="14"/>
                <w:szCs w:val="14"/>
                <w:b w:val="1"/>
                <w:bCs w:val="1"/>
                <w:color w:val="auto"/>
              </w:rPr>
              <w:t>average</w:t>
            </w:r>
          </w:p>
        </w:tc>
        <w:tc>
          <w:tcPr>
            <w:tcW w:w="1260" w:type="dxa"/>
            <w:vAlign w:val="bottom"/>
          </w:tcPr>
          <w:p>
            <w:pPr>
              <w:spacing w:after="0"/>
              <w:rPr>
                <w:sz w:val="14"/>
                <w:szCs w:val="14"/>
                <w:color w:val="auto"/>
              </w:rPr>
            </w:pPr>
          </w:p>
        </w:tc>
        <w:tc>
          <w:tcPr>
            <w:tcW w:w="1540" w:type="dxa"/>
            <w:vAlign w:val="bottom"/>
          </w:tcPr>
          <w:p>
            <w:pPr>
              <w:jc w:val="center"/>
              <w:ind w:left="189"/>
              <w:spacing w:after="0"/>
              <w:rPr>
                <w:sz w:val="20"/>
                <w:szCs w:val="20"/>
                <w:color w:val="auto"/>
              </w:rPr>
            </w:pPr>
            <w:r>
              <w:rPr>
                <w:rFonts w:ascii="Courier New" w:cs="Courier New" w:eastAsia="Courier New" w:hAnsi="Courier New"/>
                <w:sz w:val="14"/>
                <w:szCs w:val="14"/>
                <w:b w:val="1"/>
                <w:bCs w:val="1"/>
                <w:color w:val="auto"/>
              </w:rPr>
              <w:t>average</w:t>
            </w:r>
          </w:p>
        </w:tc>
      </w:tr>
      <w:tr>
        <w:trPr>
          <w:trHeight w:val="163"/>
        </w:trPr>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jc w:val="right"/>
              <w:ind w:right="449"/>
              <w:spacing w:after="0"/>
              <w:rPr>
                <w:sz w:val="20"/>
                <w:szCs w:val="20"/>
                <w:color w:val="auto"/>
              </w:rPr>
            </w:pPr>
            <w:r>
              <w:rPr>
                <w:rFonts w:ascii="Courier New" w:cs="Courier New" w:eastAsia="Courier New" w:hAnsi="Courier New"/>
                <w:sz w:val="14"/>
                <w:szCs w:val="14"/>
                <w:b w:val="1"/>
                <w:bCs w:val="1"/>
                <w:color w:val="auto"/>
              </w:rPr>
              <w:t>exercise</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exercise</w:t>
            </w:r>
          </w:p>
        </w:tc>
        <w:tc>
          <w:tcPr>
            <w:tcW w:w="1260" w:type="dxa"/>
            <w:vAlign w:val="bottom"/>
          </w:tcPr>
          <w:p>
            <w:pPr>
              <w:spacing w:after="0"/>
              <w:rPr>
                <w:sz w:val="14"/>
                <w:szCs w:val="14"/>
                <w:color w:val="auto"/>
              </w:rPr>
            </w:pPr>
          </w:p>
        </w:tc>
        <w:tc>
          <w:tcPr>
            <w:tcW w:w="154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exercise</w:t>
            </w:r>
          </w:p>
        </w:tc>
      </w:tr>
      <w:tr>
        <w:trPr>
          <w:trHeight w:val="163"/>
        </w:trPr>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jc w:val="center"/>
              <w:ind w:right="189"/>
              <w:spacing w:after="0"/>
              <w:rPr>
                <w:sz w:val="20"/>
                <w:szCs w:val="20"/>
                <w:color w:val="auto"/>
              </w:rPr>
            </w:pPr>
            <w:r>
              <w:rPr>
                <w:rFonts w:ascii="Courier New" w:cs="Courier New" w:eastAsia="Courier New" w:hAnsi="Courier New"/>
                <w:sz w:val="14"/>
                <w:szCs w:val="14"/>
                <w:b w:val="1"/>
                <w:bCs w:val="1"/>
                <w:color w:val="auto"/>
                <w:w w:val="99"/>
              </w:rPr>
              <w:t>price</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tcPr>
          <w:p>
            <w:pPr>
              <w:jc w:val="center"/>
              <w:ind w:left="89"/>
              <w:spacing w:after="0"/>
              <w:rPr>
                <w:sz w:val="20"/>
                <w:szCs w:val="20"/>
                <w:color w:val="auto"/>
              </w:rPr>
            </w:pPr>
            <w:r>
              <w:rPr>
                <w:rFonts w:ascii="Courier New" w:cs="Courier New" w:eastAsia="Courier New" w:hAnsi="Courier New"/>
                <w:sz w:val="14"/>
                <w:szCs w:val="14"/>
                <w:b w:val="1"/>
                <w:bCs w:val="1"/>
                <w:color w:val="auto"/>
                <w:w w:val="99"/>
              </w:rPr>
              <w:t>price</w:t>
            </w:r>
          </w:p>
        </w:tc>
        <w:tc>
          <w:tcPr>
            <w:tcW w:w="1260" w:type="dxa"/>
            <w:vAlign w:val="bottom"/>
          </w:tcPr>
          <w:p>
            <w:pPr>
              <w:spacing w:after="0"/>
              <w:rPr>
                <w:sz w:val="14"/>
                <w:szCs w:val="14"/>
                <w:color w:val="auto"/>
              </w:rPr>
            </w:pPr>
          </w:p>
        </w:tc>
        <w:tc>
          <w:tcPr>
            <w:tcW w:w="1540" w:type="dxa"/>
            <w:vAlign w:val="bottom"/>
          </w:tcPr>
          <w:p>
            <w:pPr>
              <w:jc w:val="center"/>
              <w:ind w:left="169"/>
              <w:spacing w:after="0"/>
              <w:rPr>
                <w:sz w:val="20"/>
                <w:szCs w:val="20"/>
                <w:color w:val="auto"/>
              </w:rPr>
            </w:pPr>
            <w:r>
              <w:rPr>
                <w:rFonts w:ascii="Courier New" w:cs="Courier New" w:eastAsia="Courier New" w:hAnsi="Courier New"/>
                <w:sz w:val="14"/>
                <w:szCs w:val="14"/>
                <w:b w:val="1"/>
                <w:bCs w:val="1"/>
                <w:color w:val="auto"/>
                <w:w w:val="99"/>
              </w:rPr>
              <w:t>price</w:t>
            </w:r>
          </w:p>
        </w:tc>
      </w:tr>
      <w:tr>
        <w:trPr>
          <w:trHeight w:val="163"/>
        </w:trPr>
        <w:tc>
          <w:tcPr>
            <w:tcW w:w="2020" w:type="dxa"/>
            <w:vAlign w:val="bottom"/>
          </w:tcPr>
          <w:p>
            <w:pPr>
              <w:spacing w:after="0"/>
              <w:rPr>
                <w:sz w:val="14"/>
                <w:szCs w:val="14"/>
                <w:color w:val="auto"/>
              </w:rPr>
            </w:pPr>
          </w:p>
        </w:tc>
        <w:tc>
          <w:tcPr>
            <w:tcW w:w="1460" w:type="dxa"/>
            <w:vAlign w:val="bottom"/>
          </w:tcPr>
          <w:p>
            <w:pPr>
              <w:jc w:val="right"/>
              <w:ind w:right="450"/>
              <w:spacing w:after="0"/>
              <w:rPr>
                <w:sz w:val="20"/>
                <w:szCs w:val="20"/>
                <w:color w:val="auto"/>
              </w:rPr>
            </w:pPr>
            <w:r>
              <w:rPr>
                <w:rFonts w:ascii="Courier New" w:cs="Courier New" w:eastAsia="Courier New" w:hAnsi="Courier New"/>
                <w:sz w:val="14"/>
                <w:szCs w:val="14"/>
                <w:b w:val="1"/>
                <w:bCs w:val="1"/>
                <w:color w:val="auto"/>
              </w:rPr>
              <w:t>Shares</w:t>
            </w:r>
          </w:p>
        </w:tc>
        <w:tc>
          <w:tcPr>
            <w:tcW w:w="1360" w:type="dxa"/>
            <w:vAlign w:val="bottom"/>
          </w:tcPr>
          <w:p>
            <w:pPr>
              <w:jc w:val="center"/>
              <w:ind w:right="209"/>
              <w:spacing w:after="0"/>
              <w:rPr>
                <w:sz w:val="20"/>
                <w:szCs w:val="20"/>
                <w:color w:val="auto"/>
              </w:rPr>
            </w:pPr>
            <w:r>
              <w:rPr>
                <w:rFonts w:ascii="Courier New" w:cs="Courier New" w:eastAsia="Courier New" w:hAnsi="Courier New"/>
                <w:sz w:val="14"/>
                <w:szCs w:val="14"/>
                <w:b w:val="1"/>
                <w:bCs w:val="1"/>
                <w:color w:val="auto"/>
              </w:rPr>
              <w:t>per share</w:t>
            </w:r>
          </w:p>
        </w:tc>
        <w:tc>
          <w:tcPr>
            <w:tcW w:w="920" w:type="dxa"/>
            <w:vAlign w:val="bottom"/>
            <w:gridSpan w:val="2"/>
          </w:tcPr>
          <w:p>
            <w:pPr>
              <w:jc w:val="right"/>
              <w:ind w:right="89"/>
              <w:spacing w:after="0"/>
              <w:rPr>
                <w:sz w:val="20"/>
                <w:szCs w:val="20"/>
                <w:color w:val="auto"/>
              </w:rPr>
            </w:pPr>
            <w:r>
              <w:rPr>
                <w:rFonts w:ascii="Courier New" w:cs="Courier New" w:eastAsia="Courier New" w:hAnsi="Courier New"/>
                <w:sz w:val="14"/>
                <w:szCs w:val="14"/>
                <w:b w:val="1"/>
                <w:bCs w:val="1"/>
                <w:color w:val="auto"/>
              </w:rPr>
              <w:t>Shares</w:t>
            </w:r>
          </w:p>
        </w:tc>
        <w:tc>
          <w:tcPr>
            <w:tcW w:w="1460" w:type="dxa"/>
            <w:vAlign w:val="bottom"/>
          </w:tcPr>
          <w:p>
            <w:pPr>
              <w:jc w:val="center"/>
              <w:ind w:left="109"/>
              <w:spacing w:after="0"/>
              <w:rPr>
                <w:sz w:val="20"/>
                <w:szCs w:val="20"/>
                <w:color w:val="auto"/>
              </w:rPr>
            </w:pPr>
            <w:r>
              <w:rPr>
                <w:rFonts w:ascii="Courier New" w:cs="Courier New" w:eastAsia="Courier New" w:hAnsi="Courier New"/>
                <w:sz w:val="14"/>
                <w:szCs w:val="14"/>
                <w:b w:val="1"/>
                <w:bCs w:val="1"/>
                <w:color w:val="auto"/>
              </w:rPr>
              <w:t>per share</w:t>
            </w:r>
          </w:p>
        </w:tc>
        <w:tc>
          <w:tcPr>
            <w:tcW w:w="1260" w:type="dxa"/>
            <w:vAlign w:val="bottom"/>
          </w:tcPr>
          <w:p>
            <w:pPr>
              <w:jc w:val="right"/>
              <w:ind w:right="189"/>
              <w:spacing w:after="0"/>
              <w:rPr>
                <w:sz w:val="20"/>
                <w:szCs w:val="20"/>
                <w:color w:val="auto"/>
              </w:rPr>
            </w:pPr>
            <w:r>
              <w:rPr>
                <w:rFonts w:ascii="Courier New" w:cs="Courier New" w:eastAsia="Courier New" w:hAnsi="Courier New"/>
                <w:sz w:val="14"/>
                <w:szCs w:val="14"/>
                <w:b w:val="1"/>
                <w:bCs w:val="1"/>
                <w:color w:val="auto"/>
              </w:rPr>
              <w:t>Shares</w:t>
            </w:r>
          </w:p>
        </w:tc>
        <w:tc>
          <w:tcPr>
            <w:tcW w:w="1540" w:type="dxa"/>
            <w:vAlign w:val="bottom"/>
          </w:tcPr>
          <w:p>
            <w:pPr>
              <w:jc w:val="center"/>
              <w:ind w:left="189"/>
              <w:spacing w:after="0"/>
              <w:rPr>
                <w:sz w:val="20"/>
                <w:szCs w:val="20"/>
                <w:color w:val="auto"/>
              </w:rPr>
            </w:pPr>
            <w:r>
              <w:rPr>
                <w:rFonts w:ascii="Courier New" w:cs="Courier New" w:eastAsia="Courier New" w:hAnsi="Courier New"/>
                <w:sz w:val="14"/>
                <w:szCs w:val="14"/>
                <w:b w:val="1"/>
                <w:bCs w:val="1"/>
                <w:color w:val="auto"/>
              </w:rPr>
              <w:t>per share</w:t>
            </w:r>
          </w:p>
        </w:tc>
      </w:tr>
      <w:tr>
        <w:trPr>
          <w:trHeight w:val="163"/>
        </w:trPr>
        <w:tc>
          <w:tcPr>
            <w:tcW w:w="2020" w:type="dxa"/>
            <w:vAlign w:val="bottom"/>
          </w:tcPr>
          <w:p>
            <w:pPr>
              <w:spacing w:after="0"/>
              <w:rPr>
                <w:sz w:val="14"/>
                <w:szCs w:val="14"/>
                <w:color w:val="auto"/>
              </w:rPr>
            </w:pPr>
          </w:p>
        </w:tc>
        <w:tc>
          <w:tcPr>
            <w:tcW w:w="2820" w:type="dxa"/>
            <w:vAlign w:val="bottom"/>
            <w:gridSpan w:val="2"/>
          </w:tcPr>
          <w:p>
            <w:pPr>
              <w:ind w:left="260"/>
              <w:spacing w:after="0"/>
              <w:rPr>
                <w:sz w:val="20"/>
                <w:szCs w:val="20"/>
                <w:color w:val="auto"/>
              </w:rPr>
            </w:pPr>
            <w:r>
              <w:rPr>
                <w:rFonts w:ascii="Courier New" w:cs="Courier New" w:eastAsia="Courier New" w:hAnsi="Courier New"/>
                <w:sz w:val="14"/>
                <w:szCs w:val="14"/>
                <w:b w:val="1"/>
                <w:bCs w:val="1"/>
                <w:color w:val="auto"/>
              </w:rPr>
              <w:t>-----------  ---------------</w:t>
            </w:r>
          </w:p>
        </w:tc>
        <w:tc>
          <w:tcPr>
            <w:tcW w:w="92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w w:val="97"/>
              </w:rPr>
              <w:t>-----------</w:t>
            </w:r>
          </w:p>
        </w:tc>
        <w:tc>
          <w:tcPr>
            <w:tcW w:w="1460" w:type="dxa"/>
            <w:vAlign w:val="bottom"/>
          </w:tcPr>
          <w:p>
            <w:pPr>
              <w:jc w:val="center"/>
              <w:ind w:left="109"/>
              <w:spacing w:after="0"/>
              <w:rPr>
                <w:sz w:val="20"/>
                <w:szCs w:val="20"/>
                <w:color w:val="auto"/>
              </w:rPr>
            </w:pPr>
            <w:r>
              <w:rPr>
                <w:rFonts w:ascii="Courier New" w:cs="Courier New" w:eastAsia="Courier New" w:hAnsi="Courier New"/>
                <w:sz w:val="14"/>
                <w:szCs w:val="14"/>
                <w:b w:val="1"/>
                <w:bCs w:val="1"/>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4"/>
                <w:szCs w:val="14"/>
                <w:b w:val="1"/>
                <w:bCs w:val="1"/>
                <w:color w:val="auto"/>
                <w:w w:val="99"/>
              </w:rPr>
              <w:t>------------</w:t>
            </w:r>
          </w:p>
        </w:tc>
        <w:tc>
          <w:tcPr>
            <w:tcW w:w="1540" w:type="dxa"/>
            <w:vAlign w:val="bottom"/>
          </w:tcPr>
          <w:p>
            <w:pPr>
              <w:jc w:val="right"/>
              <w:ind w:right="29"/>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202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3"/>
        </w:trPr>
        <w:tc>
          <w:tcPr>
            <w:tcW w:w="2020" w:type="dxa"/>
            <w:vAlign w:val="bottom"/>
          </w:tcPr>
          <w:p>
            <w:pPr>
              <w:ind w:left="160"/>
              <w:spacing w:after="0"/>
              <w:rPr>
                <w:sz w:val="20"/>
                <w:szCs w:val="20"/>
                <w:color w:val="auto"/>
              </w:rPr>
            </w:pPr>
            <w:r>
              <w:rPr>
                <w:rFonts w:ascii="Courier New" w:cs="Courier New" w:eastAsia="Courier New" w:hAnsi="Courier New"/>
                <w:sz w:val="14"/>
                <w:szCs w:val="14"/>
                <w:color w:val="auto"/>
              </w:rPr>
              <w:t>beginning of year</w:t>
            </w:r>
          </w:p>
        </w:tc>
        <w:tc>
          <w:tcPr>
            <w:tcW w:w="14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1,318</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$ 7.33</w:t>
            </w:r>
          </w:p>
        </w:tc>
        <w:tc>
          <w:tcPr>
            <w:tcW w:w="38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1,373</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$ 7.25</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1,091</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$ 6.87</w:t>
            </w:r>
          </w:p>
        </w:tc>
      </w:tr>
      <w:tr>
        <w:trPr>
          <w:trHeight w:val="327"/>
        </w:trPr>
        <w:tc>
          <w:tcPr>
            <w:tcW w:w="20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4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52</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10.67</w:t>
            </w:r>
          </w:p>
        </w:tc>
        <w:tc>
          <w:tcPr>
            <w:tcW w:w="380" w:type="dxa"/>
            <w:vAlign w:val="bottom"/>
          </w:tcPr>
          <w:p>
            <w:pPr>
              <w:spacing w:after="0"/>
              <w:rPr>
                <w:sz w:val="24"/>
                <w:szCs w:val="24"/>
                <w:color w:val="auto"/>
              </w:rPr>
            </w:pPr>
          </w:p>
        </w:tc>
        <w:tc>
          <w:tcPr>
            <w:tcW w:w="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9.39</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396</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8.09</w:t>
            </w:r>
          </w:p>
        </w:tc>
      </w:tr>
      <w:tr>
        <w:trPr>
          <w:trHeight w:val="327"/>
        </w:trPr>
        <w:tc>
          <w:tcPr>
            <w:tcW w:w="20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4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(108)</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6.74</w:t>
            </w:r>
          </w:p>
        </w:tc>
        <w:tc>
          <w:tcPr>
            <w:tcW w:w="380" w:type="dxa"/>
            <w:vAlign w:val="bottom"/>
          </w:tcPr>
          <w:p>
            <w:pPr>
              <w:spacing w:after="0"/>
              <w:rPr>
                <w:sz w:val="24"/>
                <w:szCs w:val="24"/>
                <w:color w:val="auto"/>
              </w:rPr>
            </w:pPr>
          </w:p>
        </w:tc>
        <w:tc>
          <w:tcPr>
            <w:tcW w:w="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(53)</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6.61</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6.09</w:t>
            </w:r>
          </w:p>
        </w:tc>
      </w:tr>
      <w:tr>
        <w:trPr>
          <w:trHeight w:val="327"/>
        </w:trPr>
        <w:tc>
          <w:tcPr>
            <w:tcW w:w="202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4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(11)</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7.63</w:t>
            </w:r>
          </w:p>
        </w:tc>
        <w:tc>
          <w:tcPr>
            <w:tcW w:w="380" w:type="dxa"/>
            <w:vAlign w:val="bottom"/>
          </w:tcPr>
          <w:p>
            <w:pPr>
              <w:spacing w:after="0"/>
              <w:rPr>
                <w:sz w:val="24"/>
                <w:szCs w:val="24"/>
                <w:color w:val="auto"/>
              </w:rPr>
            </w:pPr>
          </w:p>
        </w:tc>
        <w:tc>
          <w:tcPr>
            <w:tcW w:w="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7.65</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6.78</w:t>
            </w:r>
          </w:p>
        </w:tc>
      </w:tr>
      <w:tr>
        <w:trPr>
          <w:trHeight w:val="163"/>
        </w:trPr>
        <w:tc>
          <w:tcPr>
            <w:tcW w:w="202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w w:val="97"/>
              </w:rPr>
              <w:t>-----------</w:t>
            </w:r>
          </w:p>
        </w:tc>
        <w:tc>
          <w:tcPr>
            <w:tcW w:w="1460" w:type="dxa"/>
            <w:vAlign w:val="bottom"/>
          </w:tcPr>
          <w:p>
            <w:pPr>
              <w:spacing w:after="0"/>
              <w:rPr>
                <w:sz w:val="14"/>
                <w:szCs w:val="14"/>
                <w:color w:val="auto"/>
              </w:rPr>
            </w:pPr>
          </w:p>
        </w:tc>
        <w:tc>
          <w:tcPr>
            <w:tcW w:w="1260" w:type="dxa"/>
            <w:vAlign w:val="bottom"/>
          </w:tcPr>
          <w:p>
            <w:pPr>
              <w:ind w:left="240"/>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tcPr>
          <w:p>
            <w:pPr>
              <w:spacing w:after="0"/>
              <w:rPr>
                <w:sz w:val="14"/>
                <w:szCs w:val="14"/>
                <w:color w:val="auto"/>
              </w:rPr>
            </w:pPr>
          </w:p>
        </w:tc>
      </w:tr>
      <w:tr>
        <w:trPr>
          <w:trHeight w:val="327"/>
        </w:trPr>
        <w:tc>
          <w:tcPr>
            <w:tcW w:w="2020" w:type="dxa"/>
            <w:vAlign w:val="bottom"/>
          </w:tcPr>
          <w:p>
            <w:pPr>
              <w:spacing w:after="0"/>
              <w:rPr>
                <w:sz w:val="20"/>
                <w:szCs w:val="20"/>
                <w:color w:val="auto"/>
              </w:rPr>
            </w:pPr>
            <w:r>
              <w:rPr>
                <w:rFonts w:ascii="Courier New" w:cs="Courier New" w:eastAsia="Courier New" w:hAnsi="Courier New"/>
                <w:sz w:val="14"/>
                <w:szCs w:val="14"/>
                <w:color w:val="auto"/>
              </w:rPr>
              <w:t>Outstanding at end of</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3"/>
        </w:trPr>
        <w:tc>
          <w:tcPr>
            <w:tcW w:w="2020" w:type="dxa"/>
            <w:vAlign w:val="bottom"/>
          </w:tcPr>
          <w:p>
            <w:pPr>
              <w:ind w:left="160"/>
              <w:spacing w:after="0"/>
              <w:rPr>
                <w:sz w:val="20"/>
                <w:szCs w:val="20"/>
                <w:color w:val="auto"/>
              </w:rPr>
            </w:pPr>
            <w:r>
              <w:rPr>
                <w:rFonts w:ascii="Courier New" w:cs="Courier New" w:eastAsia="Courier New" w:hAnsi="Courier New"/>
                <w:sz w:val="14"/>
                <w:szCs w:val="14"/>
                <w:color w:val="auto"/>
              </w:rPr>
              <w:t>year</w:t>
            </w:r>
          </w:p>
        </w:tc>
        <w:tc>
          <w:tcPr>
            <w:tcW w:w="14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1,251</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7.53</w:t>
            </w:r>
          </w:p>
        </w:tc>
        <w:tc>
          <w:tcPr>
            <w:tcW w:w="38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1,318</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7.33</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1,373</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7.25</w:t>
            </w:r>
          </w:p>
        </w:tc>
      </w:tr>
      <w:tr>
        <w:trPr>
          <w:trHeight w:val="163"/>
        </w:trPr>
        <w:tc>
          <w:tcPr>
            <w:tcW w:w="202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w w:val="97"/>
              </w:rPr>
              <w:t>===========</w:t>
            </w:r>
          </w:p>
        </w:tc>
        <w:tc>
          <w:tcPr>
            <w:tcW w:w="1460" w:type="dxa"/>
            <w:vAlign w:val="bottom"/>
          </w:tcPr>
          <w:p>
            <w:pPr>
              <w:spacing w:after="0"/>
              <w:rPr>
                <w:sz w:val="14"/>
                <w:szCs w:val="14"/>
                <w:color w:val="auto"/>
              </w:rPr>
            </w:pPr>
          </w:p>
        </w:tc>
        <w:tc>
          <w:tcPr>
            <w:tcW w:w="1260" w:type="dxa"/>
            <w:vAlign w:val="bottom"/>
          </w:tcPr>
          <w:p>
            <w:pPr>
              <w:ind w:left="240"/>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tcPr>
          <w:p>
            <w:pPr>
              <w:spacing w:after="0"/>
              <w:rPr>
                <w:sz w:val="14"/>
                <w:szCs w:val="14"/>
                <w:color w:val="auto"/>
              </w:rPr>
            </w:pPr>
          </w:p>
        </w:tc>
      </w:tr>
      <w:tr>
        <w:trPr>
          <w:trHeight w:val="327"/>
        </w:trPr>
        <w:tc>
          <w:tcPr>
            <w:tcW w:w="2020" w:type="dxa"/>
            <w:vAlign w:val="bottom"/>
          </w:tcPr>
          <w:p>
            <w:pPr>
              <w:spacing w:after="0"/>
              <w:rPr>
                <w:sz w:val="20"/>
                <w:szCs w:val="20"/>
                <w:color w:val="auto"/>
              </w:rPr>
            </w:pPr>
            <w:r>
              <w:rPr>
                <w:rFonts w:ascii="Courier New" w:cs="Courier New" w:eastAsia="Courier New" w:hAnsi="Courier New"/>
                <w:sz w:val="14"/>
                <w:szCs w:val="14"/>
                <w:color w:val="auto"/>
              </w:rPr>
              <w:t>Options exercisable at</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3"/>
        </w:trPr>
        <w:tc>
          <w:tcPr>
            <w:tcW w:w="2020" w:type="dxa"/>
            <w:vAlign w:val="bottom"/>
          </w:tcPr>
          <w:p>
            <w:pPr>
              <w:ind w:left="160"/>
              <w:spacing w:after="0"/>
              <w:rPr>
                <w:sz w:val="20"/>
                <w:szCs w:val="20"/>
                <w:color w:val="auto"/>
              </w:rPr>
            </w:pPr>
            <w:r>
              <w:rPr>
                <w:rFonts w:ascii="Courier New" w:cs="Courier New" w:eastAsia="Courier New" w:hAnsi="Courier New"/>
                <w:sz w:val="14"/>
                <w:szCs w:val="14"/>
                <w:color w:val="auto"/>
              </w:rPr>
              <w:t>year-end</w:t>
            </w:r>
          </w:p>
        </w:tc>
        <w:tc>
          <w:tcPr>
            <w:tcW w:w="14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1,058</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$ 7.27</w:t>
            </w:r>
          </w:p>
        </w:tc>
        <w:tc>
          <w:tcPr>
            <w:tcW w:w="38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887</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$ 7.01</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290</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$ 6.59</w:t>
            </w:r>
          </w:p>
        </w:tc>
      </w:tr>
      <w:tr>
        <w:trPr>
          <w:trHeight w:val="327"/>
        </w:trPr>
        <w:tc>
          <w:tcPr>
            <w:tcW w:w="7220" w:type="dxa"/>
            <w:vAlign w:val="bottom"/>
            <w:gridSpan w:val="6"/>
          </w:tcPr>
          <w:p>
            <w:pPr>
              <w:spacing w:after="0"/>
              <w:rPr>
                <w:sz w:val="20"/>
                <w:szCs w:val="20"/>
                <w:color w:val="auto"/>
              </w:rPr>
            </w:pPr>
            <w:r>
              <w:rPr>
                <w:rFonts w:ascii="Courier New" w:cs="Courier New" w:eastAsia="Courier New" w:hAnsi="Courier New"/>
                <w:sz w:val="14"/>
                <w:szCs w:val="14"/>
                <w:color w:val="auto"/>
              </w:rPr>
              <w:t>The following table summarizes information about stock options outstanding</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3"/>
        </w:trPr>
        <w:tc>
          <w:tcPr>
            <w:tcW w:w="2020" w:type="dxa"/>
            <w:vAlign w:val="bottom"/>
          </w:tcPr>
          <w:p>
            <w:pPr>
              <w:spacing w:after="0"/>
              <w:rPr>
                <w:sz w:val="20"/>
                <w:szCs w:val="20"/>
                <w:color w:val="auto"/>
              </w:rPr>
            </w:pPr>
            <w:r>
              <w:rPr>
                <w:rFonts w:ascii="Courier New" w:cs="Courier New" w:eastAsia="Courier New" w:hAnsi="Courier New"/>
                <w:sz w:val="14"/>
                <w:szCs w:val="14"/>
                <w:color w:val="auto"/>
              </w:rPr>
              <w:t>at December 31, 2003:</w:t>
            </w: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27"/>
        </w:trPr>
        <w:tc>
          <w:tcPr>
            <w:tcW w:w="2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Options outstanding</w:t>
            </w: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gridSpan w:val="2"/>
          </w:tcPr>
          <w:p>
            <w:pPr>
              <w:jc w:val="right"/>
              <w:ind w:right="529"/>
              <w:spacing w:after="0"/>
              <w:rPr>
                <w:sz w:val="20"/>
                <w:szCs w:val="20"/>
                <w:color w:val="auto"/>
              </w:rPr>
            </w:pPr>
            <w:r>
              <w:rPr>
                <w:rFonts w:ascii="Courier New" w:cs="Courier New" w:eastAsia="Courier New" w:hAnsi="Courier New"/>
                <w:sz w:val="14"/>
                <w:szCs w:val="14"/>
                <w:b w:val="1"/>
                <w:bCs w:val="1"/>
                <w:color w:val="auto"/>
              </w:rPr>
              <w:t>Options exercisable</w:t>
            </w:r>
          </w:p>
        </w:tc>
      </w:tr>
      <w:tr>
        <w:trPr>
          <w:trHeight w:val="163"/>
        </w:trPr>
        <w:tc>
          <w:tcPr>
            <w:tcW w:w="202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2"/>
                <w:szCs w:val="12"/>
                <w:b w:val="1"/>
                <w:bCs w:val="1"/>
                <w:color w:val="auto"/>
                <w:w w:val="72"/>
              </w:rPr>
              <w:t>------------------------------------------------------</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60" w:type="dxa"/>
            <w:vAlign w:val="bottom"/>
            <w:gridSpan w:val="3"/>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163"/>
        </w:trPr>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40" w:type="dxa"/>
            <w:vAlign w:val="bottom"/>
            <w:gridSpan w:val="2"/>
          </w:tcPr>
          <w:p>
            <w:pPr>
              <w:jc w:val="center"/>
              <w:ind w:left="309"/>
              <w:spacing w:after="0"/>
              <w:rPr>
                <w:sz w:val="20"/>
                <w:szCs w:val="20"/>
                <w:color w:val="auto"/>
              </w:rPr>
            </w:pPr>
            <w:r>
              <w:rPr>
                <w:rFonts w:ascii="Courier New" w:cs="Courier New" w:eastAsia="Courier New" w:hAnsi="Courier New"/>
                <w:sz w:val="14"/>
                <w:szCs w:val="14"/>
                <w:b w:val="1"/>
                <w:bCs w:val="1"/>
                <w:color w:val="auto"/>
              </w:rPr>
              <w:t>Weighted-</w:t>
            </w:r>
          </w:p>
        </w:tc>
        <w:tc>
          <w:tcPr>
            <w:tcW w:w="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jc w:val="center"/>
              <w:ind w:left="689"/>
              <w:spacing w:after="0"/>
              <w:rPr>
                <w:sz w:val="20"/>
                <w:szCs w:val="20"/>
                <w:color w:val="auto"/>
              </w:rPr>
            </w:pPr>
            <w:r>
              <w:rPr>
                <w:rFonts w:ascii="Courier New" w:cs="Courier New" w:eastAsia="Courier New" w:hAnsi="Courier New"/>
                <w:sz w:val="14"/>
                <w:szCs w:val="14"/>
                <w:b w:val="1"/>
                <w:bCs w:val="1"/>
                <w:color w:val="auto"/>
              </w:rPr>
              <w:t>average</w:t>
            </w:r>
          </w:p>
        </w:tc>
        <w:tc>
          <w:tcPr>
            <w:tcW w:w="380" w:type="dxa"/>
            <w:vAlign w:val="bottom"/>
          </w:tcPr>
          <w:p>
            <w:pPr>
              <w:spacing w:after="0"/>
              <w:rPr>
                <w:sz w:val="14"/>
                <w:szCs w:val="14"/>
                <w:color w:val="auto"/>
              </w:rPr>
            </w:pPr>
          </w:p>
        </w:tc>
        <w:tc>
          <w:tcPr>
            <w:tcW w:w="2000" w:type="dxa"/>
            <w:vAlign w:val="bottom"/>
            <w:gridSpan w:val="2"/>
          </w:tcPr>
          <w:p>
            <w:pPr>
              <w:jc w:val="center"/>
              <w:ind w:right="249"/>
              <w:spacing w:after="0"/>
              <w:rPr>
                <w:sz w:val="20"/>
                <w:szCs w:val="20"/>
                <w:color w:val="auto"/>
              </w:rPr>
            </w:pPr>
            <w:r>
              <w:rPr>
                <w:rFonts w:ascii="Courier New" w:cs="Courier New" w:eastAsia="Courier New" w:hAnsi="Courier New"/>
                <w:sz w:val="14"/>
                <w:szCs w:val="14"/>
                <w:b w:val="1"/>
                <w:bCs w:val="1"/>
                <w:color w:val="auto"/>
              </w:rPr>
              <w:t>Weighted-</w:t>
            </w:r>
          </w:p>
        </w:tc>
        <w:tc>
          <w:tcPr>
            <w:tcW w:w="1260" w:type="dxa"/>
            <w:vAlign w:val="bottom"/>
          </w:tcPr>
          <w:p>
            <w:pPr>
              <w:jc w:val="center"/>
              <w:ind w:right="369"/>
              <w:spacing w:after="0"/>
              <w:rPr>
                <w:sz w:val="20"/>
                <w:szCs w:val="20"/>
                <w:color w:val="auto"/>
              </w:rPr>
            </w:pPr>
            <w:r>
              <w:rPr>
                <w:rFonts w:ascii="Courier New" w:cs="Courier New" w:eastAsia="Courier New" w:hAnsi="Courier New"/>
                <w:sz w:val="14"/>
                <w:szCs w:val="14"/>
                <w:b w:val="1"/>
                <w:bCs w:val="1"/>
                <w:color w:val="auto"/>
                <w:w w:val="99"/>
              </w:rPr>
              <w:t>Number</w:t>
            </w:r>
          </w:p>
        </w:tc>
        <w:tc>
          <w:tcPr>
            <w:tcW w:w="1540" w:type="dxa"/>
            <w:vAlign w:val="bottom"/>
          </w:tcPr>
          <w:p>
            <w:pPr>
              <w:jc w:val="center"/>
              <w:ind w:right="29"/>
              <w:spacing w:after="0"/>
              <w:rPr>
                <w:sz w:val="20"/>
                <w:szCs w:val="20"/>
                <w:color w:val="auto"/>
              </w:rPr>
            </w:pPr>
            <w:r>
              <w:rPr>
                <w:rFonts w:ascii="Courier New" w:cs="Courier New" w:eastAsia="Courier New" w:hAnsi="Courier New"/>
                <w:sz w:val="14"/>
                <w:szCs w:val="14"/>
                <w:b w:val="1"/>
                <w:bCs w:val="1"/>
                <w:color w:val="auto"/>
              </w:rPr>
              <w:t>Weighted-</w:t>
            </w:r>
          </w:p>
        </w:tc>
      </w:tr>
      <w:tr>
        <w:trPr>
          <w:trHeight w:val="163"/>
        </w:trPr>
        <w:tc>
          <w:tcPr>
            <w:tcW w:w="2020" w:type="dxa"/>
            <w:vAlign w:val="bottom"/>
          </w:tcPr>
          <w:p>
            <w:pPr>
              <w:spacing w:after="0"/>
              <w:rPr>
                <w:sz w:val="14"/>
                <w:szCs w:val="14"/>
                <w:color w:val="auto"/>
              </w:rPr>
            </w:pPr>
          </w:p>
        </w:tc>
        <w:tc>
          <w:tcPr>
            <w:tcW w:w="1460" w:type="dxa"/>
            <w:vAlign w:val="bottom"/>
          </w:tcPr>
          <w:p>
            <w:pPr>
              <w:jc w:val="center"/>
              <w:ind w:left="190"/>
              <w:spacing w:after="0"/>
              <w:rPr>
                <w:sz w:val="20"/>
                <w:szCs w:val="20"/>
                <w:color w:val="auto"/>
              </w:rPr>
            </w:pPr>
            <w:r>
              <w:rPr>
                <w:rFonts w:ascii="Courier New" w:cs="Courier New" w:eastAsia="Courier New" w:hAnsi="Courier New"/>
                <w:sz w:val="14"/>
                <w:szCs w:val="14"/>
                <w:b w:val="1"/>
                <w:bCs w:val="1"/>
                <w:color w:val="auto"/>
              </w:rPr>
              <w:t>Number</w:t>
            </w:r>
          </w:p>
        </w:tc>
        <w:tc>
          <w:tcPr>
            <w:tcW w:w="1740" w:type="dxa"/>
            <w:vAlign w:val="bottom"/>
            <w:gridSpan w:val="2"/>
          </w:tcPr>
          <w:p>
            <w:pPr>
              <w:jc w:val="center"/>
              <w:ind w:left="309"/>
              <w:spacing w:after="0"/>
              <w:rPr>
                <w:sz w:val="20"/>
                <w:szCs w:val="20"/>
                <w:color w:val="auto"/>
              </w:rPr>
            </w:pPr>
            <w:r>
              <w:rPr>
                <w:rFonts w:ascii="Courier New" w:cs="Courier New" w:eastAsia="Courier New" w:hAnsi="Courier New"/>
                <w:sz w:val="14"/>
                <w:szCs w:val="14"/>
                <w:b w:val="1"/>
                <w:bCs w:val="1"/>
                <w:color w:val="auto"/>
              </w:rPr>
              <w:t>remaining</w:t>
            </w:r>
          </w:p>
        </w:tc>
        <w:tc>
          <w:tcPr>
            <w:tcW w:w="540" w:type="dxa"/>
            <w:vAlign w:val="bottom"/>
          </w:tcPr>
          <w:p>
            <w:pPr>
              <w:spacing w:after="0"/>
              <w:rPr>
                <w:sz w:val="14"/>
                <w:szCs w:val="14"/>
                <w:color w:val="auto"/>
              </w:rPr>
            </w:pPr>
          </w:p>
        </w:tc>
        <w:tc>
          <w:tcPr>
            <w:tcW w:w="1460" w:type="dxa"/>
            <w:vAlign w:val="bottom"/>
          </w:tcPr>
          <w:p>
            <w:pPr>
              <w:jc w:val="center"/>
              <w:ind w:right="789"/>
              <w:spacing w:after="0"/>
              <w:rPr>
                <w:sz w:val="20"/>
                <w:szCs w:val="20"/>
                <w:color w:val="auto"/>
              </w:rPr>
            </w:pPr>
            <w:r>
              <w:rPr>
                <w:rFonts w:ascii="Courier New" w:cs="Courier New" w:eastAsia="Courier New" w:hAnsi="Courier New"/>
                <w:sz w:val="14"/>
                <w:szCs w:val="14"/>
                <w:b w:val="1"/>
                <w:bCs w:val="1"/>
                <w:color w:val="auto"/>
              </w:rPr>
              <w:t>average</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w w:val="97"/>
              </w:rPr>
              <w:t>exercisable</w:t>
            </w:r>
          </w:p>
        </w:tc>
        <w:tc>
          <w:tcPr>
            <w:tcW w:w="1540" w:type="dxa"/>
            <w:vAlign w:val="bottom"/>
          </w:tcPr>
          <w:p>
            <w:pPr>
              <w:jc w:val="center"/>
              <w:ind w:right="29"/>
              <w:spacing w:after="0"/>
              <w:rPr>
                <w:sz w:val="20"/>
                <w:szCs w:val="20"/>
                <w:color w:val="auto"/>
              </w:rPr>
            </w:pPr>
            <w:r>
              <w:rPr>
                <w:rFonts w:ascii="Courier New" w:cs="Courier New" w:eastAsia="Courier New" w:hAnsi="Courier New"/>
                <w:sz w:val="14"/>
                <w:szCs w:val="14"/>
                <w:b w:val="1"/>
                <w:bCs w:val="1"/>
                <w:color w:val="auto"/>
              </w:rPr>
              <w:t>average</w:t>
            </w:r>
          </w:p>
        </w:tc>
      </w:tr>
      <w:tr>
        <w:trPr>
          <w:trHeight w:val="163"/>
        </w:trPr>
        <w:tc>
          <w:tcPr>
            <w:tcW w:w="2020" w:type="dxa"/>
            <w:vAlign w:val="bottom"/>
          </w:tcPr>
          <w:p>
            <w:pPr>
              <w:spacing w:after="0"/>
              <w:rPr>
                <w:sz w:val="20"/>
                <w:szCs w:val="20"/>
                <w:color w:val="auto"/>
              </w:rPr>
            </w:pPr>
            <w:r>
              <w:rPr>
                <w:rFonts w:ascii="Courier New" w:cs="Courier New" w:eastAsia="Courier New" w:hAnsi="Courier New"/>
                <w:sz w:val="14"/>
                <w:szCs w:val="14"/>
                <w:b w:val="1"/>
                <w:bCs w:val="1"/>
                <w:color w:val="auto"/>
              </w:rPr>
              <w:t>Range of exercise</w:t>
            </w:r>
          </w:p>
        </w:tc>
        <w:tc>
          <w:tcPr>
            <w:tcW w:w="1460" w:type="dxa"/>
            <w:vAlign w:val="bottom"/>
          </w:tcPr>
          <w:p>
            <w:pPr>
              <w:jc w:val="center"/>
              <w:ind w:left="190"/>
              <w:spacing w:after="0"/>
              <w:rPr>
                <w:sz w:val="20"/>
                <w:szCs w:val="20"/>
                <w:color w:val="auto"/>
              </w:rPr>
            </w:pPr>
            <w:r>
              <w:rPr>
                <w:rFonts w:ascii="Courier New" w:cs="Courier New" w:eastAsia="Courier New" w:hAnsi="Courier New"/>
                <w:sz w:val="14"/>
                <w:szCs w:val="14"/>
                <w:b w:val="1"/>
                <w:bCs w:val="1"/>
                <w:color w:val="auto"/>
              </w:rPr>
              <w:t>outstanding at</w:t>
            </w:r>
          </w:p>
        </w:tc>
        <w:tc>
          <w:tcPr>
            <w:tcW w:w="1740" w:type="dxa"/>
            <w:vAlign w:val="bottom"/>
            <w:gridSpan w:val="2"/>
          </w:tcPr>
          <w:p>
            <w:pPr>
              <w:jc w:val="center"/>
              <w:ind w:left="289"/>
              <w:spacing w:after="0"/>
              <w:rPr>
                <w:sz w:val="20"/>
                <w:szCs w:val="20"/>
                <w:color w:val="auto"/>
              </w:rPr>
            </w:pPr>
            <w:r>
              <w:rPr>
                <w:rFonts w:ascii="Courier New" w:cs="Courier New" w:eastAsia="Courier New" w:hAnsi="Courier New"/>
                <w:sz w:val="14"/>
                <w:szCs w:val="14"/>
                <w:b w:val="1"/>
                <w:bCs w:val="1"/>
                <w:color w:val="auto"/>
              </w:rPr>
              <w:t>contractual</w:t>
            </w:r>
          </w:p>
        </w:tc>
        <w:tc>
          <w:tcPr>
            <w:tcW w:w="2000" w:type="dxa"/>
            <w:vAlign w:val="bottom"/>
            <w:gridSpan w:val="2"/>
          </w:tcPr>
          <w:p>
            <w:pPr>
              <w:jc w:val="right"/>
              <w:ind w:right="449"/>
              <w:spacing w:after="0"/>
              <w:rPr>
                <w:sz w:val="20"/>
                <w:szCs w:val="20"/>
                <w:color w:val="auto"/>
              </w:rPr>
            </w:pPr>
            <w:r>
              <w:rPr>
                <w:rFonts w:ascii="Courier New" w:cs="Courier New" w:eastAsia="Courier New" w:hAnsi="Courier New"/>
                <w:sz w:val="14"/>
                <w:szCs w:val="14"/>
                <w:b w:val="1"/>
                <w:bCs w:val="1"/>
                <w:color w:val="auto"/>
              </w:rPr>
              <w:t>exercise price</w:t>
            </w:r>
          </w:p>
        </w:tc>
        <w:tc>
          <w:tcPr>
            <w:tcW w:w="1260" w:type="dxa"/>
            <w:vAlign w:val="bottom"/>
          </w:tcPr>
          <w:p>
            <w:pPr>
              <w:jc w:val="center"/>
              <w:ind w:right="349"/>
              <w:spacing w:after="0"/>
              <w:rPr>
                <w:sz w:val="20"/>
                <w:szCs w:val="20"/>
                <w:color w:val="auto"/>
              </w:rPr>
            </w:pPr>
            <w:r>
              <w:rPr>
                <w:rFonts w:ascii="Courier New" w:cs="Courier New" w:eastAsia="Courier New" w:hAnsi="Courier New"/>
                <w:sz w:val="14"/>
                <w:szCs w:val="14"/>
                <w:b w:val="1"/>
                <w:bCs w:val="1"/>
                <w:color w:val="auto"/>
                <w:w w:val="94"/>
              </w:rPr>
              <w:t>at</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b w:val="1"/>
                <w:bCs w:val="1"/>
                <w:color w:val="auto"/>
              </w:rPr>
              <w:t>exercise price</w:t>
            </w:r>
          </w:p>
        </w:tc>
      </w:tr>
      <w:tr>
        <w:trPr>
          <w:trHeight w:val="163"/>
        </w:trPr>
        <w:tc>
          <w:tcPr>
            <w:tcW w:w="2020" w:type="dxa"/>
            <w:vAlign w:val="bottom"/>
          </w:tcPr>
          <w:p>
            <w:pPr>
              <w:ind w:left="80"/>
              <w:spacing w:after="0"/>
              <w:rPr>
                <w:sz w:val="20"/>
                <w:szCs w:val="20"/>
                <w:color w:val="auto"/>
              </w:rPr>
            </w:pPr>
            <w:r>
              <w:rPr>
                <w:rFonts w:ascii="Courier New" w:cs="Courier New" w:eastAsia="Courier New" w:hAnsi="Courier New"/>
                <w:sz w:val="14"/>
                <w:szCs w:val="14"/>
                <w:b w:val="1"/>
                <w:bCs w:val="1"/>
                <w:color w:val="auto"/>
              </w:rPr>
              <w:t>prices per share</w:t>
            </w:r>
          </w:p>
        </w:tc>
        <w:tc>
          <w:tcPr>
            <w:tcW w:w="1460" w:type="dxa"/>
            <w:vAlign w:val="bottom"/>
          </w:tcPr>
          <w:p>
            <w:pPr>
              <w:jc w:val="center"/>
              <w:ind w:left="190"/>
              <w:spacing w:after="0"/>
              <w:rPr>
                <w:sz w:val="20"/>
                <w:szCs w:val="20"/>
                <w:color w:val="auto"/>
              </w:rPr>
            </w:pPr>
            <w:r>
              <w:rPr>
                <w:rFonts w:ascii="Courier New" w:cs="Courier New" w:eastAsia="Courier New" w:hAnsi="Courier New"/>
                <w:sz w:val="14"/>
                <w:szCs w:val="14"/>
                <w:b w:val="1"/>
                <w:bCs w:val="1"/>
                <w:color w:val="auto"/>
                <w:w w:val="99"/>
              </w:rPr>
              <w:t>12/31/2003</w:t>
            </w:r>
          </w:p>
        </w:tc>
        <w:tc>
          <w:tcPr>
            <w:tcW w:w="1360" w:type="dxa"/>
            <w:vAlign w:val="bottom"/>
          </w:tcPr>
          <w:p>
            <w:pPr>
              <w:jc w:val="center"/>
              <w:ind w:left="589"/>
              <w:spacing w:after="0"/>
              <w:rPr>
                <w:sz w:val="20"/>
                <w:szCs w:val="20"/>
                <w:color w:val="auto"/>
              </w:rPr>
            </w:pPr>
            <w:r>
              <w:rPr>
                <w:rFonts w:ascii="Courier New" w:cs="Courier New" w:eastAsia="Courier New" w:hAnsi="Courier New"/>
                <w:sz w:val="14"/>
                <w:szCs w:val="14"/>
                <w:b w:val="1"/>
                <w:bCs w:val="1"/>
                <w:color w:val="auto"/>
              </w:rPr>
              <w:t>life</w:t>
            </w:r>
          </w:p>
        </w:tc>
        <w:tc>
          <w:tcPr>
            <w:tcW w:w="380" w:type="dxa"/>
            <w:vAlign w:val="bottom"/>
          </w:tcPr>
          <w:p>
            <w:pPr>
              <w:spacing w:after="0"/>
              <w:rPr>
                <w:sz w:val="14"/>
                <w:szCs w:val="14"/>
                <w:color w:val="auto"/>
              </w:rPr>
            </w:pPr>
          </w:p>
        </w:tc>
        <w:tc>
          <w:tcPr>
            <w:tcW w:w="2000" w:type="dxa"/>
            <w:vAlign w:val="bottom"/>
            <w:gridSpan w:val="2"/>
          </w:tcPr>
          <w:p>
            <w:pPr>
              <w:jc w:val="center"/>
              <w:ind w:right="249"/>
              <w:spacing w:after="0"/>
              <w:rPr>
                <w:sz w:val="20"/>
                <w:szCs w:val="20"/>
                <w:color w:val="auto"/>
              </w:rPr>
            </w:pPr>
            <w:r>
              <w:rPr>
                <w:rFonts w:ascii="Courier New" w:cs="Courier New" w:eastAsia="Courier New" w:hAnsi="Courier New"/>
                <w:sz w:val="14"/>
                <w:szCs w:val="14"/>
                <w:b w:val="1"/>
                <w:bCs w:val="1"/>
                <w:color w:val="auto"/>
              </w:rPr>
              <w:t>per share</w:t>
            </w:r>
          </w:p>
        </w:tc>
        <w:tc>
          <w:tcPr>
            <w:tcW w:w="1260" w:type="dxa"/>
            <w:vAlign w:val="bottom"/>
          </w:tcPr>
          <w:p>
            <w:pPr>
              <w:jc w:val="center"/>
              <w:ind w:right="349"/>
              <w:spacing w:after="0"/>
              <w:rPr>
                <w:sz w:val="20"/>
                <w:szCs w:val="20"/>
                <w:color w:val="auto"/>
              </w:rPr>
            </w:pPr>
            <w:r>
              <w:rPr>
                <w:rFonts w:ascii="Courier New" w:cs="Courier New" w:eastAsia="Courier New" w:hAnsi="Courier New"/>
                <w:sz w:val="14"/>
                <w:szCs w:val="14"/>
                <w:b w:val="1"/>
                <w:bCs w:val="1"/>
                <w:color w:val="auto"/>
                <w:w w:val="99"/>
              </w:rPr>
              <w:t>12/31/2003</w:t>
            </w:r>
          </w:p>
        </w:tc>
        <w:tc>
          <w:tcPr>
            <w:tcW w:w="1540" w:type="dxa"/>
            <w:vAlign w:val="bottom"/>
          </w:tcPr>
          <w:p>
            <w:pPr>
              <w:jc w:val="center"/>
              <w:ind w:right="29"/>
              <w:spacing w:after="0"/>
              <w:rPr>
                <w:sz w:val="20"/>
                <w:szCs w:val="20"/>
                <w:color w:val="auto"/>
              </w:rPr>
            </w:pPr>
            <w:r>
              <w:rPr>
                <w:rFonts w:ascii="Courier New" w:cs="Courier New" w:eastAsia="Courier New" w:hAnsi="Courier New"/>
                <w:sz w:val="14"/>
                <w:szCs w:val="14"/>
                <w:b w:val="1"/>
                <w:bCs w:val="1"/>
                <w:color w:val="auto"/>
              </w:rPr>
              <w:t>per share</w:t>
            </w:r>
          </w:p>
        </w:tc>
      </w:tr>
      <w:tr>
        <w:trPr>
          <w:trHeight w:val="163"/>
        </w:trPr>
        <w:tc>
          <w:tcPr>
            <w:tcW w:w="20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3260" w:type="dxa"/>
            <w:vAlign w:val="bottom"/>
            <w:gridSpan w:val="3"/>
          </w:tcPr>
          <w:p>
            <w:pPr>
              <w:jc w:val="right"/>
              <w:ind w:right="89"/>
              <w:spacing w:after="0"/>
              <w:rPr>
                <w:sz w:val="20"/>
                <w:szCs w:val="20"/>
                <w:color w:val="auto"/>
              </w:rPr>
            </w:pPr>
            <w:r>
              <w:rPr>
                <w:rFonts w:ascii="Courier New" w:cs="Courier New" w:eastAsia="Courier New" w:hAnsi="Courier New"/>
                <w:sz w:val="14"/>
                <w:szCs w:val="14"/>
                <w:b w:val="1"/>
                <w:bCs w:val="1"/>
                <w:color w:val="auto"/>
              </w:rPr>
              <w:t>-----------------   ---------------</w:t>
            </w:r>
          </w:p>
        </w:tc>
        <w:tc>
          <w:tcPr>
            <w:tcW w:w="15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2020" w:type="dxa"/>
            <w:vAlign w:val="bottom"/>
          </w:tcPr>
          <w:p>
            <w:pPr>
              <w:spacing w:after="0"/>
              <w:rPr>
                <w:sz w:val="20"/>
                <w:szCs w:val="20"/>
                <w:color w:val="auto"/>
              </w:rPr>
            </w:pPr>
            <w:r>
              <w:rPr>
                <w:rFonts w:ascii="Courier New" w:cs="Courier New" w:eastAsia="Courier New" w:hAnsi="Courier New"/>
                <w:sz w:val="14"/>
                <w:szCs w:val="14"/>
                <w:color w:val="auto"/>
              </w:rPr>
              <w:t>$5.63 - $6.50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317</w:t>
            </w:r>
          </w:p>
        </w:tc>
        <w:tc>
          <w:tcPr>
            <w:tcW w:w="174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5.5 years</w:t>
            </w:r>
          </w:p>
        </w:tc>
        <w:tc>
          <w:tcPr>
            <w:tcW w:w="540" w:type="dxa"/>
            <w:vAlign w:val="bottom"/>
          </w:tcPr>
          <w:p>
            <w:pPr>
              <w:spacing w:after="0"/>
              <w:rPr>
                <w:sz w:val="24"/>
                <w:szCs w:val="24"/>
                <w:color w:val="auto"/>
              </w:rPr>
            </w:pP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$ 6.00</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317</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$ 6.00</w:t>
            </w:r>
          </w:p>
        </w:tc>
      </w:tr>
      <w:tr>
        <w:trPr>
          <w:trHeight w:val="327"/>
        </w:trPr>
        <w:tc>
          <w:tcPr>
            <w:tcW w:w="2020" w:type="dxa"/>
            <w:vAlign w:val="bottom"/>
          </w:tcPr>
          <w:p>
            <w:pPr>
              <w:spacing w:after="0"/>
              <w:rPr>
                <w:sz w:val="20"/>
                <w:szCs w:val="20"/>
                <w:color w:val="auto"/>
              </w:rPr>
            </w:pPr>
            <w:r>
              <w:rPr>
                <w:rFonts w:ascii="Courier New" w:cs="Courier New" w:eastAsia="Courier New" w:hAnsi="Courier New"/>
                <w:sz w:val="14"/>
                <w:szCs w:val="14"/>
                <w:color w:val="auto"/>
              </w:rPr>
              <w:t>$7.63 - $10.26</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934</w:t>
            </w:r>
          </w:p>
        </w:tc>
        <w:tc>
          <w:tcPr>
            <w:tcW w:w="174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6.9 years</w:t>
            </w:r>
          </w:p>
        </w:tc>
        <w:tc>
          <w:tcPr>
            <w:tcW w:w="540" w:type="dxa"/>
            <w:vAlign w:val="bottom"/>
          </w:tcPr>
          <w:p>
            <w:pPr>
              <w:spacing w:after="0"/>
              <w:rPr>
                <w:sz w:val="24"/>
                <w:szCs w:val="24"/>
                <w:color w:val="auto"/>
              </w:rPr>
            </w:pPr>
          </w:p>
        </w:tc>
        <w:tc>
          <w:tcPr>
            <w:tcW w:w="14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$ 8.05</w:t>
            </w:r>
          </w:p>
        </w:tc>
        <w:tc>
          <w:tcPr>
            <w:tcW w:w="12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741</w:t>
            </w:r>
          </w:p>
        </w:tc>
        <w:tc>
          <w:tcPr>
            <w:tcW w:w="15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$ 7.81</w:t>
            </w:r>
          </w:p>
        </w:tc>
      </w:tr>
    </w:tbl>
    <w:p>
      <w:pPr>
        <w:spacing w:after="0" w:line="167" w:lineRule="exact"/>
        <w:rPr>
          <w:sz w:val="20"/>
          <w:szCs w:val="20"/>
          <w:color w:val="auto"/>
        </w:rPr>
      </w:pPr>
    </w:p>
    <w:p>
      <w:pPr>
        <w:ind w:left="440" w:right="3660"/>
        <w:spacing w:after="0" w:line="249" w:lineRule="auto"/>
        <w:rPr>
          <w:sz w:val="20"/>
          <w:szCs w:val="20"/>
          <w:color w:val="auto"/>
        </w:rPr>
      </w:pPr>
      <w:r>
        <w:rPr>
          <w:rFonts w:ascii="Courier New" w:cs="Courier New" w:eastAsia="Courier New" w:hAnsi="Courier New"/>
          <w:sz w:val="14"/>
          <w:szCs w:val="14"/>
          <w:color w:val="auto"/>
        </w:rPr>
        <w:t>All options granted in the period January 1, 1999 through December 31, 2003 vest ratably over three years, beginning one year from date of grant. The</w:t>
      </w:r>
    </w:p>
    <w:p>
      <w:pPr>
        <w:sectPr>
          <w:pgSz w:w="11900" w:h="16838" w:orient="portrait"/>
          <w:cols w:equalWidth="0" w:num="1">
            <w:col w:w="10460"/>
          </w:cols>
          <w:pgMar w:left="220" w:top="141" w:right="1219" w:bottom="0" w:gutter="0" w:footer="0" w:header="0"/>
        </w:sectPr>
      </w:pPr>
    </w:p>
    <w:bookmarkStart w:id="40" w:name="page41"/>
    <w:bookmarkEnd w:id="40"/>
    <w:p>
      <w:pPr>
        <w:ind w:left="440" w:right="3560"/>
        <w:spacing w:after="0" w:line="247" w:lineRule="auto"/>
        <w:rPr>
          <w:sz w:val="20"/>
          <w:szCs w:val="20"/>
          <w:color w:val="auto"/>
        </w:rPr>
      </w:pPr>
      <w:r>
        <w:rPr>
          <w:rFonts w:ascii="Courier New" w:cs="Courier New" w:eastAsia="Courier New" w:hAnsi="Courier New"/>
          <w:sz w:val="14"/>
          <w:szCs w:val="14"/>
          <w:color w:val="auto"/>
        </w:rPr>
        <w:t>exercise price of each option equals the market price of the Company's stock on the date of grant, and an option's maximum term is 10 years. All options granted in the period January 1, 1995 through December 31, 1998, vest 20% - 33% annually beginning one year from date of grant. The exercise price of each option equals the market price of the Company's stock on the date of grant, and an option's maximum term is 10 years. Certain options granted in July 1999 were deemed to be repriced</w:t>
      </w:r>
    </w:p>
    <w:p>
      <w:pPr>
        <w:spacing w:after="0" w:line="327" w:lineRule="exact"/>
        <w:rPr>
          <w:sz w:val="20"/>
          <w:szCs w:val="20"/>
          <w:color w:val="auto"/>
        </w:rPr>
      </w:pPr>
    </w:p>
    <w:p>
      <w:pPr>
        <w:jc w:val="both"/>
        <w:ind w:left="3320"/>
        <w:spacing w:after="0"/>
        <w:tabs>
          <w:tab w:leader="none" w:pos="602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440" w:right="3560"/>
        <w:spacing w:after="0" w:line="247" w:lineRule="auto"/>
        <w:rPr>
          <w:sz w:val="20"/>
          <w:szCs w:val="20"/>
          <w:color w:val="auto"/>
        </w:rPr>
      </w:pPr>
      <w:r>
        <w:rPr>
          <w:rFonts w:ascii="Courier New" w:cs="Courier New" w:eastAsia="Courier New" w:hAnsi="Courier New"/>
          <w:sz w:val="14"/>
          <w:szCs w:val="14"/>
          <w:color w:val="auto"/>
        </w:rPr>
        <w:t>options under the applicable accounting requirements. These options, which were fully vested as of the effective date of FASB Interpretation No. 44, are treated under variable accounting. Accordingly, compensation expense is recognized, to the extent the market price of the Company's stock exceeds $10.50. The Company recognized an increase to compensation expense of $250 during 2003, a reduction of compensation expense of $108 during 2002 and an increase to compensation expense of $108 during 2001 related to these options.</w:t>
      </w:r>
    </w:p>
    <w:p>
      <w:pPr>
        <w:spacing w:after="0" w:line="164" w:lineRule="exact"/>
        <w:rPr>
          <w:sz w:val="20"/>
          <w:szCs w:val="20"/>
          <w:color w:val="auto"/>
        </w:rPr>
      </w:pPr>
    </w:p>
    <w:p>
      <w:pPr>
        <w:ind w:left="440" w:right="3560"/>
        <w:spacing w:after="0" w:line="247" w:lineRule="auto"/>
        <w:rPr>
          <w:sz w:val="20"/>
          <w:szCs w:val="20"/>
          <w:color w:val="auto"/>
        </w:rPr>
      </w:pPr>
      <w:r>
        <w:rPr>
          <w:rFonts w:ascii="Courier New" w:cs="Courier New" w:eastAsia="Courier New" w:hAnsi="Courier New"/>
          <w:sz w:val="14"/>
          <w:szCs w:val="14"/>
          <w:color w:val="auto"/>
        </w:rPr>
        <w:t>On August 4, 1998 the Company's Board of Directors authorized the repurchase of up to 740 shares of its Common Stock, equaling 5% of the company's issued and outstanding shares as of August 4, 1998. The program may be extended or discontinued at any time, and there is no assurance that the Company will purchase any or all of the full amount authorized. The Company has not repurchased any shares under this program through December 31, 2003.</w:t>
      </w:r>
    </w:p>
    <w:p>
      <w:pPr>
        <w:spacing w:after="0" w:line="164" w:lineRule="exact"/>
        <w:rPr>
          <w:sz w:val="20"/>
          <w:szCs w:val="20"/>
          <w:color w:val="auto"/>
        </w:rPr>
      </w:pPr>
    </w:p>
    <w:p>
      <w:pPr>
        <w:ind w:left="520" w:hanging="513"/>
        <w:spacing w:after="0"/>
        <w:tabs>
          <w:tab w:leader="none" w:pos="520" w:val="left"/>
        </w:tabs>
        <w:numPr>
          <w:ilvl w:val="0"/>
          <w:numId w:val="2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Segment Information</w:t>
      </w:r>
    </w:p>
    <w:p>
      <w:pPr>
        <w:spacing w:after="0" w:line="331" w:lineRule="exact"/>
        <w:rPr>
          <w:sz w:val="20"/>
          <w:szCs w:val="20"/>
          <w:color w:val="auto"/>
        </w:rPr>
      </w:pPr>
    </w:p>
    <w:p>
      <w:pPr>
        <w:ind w:left="440" w:right="3560"/>
        <w:spacing w:after="0" w:line="247" w:lineRule="auto"/>
        <w:rPr>
          <w:sz w:val="20"/>
          <w:szCs w:val="20"/>
          <w:color w:val="auto"/>
        </w:rPr>
      </w:pPr>
      <w:r>
        <w:rPr>
          <w:rFonts w:ascii="Courier New" w:cs="Courier New" w:eastAsia="Courier New" w:hAnsi="Courier New"/>
          <w:sz w:val="14"/>
          <w:szCs w:val="14"/>
          <w:color w:val="auto"/>
        </w:rPr>
        <w:t>The Company determined its reportable segments under the provisions of SFAS No. 131, "Disclosures about Segments of an Enterprise and Related Information". The Company's reportable segments are based on differences in product lines and geographic locations and are divided among Domestic Ball and Roller, NN Europe and Plastic and Rubber Components. The Domestic Ball and Roller Segment is comprised of two manufacturing facilities in the eastern United States. The NN Europe Segment is comprised of manufacturing facilities located in Kilkenny, Ireland, Eltmann, Germany, Pinerolo, Italy, Veenendaal, The Netherlands, and Kysucke Nove Mesto, Slovakia. All of the facilities in the Domestic Ball and Roller and NN Europe Segments are engaged in the production of precision balls and rollers used primarily in the bearing industry. The Plastic and Rubber Components Segment is comprised of four facilities: two located in Lubbock, Texas, which represents the IMC business acquired in July 1999 and two facilities located in Danielson, Connecticut, which represents the Delta business acquired in February 2001. These facilities are engaged in the production of plastic injection molded products for the bearing, automotive, instrumentation and fiber optic markets and precision rubber bearing seals for the bearing, automotive, industrial, agricultural and aerospace markets.</w:t>
      </w:r>
    </w:p>
    <w:p>
      <w:pPr>
        <w:spacing w:after="0" w:line="165" w:lineRule="exact"/>
        <w:rPr>
          <w:sz w:val="20"/>
          <w:szCs w:val="20"/>
          <w:color w:val="auto"/>
        </w:rPr>
      </w:pPr>
    </w:p>
    <w:p>
      <w:pPr>
        <w:ind w:left="440" w:right="3560"/>
        <w:spacing w:after="0" w:line="247"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The Company evaluates segment performance based on profit or loss from operations after income taxes. The Company accounts for intersegment sales and transfers at current market prices; however, the Company did not have any material intersegment transactions during 2003, 2002 or 2001.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400" w:type="dxa"/>
            <w:vAlign w:val="bottom"/>
          </w:tcPr>
          <w:p>
            <w:pPr>
              <w:spacing w:after="0"/>
              <w:rPr>
                <w:sz w:val="13"/>
                <w:szCs w:val="13"/>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December 31,</w:t>
            </w:r>
          </w:p>
        </w:tc>
        <w:tc>
          <w:tcPr>
            <w:tcW w:w="1060" w:type="dxa"/>
            <w:vAlign w:val="bottom"/>
          </w:tcPr>
          <w:p>
            <w:pPr>
              <w:ind w:left="40"/>
              <w:spacing w:after="0"/>
              <w:rPr>
                <w:sz w:val="20"/>
                <w:szCs w:val="20"/>
                <w:color w:val="auto"/>
              </w:rPr>
            </w:pPr>
            <w:r>
              <w:rPr>
                <w:rFonts w:ascii="Courier New" w:cs="Courier New" w:eastAsia="Courier New" w:hAnsi="Courier New"/>
                <w:sz w:val="14"/>
                <w:szCs w:val="14"/>
                <w:b w:val="1"/>
                <w:bCs w:val="1"/>
                <w:color w:val="auto"/>
              </w:rPr>
              <w:t>2003</w:t>
            </w:r>
          </w:p>
        </w:tc>
        <w:tc>
          <w:tcPr>
            <w:tcW w:w="760" w:type="dxa"/>
            <w:vAlign w:val="bottom"/>
          </w:tcPr>
          <w:p>
            <w:pPr>
              <w:spacing w:after="0"/>
              <w:rPr>
                <w:sz w:val="13"/>
                <w:szCs w:val="13"/>
                <w:color w:val="auto"/>
              </w:rPr>
            </w:pPr>
          </w:p>
        </w:tc>
        <w:tc>
          <w:tcPr>
            <w:tcW w:w="2160" w:type="dxa"/>
            <w:vAlign w:val="bottom"/>
            <w:gridSpan w:val="2"/>
          </w:tcPr>
          <w:p>
            <w:pPr>
              <w:jc w:val="right"/>
              <w:ind w:right="649"/>
              <w:spacing w:after="0"/>
              <w:rPr>
                <w:sz w:val="20"/>
                <w:szCs w:val="20"/>
                <w:color w:val="auto"/>
              </w:rPr>
            </w:pPr>
            <w:r>
              <w:rPr>
                <w:rFonts w:ascii="Courier New" w:cs="Courier New" w:eastAsia="Courier New" w:hAnsi="Courier New"/>
                <w:sz w:val="14"/>
                <w:szCs w:val="14"/>
                <w:b w:val="1"/>
                <w:bCs w:val="1"/>
                <w:color w:val="auto"/>
                <w:w w:val="99"/>
              </w:rPr>
              <w:t>December 31, 2002</w:t>
            </w:r>
          </w:p>
        </w:tc>
        <w:tc>
          <w:tcPr>
            <w:tcW w:w="860" w:type="dxa"/>
            <w:vAlign w:val="bottom"/>
          </w:tcPr>
          <w:p>
            <w:pPr>
              <w:spacing w:after="0"/>
              <w:rPr>
                <w:sz w:val="13"/>
                <w:szCs w:val="13"/>
                <w:color w:val="auto"/>
              </w:rPr>
            </w:pPr>
          </w:p>
        </w:tc>
        <w:tc>
          <w:tcPr>
            <w:tcW w:w="2240" w:type="dxa"/>
            <w:vAlign w:val="bottom"/>
            <w:gridSpan w:val="2"/>
          </w:tcPr>
          <w:p>
            <w:pPr>
              <w:jc w:val="right"/>
              <w:ind w:right="689"/>
              <w:spacing w:after="0"/>
              <w:rPr>
                <w:sz w:val="20"/>
                <w:szCs w:val="20"/>
                <w:color w:val="auto"/>
              </w:rPr>
            </w:pPr>
            <w:r>
              <w:rPr>
                <w:rFonts w:ascii="Courier New" w:cs="Courier New" w:eastAsia="Courier New" w:hAnsi="Courier New"/>
                <w:sz w:val="14"/>
                <w:szCs w:val="14"/>
                <w:b w:val="1"/>
                <w:bCs w:val="1"/>
                <w:color w:val="auto"/>
              </w:rPr>
              <w:t>December 31, 2001</w:t>
            </w:r>
          </w:p>
        </w:tc>
      </w:tr>
      <w:tr>
        <w:trPr>
          <w:trHeight w:val="163"/>
        </w:trPr>
        <w:tc>
          <w:tcPr>
            <w:tcW w:w="140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3"/>
                <w:szCs w:val="13"/>
                <w:b w:val="1"/>
                <w:bCs w:val="1"/>
                <w:color w:val="auto"/>
                <w:w w:val="72"/>
              </w:rPr>
              <w:t>---------------------------------</w:t>
            </w:r>
          </w:p>
        </w:tc>
        <w:tc>
          <w:tcPr>
            <w:tcW w:w="1060" w:type="dxa"/>
            <w:vAlign w:val="bottom"/>
          </w:tcPr>
          <w:p>
            <w:pPr>
              <w:spacing w:after="0"/>
              <w:rPr>
                <w:sz w:val="14"/>
                <w:szCs w:val="14"/>
                <w:color w:val="auto"/>
              </w:rPr>
            </w:pPr>
          </w:p>
        </w:tc>
        <w:tc>
          <w:tcPr>
            <w:tcW w:w="2920" w:type="dxa"/>
            <w:vAlign w:val="bottom"/>
            <w:gridSpan w:val="3"/>
          </w:tcPr>
          <w:p>
            <w:pPr>
              <w:ind w:left="80"/>
              <w:spacing w:after="0"/>
              <w:rPr>
                <w:sz w:val="20"/>
                <w:szCs w:val="20"/>
                <w:color w:val="auto"/>
              </w:rPr>
            </w:pPr>
            <w:r>
              <w:rPr>
                <w:rFonts w:ascii="Courier New" w:cs="Courier New" w:eastAsia="Courier New" w:hAnsi="Courier New"/>
                <w:sz w:val="14"/>
                <w:szCs w:val="14"/>
                <w:b w:val="1"/>
                <w:bCs w:val="1"/>
                <w:color w:val="auto"/>
              </w:rPr>
              <w:t>---------------------------------</w:t>
            </w:r>
          </w:p>
        </w:tc>
        <w:tc>
          <w:tcPr>
            <w:tcW w:w="3100" w:type="dxa"/>
            <w:vAlign w:val="bottom"/>
            <w:gridSpan w:val="3"/>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1400" w:type="dxa"/>
            <w:vAlign w:val="bottom"/>
          </w:tcPr>
          <w:p>
            <w:pPr>
              <w:spacing w:after="0"/>
              <w:rPr>
                <w:sz w:val="24"/>
                <w:szCs w:val="24"/>
                <w:color w:val="auto"/>
              </w:rPr>
            </w:pPr>
          </w:p>
        </w:tc>
        <w:tc>
          <w:tcPr>
            <w:tcW w:w="1060" w:type="dxa"/>
            <w:vAlign w:val="bottom"/>
          </w:tcPr>
          <w:p>
            <w:pPr>
              <w:jc w:val="center"/>
              <w:ind w:right="30"/>
              <w:spacing w:after="0"/>
              <w:rPr>
                <w:sz w:val="20"/>
                <w:szCs w:val="20"/>
                <w:color w:val="auto"/>
              </w:rPr>
            </w:pPr>
            <w:r>
              <w:rPr>
                <w:rFonts w:ascii="Courier New" w:cs="Courier New" w:eastAsia="Courier New" w:hAnsi="Courier New"/>
                <w:sz w:val="14"/>
                <w:szCs w:val="14"/>
                <w:b w:val="1"/>
                <w:bCs w:val="1"/>
                <w:color w:val="auto"/>
              </w:rPr>
              <w:t>Domestic</w:t>
            </w:r>
          </w:p>
        </w:tc>
        <w:tc>
          <w:tcPr>
            <w:tcW w:w="820" w:type="dxa"/>
            <w:vAlign w:val="bottom"/>
          </w:tcPr>
          <w:p>
            <w:pPr>
              <w:spacing w:after="0"/>
              <w:rPr>
                <w:sz w:val="24"/>
                <w:szCs w:val="24"/>
                <w:color w:val="auto"/>
              </w:rPr>
            </w:pP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b w:val="1"/>
                <w:bCs w:val="1"/>
                <w:color w:val="auto"/>
              </w:rPr>
              <w:t>Plastic and</w:t>
            </w:r>
          </w:p>
        </w:tc>
        <w:tc>
          <w:tcPr>
            <w:tcW w:w="760" w:type="dxa"/>
            <w:vAlign w:val="bottom"/>
          </w:tcPr>
          <w:p>
            <w:pPr>
              <w:ind w:left="80"/>
              <w:spacing w:after="0"/>
              <w:rPr>
                <w:sz w:val="20"/>
                <w:szCs w:val="20"/>
                <w:color w:val="auto"/>
              </w:rPr>
            </w:pPr>
            <w:r>
              <w:rPr>
                <w:rFonts w:ascii="Courier New" w:cs="Courier New" w:eastAsia="Courier New" w:hAnsi="Courier New"/>
                <w:sz w:val="14"/>
                <w:szCs w:val="14"/>
                <w:b w:val="1"/>
                <w:bCs w:val="1"/>
                <w:color w:val="auto"/>
                <w:w w:val="98"/>
              </w:rPr>
              <w:t>Domestic</w:t>
            </w:r>
          </w:p>
        </w:tc>
        <w:tc>
          <w:tcPr>
            <w:tcW w:w="980" w:type="dxa"/>
            <w:vAlign w:val="bottom"/>
          </w:tcPr>
          <w:p>
            <w:pPr>
              <w:spacing w:after="0"/>
              <w:rPr>
                <w:sz w:val="24"/>
                <w:szCs w:val="24"/>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4"/>
                <w:szCs w:val="14"/>
                <w:b w:val="1"/>
                <w:bCs w:val="1"/>
                <w:color w:val="auto"/>
              </w:rPr>
              <w:t>Plastic and</w:t>
            </w: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b w:val="1"/>
                <w:bCs w:val="1"/>
                <w:color w:val="auto"/>
              </w:rPr>
              <w:t>Domestic</w:t>
            </w:r>
          </w:p>
        </w:tc>
        <w:tc>
          <w:tcPr>
            <w:tcW w:w="1060" w:type="dxa"/>
            <w:vAlign w:val="bottom"/>
          </w:tcPr>
          <w:p>
            <w:pPr>
              <w:spacing w:after="0"/>
              <w:rPr>
                <w:sz w:val="24"/>
                <w:szCs w:val="2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b w:val="1"/>
                <w:bCs w:val="1"/>
                <w:color w:val="auto"/>
              </w:rPr>
              <w:t>Plastic and</w:t>
            </w:r>
          </w:p>
        </w:tc>
      </w:tr>
      <w:tr>
        <w:trPr>
          <w:trHeight w:val="163"/>
        </w:trPr>
        <w:tc>
          <w:tcPr>
            <w:tcW w:w="1400" w:type="dxa"/>
            <w:vAlign w:val="bottom"/>
          </w:tcPr>
          <w:p>
            <w:pPr>
              <w:spacing w:after="0"/>
              <w:rPr>
                <w:sz w:val="14"/>
                <w:szCs w:val="14"/>
                <w:color w:val="auto"/>
              </w:rPr>
            </w:pPr>
          </w:p>
        </w:tc>
        <w:tc>
          <w:tcPr>
            <w:tcW w:w="1060" w:type="dxa"/>
            <w:vAlign w:val="bottom"/>
          </w:tcPr>
          <w:p>
            <w:pPr>
              <w:jc w:val="center"/>
              <w:ind w:right="30"/>
              <w:spacing w:after="0"/>
              <w:rPr>
                <w:sz w:val="20"/>
                <w:szCs w:val="20"/>
                <w:color w:val="auto"/>
              </w:rPr>
            </w:pPr>
            <w:r>
              <w:rPr>
                <w:rFonts w:ascii="Courier New" w:cs="Courier New" w:eastAsia="Courier New" w:hAnsi="Courier New"/>
                <w:sz w:val="14"/>
                <w:szCs w:val="14"/>
                <w:b w:val="1"/>
                <w:bCs w:val="1"/>
                <w:color w:val="auto"/>
              </w:rPr>
              <w:t>Ball and</w:t>
            </w:r>
          </w:p>
        </w:tc>
        <w:tc>
          <w:tcPr>
            <w:tcW w:w="820" w:type="dxa"/>
            <w:vAlign w:val="bottom"/>
          </w:tcPr>
          <w:p>
            <w:pPr>
              <w:jc w:val="right"/>
              <w:ind w:right="309"/>
              <w:spacing w:after="0"/>
              <w:rPr>
                <w:sz w:val="20"/>
                <w:szCs w:val="20"/>
                <w:color w:val="auto"/>
              </w:rPr>
            </w:pPr>
            <w:r>
              <w:rPr>
                <w:rFonts w:ascii="Courier New" w:cs="Courier New" w:eastAsia="Courier New" w:hAnsi="Courier New"/>
                <w:sz w:val="14"/>
                <w:szCs w:val="14"/>
                <w:b w:val="1"/>
                <w:bCs w:val="1"/>
                <w:color w:val="auto"/>
              </w:rPr>
              <w:t>NN</w:t>
            </w: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b w:val="1"/>
                <w:bCs w:val="1"/>
                <w:color w:val="auto"/>
              </w:rPr>
              <w:t>Rubber</w:t>
            </w:r>
          </w:p>
        </w:tc>
        <w:tc>
          <w:tcPr>
            <w:tcW w:w="760" w:type="dxa"/>
            <w:vAlign w:val="bottom"/>
          </w:tcPr>
          <w:p>
            <w:pPr>
              <w:ind w:left="80"/>
              <w:spacing w:after="0"/>
              <w:rPr>
                <w:sz w:val="20"/>
                <w:szCs w:val="20"/>
                <w:color w:val="auto"/>
              </w:rPr>
            </w:pPr>
            <w:r>
              <w:rPr>
                <w:rFonts w:ascii="Courier New" w:cs="Courier New" w:eastAsia="Courier New" w:hAnsi="Courier New"/>
                <w:sz w:val="14"/>
                <w:szCs w:val="14"/>
                <w:b w:val="1"/>
                <w:bCs w:val="1"/>
                <w:color w:val="auto"/>
                <w:w w:val="98"/>
              </w:rPr>
              <w:t>Ball and</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b w:val="1"/>
                <w:bCs w:val="1"/>
                <w:color w:val="auto"/>
              </w:rPr>
              <w:t>NN</w:t>
            </w:r>
          </w:p>
        </w:tc>
        <w:tc>
          <w:tcPr>
            <w:tcW w:w="1180" w:type="dxa"/>
            <w:vAlign w:val="bottom"/>
          </w:tcPr>
          <w:p>
            <w:pPr>
              <w:jc w:val="right"/>
              <w:ind w:right="309"/>
              <w:spacing w:after="0"/>
              <w:rPr>
                <w:sz w:val="20"/>
                <w:szCs w:val="20"/>
                <w:color w:val="auto"/>
              </w:rPr>
            </w:pPr>
            <w:r>
              <w:rPr>
                <w:rFonts w:ascii="Courier New" w:cs="Courier New" w:eastAsia="Courier New" w:hAnsi="Courier New"/>
                <w:sz w:val="14"/>
                <w:szCs w:val="14"/>
                <w:b w:val="1"/>
                <w:bCs w:val="1"/>
                <w:color w:val="auto"/>
              </w:rPr>
              <w:t>Rubber</w:t>
            </w: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b w:val="1"/>
                <w:bCs w:val="1"/>
                <w:color w:val="auto"/>
              </w:rPr>
              <w:t>Ball and</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NN</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Rubber</w:t>
            </w:r>
          </w:p>
        </w:tc>
      </w:tr>
      <w:tr>
        <w:trPr>
          <w:trHeight w:val="163"/>
        </w:trPr>
        <w:tc>
          <w:tcPr>
            <w:tcW w:w="1400" w:type="dxa"/>
            <w:vAlign w:val="bottom"/>
          </w:tcPr>
          <w:p>
            <w:pPr>
              <w:spacing w:after="0"/>
              <w:rPr>
                <w:sz w:val="14"/>
                <w:szCs w:val="14"/>
                <w:color w:val="auto"/>
              </w:rPr>
            </w:pPr>
          </w:p>
        </w:tc>
        <w:tc>
          <w:tcPr>
            <w:tcW w:w="1060" w:type="dxa"/>
            <w:vAlign w:val="bottom"/>
          </w:tcPr>
          <w:p>
            <w:pPr>
              <w:jc w:val="center"/>
              <w:ind w:right="30"/>
              <w:spacing w:after="0"/>
              <w:rPr>
                <w:sz w:val="20"/>
                <w:szCs w:val="20"/>
                <w:color w:val="auto"/>
              </w:rPr>
            </w:pPr>
            <w:r>
              <w:rPr>
                <w:rFonts w:ascii="Courier New" w:cs="Courier New" w:eastAsia="Courier New" w:hAnsi="Courier New"/>
                <w:sz w:val="14"/>
                <w:szCs w:val="14"/>
                <w:b w:val="1"/>
                <w:bCs w:val="1"/>
                <w:color w:val="auto"/>
              </w:rPr>
              <w:t>Roller</w:t>
            </w:r>
          </w:p>
        </w:tc>
        <w:tc>
          <w:tcPr>
            <w:tcW w:w="820" w:type="dxa"/>
            <w:vAlign w:val="bottom"/>
          </w:tcPr>
          <w:p>
            <w:pPr>
              <w:jc w:val="right"/>
              <w:ind w:right="149"/>
              <w:spacing w:after="0"/>
              <w:rPr>
                <w:sz w:val="20"/>
                <w:szCs w:val="20"/>
                <w:color w:val="auto"/>
              </w:rPr>
            </w:pPr>
            <w:r>
              <w:rPr>
                <w:rFonts w:ascii="Courier New" w:cs="Courier New" w:eastAsia="Courier New" w:hAnsi="Courier New"/>
                <w:sz w:val="14"/>
                <w:szCs w:val="14"/>
                <w:b w:val="1"/>
                <w:bCs w:val="1"/>
                <w:color w:val="auto"/>
              </w:rPr>
              <w:t>Europe</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b w:val="1"/>
                <w:bCs w:val="1"/>
                <w:color w:val="auto"/>
              </w:rPr>
              <w:t>Components</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b w:val="1"/>
                <w:bCs w:val="1"/>
                <w:color w:val="auto"/>
              </w:rPr>
              <w:t>Roller</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b w:val="1"/>
                <w:bCs w:val="1"/>
                <w:color w:val="auto"/>
              </w:rPr>
              <w:t>Europe</w:t>
            </w:r>
          </w:p>
        </w:tc>
        <w:tc>
          <w:tcPr>
            <w:tcW w:w="1180" w:type="dxa"/>
            <w:vAlign w:val="bottom"/>
          </w:tcPr>
          <w:p>
            <w:pPr>
              <w:ind w:left="120"/>
              <w:spacing w:after="0"/>
              <w:rPr>
                <w:sz w:val="20"/>
                <w:szCs w:val="20"/>
                <w:color w:val="auto"/>
              </w:rPr>
            </w:pPr>
            <w:r>
              <w:rPr>
                <w:rFonts w:ascii="Courier New" w:cs="Courier New" w:eastAsia="Courier New" w:hAnsi="Courier New"/>
                <w:sz w:val="14"/>
                <w:szCs w:val="14"/>
                <w:b w:val="1"/>
                <w:bCs w:val="1"/>
                <w:color w:val="auto"/>
              </w:rPr>
              <w:t>Components</w:t>
            </w:r>
          </w:p>
        </w:tc>
        <w:tc>
          <w:tcPr>
            <w:tcW w:w="860" w:type="dxa"/>
            <w:vAlign w:val="bottom"/>
          </w:tcPr>
          <w:p>
            <w:pPr>
              <w:jc w:val="center"/>
              <w:ind w:left="29"/>
              <w:spacing w:after="0"/>
              <w:rPr>
                <w:sz w:val="20"/>
                <w:szCs w:val="20"/>
                <w:color w:val="auto"/>
              </w:rPr>
            </w:pPr>
            <w:r>
              <w:rPr>
                <w:rFonts w:ascii="Courier New" w:cs="Courier New" w:eastAsia="Courier New" w:hAnsi="Courier New"/>
                <w:sz w:val="14"/>
                <w:szCs w:val="14"/>
                <w:b w:val="1"/>
                <w:bCs w:val="1"/>
                <w:color w:val="auto"/>
              </w:rPr>
              <w:t>Roller</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b w:val="1"/>
                <w:bCs w:val="1"/>
                <w:color w:val="auto"/>
              </w:rPr>
              <w:t>Europe</w:t>
            </w: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b w:val="1"/>
                <w:bCs w:val="1"/>
                <w:color w:val="auto"/>
              </w:rPr>
              <w:t>Components</w:t>
            </w:r>
          </w:p>
        </w:tc>
      </w:tr>
      <w:tr>
        <w:trPr>
          <w:trHeight w:val="163"/>
        </w:trPr>
        <w:tc>
          <w:tcPr>
            <w:tcW w:w="1400" w:type="dxa"/>
            <w:vAlign w:val="bottom"/>
          </w:tcPr>
          <w:p>
            <w:pPr>
              <w:spacing w:after="0"/>
              <w:rPr>
                <w:sz w:val="14"/>
                <w:szCs w:val="14"/>
                <w:color w:val="auto"/>
              </w:rPr>
            </w:pPr>
          </w:p>
        </w:tc>
        <w:tc>
          <w:tcPr>
            <w:tcW w:w="8960" w:type="dxa"/>
            <w:vAlign w:val="bottom"/>
            <w:gridSpan w:val="9"/>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$55,437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$ 147,127</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$50,898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$ 52,634</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$ 90,653</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$49,569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52,692</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$86,719</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$40,740</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0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763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1,401</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1,083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923</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1,419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1,765</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2,194</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Depreciation &amp;</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amortization</w:t>
            </w:r>
          </w:p>
        </w:tc>
        <w:tc>
          <w:tcPr>
            <w:tcW w:w="10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3,755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7,546</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2,535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3,732</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4,780</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2,700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4,439</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5,236</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3,475</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expense</w:t>
            </w:r>
          </w:p>
        </w:tc>
        <w:tc>
          <w:tcPr>
            <w:tcW w:w="10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2,117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4,858</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(1,249)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2,595</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3,855</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2,435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2,474</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(815)</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Segment profit</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(loss)</w:t>
            </w:r>
          </w:p>
        </w:tc>
        <w:tc>
          <w:tcPr>
            <w:tcW w:w="10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2,003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7,492</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683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2,272</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3,313</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2,175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4,498</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1,962</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(1,798)</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Segment assets</w:t>
            </w:r>
          </w:p>
        </w:tc>
        <w:tc>
          <w:tcPr>
            <w:tcW w:w="10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53,938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154,889</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57,590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58,825</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78,846</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57,544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62,978</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65,778</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55,721</w:t>
            </w:r>
          </w:p>
        </w:tc>
      </w:tr>
      <w:tr>
        <w:trPr>
          <w:trHeight w:val="163"/>
        </w:trPr>
        <w:tc>
          <w:tcPr>
            <w:tcW w:w="1400" w:type="dxa"/>
            <w:vAlign w:val="bottom"/>
          </w:tcPr>
          <w:p>
            <w:pPr>
              <w:spacing w:after="0"/>
              <w:rPr>
                <w:sz w:val="20"/>
                <w:szCs w:val="20"/>
                <w:color w:val="auto"/>
              </w:rPr>
            </w:pPr>
            <w:r>
              <w:rPr>
                <w:rFonts w:ascii="Courier New" w:cs="Courier New" w:eastAsia="Courier New" w:hAnsi="Courier New"/>
                <w:sz w:val="14"/>
                <w:szCs w:val="14"/>
                <w:color w:val="auto"/>
              </w:rPr>
              <w:t>Expenditures for</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long- lived</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assets</w:t>
            </w:r>
          </w:p>
        </w:tc>
        <w:tc>
          <w:tcPr>
            <w:tcW w:w="106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3,093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5,609</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2,872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1,778</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3,452</w:t>
            </w:r>
          </w:p>
        </w:tc>
        <w:tc>
          <w:tcPr>
            <w:tcW w:w="11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2,361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3,537</w:t>
            </w: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1,660</w:t>
            </w:r>
          </w:p>
        </w:tc>
      </w:tr>
      <w:tr>
        <w:trPr>
          <w:trHeight w:val="490"/>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53</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Continued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285750</wp:posOffset>
            </wp:positionV>
            <wp:extent cx="729869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4"/>
          <w:szCs w:val="14"/>
          <w:b w:val="1"/>
          <w:bCs w:val="1"/>
          <w:color w:val="auto"/>
        </w:rPr>
        <w:t>December 31, 2003, 2002 and 2001</w:t>
      </w:r>
    </w:p>
    <w:p>
      <w:pPr>
        <w:sectPr>
          <w:pgSz w:w="11900" w:h="16838" w:orient="portrait"/>
          <w:cols w:equalWidth="0" w:num="1">
            <w:col w:w="10360"/>
          </w:cols>
          <w:pgMar w:left="220" w:top="141" w:right="1319" w:bottom="0" w:gutter="0" w:footer="0" w:header="0"/>
        </w:sectPr>
      </w:pPr>
    </w:p>
    <w:bookmarkStart w:id="41" w:name="page42"/>
    <w:bookmarkEnd w:id="41"/>
    <w:p>
      <w:pPr>
        <w:ind w:left="180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168" w:lineRule="exact"/>
        <w:rPr>
          <w:sz w:val="20"/>
          <w:szCs w:val="20"/>
          <w:color w:val="auto"/>
        </w:rPr>
      </w:pPr>
    </w:p>
    <w:p>
      <w:pPr>
        <w:ind w:left="440" w:right="4820"/>
        <w:spacing w:after="0" w:line="249" w:lineRule="auto"/>
        <w:rPr>
          <w:sz w:val="20"/>
          <w:szCs w:val="20"/>
          <w:color w:val="auto"/>
        </w:rPr>
      </w:pPr>
      <w:r>
        <w:rPr>
          <w:rFonts w:ascii="Courier New" w:cs="Courier New" w:eastAsia="Courier New" w:hAnsi="Courier New"/>
          <w:sz w:val="14"/>
          <w:szCs w:val="14"/>
          <w:color w:val="auto"/>
        </w:rPr>
        <w:t>Sales to external customers and long-lived assets utilized by the Company were concentrated in the following geographical regions:</w:t>
      </w:r>
    </w:p>
    <w:p>
      <w:pPr>
        <w:spacing w:after="0" w:line="324" w:lineRule="exact"/>
        <w:rPr>
          <w:sz w:val="20"/>
          <w:szCs w:val="20"/>
          <w:color w:val="auto"/>
        </w:rPr>
      </w:pPr>
    </w:p>
    <w:tbl>
      <w:tblPr>
        <w:tblLayout w:type="fixed"/>
        <w:tblInd w:w="520" w:type="dxa"/>
        <w:tblCellMar>
          <w:top w:w="0" w:type="dxa"/>
          <w:left w:w="0" w:type="dxa"/>
          <w:bottom w:w="0" w:type="dxa"/>
          <w:right w:w="0" w:type="dxa"/>
        </w:tblCellMar>
      </w:tblPr>
      <w:tr>
        <w:trPr>
          <w:trHeight w:val="160"/>
        </w:trPr>
        <w:tc>
          <w:tcPr>
            <w:tcW w:w="2040" w:type="dxa"/>
            <w:vAlign w:val="bottom"/>
          </w:tcPr>
          <w:p>
            <w:pPr>
              <w:spacing w:after="0"/>
              <w:rPr>
                <w:sz w:val="13"/>
                <w:szCs w:val="13"/>
                <w:color w:val="auto"/>
              </w:rPr>
            </w:pPr>
          </w:p>
        </w:tc>
        <w:tc>
          <w:tcPr>
            <w:tcW w:w="3000" w:type="dxa"/>
            <w:vAlign w:val="bottom"/>
            <w:gridSpan w:val="2"/>
          </w:tcPr>
          <w:p>
            <w:pPr>
              <w:jc w:val="right"/>
              <w:ind w:right="729"/>
              <w:spacing w:after="0"/>
              <w:rPr>
                <w:sz w:val="20"/>
                <w:szCs w:val="20"/>
                <w:color w:val="auto"/>
              </w:rPr>
            </w:pPr>
            <w:r>
              <w:rPr>
                <w:rFonts w:ascii="Courier New" w:cs="Courier New" w:eastAsia="Courier New" w:hAnsi="Courier New"/>
                <w:sz w:val="14"/>
                <w:szCs w:val="14"/>
                <w:b w:val="1"/>
                <w:bCs w:val="1"/>
                <w:color w:val="auto"/>
              </w:rPr>
              <w:t>December 31, 2003</w:t>
            </w:r>
          </w:p>
        </w:tc>
        <w:tc>
          <w:tcPr>
            <w:tcW w:w="2680" w:type="dxa"/>
            <w:vAlign w:val="bottom"/>
            <w:gridSpan w:val="2"/>
          </w:tcPr>
          <w:p>
            <w:pPr>
              <w:jc w:val="right"/>
              <w:ind w:right="609"/>
              <w:spacing w:after="0"/>
              <w:rPr>
                <w:sz w:val="20"/>
                <w:szCs w:val="20"/>
                <w:color w:val="auto"/>
              </w:rPr>
            </w:pPr>
            <w:r>
              <w:rPr>
                <w:rFonts w:ascii="Courier New" w:cs="Courier New" w:eastAsia="Courier New" w:hAnsi="Courier New"/>
                <w:sz w:val="14"/>
                <w:szCs w:val="14"/>
                <w:b w:val="1"/>
                <w:bCs w:val="1"/>
                <w:color w:val="auto"/>
              </w:rPr>
              <w:t>December 31, 2002</w:t>
            </w:r>
          </w:p>
        </w:tc>
        <w:tc>
          <w:tcPr>
            <w:tcW w:w="2460" w:type="dxa"/>
            <w:vAlign w:val="bottom"/>
            <w:gridSpan w:val="2"/>
          </w:tcPr>
          <w:p>
            <w:pPr>
              <w:jc w:val="right"/>
              <w:ind w:right="429"/>
              <w:spacing w:after="0"/>
              <w:rPr>
                <w:sz w:val="20"/>
                <w:szCs w:val="20"/>
                <w:color w:val="auto"/>
              </w:rPr>
            </w:pPr>
            <w:r>
              <w:rPr>
                <w:rFonts w:ascii="Courier New" w:cs="Courier New" w:eastAsia="Courier New" w:hAnsi="Courier New"/>
                <w:sz w:val="14"/>
                <w:szCs w:val="14"/>
                <w:b w:val="1"/>
                <w:bCs w:val="1"/>
                <w:color w:val="auto"/>
              </w:rPr>
              <w:t>December 31, 2001</w:t>
            </w:r>
          </w:p>
        </w:tc>
      </w:tr>
      <w:tr>
        <w:trPr>
          <w:trHeight w:val="163"/>
        </w:trPr>
        <w:tc>
          <w:tcPr>
            <w:tcW w:w="2040" w:type="dxa"/>
            <w:vAlign w:val="bottom"/>
          </w:tcPr>
          <w:p>
            <w:pPr>
              <w:spacing w:after="0"/>
              <w:rPr>
                <w:sz w:val="14"/>
                <w:szCs w:val="14"/>
                <w:color w:val="auto"/>
              </w:rPr>
            </w:pPr>
          </w:p>
        </w:tc>
        <w:tc>
          <w:tcPr>
            <w:tcW w:w="3000" w:type="dxa"/>
            <w:vAlign w:val="bottom"/>
            <w:gridSpan w:val="2"/>
          </w:tcPr>
          <w:p>
            <w:pPr>
              <w:jc w:val="right"/>
              <w:ind w:right="49"/>
              <w:spacing w:after="0"/>
              <w:rPr>
                <w:sz w:val="20"/>
                <w:szCs w:val="20"/>
                <w:color w:val="auto"/>
              </w:rPr>
            </w:pPr>
            <w:r>
              <w:rPr>
                <w:rFonts w:ascii="Courier New" w:cs="Courier New" w:eastAsia="Courier New" w:hAnsi="Courier New"/>
                <w:sz w:val="14"/>
                <w:szCs w:val="14"/>
                <w:b w:val="1"/>
                <w:bCs w:val="1"/>
                <w:color w:val="auto"/>
              </w:rPr>
              <w:t>-------------------------------</w:t>
            </w:r>
          </w:p>
        </w:tc>
        <w:tc>
          <w:tcPr>
            <w:tcW w:w="2680" w:type="dxa"/>
            <w:vAlign w:val="bottom"/>
            <w:gridSpan w:val="2"/>
          </w:tcPr>
          <w:p>
            <w:pPr>
              <w:jc w:val="right"/>
              <w:ind w:right="9"/>
              <w:spacing w:after="0"/>
              <w:rPr>
                <w:sz w:val="20"/>
                <w:szCs w:val="20"/>
                <w:color w:val="auto"/>
              </w:rPr>
            </w:pPr>
            <w:r>
              <w:rPr>
                <w:rFonts w:ascii="Courier New" w:cs="Courier New" w:eastAsia="Courier New" w:hAnsi="Courier New"/>
                <w:sz w:val="14"/>
                <w:szCs w:val="14"/>
                <w:b w:val="1"/>
                <w:bCs w:val="1"/>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163"/>
        </w:trPr>
        <w:tc>
          <w:tcPr>
            <w:tcW w:w="2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20" w:type="dxa"/>
            <w:vAlign w:val="bottom"/>
          </w:tcPr>
          <w:p>
            <w:pPr>
              <w:jc w:val="right"/>
              <w:ind w:right="209"/>
              <w:spacing w:after="0"/>
              <w:rPr>
                <w:sz w:val="20"/>
                <w:szCs w:val="20"/>
                <w:color w:val="auto"/>
              </w:rPr>
            </w:pPr>
            <w:r>
              <w:rPr>
                <w:rFonts w:ascii="Courier New" w:cs="Courier New" w:eastAsia="Courier New" w:hAnsi="Courier New"/>
                <w:sz w:val="14"/>
                <w:szCs w:val="14"/>
                <w:b w:val="1"/>
                <w:bCs w:val="1"/>
                <w:color w:val="auto"/>
              </w:rPr>
              <w:t>Long-lived</w:t>
            </w:r>
          </w:p>
        </w:tc>
        <w:tc>
          <w:tcPr>
            <w:tcW w:w="1420" w:type="dxa"/>
            <w:vAlign w:val="bottom"/>
          </w:tcPr>
          <w:p>
            <w:pPr>
              <w:spacing w:after="0"/>
              <w:rPr>
                <w:sz w:val="14"/>
                <w:szCs w:val="14"/>
                <w:color w:val="auto"/>
              </w:rPr>
            </w:pPr>
          </w:p>
        </w:tc>
        <w:tc>
          <w:tcPr>
            <w:tcW w:w="1260" w:type="dxa"/>
            <w:vAlign w:val="bottom"/>
          </w:tcPr>
          <w:p>
            <w:pPr>
              <w:jc w:val="right"/>
              <w:ind w:right="169"/>
              <w:spacing w:after="0"/>
              <w:rPr>
                <w:sz w:val="20"/>
                <w:szCs w:val="20"/>
                <w:color w:val="auto"/>
              </w:rPr>
            </w:pPr>
            <w:r>
              <w:rPr>
                <w:rFonts w:ascii="Courier New" w:cs="Courier New" w:eastAsia="Courier New" w:hAnsi="Courier New"/>
                <w:sz w:val="14"/>
                <w:szCs w:val="14"/>
                <w:b w:val="1"/>
                <w:bCs w:val="1"/>
                <w:color w:val="auto"/>
              </w:rPr>
              <w:t>Long-lived</w:t>
            </w:r>
          </w:p>
        </w:tc>
        <w:tc>
          <w:tcPr>
            <w:tcW w:w="1280" w:type="dxa"/>
            <w:vAlign w:val="bottom"/>
          </w:tcPr>
          <w:p>
            <w:pPr>
              <w:spacing w:after="0"/>
              <w:rPr>
                <w:sz w:val="14"/>
                <w:szCs w:val="14"/>
                <w:color w:val="auto"/>
              </w:rPr>
            </w:pPr>
          </w:p>
        </w:tc>
        <w:tc>
          <w:tcPr>
            <w:tcW w:w="1180" w:type="dxa"/>
            <w:vAlign w:val="bottom"/>
          </w:tcPr>
          <w:p>
            <w:pPr>
              <w:jc w:val="right"/>
              <w:ind w:right="89"/>
              <w:spacing w:after="0"/>
              <w:rPr>
                <w:sz w:val="20"/>
                <w:szCs w:val="20"/>
                <w:color w:val="auto"/>
              </w:rPr>
            </w:pPr>
            <w:r>
              <w:rPr>
                <w:rFonts w:ascii="Courier New" w:cs="Courier New" w:eastAsia="Courier New" w:hAnsi="Courier New"/>
                <w:sz w:val="14"/>
                <w:szCs w:val="14"/>
                <w:b w:val="1"/>
                <w:bCs w:val="1"/>
                <w:color w:val="auto"/>
              </w:rPr>
              <w:t>Long-lived</w:t>
            </w:r>
          </w:p>
        </w:tc>
      </w:tr>
      <w:tr>
        <w:trPr>
          <w:trHeight w:val="163"/>
        </w:trPr>
        <w:tc>
          <w:tcPr>
            <w:tcW w:w="2040" w:type="dxa"/>
            <w:vAlign w:val="bottom"/>
          </w:tcPr>
          <w:p>
            <w:pPr>
              <w:spacing w:after="0"/>
              <w:rPr>
                <w:sz w:val="14"/>
                <w:szCs w:val="14"/>
                <w:color w:val="auto"/>
              </w:rPr>
            </w:pPr>
          </w:p>
        </w:tc>
        <w:tc>
          <w:tcPr>
            <w:tcW w:w="1780" w:type="dxa"/>
            <w:vAlign w:val="bottom"/>
          </w:tcPr>
          <w:p>
            <w:pPr>
              <w:jc w:val="right"/>
              <w:ind w:right="609"/>
              <w:spacing w:after="0"/>
              <w:rPr>
                <w:sz w:val="20"/>
                <w:szCs w:val="20"/>
                <w:color w:val="auto"/>
              </w:rPr>
            </w:pPr>
            <w:r>
              <w:rPr>
                <w:rFonts w:ascii="Courier New" w:cs="Courier New" w:eastAsia="Courier New" w:hAnsi="Courier New"/>
                <w:sz w:val="14"/>
                <w:szCs w:val="14"/>
                <w:b w:val="1"/>
                <w:bCs w:val="1"/>
                <w:color w:val="auto"/>
              </w:rPr>
              <w:t>Sales</w:t>
            </w:r>
          </w:p>
        </w:tc>
        <w:tc>
          <w:tcPr>
            <w:tcW w:w="1220" w:type="dxa"/>
            <w:vAlign w:val="bottom"/>
          </w:tcPr>
          <w:p>
            <w:pPr>
              <w:jc w:val="right"/>
              <w:ind w:right="389"/>
              <w:spacing w:after="0"/>
              <w:rPr>
                <w:sz w:val="20"/>
                <w:szCs w:val="20"/>
                <w:color w:val="auto"/>
              </w:rPr>
            </w:pPr>
            <w:r>
              <w:rPr>
                <w:rFonts w:ascii="Courier New" w:cs="Courier New" w:eastAsia="Courier New" w:hAnsi="Courier New"/>
                <w:sz w:val="14"/>
                <w:szCs w:val="14"/>
                <w:b w:val="1"/>
                <w:bCs w:val="1"/>
                <w:color w:val="auto"/>
              </w:rPr>
              <w:t>assets</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b w:val="1"/>
                <w:bCs w:val="1"/>
                <w:color w:val="auto"/>
              </w:rPr>
              <w:t>Sales</w:t>
            </w:r>
          </w:p>
        </w:tc>
        <w:tc>
          <w:tcPr>
            <w:tcW w:w="1260" w:type="dxa"/>
            <w:vAlign w:val="bottom"/>
          </w:tcPr>
          <w:p>
            <w:pPr>
              <w:jc w:val="right"/>
              <w:ind w:right="349"/>
              <w:spacing w:after="0"/>
              <w:rPr>
                <w:sz w:val="20"/>
                <w:szCs w:val="20"/>
                <w:color w:val="auto"/>
              </w:rPr>
            </w:pPr>
            <w:r>
              <w:rPr>
                <w:rFonts w:ascii="Courier New" w:cs="Courier New" w:eastAsia="Courier New" w:hAnsi="Courier New"/>
                <w:sz w:val="14"/>
                <w:szCs w:val="14"/>
                <w:b w:val="1"/>
                <w:bCs w:val="1"/>
                <w:color w:val="auto"/>
              </w:rPr>
              <w:t>assets</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b w:val="1"/>
                <w:bCs w:val="1"/>
                <w:color w:val="auto"/>
              </w:rPr>
              <w:t>Sales</w:t>
            </w:r>
          </w:p>
        </w:tc>
        <w:tc>
          <w:tcPr>
            <w:tcW w:w="118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assets</w:t>
            </w:r>
          </w:p>
        </w:tc>
      </w:tr>
      <w:tr>
        <w:trPr>
          <w:trHeight w:val="163"/>
        </w:trPr>
        <w:tc>
          <w:tcPr>
            <w:tcW w:w="2040" w:type="dxa"/>
            <w:vAlign w:val="bottom"/>
          </w:tcPr>
          <w:p>
            <w:pPr>
              <w:spacing w:after="0"/>
              <w:rPr>
                <w:sz w:val="14"/>
                <w:szCs w:val="14"/>
                <w:color w:val="auto"/>
              </w:rPr>
            </w:pPr>
          </w:p>
        </w:tc>
        <w:tc>
          <w:tcPr>
            <w:tcW w:w="1780" w:type="dxa"/>
            <w:vAlign w:val="bottom"/>
          </w:tcPr>
          <w:p>
            <w:pPr>
              <w:jc w:val="right"/>
              <w:ind w:right="109"/>
              <w:spacing w:after="0"/>
              <w:rPr>
                <w:sz w:val="20"/>
                <w:szCs w:val="20"/>
                <w:color w:val="auto"/>
              </w:rPr>
            </w:pPr>
            <w:r>
              <w:rPr>
                <w:rFonts w:ascii="Courier New" w:cs="Courier New" w:eastAsia="Courier New" w:hAnsi="Courier New"/>
                <w:sz w:val="14"/>
                <w:szCs w:val="14"/>
                <w:b w:val="1"/>
                <w:bCs w:val="1"/>
                <w:color w:val="auto"/>
              </w:rPr>
              <w:t>----------------</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b w:val="1"/>
                <w:bCs w:val="1"/>
                <w:color w:val="auto"/>
                <w:w w:val="98"/>
              </w:rPr>
              <w:t>-------------</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b w:val="1"/>
                <w:bCs w:val="1"/>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b w:val="1"/>
                <w:bCs w:val="1"/>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b w:val="1"/>
                <w:bCs w:val="1"/>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204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$67,756</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$36,523</w:t>
            </w:r>
          </w:p>
        </w:tc>
        <w:tc>
          <w:tcPr>
            <w:tcW w:w="1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$68,485</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$35,582</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$59,813</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$38,900</w:t>
            </w:r>
          </w:p>
        </w:tc>
      </w:tr>
      <w:tr>
        <w:trPr>
          <w:trHeight w:val="327"/>
        </w:trPr>
        <w:tc>
          <w:tcPr>
            <w:tcW w:w="204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134,914</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92,473</w:t>
            </w:r>
          </w:p>
        </w:tc>
        <w:tc>
          <w:tcPr>
            <w:tcW w:w="1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89,750</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51,674</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88,649</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42,799</w:t>
            </w:r>
          </w:p>
        </w:tc>
      </w:tr>
      <w:tr>
        <w:trPr>
          <w:trHeight w:val="490"/>
        </w:trPr>
        <w:tc>
          <w:tcPr>
            <w:tcW w:w="204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10,727</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10,598</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8,278</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327"/>
        </w:trPr>
        <w:tc>
          <w:tcPr>
            <w:tcW w:w="2040" w:type="dxa"/>
            <w:vAlign w:val="bottom"/>
          </w:tcPr>
          <w:p>
            <w:pPr>
              <w:spacing w:after="0"/>
              <w:rPr>
                <w:sz w:val="20"/>
                <w:szCs w:val="20"/>
                <w:color w:val="auto"/>
              </w:rPr>
            </w:pPr>
            <w:r>
              <w:rPr>
                <w:rFonts w:ascii="Courier New" w:cs="Courier New" w:eastAsia="Courier New" w:hAnsi="Courier New"/>
                <w:sz w:val="14"/>
                <w:szCs w:val="14"/>
                <w:color w:val="auto"/>
              </w:rPr>
              <w:t>Latin/S.America</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13,435</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8,450</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943</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8,157</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1,071</w:t>
            </w:r>
          </w:p>
        </w:tc>
      </w:tr>
      <w:tr>
        <w:trPr>
          <w:trHeight w:val="327"/>
        </w:trPr>
        <w:tc>
          <w:tcPr>
            <w:tcW w:w="2040" w:type="dxa"/>
            <w:vAlign w:val="bottom"/>
          </w:tcPr>
          <w:p>
            <w:pPr>
              <w:spacing w:after="0"/>
              <w:rPr>
                <w:sz w:val="20"/>
                <w:szCs w:val="20"/>
                <w:color w:val="auto"/>
              </w:rPr>
            </w:pPr>
            <w:r>
              <w:rPr>
                <w:rFonts w:ascii="Courier New" w:cs="Courier New" w:eastAsia="Courier New" w:hAnsi="Courier New"/>
                <w:sz w:val="14"/>
                <w:szCs w:val="14"/>
                <w:color w:val="auto"/>
              </w:rPr>
              <w:t>Other export</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26,630</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15,573</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15,254</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3"/>
        </w:trPr>
        <w:tc>
          <w:tcPr>
            <w:tcW w:w="2040" w:type="dxa"/>
            <w:vAlign w:val="bottom"/>
          </w:tcPr>
          <w:p>
            <w:pPr>
              <w:spacing w:after="0"/>
              <w:rPr>
                <w:sz w:val="14"/>
                <w:szCs w:val="14"/>
                <w:color w:val="auto"/>
              </w:rPr>
            </w:pPr>
          </w:p>
        </w:tc>
        <w:tc>
          <w:tcPr>
            <w:tcW w:w="1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040" w:type="dxa"/>
            <w:vAlign w:val="bottom"/>
          </w:tcPr>
          <w:p>
            <w:pPr>
              <w:spacing w:after="0"/>
              <w:rPr>
                <w:sz w:val="20"/>
                <w:szCs w:val="20"/>
                <w:color w:val="auto"/>
              </w:rPr>
            </w:pPr>
            <w:r>
              <w:rPr>
                <w:rFonts w:ascii="Courier New" w:cs="Courier New" w:eastAsia="Courier New" w:hAnsi="Courier New"/>
                <w:sz w:val="14"/>
                <w:szCs w:val="14"/>
                <w:color w:val="auto"/>
              </w:rPr>
              <w:t>All foreign countries</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185,706</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92,473</w:t>
            </w:r>
          </w:p>
        </w:tc>
        <w:tc>
          <w:tcPr>
            <w:tcW w:w="1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124,371</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52,617</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120,338</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43,870</w:t>
            </w:r>
          </w:p>
        </w:tc>
      </w:tr>
      <w:tr>
        <w:trPr>
          <w:trHeight w:val="163"/>
        </w:trPr>
        <w:tc>
          <w:tcPr>
            <w:tcW w:w="2040" w:type="dxa"/>
            <w:vAlign w:val="bottom"/>
          </w:tcPr>
          <w:p>
            <w:pPr>
              <w:spacing w:after="0"/>
              <w:rPr>
                <w:sz w:val="14"/>
                <w:szCs w:val="14"/>
                <w:color w:val="auto"/>
              </w:rPr>
            </w:pPr>
          </w:p>
        </w:tc>
        <w:tc>
          <w:tcPr>
            <w:tcW w:w="1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7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$253,462</w:t>
            </w:r>
          </w:p>
        </w:tc>
        <w:tc>
          <w:tcPr>
            <w:tcW w:w="12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$ 128,996</w:t>
            </w:r>
          </w:p>
        </w:tc>
        <w:tc>
          <w:tcPr>
            <w:tcW w:w="1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$ 192,856</w:t>
            </w:r>
          </w:p>
        </w:tc>
        <w:tc>
          <w:tcPr>
            <w:tcW w:w="12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$88,199</w:t>
            </w:r>
          </w:p>
        </w:tc>
        <w:tc>
          <w:tcPr>
            <w:tcW w:w="12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$180,151</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$82,770</w:t>
            </w:r>
          </w:p>
        </w:tc>
      </w:tr>
      <w:tr>
        <w:trPr>
          <w:trHeight w:val="163"/>
        </w:trPr>
        <w:tc>
          <w:tcPr>
            <w:tcW w:w="2040" w:type="dxa"/>
            <w:vAlign w:val="bottom"/>
          </w:tcPr>
          <w:p>
            <w:pPr>
              <w:spacing w:after="0"/>
              <w:rPr>
                <w:sz w:val="14"/>
                <w:szCs w:val="14"/>
                <w:color w:val="auto"/>
              </w:rPr>
            </w:pPr>
          </w:p>
        </w:tc>
        <w:tc>
          <w:tcPr>
            <w:tcW w:w="1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w:t>
            </w:r>
          </w:p>
        </w:tc>
        <w:tc>
          <w:tcPr>
            <w:tcW w:w="14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the years ended December 31, 2003, 2002 and 2001, sales to SKF amounted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$107,484, $64,235 and $62,539, respectively, or 42.4%, 33.3% and 34.7%</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of consolidated revenues, respectively. For the years ended December 31,</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2003, 2002 and 2001, sales to INA/FAG amounted to $40,110, $36,502, and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$36,436, respectively or 15.8%, 18.9%, and 20.2% of consolidated revenues,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respectively. None of the Company's other customers accounted for more than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5% of its net sales in 2003. Accounts receivable concentrations as of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December 31, 2003, 2002 and 2001 are generally reflective of sales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concentrations during the years then ended.</w:t>
      </w:r>
    </w:p>
    <w:p>
      <w:pPr>
        <w:spacing w:after="0" w:line="168" w:lineRule="exact"/>
        <w:rPr>
          <w:sz w:val="20"/>
          <w:szCs w:val="20"/>
          <w:color w:val="auto"/>
        </w:rPr>
      </w:pPr>
    </w:p>
    <w:p>
      <w:pPr>
        <w:ind w:left="520" w:hanging="513"/>
        <w:spacing w:after="0"/>
        <w:tabs>
          <w:tab w:leader="none" w:pos="520" w:val="left"/>
        </w:tabs>
        <w:numPr>
          <w:ilvl w:val="0"/>
          <w:numId w:val="29"/>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Income Taxes</w:t>
      </w:r>
    </w:p>
    <w:p>
      <w:pPr>
        <w:spacing w:after="0" w:line="168" w:lineRule="exact"/>
        <w:rPr>
          <w:sz w:val="20"/>
          <w:szCs w:val="20"/>
          <w:color w:val="auto"/>
        </w:rPr>
      </w:pPr>
    </w:p>
    <w:p>
      <w:pPr>
        <w:ind w:left="440" w:right="4740"/>
        <w:spacing w:after="0" w:line="249" w:lineRule="auto"/>
        <w:rPr>
          <w:sz w:val="20"/>
          <w:szCs w:val="20"/>
          <w:color w:val="auto"/>
        </w:rPr>
      </w:pPr>
      <w:r>
        <w:rPr>
          <w:rFonts w:ascii="Courier New" w:cs="Courier New" w:eastAsia="Courier New" w:hAnsi="Courier New"/>
          <w:sz w:val="14"/>
          <w:szCs w:val="14"/>
          <w:color w:val="auto"/>
        </w:rPr>
        <w:t>Total income taxes (benefits) for the years ended December 31, 2003, 2002, and 2001 are allocated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rPr>
              <w:t>Year ended December 31,</w:t>
            </w:r>
          </w:p>
        </w:tc>
        <w:tc>
          <w:tcPr>
            <w:tcW w:w="102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63"/>
        </w:trPr>
        <w:tc>
          <w:tcPr>
            <w:tcW w:w="4220" w:type="dxa"/>
            <w:vAlign w:val="bottom"/>
          </w:tcPr>
          <w:p>
            <w:pPr>
              <w:spacing w:after="0"/>
              <w:rPr>
                <w:sz w:val="14"/>
                <w:szCs w:val="14"/>
                <w:color w:val="auto"/>
              </w:rPr>
            </w:pPr>
          </w:p>
        </w:tc>
        <w:tc>
          <w:tcPr>
            <w:tcW w:w="1140" w:type="dxa"/>
            <w:vAlign w:val="bottom"/>
          </w:tcPr>
          <w:p>
            <w:pPr>
              <w:ind w:left="800"/>
              <w:spacing w:after="0"/>
              <w:rPr>
                <w:sz w:val="20"/>
                <w:szCs w:val="20"/>
                <w:color w:val="auto"/>
              </w:rPr>
            </w:pPr>
            <w:r>
              <w:rPr>
                <w:rFonts w:ascii="Courier New" w:cs="Courier New" w:eastAsia="Courier New" w:hAnsi="Courier New"/>
                <w:sz w:val="14"/>
                <w:szCs w:val="14"/>
                <w:b w:val="1"/>
                <w:bCs w:val="1"/>
                <w:color w:val="auto"/>
                <w:w w:val="95"/>
              </w:rPr>
              <w:t>2003</w:t>
            </w:r>
          </w:p>
        </w:tc>
        <w:tc>
          <w:tcPr>
            <w:tcW w:w="760" w:type="dxa"/>
            <w:vAlign w:val="bottom"/>
          </w:tcPr>
          <w:p>
            <w:pPr>
              <w:spacing w:after="0"/>
              <w:rPr>
                <w:sz w:val="14"/>
                <w:szCs w:val="14"/>
                <w:color w:val="auto"/>
              </w:rPr>
            </w:pPr>
          </w:p>
        </w:tc>
        <w:tc>
          <w:tcPr>
            <w:tcW w:w="1200" w:type="dxa"/>
            <w:vAlign w:val="bottom"/>
          </w:tcPr>
          <w:p>
            <w:pPr>
              <w:ind w:left="860"/>
              <w:spacing w:after="0"/>
              <w:rPr>
                <w:sz w:val="20"/>
                <w:szCs w:val="20"/>
                <w:color w:val="auto"/>
              </w:rPr>
            </w:pPr>
            <w:r>
              <w:rPr>
                <w:rFonts w:ascii="Courier New" w:cs="Courier New" w:eastAsia="Courier New" w:hAnsi="Courier New"/>
                <w:sz w:val="14"/>
                <w:szCs w:val="14"/>
                <w:b w:val="1"/>
                <w:bCs w:val="1"/>
                <w:color w:val="auto"/>
                <w:w w:val="95"/>
              </w:rPr>
              <w:t>2002</w:t>
            </w:r>
          </w:p>
        </w:tc>
        <w:tc>
          <w:tcPr>
            <w:tcW w:w="920" w:type="dxa"/>
            <w:vAlign w:val="bottom"/>
          </w:tcPr>
          <w:p>
            <w:pPr>
              <w:spacing w:after="0"/>
              <w:rPr>
                <w:sz w:val="14"/>
                <w:szCs w:val="14"/>
                <w:color w:val="auto"/>
              </w:rPr>
            </w:pPr>
          </w:p>
        </w:tc>
        <w:tc>
          <w:tcPr>
            <w:tcW w:w="1020" w:type="dxa"/>
            <w:vAlign w:val="bottom"/>
          </w:tcPr>
          <w:p>
            <w:pPr>
              <w:ind w:left="680"/>
              <w:spacing w:after="0"/>
              <w:rPr>
                <w:sz w:val="20"/>
                <w:szCs w:val="20"/>
                <w:color w:val="auto"/>
              </w:rPr>
            </w:pPr>
            <w:r>
              <w:rPr>
                <w:rFonts w:ascii="Courier New" w:cs="Courier New" w:eastAsia="Courier New" w:hAnsi="Courier New"/>
                <w:sz w:val="14"/>
                <w:szCs w:val="14"/>
                <w:b w:val="1"/>
                <w:bCs w:val="1"/>
                <w:color w:val="auto"/>
                <w:w w:val="95"/>
              </w:rPr>
              <w:t>2001</w:t>
            </w:r>
          </w:p>
        </w:tc>
        <w:tc>
          <w:tcPr>
            <w:tcW w:w="2200" w:type="dxa"/>
            <w:vAlign w:val="bottom"/>
          </w:tcPr>
          <w:p>
            <w:pPr>
              <w:spacing w:after="0"/>
              <w:rPr>
                <w:sz w:val="14"/>
                <w:szCs w:val="14"/>
                <w:color w:val="auto"/>
              </w:rPr>
            </w:pPr>
          </w:p>
        </w:tc>
      </w:tr>
      <w:tr>
        <w:trPr>
          <w:trHeight w:val="163"/>
        </w:trPr>
        <w:tc>
          <w:tcPr>
            <w:tcW w:w="4220" w:type="dxa"/>
            <w:vAlign w:val="bottom"/>
          </w:tcPr>
          <w:p>
            <w:pPr>
              <w:spacing w:after="0"/>
              <w:rPr>
                <w:sz w:val="14"/>
                <w:szCs w:val="14"/>
                <w:color w:val="auto"/>
              </w:rPr>
            </w:pPr>
          </w:p>
        </w:tc>
        <w:tc>
          <w:tcPr>
            <w:tcW w:w="1900" w:type="dxa"/>
            <w:vAlign w:val="bottom"/>
            <w:gridSpan w:val="2"/>
          </w:tcPr>
          <w:p>
            <w:pPr>
              <w:jc w:val="right"/>
              <w:ind w:right="9"/>
              <w:spacing w:after="0"/>
              <w:rPr>
                <w:sz w:val="20"/>
                <w:szCs w:val="20"/>
                <w:color w:val="auto"/>
              </w:rPr>
            </w:pPr>
            <w:r>
              <w:rPr>
                <w:rFonts w:ascii="Courier New" w:cs="Courier New" w:eastAsia="Courier New" w:hAnsi="Courier New"/>
                <w:sz w:val="14"/>
                <w:szCs w:val="14"/>
                <w:b w:val="1"/>
                <w:bCs w:val="1"/>
                <w:color w:val="auto"/>
              </w:rPr>
              <w:t>-------------------</w:t>
            </w:r>
          </w:p>
        </w:tc>
        <w:tc>
          <w:tcPr>
            <w:tcW w:w="21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rPr>
              <w:t>-------------------</w:t>
            </w:r>
          </w:p>
        </w:tc>
        <w:tc>
          <w:tcPr>
            <w:tcW w:w="3220" w:type="dxa"/>
            <w:vAlign w:val="bottom"/>
            <w:gridSpan w:val="2"/>
          </w:tcPr>
          <w:p>
            <w:pPr>
              <w:jc w:val="right"/>
              <w:ind w:right="1449"/>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Income from operations:</w:t>
            </w: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5,726</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5"/>
              </w:rPr>
              <w:t>6,457</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1709"/>
              <w:spacing w:after="0"/>
              <w:rPr>
                <w:sz w:val="20"/>
                <w:szCs w:val="20"/>
                <w:color w:val="auto"/>
              </w:rPr>
            </w:pPr>
            <w:r>
              <w:rPr>
                <w:rFonts w:ascii="Courier New" w:cs="Courier New" w:eastAsia="Courier New" w:hAnsi="Courier New"/>
                <w:sz w:val="14"/>
                <w:szCs w:val="14"/>
                <w:color w:val="auto"/>
                <w:w w:val="95"/>
              </w:rPr>
              <w:t>4,094</w:t>
            </w:r>
          </w:p>
        </w:tc>
      </w:tr>
      <w:tr>
        <w:trPr>
          <w:trHeight w:val="163"/>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Cumulative effect of change in accounting</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3"/>
        </w:trPr>
        <w:tc>
          <w:tcPr>
            <w:tcW w:w="4220" w:type="dxa"/>
            <w:vAlign w:val="bottom"/>
          </w:tcPr>
          <w:p>
            <w:pPr>
              <w:ind w:left="860"/>
              <w:spacing w:after="0"/>
              <w:rPr>
                <w:sz w:val="20"/>
                <w:szCs w:val="20"/>
                <w:color w:val="auto"/>
              </w:rPr>
            </w:pPr>
            <w:r>
              <w:rPr>
                <w:rFonts w:ascii="Courier New" w:cs="Courier New" w:eastAsia="Courier New" w:hAnsi="Courier New"/>
                <w:sz w:val="14"/>
                <w:szCs w:val="14"/>
                <w:color w:val="auto"/>
              </w:rPr>
              <w:t>principle</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220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(112)</w:t>
            </w:r>
          </w:p>
        </w:tc>
      </w:tr>
      <w:tr>
        <w:trPr>
          <w:trHeight w:val="163"/>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Accumulated other comprehensive income</w:t>
            </w:r>
          </w:p>
        </w:tc>
        <w:tc>
          <w:tcPr>
            <w:tcW w:w="114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(178)</w:t>
            </w:r>
          </w:p>
        </w:tc>
        <w:tc>
          <w:tcPr>
            <w:tcW w:w="1200" w:type="dxa"/>
            <w:vAlign w:val="bottom"/>
          </w:tcPr>
          <w:p>
            <w:pPr>
              <w:spacing w:after="0"/>
              <w:rPr>
                <w:sz w:val="14"/>
                <w:szCs w:val="14"/>
                <w:color w:val="auto"/>
              </w:rPr>
            </w:pPr>
          </w:p>
        </w:tc>
        <w:tc>
          <w:tcPr>
            <w:tcW w:w="9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(47)</w:t>
            </w:r>
          </w:p>
        </w:tc>
        <w:tc>
          <w:tcPr>
            <w:tcW w:w="1020" w:type="dxa"/>
            <w:vAlign w:val="bottom"/>
          </w:tcPr>
          <w:p>
            <w:pPr>
              <w:spacing w:after="0"/>
              <w:rPr>
                <w:sz w:val="14"/>
                <w:szCs w:val="14"/>
                <w:color w:val="auto"/>
              </w:rPr>
            </w:pPr>
          </w:p>
        </w:tc>
        <w:tc>
          <w:tcPr>
            <w:tcW w:w="2200" w:type="dxa"/>
            <w:vAlign w:val="bottom"/>
          </w:tcPr>
          <w:p>
            <w:pPr>
              <w:jc w:val="right"/>
              <w:ind w:right="1609"/>
              <w:spacing w:after="0"/>
              <w:rPr>
                <w:sz w:val="20"/>
                <w:szCs w:val="20"/>
                <w:color w:val="auto"/>
              </w:rPr>
            </w:pPr>
            <w:r>
              <w:rPr>
                <w:rFonts w:ascii="Courier New" w:cs="Courier New" w:eastAsia="Courier New" w:hAnsi="Courier New"/>
                <w:sz w:val="14"/>
                <w:szCs w:val="14"/>
                <w:color w:val="auto"/>
              </w:rPr>
              <w:t>(31)</w:t>
            </w:r>
          </w:p>
        </w:tc>
      </w:tr>
      <w:tr>
        <w:trPr>
          <w:trHeight w:val="163"/>
        </w:trPr>
        <w:tc>
          <w:tcPr>
            <w:tcW w:w="4220" w:type="dxa"/>
            <w:vAlign w:val="bottom"/>
          </w:tcPr>
          <w:p>
            <w:pPr>
              <w:spacing w:after="0"/>
              <w:rPr>
                <w:sz w:val="14"/>
                <w:szCs w:val="14"/>
                <w:color w:val="auto"/>
              </w:rPr>
            </w:pPr>
          </w:p>
        </w:tc>
        <w:tc>
          <w:tcPr>
            <w:tcW w:w="1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3220" w:type="dxa"/>
            <w:vAlign w:val="bottom"/>
            <w:gridSpan w:val="2"/>
          </w:tcPr>
          <w:p>
            <w:pPr>
              <w:jc w:val="right"/>
              <w:ind w:right="1449"/>
              <w:spacing w:after="0"/>
              <w:rPr>
                <w:sz w:val="20"/>
                <w:szCs w:val="20"/>
                <w:color w:val="auto"/>
              </w:rPr>
            </w:pPr>
            <w:r>
              <w:rPr>
                <w:rFonts w:ascii="Courier New" w:cs="Courier New" w:eastAsia="Courier New" w:hAnsi="Courier New"/>
                <w:sz w:val="14"/>
                <w:szCs w:val="14"/>
                <w:color w:val="auto"/>
              </w:rPr>
              <w:t>-------------------</w:t>
            </w:r>
          </w:p>
        </w:tc>
      </w:tr>
      <w:tr>
        <w:trPr>
          <w:trHeight w:val="163"/>
        </w:trPr>
        <w:tc>
          <w:tcPr>
            <w:tcW w:w="4220" w:type="dxa"/>
            <w:vAlign w:val="bottom"/>
          </w:tcPr>
          <w:p>
            <w:pPr>
              <w:spacing w:after="0"/>
              <w:rPr>
                <w:sz w:val="14"/>
                <w:szCs w:val="14"/>
                <w:color w:val="auto"/>
              </w:rPr>
            </w:pPr>
          </w:p>
        </w:tc>
        <w:tc>
          <w:tcPr>
            <w:tcW w:w="11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5,548</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5"/>
              </w:rPr>
              <w:t>6,410</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1709"/>
              <w:spacing w:after="0"/>
              <w:rPr>
                <w:sz w:val="20"/>
                <w:szCs w:val="20"/>
                <w:color w:val="auto"/>
              </w:rPr>
            </w:pPr>
            <w:r>
              <w:rPr>
                <w:rFonts w:ascii="Courier New" w:cs="Courier New" w:eastAsia="Courier New" w:hAnsi="Courier New"/>
                <w:sz w:val="14"/>
                <w:szCs w:val="14"/>
                <w:color w:val="auto"/>
                <w:w w:val="95"/>
              </w:rPr>
              <w:t>3,951</w:t>
            </w:r>
          </w:p>
        </w:tc>
      </w:tr>
      <w:tr>
        <w:trPr>
          <w:trHeight w:val="163"/>
        </w:trPr>
        <w:tc>
          <w:tcPr>
            <w:tcW w:w="4220" w:type="dxa"/>
            <w:vAlign w:val="bottom"/>
          </w:tcPr>
          <w:p>
            <w:pPr>
              <w:spacing w:after="0"/>
              <w:rPr>
                <w:sz w:val="14"/>
                <w:szCs w:val="14"/>
                <w:color w:val="auto"/>
              </w:rPr>
            </w:pPr>
          </w:p>
        </w:tc>
        <w:tc>
          <w:tcPr>
            <w:tcW w:w="1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3220" w:type="dxa"/>
            <w:vAlign w:val="bottom"/>
            <w:gridSpan w:val="2"/>
          </w:tcPr>
          <w:p>
            <w:pPr>
              <w:jc w:val="right"/>
              <w:ind w:right="1449"/>
              <w:spacing w:after="0"/>
              <w:rPr>
                <w:sz w:val="20"/>
                <w:szCs w:val="20"/>
                <w:color w:val="auto"/>
              </w:rPr>
            </w:pPr>
            <w:r>
              <w:rPr>
                <w:rFonts w:ascii="Courier New" w:cs="Courier New" w:eastAsia="Courier New" w:hAnsi="Courier New"/>
                <w:sz w:val="14"/>
                <w:szCs w:val="14"/>
                <w:color w:val="auto"/>
              </w:rPr>
              <w:t>===================</w:t>
            </w:r>
          </w:p>
        </w:tc>
      </w:tr>
      <w:tr>
        <w:trPr>
          <w:trHeight w:val="327"/>
        </w:trPr>
        <w:tc>
          <w:tcPr>
            <w:tcW w:w="73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Income before provision for income taxes for the years ended December 31,</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3"/>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2003, 2002 and 2001 are as follows:</w:t>
            </w: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27"/>
        </w:trPr>
        <w:tc>
          <w:tcPr>
            <w:tcW w:w="4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rPr>
              <w:t>Year ended December 31,</w:t>
            </w: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3"/>
        </w:trPr>
        <w:tc>
          <w:tcPr>
            <w:tcW w:w="4220" w:type="dxa"/>
            <w:vAlign w:val="bottom"/>
          </w:tcPr>
          <w:p>
            <w:pPr>
              <w:spacing w:after="0"/>
              <w:rPr>
                <w:sz w:val="14"/>
                <w:szCs w:val="14"/>
                <w:color w:val="auto"/>
              </w:rPr>
            </w:pPr>
          </w:p>
        </w:tc>
        <w:tc>
          <w:tcPr>
            <w:tcW w:w="1140" w:type="dxa"/>
            <w:vAlign w:val="bottom"/>
          </w:tcPr>
          <w:p>
            <w:pPr>
              <w:ind w:left="800"/>
              <w:spacing w:after="0"/>
              <w:rPr>
                <w:sz w:val="20"/>
                <w:szCs w:val="20"/>
                <w:color w:val="auto"/>
              </w:rPr>
            </w:pPr>
            <w:r>
              <w:rPr>
                <w:rFonts w:ascii="Courier New" w:cs="Courier New" w:eastAsia="Courier New" w:hAnsi="Courier New"/>
                <w:sz w:val="14"/>
                <w:szCs w:val="14"/>
                <w:b w:val="1"/>
                <w:bCs w:val="1"/>
                <w:color w:val="auto"/>
                <w:w w:val="95"/>
              </w:rPr>
              <w:t>2003</w:t>
            </w:r>
          </w:p>
        </w:tc>
        <w:tc>
          <w:tcPr>
            <w:tcW w:w="760" w:type="dxa"/>
            <w:vAlign w:val="bottom"/>
          </w:tcPr>
          <w:p>
            <w:pPr>
              <w:spacing w:after="0"/>
              <w:rPr>
                <w:sz w:val="14"/>
                <w:szCs w:val="14"/>
                <w:color w:val="auto"/>
              </w:rPr>
            </w:pPr>
          </w:p>
        </w:tc>
        <w:tc>
          <w:tcPr>
            <w:tcW w:w="1200" w:type="dxa"/>
            <w:vAlign w:val="bottom"/>
          </w:tcPr>
          <w:p>
            <w:pPr>
              <w:ind w:left="860"/>
              <w:spacing w:after="0"/>
              <w:rPr>
                <w:sz w:val="20"/>
                <w:szCs w:val="20"/>
                <w:color w:val="auto"/>
              </w:rPr>
            </w:pPr>
            <w:r>
              <w:rPr>
                <w:rFonts w:ascii="Courier New" w:cs="Courier New" w:eastAsia="Courier New" w:hAnsi="Courier New"/>
                <w:sz w:val="14"/>
                <w:szCs w:val="14"/>
                <w:b w:val="1"/>
                <w:bCs w:val="1"/>
                <w:color w:val="auto"/>
                <w:w w:val="95"/>
              </w:rPr>
              <w:t>2002</w:t>
            </w:r>
          </w:p>
        </w:tc>
        <w:tc>
          <w:tcPr>
            <w:tcW w:w="920" w:type="dxa"/>
            <w:vAlign w:val="bottom"/>
          </w:tcPr>
          <w:p>
            <w:pPr>
              <w:spacing w:after="0"/>
              <w:rPr>
                <w:sz w:val="14"/>
                <w:szCs w:val="14"/>
                <w:color w:val="auto"/>
              </w:rPr>
            </w:pPr>
          </w:p>
        </w:tc>
        <w:tc>
          <w:tcPr>
            <w:tcW w:w="1020" w:type="dxa"/>
            <w:vAlign w:val="bottom"/>
          </w:tcPr>
          <w:p>
            <w:pPr>
              <w:ind w:left="680"/>
              <w:spacing w:after="0"/>
              <w:rPr>
                <w:sz w:val="20"/>
                <w:szCs w:val="20"/>
                <w:color w:val="auto"/>
              </w:rPr>
            </w:pPr>
            <w:r>
              <w:rPr>
                <w:rFonts w:ascii="Courier New" w:cs="Courier New" w:eastAsia="Courier New" w:hAnsi="Courier New"/>
                <w:sz w:val="14"/>
                <w:szCs w:val="14"/>
                <w:b w:val="1"/>
                <w:bCs w:val="1"/>
                <w:color w:val="auto"/>
                <w:w w:val="95"/>
              </w:rPr>
              <w:t>2001</w:t>
            </w:r>
          </w:p>
        </w:tc>
        <w:tc>
          <w:tcPr>
            <w:tcW w:w="2200" w:type="dxa"/>
            <w:vAlign w:val="bottom"/>
          </w:tcPr>
          <w:p>
            <w:pPr>
              <w:spacing w:after="0"/>
              <w:rPr>
                <w:sz w:val="14"/>
                <w:szCs w:val="14"/>
                <w:color w:val="auto"/>
              </w:rPr>
            </w:pPr>
          </w:p>
        </w:tc>
      </w:tr>
      <w:tr>
        <w:trPr>
          <w:trHeight w:val="163"/>
        </w:trPr>
        <w:tc>
          <w:tcPr>
            <w:tcW w:w="4220" w:type="dxa"/>
            <w:vAlign w:val="bottom"/>
          </w:tcPr>
          <w:p>
            <w:pPr>
              <w:spacing w:after="0"/>
              <w:rPr>
                <w:sz w:val="14"/>
                <w:szCs w:val="14"/>
                <w:color w:val="auto"/>
              </w:rPr>
            </w:pPr>
          </w:p>
        </w:tc>
        <w:tc>
          <w:tcPr>
            <w:tcW w:w="1900" w:type="dxa"/>
            <w:vAlign w:val="bottom"/>
            <w:gridSpan w:val="2"/>
          </w:tcPr>
          <w:p>
            <w:pPr>
              <w:jc w:val="right"/>
              <w:ind w:right="9"/>
              <w:spacing w:after="0"/>
              <w:rPr>
                <w:sz w:val="20"/>
                <w:szCs w:val="20"/>
                <w:color w:val="auto"/>
              </w:rPr>
            </w:pPr>
            <w:r>
              <w:rPr>
                <w:rFonts w:ascii="Courier New" w:cs="Courier New" w:eastAsia="Courier New" w:hAnsi="Courier New"/>
                <w:sz w:val="14"/>
                <w:szCs w:val="14"/>
                <w:b w:val="1"/>
                <w:bCs w:val="1"/>
                <w:color w:val="auto"/>
              </w:rPr>
              <w:t>-------------------</w:t>
            </w:r>
          </w:p>
        </w:tc>
        <w:tc>
          <w:tcPr>
            <w:tcW w:w="2120" w:type="dxa"/>
            <w:vAlign w:val="bottom"/>
            <w:gridSpan w:val="2"/>
          </w:tcPr>
          <w:p>
            <w:pPr>
              <w:jc w:val="center"/>
              <w:spacing w:after="0"/>
              <w:rPr>
                <w:sz w:val="20"/>
                <w:szCs w:val="20"/>
                <w:color w:val="auto"/>
              </w:rPr>
            </w:pPr>
            <w:r>
              <w:rPr>
                <w:rFonts w:ascii="Courier New" w:cs="Courier New" w:eastAsia="Courier New" w:hAnsi="Courier New"/>
                <w:sz w:val="14"/>
                <w:szCs w:val="14"/>
                <w:b w:val="1"/>
                <w:bCs w:val="1"/>
                <w:color w:val="auto"/>
              </w:rPr>
              <w:t>-------------------</w:t>
            </w:r>
          </w:p>
        </w:tc>
        <w:tc>
          <w:tcPr>
            <w:tcW w:w="3220" w:type="dxa"/>
            <w:vAlign w:val="bottom"/>
            <w:gridSpan w:val="2"/>
          </w:tcPr>
          <w:p>
            <w:pPr>
              <w:jc w:val="right"/>
              <w:ind w:right="1449"/>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Income before provision for income taxes:</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3"/>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United States</w:t>
            </w:r>
          </w:p>
        </w:tc>
        <w:tc>
          <w:tcPr>
            <w:tcW w:w="1140" w:type="dxa"/>
            <w:vAlign w:val="bottom"/>
          </w:tcPr>
          <w:p>
            <w:pPr>
              <w:ind w:left="8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3,711</w:t>
            </w:r>
          </w:p>
        </w:tc>
        <w:tc>
          <w:tcPr>
            <w:tcW w:w="120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5"/>
              </w:rPr>
              <w:t>7,491</w:t>
            </w:r>
          </w:p>
        </w:tc>
        <w:tc>
          <w:tcPr>
            <w:tcW w:w="102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1709"/>
              <w:spacing w:after="0"/>
              <w:rPr>
                <w:sz w:val="20"/>
                <w:szCs w:val="20"/>
                <w:color w:val="auto"/>
              </w:rPr>
            </w:pPr>
            <w:r>
              <w:rPr>
                <w:rFonts w:ascii="Courier New" w:cs="Courier New" w:eastAsia="Courier New" w:hAnsi="Courier New"/>
                <w:sz w:val="14"/>
                <w:szCs w:val="14"/>
                <w:color w:val="auto"/>
                <w:w w:val="95"/>
              </w:rPr>
              <w:t>5,125</w:t>
            </w:r>
          </w:p>
        </w:tc>
      </w:tr>
      <w:tr>
        <w:trPr>
          <w:trHeight w:val="163"/>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Foreign</w:t>
            </w:r>
          </w:p>
        </w:tc>
        <w:tc>
          <w:tcPr>
            <w:tcW w:w="19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12,868</w:t>
            </w:r>
          </w:p>
        </w:tc>
        <w:tc>
          <w:tcPr>
            <w:tcW w:w="1200" w:type="dxa"/>
            <w:vAlign w:val="bottom"/>
          </w:tcPr>
          <w:p>
            <w:pPr>
              <w:spacing w:after="0"/>
              <w:rPr>
                <w:sz w:val="14"/>
                <w:szCs w:val="14"/>
                <w:color w:val="auto"/>
              </w:rPr>
            </w:pPr>
          </w:p>
        </w:tc>
        <w:tc>
          <w:tcPr>
            <w:tcW w:w="920" w:type="dxa"/>
            <w:vAlign w:val="bottom"/>
          </w:tcPr>
          <w:p>
            <w:pPr>
              <w:jc w:val="right"/>
              <w:ind w:right="429"/>
              <w:spacing w:after="0"/>
              <w:rPr>
                <w:sz w:val="20"/>
                <w:szCs w:val="20"/>
                <w:color w:val="auto"/>
              </w:rPr>
            </w:pPr>
            <w:r>
              <w:rPr>
                <w:rFonts w:ascii="Courier New" w:cs="Courier New" w:eastAsia="Courier New" w:hAnsi="Courier New"/>
                <w:sz w:val="14"/>
                <w:szCs w:val="14"/>
                <w:color w:val="auto"/>
                <w:w w:val="95"/>
              </w:rPr>
              <w:t>9,504</w:t>
            </w:r>
          </w:p>
        </w:tc>
        <w:tc>
          <w:tcPr>
            <w:tcW w:w="1020" w:type="dxa"/>
            <w:vAlign w:val="bottom"/>
          </w:tcPr>
          <w:p>
            <w:pPr>
              <w:spacing w:after="0"/>
              <w:rPr>
                <w:sz w:val="14"/>
                <w:szCs w:val="14"/>
                <w:color w:val="auto"/>
              </w:rPr>
            </w:pPr>
          </w:p>
        </w:tc>
        <w:tc>
          <w:tcPr>
            <w:tcW w:w="2200" w:type="dxa"/>
            <w:vAlign w:val="bottom"/>
          </w:tcPr>
          <w:p>
            <w:pPr>
              <w:jc w:val="right"/>
              <w:ind w:right="1709"/>
              <w:spacing w:after="0"/>
              <w:rPr>
                <w:sz w:val="20"/>
                <w:szCs w:val="20"/>
                <w:color w:val="auto"/>
              </w:rPr>
            </w:pPr>
            <w:r>
              <w:rPr>
                <w:rFonts w:ascii="Courier New" w:cs="Courier New" w:eastAsia="Courier New" w:hAnsi="Courier New"/>
                <w:sz w:val="14"/>
                <w:szCs w:val="14"/>
                <w:color w:val="auto"/>
                <w:w w:val="95"/>
              </w:rPr>
              <w:t>5,482</w:t>
            </w:r>
          </w:p>
        </w:tc>
      </w:tr>
      <w:tr>
        <w:trPr>
          <w:trHeight w:val="163"/>
        </w:trPr>
        <w:tc>
          <w:tcPr>
            <w:tcW w:w="4220" w:type="dxa"/>
            <w:vAlign w:val="bottom"/>
          </w:tcPr>
          <w:p>
            <w:pPr>
              <w:spacing w:after="0"/>
              <w:rPr>
                <w:sz w:val="14"/>
                <w:szCs w:val="14"/>
                <w:color w:val="auto"/>
              </w:rPr>
            </w:pPr>
          </w:p>
        </w:tc>
        <w:tc>
          <w:tcPr>
            <w:tcW w:w="1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3220" w:type="dxa"/>
            <w:vAlign w:val="bottom"/>
            <w:gridSpan w:val="2"/>
          </w:tcPr>
          <w:p>
            <w:pPr>
              <w:jc w:val="right"/>
              <w:ind w:right="1449"/>
              <w:spacing w:after="0"/>
              <w:rPr>
                <w:sz w:val="20"/>
                <w:szCs w:val="20"/>
                <w:color w:val="auto"/>
              </w:rPr>
            </w:pPr>
            <w:r>
              <w:rPr>
                <w:rFonts w:ascii="Courier New" w:cs="Courier New" w:eastAsia="Courier New" w:hAnsi="Courier New"/>
                <w:sz w:val="14"/>
                <w:szCs w:val="14"/>
                <w:color w:val="auto"/>
              </w:rPr>
              <w:t>-------------------</w:t>
            </w:r>
          </w:p>
        </w:tc>
      </w:tr>
      <w:tr>
        <w:trPr>
          <w:trHeight w:val="163"/>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190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$ 16,579</w:t>
            </w:r>
          </w:p>
        </w:tc>
        <w:tc>
          <w:tcPr>
            <w:tcW w:w="212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$ 16,995</w:t>
            </w:r>
          </w:p>
        </w:tc>
        <w:tc>
          <w:tcPr>
            <w:tcW w:w="3220" w:type="dxa"/>
            <w:vAlign w:val="bottom"/>
            <w:gridSpan w:val="2"/>
          </w:tcPr>
          <w:p>
            <w:pPr>
              <w:jc w:val="right"/>
              <w:ind w:right="1709"/>
              <w:spacing w:after="0"/>
              <w:rPr>
                <w:sz w:val="20"/>
                <w:szCs w:val="20"/>
                <w:color w:val="auto"/>
              </w:rPr>
            </w:pPr>
            <w:r>
              <w:rPr>
                <w:rFonts w:ascii="Courier New" w:cs="Courier New" w:eastAsia="Courier New" w:hAnsi="Courier New"/>
                <w:sz w:val="14"/>
                <w:szCs w:val="14"/>
                <w:color w:val="auto"/>
              </w:rPr>
              <w:t>$ 10,607</w:t>
            </w:r>
          </w:p>
        </w:tc>
      </w:tr>
      <w:tr>
        <w:trPr>
          <w:trHeight w:val="163"/>
        </w:trPr>
        <w:tc>
          <w:tcPr>
            <w:tcW w:w="4220" w:type="dxa"/>
            <w:vAlign w:val="bottom"/>
          </w:tcPr>
          <w:p>
            <w:pPr>
              <w:spacing w:after="0"/>
              <w:rPr>
                <w:sz w:val="14"/>
                <w:szCs w:val="14"/>
                <w:color w:val="auto"/>
              </w:rPr>
            </w:pPr>
          </w:p>
        </w:tc>
        <w:tc>
          <w:tcPr>
            <w:tcW w:w="19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3220" w:type="dxa"/>
            <w:vAlign w:val="bottom"/>
            <w:gridSpan w:val="2"/>
          </w:tcPr>
          <w:p>
            <w:pPr>
              <w:jc w:val="right"/>
              <w:ind w:right="1449"/>
              <w:spacing w:after="0"/>
              <w:rPr>
                <w:sz w:val="20"/>
                <w:szCs w:val="20"/>
                <w:color w:val="auto"/>
              </w:rPr>
            </w:pPr>
            <w:r>
              <w:rPr>
                <w:rFonts w:ascii="Courier New" w:cs="Courier New" w:eastAsia="Courier New" w:hAnsi="Courier New"/>
                <w:sz w:val="14"/>
                <w:szCs w:val="14"/>
                <w:color w:val="auto"/>
              </w:rPr>
              <w:t>===================</w:t>
            </w:r>
          </w:p>
        </w:tc>
      </w:tr>
      <w:tr>
        <w:trPr>
          <w:trHeight w:val="490"/>
        </w:trPr>
        <w:tc>
          <w:tcPr>
            <w:tcW w:w="4220" w:type="dxa"/>
            <w:vAlign w:val="bottom"/>
          </w:tcPr>
          <w:p>
            <w:pPr>
              <w:ind w:left="3320"/>
              <w:spacing w:after="0"/>
              <w:rPr>
                <w:sz w:val="20"/>
                <w:szCs w:val="20"/>
                <w:color w:val="auto"/>
              </w:rPr>
            </w:pPr>
            <w:r>
              <w:rPr>
                <w:rFonts w:ascii="Courier New" w:cs="Courier New" w:eastAsia="Courier New" w:hAnsi="Courier New"/>
                <w:sz w:val="14"/>
                <w:szCs w:val="14"/>
                <w:color w:val="auto"/>
              </w:rPr>
              <w:t>54</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20" w:type="dxa"/>
            <w:vAlign w:val="bottom"/>
            <w:gridSpan w:val="2"/>
          </w:tcPr>
          <w:p>
            <w:pPr>
              <w:jc w:val="right"/>
              <w:ind w:right="1449"/>
              <w:spacing w:after="0"/>
              <w:rPr>
                <w:sz w:val="20"/>
                <w:szCs w:val="20"/>
                <w:color w:val="auto"/>
              </w:rPr>
            </w:pPr>
            <w:r>
              <w:rPr>
                <w:rFonts w:ascii="Courier New" w:cs="Courier New" w:eastAsia="Courier New" w:hAnsi="Courier New"/>
                <w:sz w:val="14"/>
                <w:szCs w:val="14"/>
                <w:color w:val="auto"/>
              </w:rPr>
              <w:t>Continued</w:t>
            </w:r>
          </w:p>
        </w:tc>
      </w:tr>
      <w:tr>
        <w:trPr>
          <w:trHeight w:val="471"/>
        </w:trPr>
        <w:tc>
          <w:tcPr>
            <w:tcW w:w="4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-26035</wp:posOffset>
            </wp:positionV>
            <wp:extent cx="3238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tbl>
      <w:tblPr>
        <w:tblLayout w:type="fixed"/>
        <w:tblInd w:w="440" w:type="dxa"/>
        <w:tblCellMar>
          <w:top w:w="0" w:type="dxa"/>
          <w:left w:w="0" w:type="dxa"/>
          <w:bottom w:w="0" w:type="dxa"/>
          <w:right w:w="0" w:type="dxa"/>
        </w:tblCellMar>
      </w:tblPr>
      <w:tr>
        <w:trPr>
          <w:trHeight w:val="160"/>
        </w:trPr>
        <w:tc>
          <w:tcPr>
            <w:tcW w:w="5180" w:type="dxa"/>
            <w:vAlign w:val="bottom"/>
            <w:gridSpan w:val="3"/>
          </w:tcPr>
          <w:p>
            <w:pPr>
              <w:jc w:val="right"/>
              <w:ind w:right="609"/>
              <w:spacing w:after="0"/>
              <w:rPr>
                <w:sz w:val="20"/>
                <w:szCs w:val="20"/>
                <w:color w:val="auto"/>
              </w:rPr>
            </w:pPr>
            <w:r>
              <w:rPr>
                <w:rFonts w:ascii="Courier New" w:cs="Courier New" w:eastAsia="Courier New" w:hAnsi="Courier New"/>
                <w:sz w:val="14"/>
                <w:szCs w:val="14"/>
                <w:b w:val="1"/>
                <w:bCs w:val="1"/>
                <w:color w:val="auto"/>
              </w:rPr>
              <w:t>(In thousands, except per share data)</w:t>
            </w:r>
          </w:p>
        </w:tc>
        <w:tc>
          <w:tcPr>
            <w:tcW w:w="1100" w:type="dxa"/>
            <w:vAlign w:val="bottom"/>
          </w:tcPr>
          <w:p>
            <w:pPr>
              <w:spacing w:after="0"/>
              <w:rPr>
                <w:sz w:val="13"/>
                <w:szCs w:val="13"/>
                <w:color w:val="auto"/>
              </w:rPr>
            </w:pPr>
          </w:p>
        </w:tc>
      </w:tr>
      <w:tr>
        <w:trPr>
          <w:trHeight w:val="490"/>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Income tax expense consists of:</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7"/>
        </w:trPr>
        <w:tc>
          <w:tcPr>
            <w:tcW w:w="2760" w:type="dxa"/>
            <w:vAlign w:val="bottom"/>
          </w:tcPr>
          <w:p>
            <w:pPr>
              <w:spacing w:after="0"/>
              <w:rPr>
                <w:sz w:val="24"/>
                <w:szCs w:val="24"/>
                <w:color w:val="auto"/>
              </w:rPr>
            </w:pPr>
          </w:p>
        </w:tc>
        <w:tc>
          <w:tcPr>
            <w:tcW w:w="3520" w:type="dxa"/>
            <w:vAlign w:val="bottom"/>
            <w:gridSpan w:val="3"/>
          </w:tcPr>
          <w:p>
            <w:pPr>
              <w:jc w:val="right"/>
              <w:ind w:right="689"/>
              <w:spacing w:after="0"/>
              <w:rPr>
                <w:sz w:val="20"/>
                <w:szCs w:val="20"/>
                <w:color w:val="auto"/>
              </w:rPr>
            </w:pPr>
            <w:r>
              <w:rPr>
                <w:rFonts w:ascii="Courier New" w:cs="Courier New" w:eastAsia="Courier New" w:hAnsi="Courier New"/>
                <w:sz w:val="14"/>
                <w:szCs w:val="14"/>
                <w:b w:val="1"/>
                <w:bCs w:val="1"/>
                <w:color w:val="auto"/>
              </w:rPr>
              <w:t>Year ended December 31,</w:t>
            </w:r>
          </w:p>
        </w:tc>
      </w:tr>
      <w:tr>
        <w:trPr>
          <w:trHeight w:val="327"/>
        </w:trPr>
        <w:tc>
          <w:tcPr>
            <w:tcW w:w="27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2003</w:t>
            </w:r>
          </w:p>
        </w:tc>
        <w:tc>
          <w:tcPr>
            <w:tcW w:w="1200" w:type="dxa"/>
            <w:vAlign w:val="bottom"/>
          </w:tcPr>
          <w:p>
            <w:pPr>
              <w:jc w:val="right"/>
              <w:ind w:right="369"/>
              <w:spacing w:after="0"/>
              <w:rPr>
                <w:sz w:val="20"/>
                <w:szCs w:val="20"/>
                <w:color w:val="auto"/>
              </w:rPr>
            </w:pPr>
            <w:r>
              <w:rPr>
                <w:rFonts w:ascii="Courier New" w:cs="Courier New" w:eastAsia="Courier New" w:hAnsi="Courier New"/>
                <w:sz w:val="14"/>
                <w:szCs w:val="14"/>
                <w:b w:val="1"/>
                <w:bCs w:val="1"/>
                <w:color w:val="auto"/>
              </w:rPr>
              <w:t>2002</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b w:val="1"/>
                <w:bCs w:val="1"/>
                <w:color w:val="auto"/>
              </w:rPr>
              <w:t>2001</w:t>
            </w:r>
          </w:p>
        </w:tc>
      </w:tr>
      <w:tr>
        <w:trPr>
          <w:trHeight w:val="163"/>
        </w:trPr>
        <w:tc>
          <w:tcPr>
            <w:tcW w:w="27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4"/>
                <w:szCs w:val="14"/>
                <w:b w:val="1"/>
                <w:bCs w:val="1"/>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b w:val="1"/>
                <w:bCs w:val="1"/>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163"/>
        </w:trPr>
        <w:tc>
          <w:tcPr>
            <w:tcW w:w="2760" w:type="dxa"/>
            <w:vAlign w:val="bottom"/>
          </w:tcPr>
          <w:p>
            <w:pPr>
              <w:ind w:left="80"/>
              <w:spacing w:after="0"/>
              <w:rPr>
                <w:sz w:val="20"/>
                <w:szCs w:val="20"/>
                <w:color w:val="auto"/>
              </w:rPr>
            </w:pPr>
            <w:r>
              <w:rPr>
                <w:rFonts w:ascii="Courier New" w:cs="Courier New" w:eastAsia="Courier New" w:hAnsi="Courier New"/>
                <w:sz w:val="14"/>
                <w:szCs w:val="14"/>
                <w:color w:val="auto"/>
              </w:rPr>
              <w:t>Current:</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3"/>
        </w:trPr>
        <w:tc>
          <w:tcPr>
            <w:tcW w:w="2760" w:type="dxa"/>
            <w:vAlign w:val="bottom"/>
          </w:tcPr>
          <w:p>
            <w:pPr>
              <w:ind w:left="420"/>
              <w:spacing w:after="0"/>
              <w:rPr>
                <w:sz w:val="20"/>
                <w:szCs w:val="20"/>
                <w:color w:val="auto"/>
              </w:rPr>
            </w:pPr>
            <w:r>
              <w:rPr>
                <w:rFonts w:ascii="Courier New" w:cs="Courier New" w:eastAsia="Courier New" w:hAnsi="Courier New"/>
                <w:sz w:val="14"/>
                <w:szCs w:val="14"/>
                <w:color w:val="auto"/>
              </w:rPr>
              <w:t>U.S. Federal</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(389)</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$1,753</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$1,025</w:t>
            </w:r>
          </w:p>
        </w:tc>
      </w:tr>
      <w:tr>
        <w:trPr>
          <w:trHeight w:val="163"/>
        </w:trPr>
        <w:tc>
          <w:tcPr>
            <w:tcW w:w="2760" w:type="dxa"/>
            <w:vAlign w:val="bottom"/>
          </w:tcPr>
          <w:p>
            <w:pPr>
              <w:ind w:left="420"/>
              <w:spacing w:after="0"/>
              <w:rPr>
                <w:sz w:val="20"/>
                <w:szCs w:val="20"/>
                <w:color w:val="auto"/>
              </w:rPr>
            </w:pPr>
            <w:r>
              <w:rPr>
                <w:rFonts w:ascii="Courier New" w:cs="Courier New" w:eastAsia="Courier New" w:hAnsi="Courier New"/>
                <w:sz w:val="14"/>
                <w:szCs w:val="14"/>
                <w:color w:val="auto"/>
              </w:rPr>
              <w:t>State</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146</w:t>
            </w:r>
          </w:p>
        </w:tc>
      </w:tr>
      <w:tr>
        <w:trPr>
          <w:trHeight w:val="163"/>
        </w:trPr>
        <w:tc>
          <w:tcPr>
            <w:tcW w:w="2760" w:type="dxa"/>
            <w:vAlign w:val="bottom"/>
          </w:tcPr>
          <w:p>
            <w:pPr>
              <w:ind w:left="420"/>
              <w:spacing w:after="0"/>
              <w:rPr>
                <w:sz w:val="20"/>
                <w:szCs w:val="20"/>
                <w:color w:val="auto"/>
              </w:rPr>
            </w:pPr>
            <w:r>
              <w:rPr>
                <w:rFonts w:ascii="Courier New" w:cs="Courier New" w:eastAsia="Courier New" w:hAnsi="Courier New"/>
                <w:sz w:val="14"/>
                <w:szCs w:val="14"/>
                <w:color w:val="auto"/>
              </w:rPr>
              <w:t>Non-U.S.</w:t>
            </w: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2,229</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1,891</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1,627</w:t>
            </w:r>
          </w:p>
        </w:tc>
      </w:tr>
      <w:tr>
        <w:trPr>
          <w:trHeight w:val="163"/>
        </w:trPr>
        <w:tc>
          <w:tcPr>
            <w:tcW w:w="27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2760" w:type="dxa"/>
            <w:vAlign w:val="bottom"/>
          </w:tcPr>
          <w:p>
            <w:pPr>
              <w:spacing w:after="0"/>
              <w:rPr>
                <w:sz w:val="14"/>
                <w:szCs w:val="14"/>
                <w:color w:val="auto"/>
              </w:rPr>
            </w:pPr>
          </w:p>
        </w:tc>
        <w:tc>
          <w:tcPr>
            <w:tcW w:w="12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$1,838</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$3,893</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$2,798</w:t>
            </w:r>
          </w:p>
        </w:tc>
      </w:tr>
      <w:tr>
        <w:trPr>
          <w:trHeight w:val="163"/>
        </w:trPr>
        <w:tc>
          <w:tcPr>
            <w:tcW w:w="27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460"/>
          </w:cols>
          <w:pgMar w:left="220" w:top="141" w:right="21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140" w:type="dxa"/>
            <w:vAlign w:val="bottom"/>
          </w:tcPr>
          <w:p>
            <w:pPr>
              <w:ind w:left="520"/>
              <w:spacing w:after="0"/>
              <w:rPr>
                <w:sz w:val="20"/>
                <w:szCs w:val="20"/>
                <w:color w:val="auto"/>
              </w:rPr>
            </w:pPr>
            <w:r>
              <w:rPr>
                <w:rFonts w:ascii="Courier New" w:cs="Courier New" w:eastAsia="Courier New" w:hAnsi="Courier New"/>
                <w:sz w:val="14"/>
                <w:szCs w:val="14"/>
                <w:color w:val="auto"/>
              </w:rPr>
              <w:t>Deferred:</w:t>
            </w: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63"/>
        </w:trPr>
        <w:tc>
          <w:tcPr>
            <w:tcW w:w="3140" w:type="dxa"/>
            <w:vAlign w:val="bottom"/>
          </w:tcPr>
          <w:p>
            <w:pPr>
              <w:ind w:left="860"/>
              <w:spacing w:after="0"/>
              <w:rPr>
                <w:sz w:val="20"/>
                <w:szCs w:val="20"/>
                <w:color w:val="auto"/>
              </w:rPr>
            </w:pPr>
            <w:r>
              <w:rPr>
                <w:rFonts w:ascii="Courier New" w:cs="Courier New" w:eastAsia="Courier New" w:hAnsi="Courier New"/>
                <w:sz w:val="14"/>
                <w:szCs w:val="14"/>
                <w:color w:val="auto"/>
              </w:rPr>
              <w:t>U.S. Federal</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$1,272</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$ 533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$ 557</w:t>
            </w:r>
          </w:p>
        </w:tc>
        <w:tc>
          <w:tcPr>
            <w:tcW w:w="1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63"/>
        </w:trPr>
        <w:tc>
          <w:tcPr>
            <w:tcW w:w="3140" w:type="dxa"/>
            <w:vAlign w:val="bottom"/>
          </w:tcPr>
          <w:p>
            <w:pPr>
              <w:ind w:left="860"/>
              <w:spacing w:after="0"/>
              <w:rPr>
                <w:sz w:val="20"/>
                <w:szCs w:val="20"/>
                <w:color w:val="auto"/>
              </w:rPr>
            </w:pPr>
            <w:r>
              <w:rPr>
                <w:rFonts w:ascii="Courier New" w:cs="Courier New" w:eastAsia="Courier New" w:hAnsi="Courier New"/>
                <w:sz w:val="14"/>
                <w:szCs w:val="14"/>
                <w:color w:val="auto"/>
              </w:rPr>
              <w:t>State</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1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63"/>
        </w:trPr>
        <w:tc>
          <w:tcPr>
            <w:tcW w:w="3140" w:type="dxa"/>
            <w:vAlign w:val="bottom"/>
          </w:tcPr>
          <w:p>
            <w:pPr>
              <w:ind w:left="860"/>
              <w:spacing w:after="0"/>
              <w:rPr>
                <w:sz w:val="20"/>
                <w:szCs w:val="20"/>
                <w:color w:val="auto"/>
              </w:rPr>
            </w:pPr>
            <w:r>
              <w:rPr>
                <w:rFonts w:ascii="Courier New" w:cs="Courier New" w:eastAsia="Courier New" w:hAnsi="Courier New"/>
                <w:sz w:val="14"/>
                <w:szCs w:val="14"/>
                <w:color w:val="auto"/>
              </w:rPr>
              <w:t>Non-U.S.</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2,629</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1,965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682</w:t>
            </w:r>
          </w:p>
        </w:tc>
        <w:tc>
          <w:tcPr>
            <w:tcW w:w="1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63"/>
        </w:trPr>
        <w:tc>
          <w:tcPr>
            <w:tcW w:w="31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949"/>
              <w:spacing w:after="0"/>
              <w:rPr>
                <w:sz w:val="20"/>
                <w:szCs w:val="20"/>
                <w:color w:val="auto"/>
              </w:rPr>
            </w:pPr>
            <w:r>
              <w:rPr>
                <w:rFonts w:ascii="Courier New" w:cs="Courier New" w:eastAsia="Courier New" w:hAnsi="Courier New"/>
                <w:sz w:val="14"/>
                <w:szCs w:val="14"/>
                <w:color w:val="auto"/>
              </w:rPr>
              <w:t>-----------</w:t>
            </w:r>
          </w:p>
        </w:tc>
        <w:tc>
          <w:tcPr>
            <w:tcW w:w="3720" w:type="dxa"/>
            <w:vAlign w:val="bottom"/>
          </w:tcPr>
          <w:p>
            <w:pPr>
              <w:spacing w:after="0"/>
              <w:rPr>
                <w:sz w:val="14"/>
                <w:szCs w:val="14"/>
                <w:color w:val="auto"/>
              </w:rPr>
            </w:pPr>
          </w:p>
        </w:tc>
      </w:tr>
      <w:tr>
        <w:trPr>
          <w:trHeight w:val="327"/>
        </w:trPr>
        <w:tc>
          <w:tcPr>
            <w:tcW w:w="3140" w:type="dxa"/>
            <w:vAlign w:val="bottom"/>
          </w:tcPr>
          <w:p>
            <w:pPr>
              <w:ind w:left="1120"/>
              <w:spacing w:after="0"/>
              <w:rPr>
                <w:sz w:val="20"/>
                <w:szCs w:val="20"/>
                <w:color w:val="auto"/>
              </w:rPr>
            </w:pPr>
            <w:r>
              <w:rPr>
                <w:rFonts w:ascii="Courier New" w:cs="Courier New" w:eastAsia="Courier New" w:hAnsi="Courier New"/>
                <w:sz w:val="14"/>
                <w:szCs w:val="14"/>
                <w:color w:val="auto"/>
              </w:rPr>
              <w:t>Total deferred expense</w:t>
            </w: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3,888</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2,564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1,296</w:t>
            </w: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3"/>
        </w:trPr>
        <w:tc>
          <w:tcPr>
            <w:tcW w:w="31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949"/>
              <w:spacing w:after="0"/>
              <w:rPr>
                <w:sz w:val="20"/>
                <w:szCs w:val="20"/>
                <w:color w:val="auto"/>
              </w:rPr>
            </w:pPr>
            <w:r>
              <w:rPr>
                <w:rFonts w:ascii="Courier New" w:cs="Courier New" w:eastAsia="Courier New" w:hAnsi="Courier New"/>
                <w:sz w:val="14"/>
                <w:szCs w:val="14"/>
                <w:color w:val="auto"/>
              </w:rPr>
              <w:t>-----------</w:t>
            </w:r>
          </w:p>
        </w:tc>
        <w:tc>
          <w:tcPr>
            <w:tcW w:w="3720" w:type="dxa"/>
            <w:vAlign w:val="bottom"/>
          </w:tcPr>
          <w:p>
            <w:pPr>
              <w:spacing w:after="0"/>
              <w:rPr>
                <w:sz w:val="14"/>
                <w:szCs w:val="14"/>
                <w:color w:val="auto"/>
              </w:rPr>
            </w:pPr>
          </w:p>
        </w:tc>
      </w:tr>
      <w:tr>
        <w:trPr>
          <w:trHeight w:val="327"/>
        </w:trPr>
        <w:tc>
          <w:tcPr>
            <w:tcW w:w="3140" w:type="dxa"/>
            <w:vAlign w:val="bottom"/>
          </w:tcPr>
          <w:p>
            <w:pPr>
              <w:spacing w:after="0"/>
              <w:rPr>
                <w:sz w:val="24"/>
                <w:szCs w:val="24"/>
                <w:color w:val="auto"/>
              </w:rPr>
            </w:pPr>
          </w:p>
        </w:tc>
        <w:tc>
          <w:tcPr>
            <w:tcW w:w="12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$5,726</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$6,457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$4,094</w:t>
            </w: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3"/>
        </w:trPr>
        <w:tc>
          <w:tcPr>
            <w:tcW w:w="31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949"/>
              <w:spacing w:after="0"/>
              <w:rPr>
                <w:sz w:val="20"/>
                <w:szCs w:val="20"/>
                <w:color w:val="auto"/>
              </w:rPr>
            </w:pPr>
            <w:r>
              <w:rPr>
                <w:rFonts w:ascii="Courier New" w:cs="Courier New" w:eastAsia="Courier New" w:hAnsi="Courier New"/>
                <w:sz w:val="14"/>
                <w:szCs w:val="14"/>
                <w:color w:val="auto"/>
              </w:rPr>
              <w:t>===========</w:t>
            </w:r>
          </w:p>
        </w:tc>
        <w:tc>
          <w:tcPr>
            <w:tcW w:w="3720" w:type="dxa"/>
            <w:vAlign w:val="bottom"/>
          </w:tcPr>
          <w:p>
            <w:pPr>
              <w:spacing w:after="0"/>
              <w:rPr>
                <w:sz w:val="14"/>
                <w:szCs w:val="14"/>
                <w:color w:val="auto"/>
              </w:rPr>
            </w:pPr>
          </w:p>
        </w:tc>
      </w:tr>
      <w:tr>
        <w:trPr>
          <w:trHeight w:val="327"/>
        </w:trPr>
        <w:tc>
          <w:tcPr>
            <w:tcW w:w="66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A reconciliation of taxes based on the U.S. federal statutory rate of 34%</w:t>
            </w: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3"/>
        </w:trPr>
        <w:tc>
          <w:tcPr>
            <w:tcW w:w="66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for the years ended December 31, 2003, 2002 and 2001 is summarized as</w:t>
            </w:r>
          </w:p>
        </w:tc>
        <w:tc>
          <w:tcPr>
            <w:tcW w:w="1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163"/>
        </w:trPr>
        <w:tc>
          <w:tcPr>
            <w:tcW w:w="3140" w:type="dxa"/>
            <w:vAlign w:val="bottom"/>
          </w:tcPr>
          <w:p>
            <w:pPr>
              <w:ind w:left="440"/>
              <w:spacing w:after="0"/>
              <w:rPr>
                <w:sz w:val="20"/>
                <w:szCs w:val="20"/>
                <w:color w:val="auto"/>
              </w:rPr>
            </w:pPr>
            <w:r>
              <w:rPr>
                <w:rFonts w:ascii="Courier New" w:cs="Courier New" w:eastAsia="Courier New" w:hAnsi="Courier New"/>
                <w:sz w:val="14"/>
                <w:szCs w:val="14"/>
                <w:color w:val="auto"/>
              </w:rPr>
              <w:t>follows:</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720" w:type="dxa"/>
            <w:vAlign w:val="bottom"/>
          </w:tcPr>
          <w:p>
            <w:pPr>
              <w:spacing w:after="0"/>
              <w:rPr>
                <w:sz w:val="14"/>
                <w:szCs w:val="14"/>
                <w:color w:val="auto"/>
              </w:rPr>
            </w:pPr>
          </w:p>
        </w:tc>
      </w:tr>
      <w:tr>
        <w:trPr>
          <w:trHeight w:val="327"/>
        </w:trPr>
        <w:tc>
          <w:tcPr>
            <w:tcW w:w="3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20" w:type="dxa"/>
            <w:vAlign w:val="bottom"/>
            <w:gridSpan w:val="3"/>
          </w:tcPr>
          <w:p>
            <w:pPr>
              <w:jc w:val="right"/>
              <w:ind w:right="3309"/>
              <w:spacing w:after="0"/>
              <w:rPr>
                <w:sz w:val="20"/>
                <w:szCs w:val="20"/>
                <w:color w:val="auto"/>
              </w:rPr>
            </w:pPr>
            <w:r>
              <w:rPr>
                <w:rFonts w:ascii="Courier New" w:cs="Courier New" w:eastAsia="Courier New" w:hAnsi="Courier New"/>
                <w:sz w:val="14"/>
                <w:szCs w:val="14"/>
                <w:b w:val="1"/>
                <w:bCs w:val="1"/>
                <w:color w:val="auto"/>
              </w:rPr>
              <w:t>Year ended December 31,</w:t>
            </w:r>
          </w:p>
        </w:tc>
      </w:tr>
      <w:tr>
        <w:trPr>
          <w:trHeight w:val="327"/>
        </w:trPr>
        <w:tc>
          <w:tcPr>
            <w:tcW w:w="3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b w:val="1"/>
                <w:bCs w:val="1"/>
                <w:color w:val="auto"/>
              </w:rPr>
              <w:t>2003</w:t>
            </w:r>
          </w:p>
        </w:tc>
        <w:tc>
          <w:tcPr>
            <w:tcW w:w="1100" w:type="dxa"/>
            <w:vAlign w:val="bottom"/>
          </w:tcPr>
          <w:p>
            <w:pPr>
              <w:jc w:val="right"/>
              <w:ind w:right="449"/>
              <w:spacing w:after="0"/>
              <w:rPr>
                <w:sz w:val="20"/>
                <w:szCs w:val="20"/>
                <w:color w:val="auto"/>
              </w:rPr>
            </w:pPr>
            <w:r>
              <w:rPr>
                <w:rFonts w:ascii="Courier New" w:cs="Courier New" w:eastAsia="Courier New" w:hAnsi="Courier New"/>
                <w:sz w:val="14"/>
                <w:szCs w:val="14"/>
                <w:b w:val="1"/>
                <w:bCs w:val="1"/>
                <w:color w:val="auto"/>
              </w:rPr>
              <w:t>2002</w:t>
            </w:r>
          </w:p>
        </w:tc>
        <w:tc>
          <w:tcPr>
            <w:tcW w:w="3720" w:type="dxa"/>
            <w:vAlign w:val="bottom"/>
          </w:tcPr>
          <w:p>
            <w:pPr>
              <w:jc w:val="right"/>
              <w:ind w:right="2889"/>
              <w:spacing w:after="0"/>
              <w:rPr>
                <w:sz w:val="20"/>
                <w:szCs w:val="20"/>
                <w:color w:val="auto"/>
              </w:rPr>
            </w:pPr>
            <w:r>
              <w:rPr>
                <w:rFonts w:ascii="Courier New" w:cs="Courier New" w:eastAsia="Courier New" w:hAnsi="Courier New"/>
                <w:sz w:val="14"/>
                <w:szCs w:val="14"/>
                <w:b w:val="1"/>
                <w:bCs w:val="1"/>
                <w:color w:val="auto"/>
              </w:rPr>
              <w:t>2001</w:t>
            </w:r>
          </w:p>
        </w:tc>
      </w:tr>
      <w:tr>
        <w:trPr>
          <w:trHeight w:val="163"/>
        </w:trPr>
        <w:tc>
          <w:tcPr>
            <w:tcW w:w="3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b w:val="1"/>
                <w:bCs w:val="1"/>
                <w:color w:val="auto"/>
                <w:w w:val="99"/>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b w:val="1"/>
                <w:bCs w:val="1"/>
                <w:color w:val="auto"/>
                <w:w w:val="97"/>
              </w:rPr>
              <w:t>-----------</w:t>
            </w:r>
          </w:p>
        </w:tc>
        <w:tc>
          <w:tcPr>
            <w:tcW w:w="3720" w:type="dxa"/>
            <w:vAlign w:val="bottom"/>
          </w:tcPr>
          <w:p>
            <w:pPr>
              <w:jc w:val="right"/>
              <w:ind w:right="2549"/>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43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Income taxes at the federal statutory rate</w:t>
            </w:r>
          </w:p>
        </w:tc>
        <w:tc>
          <w:tcPr>
            <w:tcW w:w="1060" w:type="dxa"/>
            <w:vAlign w:val="bottom"/>
          </w:tcPr>
          <w:p>
            <w:pPr>
              <w:spacing w:after="0"/>
              <w:rPr>
                <w:sz w:val="24"/>
                <w:szCs w:val="2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$5,637</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$5,778</w:t>
            </w:r>
          </w:p>
        </w:tc>
        <w:tc>
          <w:tcPr>
            <w:tcW w:w="3720" w:type="dxa"/>
            <w:vAlign w:val="bottom"/>
          </w:tcPr>
          <w:p>
            <w:pPr>
              <w:jc w:val="right"/>
              <w:ind w:right="2629"/>
              <w:spacing w:after="0"/>
              <w:rPr>
                <w:sz w:val="20"/>
                <w:szCs w:val="20"/>
                <w:color w:val="auto"/>
              </w:rPr>
            </w:pPr>
            <w:r>
              <w:rPr>
                <w:rFonts w:ascii="Courier New" w:cs="Courier New" w:eastAsia="Courier New" w:hAnsi="Courier New"/>
                <w:sz w:val="14"/>
                <w:szCs w:val="14"/>
                <w:color w:val="auto"/>
              </w:rPr>
              <w:t>$3,606</w:t>
            </w:r>
          </w:p>
        </w:tc>
      </w:tr>
      <w:tr>
        <w:trPr>
          <w:trHeight w:val="163"/>
        </w:trPr>
        <w:tc>
          <w:tcPr>
            <w:tcW w:w="43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State income taxes, net of federal benefit</w:t>
            </w:r>
          </w:p>
        </w:tc>
        <w:tc>
          <w:tcPr>
            <w:tcW w:w="1060" w:type="dxa"/>
            <w:vAlign w:val="bottom"/>
          </w:tcPr>
          <w:p>
            <w:pPr>
              <w:spacing w:after="0"/>
              <w:rPr>
                <w:sz w:val="14"/>
                <w:szCs w:val="1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208</w:t>
            </w:r>
          </w:p>
        </w:tc>
        <w:tc>
          <w:tcPr>
            <w:tcW w:w="3720" w:type="dxa"/>
            <w:vAlign w:val="bottom"/>
          </w:tcPr>
          <w:p>
            <w:pPr>
              <w:jc w:val="right"/>
              <w:ind w:right="2629"/>
              <w:spacing w:after="0"/>
              <w:rPr>
                <w:sz w:val="20"/>
                <w:szCs w:val="20"/>
                <w:color w:val="auto"/>
              </w:rPr>
            </w:pPr>
            <w:r>
              <w:rPr>
                <w:rFonts w:ascii="Courier New" w:cs="Courier New" w:eastAsia="Courier New" w:hAnsi="Courier New"/>
                <w:sz w:val="14"/>
                <w:szCs w:val="14"/>
                <w:color w:val="auto"/>
              </w:rPr>
              <w:t>134</w:t>
            </w:r>
          </w:p>
        </w:tc>
      </w:tr>
      <w:tr>
        <w:trPr>
          <w:trHeight w:val="163"/>
        </w:trPr>
        <w:tc>
          <w:tcPr>
            <w:tcW w:w="54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Foreign sales corporation benefit, net of liability</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3720" w:type="dxa"/>
            <w:vAlign w:val="bottom"/>
          </w:tcPr>
          <w:p>
            <w:pPr>
              <w:jc w:val="right"/>
              <w:ind w:right="2629"/>
              <w:spacing w:after="0"/>
              <w:rPr>
                <w:sz w:val="20"/>
                <w:szCs w:val="20"/>
                <w:color w:val="auto"/>
              </w:rPr>
            </w:pPr>
            <w:r>
              <w:rPr>
                <w:rFonts w:ascii="Courier New" w:cs="Courier New" w:eastAsia="Courier New" w:hAnsi="Courier New"/>
                <w:sz w:val="14"/>
                <w:szCs w:val="14"/>
                <w:color w:val="auto"/>
              </w:rPr>
              <w:t>(95)</w:t>
            </w:r>
          </w:p>
        </w:tc>
      </w:tr>
      <w:tr>
        <w:trPr>
          <w:trHeight w:val="163"/>
        </w:trPr>
        <w:tc>
          <w:tcPr>
            <w:tcW w:w="43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Non-US earnings taxed at different rates</w:t>
            </w:r>
          </w:p>
        </w:tc>
        <w:tc>
          <w:tcPr>
            <w:tcW w:w="1060" w:type="dxa"/>
            <w:vAlign w:val="bottom"/>
          </w:tcPr>
          <w:p>
            <w:pPr>
              <w:spacing w:after="0"/>
              <w:rPr>
                <w:sz w:val="14"/>
                <w:szCs w:val="1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483</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624</w:t>
            </w:r>
          </w:p>
        </w:tc>
        <w:tc>
          <w:tcPr>
            <w:tcW w:w="3720" w:type="dxa"/>
            <w:vAlign w:val="bottom"/>
          </w:tcPr>
          <w:p>
            <w:pPr>
              <w:jc w:val="right"/>
              <w:ind w:right="2629"/>
              <w:spacing w:after="0"/>
              <w:rPr>
                <w:sz w:val="20"/>
                <w:szCs w:val="20"/>
                <w:color w:val="auto"/>
              </w:rPr>
            </w:pPr>
            <w:r>
              <w:rPr>
                <w:rFonts w:ascii="Courier New" w:cs="Courier New" w:eastAsia="Courier New" w:hAnsi="Courier New"/>
                <w:sz w:val="14"/>
                <w:szCs w:val="14"/>
                <w:color w:val="auto"/>
              </w:rPr>
              <w:t>395</w:t>
            </w:r>
          </w:p>
        </w:tc>
      </w:tr>
      <w:tr>
        <w:trPr>
          <w:trHeight w:val="163"/>
        </w:trPr>
        <w:tc>
          <w:tcPr>
            <w:tcW w:w="3140" w:type="dxa"/>
            <w:vAlign w:val="bottom"/>
          </w:tcPr>
          <w:p>
            <w:pPr>
              <w:ind w:left="520"/>
              <w:spacing w:after="0"/>
              <w:rPr>
                <w:sz w:val="20"/>
                <w:szCs w:val="20"/>
                <w:color w:val="auto"/>
              </w:rPr>
            </w:pPr>
            <w:r>
              <w:rPr>
                <w:rFonts w:ascii="Courier New" w:cs="Courier New" w:eastAsia="Courier New" w:hAnsi="Courier New"/>
                <w:sz w:val="14"/>
                <w:szCs w:val="14"/>
                <w:color w:val="auto"/>
              </w:rPr>
              <w:t>Other, net</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(379)</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(153)</w:t>
            </w:r>
          </w:p>
        </w:tc>
        <w:tc>
          <w:tcPr>
            <w:tcW w:w="3720" w:type="dxa"/>
            <w:vAlign w:val="bottom"/>
          </w:tcPr>
          <w:p>
            <w:pPr>
              <w:jc w:val="right"/>
              <w:ind w:right="2629"/>
              <w:spacing w:after="0"/>
              <w:rPr>
                <w:sz w:val="20"/>
                <w:szCs w:val="20"/>
                <w:color w:val="auto"/>
              </w:rPr>
            </w:pPr>
            <w:r>
              <w:rPr>
                <w:rFonts w:ascii="Courier New" w:cs="Courier New" w:eastAsia="Courier New" w:hAnsi="Courier New"/>
                <w:sz w:val="14"/>
                <w:szCs w:val="14"/>
                <w:color w:val="auto"/>
              </w:rPr>
              <w:t>54</w:t>
            </w:r>
          </w:p>
        </w:tc>
      </w:tr>
      <w:tr>
        <w:trPr>
          <w:trHeight w:val="163"/>
        </w:trPr>
        <w:tc>
          <w:tcPr>
            <w:tcW w:w="3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7"/>
              </w:rPr>
              <w:t>-----------</w:t>
            </w:r>
          </w:p>
        </w:tc>
        <w:tc>
          <w:tcPr>
            <w:tcW w:w="3720" w:type="dxa"/>
            <w:vAlign w:val="bottom"/>
          </w:tcPr>
          <w:p>
            <w:pPr>
              <w:jc w:val="right"/>
              <w:ind w:right="2549"/>
              <w:spacing w:after="0"/>
              <w:rPr>
                <w:sz w:val="20"/>
                <w:szCs w:val="20"/>
                <w:color w:val="auto"/>
              </w:rPr>
            </w:pPr>
            <w:r>
              <w:rPr>
                <w:rFonts w:ascii="Courier New" w:cs="Courier New" w:eastAsia="Courier New" w:hAnsi="Courier New"/>
                <w:sz w:val="14"/>
                <w:szCs w:val="14"/>
                <w:color w:val="auto"/>
              </w:rPr>
              <w:t>-----------</w:t>
            </w:r>
          </w:p>
        </w:tc>
      </w:tr>
      <w:tr>
        <w:trPr>
          <w:trHeight w:val="327"/>
        </w:trPr>
        <w:tc>
          <w:tcPr>
            <w:tcW w:w="3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$5,726</w:t>
            </w:r>
          </w:p>
        </w:tc>
        <w:tc>
          <w:tcPr>
            <w:tcW w:w="1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$6,457</w:t>
            </w:r>
          </w:p>
        </w:tc>
        <w:tc>
          <w:tcPr>
            <w:tcW w:w="3720" w:type="dxa"/>
            <w:vAlign w:val="bottom"/>
          </w:tcPr>
          <w:p>
            <w:pPr>
              <w:jc w:val="right"/>
              <w:ind w:right="2629"/>
              <w:spacing w:after="0"/>
              <w:rPr>
                <w:sz w:val="20"/>
                <w:szCs w:val="20"/>
                <w:color w:val="auto"/>
              </w:rPr>
            </w:pPr>
            <w:r>
              <w:rPr>
                <w:rFonts w:ascii="Courier New" w:cs="Courier New" w:eastAsia="Courier New" w:hAnsi="Courier New"/>
                <w:sz w:val="14"/>
                <w:szCs w:val="14"/>
                <w:color w:val="auto"/>
              </w:rPr>
              <w:t>$4,094</w:t>
            </w:r>
          </w:p>
        </w:tc>
      </w:tr>
      <w:tr>
        <w:trPr>
          <w:trHeight w:val="163"/>
        </w:trPr>
        <w:tc>
          <w:tcPr>
            <w:tcW w:w="3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7"/>
              </w:rPr>
              <w:t>===========</w:t>
            </w:r>
          </w:p>
        </w:tc>
        <w:tc>
          <w:tcPr>
            <w:tcW w:w="3720" w:type="dxa"/>
            <w:vAlign w:val="bottom"/>
          </w:tcPr>
          <w:p>
            <w:pPr>
              <w:jc w:val="right"/>
              <w:ind w:right="2549"/>
              <w:spacing w:after="0"/>
              <w:rPr>
                <w:sz w:val="20"/>
                <w:szCs w:val="20"/>
                <w:color w:val="auto"/>
              </w:rPr>
            </w:pPr>
            <w:r>
              <w:rPr>
                <w:rFonts w:ascii="Courier New" w:cs="Courier New" w:eastAsia="Courier New" w:hAnsi="Courier New"/>
                <w:sz w:val="14"/>
                <w:szCs w:val="14"/>
                <w:color w:val="auto"/>
              </w:rPr>
              <w:t>===========</w:t>
            </w:r>
          </w:p>
        </w:tc>
      </w:tr>
      <w:tr>
        <w:trPr>
          <w:trHeight w:val="490"/>
        </w:trPr>
        <w:tc>
          <w:tcPr>
            <w:tcW w:w="314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55</w:t>
            </w: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jc w:val="right"/>
              <w:ind w:right="2549"/>
              <w:spacing w:after="0"/>
              <w:rPr>
                <w:sz w:val="20"/>
                <w:szCs w:val="20"/>
                <w:color w:val="auto"/>
              </w:rPr>
            </w:pPr>
            <w:r>
              <w:rPr>
                <w:rFonts w:ascii="Courier New" w:cs="Courier New" w:eastAsia="Courier New" w:hAnsi="Courier New"/>
                <w:sz w:val="14"/>
                <w:szCs w:val="14"/>
                <w:color w:val="auto"/>
              </w:rPr>
              <w:t>Continued</w:t>
            </w:r>
          </w:p>
        </w:tc>
      </w:tr>
      <w:tr>
        <w:trPr>
          <w:trHeight w:val="471"/>
        </w:trPr>
        <w:tc>
          <w:tcPr>
            <w:tcW w:w="3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-26035</wp:posOffset>
            </wp:positionV>
            <wp:extent cx="3238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tax effects of the temporary differences are as follows:</w:t>
      </w:r>
    </w:p>
    <w:p>
      <w:pPr>
        <w:spacing w:after="0" w:line="168" w:lineRule="exact"/>
        <w:rPr>
          <w:sz w:val="20"/>
          <w:szCs w:val="20"/>
          <w:color w:val="auto"/>
        </w:rPr>
      </w:pPr>
    </w:p>
    <w:tbl>
      <w:tblPr>
        <w:tblLayout w:type="fixed"/>
        <w:tblInd w:w="600" w:type="dxa"/>
        <w:tblCellMar>
          <w:top w:w="0" w:type="dxa"/>
          <w:left w:w="0" w:type="dxa"/>
          <w:bottom w:w="0" w:type="dxa"/>
          <w:right w:w="0" w:type="dxa"/>
        </w:tblCellMar>
      </w:tblPr>
      <w:tr>
        <w:trPr>
          <w:trHeight w:val="160"/>
        </w:trPr>
        <w:tc>
          <w:tcPr>
            <w:tcW w:w="4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0" w:type="dxa"/>
            <w:vAlign w:val="bottom"/>
            <w:gridSpan w:val="3"/>
          </w:tcPr>
          <w:p>
            <w:pPr>
              <w:jc w:val="right"/>
              <w:ind w:right="89"/>
              <w:spacing w:after="0"/>
              <w:rPr>
                <w:sz w:val="20"/>
                <w:szCs w:val="20"/>
                <w:color w:val="auto"/>
              </w:rPr>
            </w:pPr>
            <w:r>
              <w:rPr>
                <w:rFonts w:ascii="Courier New" w:cs="Courier New" w:eastAsia="Courier New" w:hAnsi="Courier New"/>
                <w:sz w:val="14"/>
                <w:szCs w:val="14"/>
                <w:b w:val="1"/>
                <w:bCs w:val="1"/>
                <w:color w:val="auto"/>
              </w:rPr>
              <w:t>Year ended December 31,</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327"/>
        </w:trPr>
        <w:tc>
          <w:tcPr>
            <w:tcW w:w="4300" w:type="dxa"/>
            <w:vAlign w:val="bottom"/>
          </w:tcPr>
          <w:p>
            <w:pPr>
              <w:spacing w:after="0"/>
              <w:rPr>
                <w:sz w:val="24"/>
                <w:szCs w:val="24"/>
                <w:color w:val="auto"/>
              </w:rPr>
            </w:pPr>
          </w:p>
        </w:tc>
        <w:tc>
          <w:tcPr>
            <w:tcW w:w="2160" w:type="dxa"/>
            <w:vAlign w:val="bottom"/>
            <w:gridSpan w:val="2"/>
          </w:tcPr>
          <w:p>
            <w:pPr>
              <w:ind w:left="960"/>
              <w:spacing w:after="0"/>
              <w:rPr>
                <w:sz w:val="20"/>
                <w:szCs w:val="20"/>
                <w:color w:val="auto"/>
              </w:rPr>
            </w:pPr>
            <w:r>
              <w:rPr>
                <w:rFonts w:ascii="Courier New" w:cs="Courier New" w:eastAsia="Courier New" w:hAnsi="Courier New"/>
                <w:sz w:val="14"/>
                <w:szCs w:val="14"/>
                <w:b w:val="1"/>
                <w:bCs w:val="1"/>
                <w:color w:val="auto"/>
              </w:rPr>
              <w:t>2003</w:t>
            </w:r>
          </w:p>
        </w:tc>
        <w:tc>
          <w:tcPr>
            <w:tcW w:w="110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2002</w:t>
            </w:r>
          </w:p>
        </w:tc>
        <w:tc>
          <w:tcPr>
            <w:tcW w:w="7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2001</w:t>
            </w:r>
          </w:p>
        </w:tc>
        <w:tc>
          <w:tcPr>
            <w:tcW w:w="460" w:type="dxa"/>
            <w:vAlign w:val="bottom"/>
          </w:tcPr>
          <w:p>
            <w:pPr>
              <w:spacing w:after="0"/>
              <w:rPr>
                <w:sz w:val="24"/>
                <w:szCs w:val="24"/>
                <w:color w:val="auto"/>
              </w:rPr>
            </w:pPr>
          </w:p>
        </w:tc>
      </w:tr>
      <w:tr>
        <w:trPr>
          <w:trHeight w:val="163"/>
        </w:trPr>
        <w:tc>
          <w:tcPr>
            <w:tcW w:w="4300" w:type="dxa"/>
            <w:vAlign w:val="bottom"/>
          </w:tcPr>
          <w:p>
            <w:pPr>
              <w:spacing w:after="0"/>
              <w:rPr>
                <w:sz w:val="14"/>
                <w:szCs w:val="14"/>
                <w:color w:val="auto"/>
              </w:rPr>
            </w:pPr>
          </w:p>
        </w:tc>
        <w:tc>
          <w:tcPr>
            <w:tcW w:w="2160" w:type="dxa"/>
            <w:vAlign w:val="bottom"/>
            <w:gridSpan w:val="2"/>
          </w:tcPr>
          <w:p>
            <w:pPr>
              <w:jc w:val="right"/>
              <w:ind w:right="109"/>
              <w:spacing w:after="0"/>
              <w:rPr>
                <w:sz w:val="20"/>
                <w:szCs w:val="20"/>
                <w:color w:val="auto"/>
              </w:rPr>
            </w:pPr>
            <w:r>
              <w:rPr>
                <w:rFonts w:ascii="Courier New" w:cs="Courier New" w:eastAsia="Courier New" w:hAnsi="Courier New"/>
                <w:sz w:val="14"/>
                <w:szCs w:val="14"/>
                <w:b w:val="1"/>
                <w:bCs w:val="1"/>
                <w:color w:val="auto"/>
              </w:rPr>
              <w:t>-------------------</w:t>
            </w:r>
          </w:p>
        </w:tc>
        <w:tc>
          <w:tcPr>
            <w:tcW w:w="1860" w:type="dxa"/>
            <w:vAlign w:val="bottom"/>
            <w:gridSpan w:val="2"/>
          </w:tcPr>
          <w:p>
            <w:pPr>
              <w:jc w:val="right"/>
              <w:ind w:right="9"/>
              <w:spacing w:after="0"/>
              <w:rPr>
                <w:sz w:val="20"/>
                <w:szCs w:val="20"/>
                <w:color w:val="auto"/>
              </w:rPr>
            </w:pPr>
            <w:r>
              <w:rPr>
                <w:rFonts w:ascii="Courier New" w:cs="Courier New" w:eastAsia="Courier New" w:hAnsi="Courier New"/>
                <w:sz w:val="14"/>
                <w:szCs w:val="14"/>
                <w:b w:val="1"/>
                <w:bCs w:val="1"/>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Deferred income tax liability</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Tax in excess of book depreciation</w:t>
            </w:r>
          </w:p>
        </w:tc>
        <w:tc>
          <w:tcPr>
            <w:tcW w:w="122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9,355</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7,523</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6,360</w:t>
            </w: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Duty drawback receivable</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68</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Goodwill</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3,053</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1,582</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Flow through loss from pass through entity</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736</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437</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Other deferred tax liabilities</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211</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48</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3"/>
        </w:trPr>
        <w:tc>
          <w:tcPr>
            <w:tcW w:w="4300" w:type="dxa"/>
            <w:vAlign w:val="bottom"/>
          </w:tcPr>
          <w:p>
            <w:pPr>
              <w:spacing w:after="0"/>
              <w:rPr>
                <w:sz w:val="14"/>
                <w:szCs w:val="14"/>
                <w:color w:val="auto"/>
              </w:rPr>
            </w:pPr>
          </w:p>
        </w:tc>
        <w:tc>
          <w:tcPr>
            <w:tcW w:w="21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300" w:type="dxa"/>
            <w:vAlign w:val="bottom"/>
          </w:tcPr>
          <w:p>
            <w:pPr>
              <w:ind w:left="520"/>
              <w:spacing w:after="0"/>
              <w:rPr>
                <w:sz w:val="20"/>
                <w:szCs w:val="20"/>
                <w:color w:val="auto"/>
              </w:rPr>
            </w:pPr>
            <w:r>
              <w:rPr>
                <w:rFonts w:ascii="Courier New" w:cs="Courier New" w:eastAsia="Courier New" w:hAnsi="Courier New"/>
                <w:sz w:val="14"/>
                <w:szCs w:val="14"/>
                <w:color w:val="auto"/>
              </w:rPr>
              <w:t>Gross deferred income tax liability</w:t>
            </w:r>
          </w:p>
        </w:tc>
        <w:tc>
          <w:tcPr>
            <w:tcW w:w="1220" w:type="dxa"/>
            <w:vAlign w:val="bottom"/>
          </w:tcPr>
          <w:p>
            <w:pPr>
              <w:spacing w:after="0"/>
              <w:rPr>
                <w:sz w:val="24"/>
                <w:szCs w:val="2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9"/>
              </w:rPr>
              <w:t>13,423</w:t>
            </w:r>
          </w:p>
        </w:tc>
        <w:tc>
          <w:tcPr>
            <w:tcW w:w="1100" w:type="dxa"/>
            <w:vAlign w:val="bottom"/>
          </w:tcPr>
          <w:p>
            <w:pPr>
              <w:spacing w:after="0"/>
              <w:rPr>
                <w:sz w:val="24"/>
                <w:szCs w:val="2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9,638</w:t>
            </w:r>
          </w:p>
        </w:tc>
        <w:tc>
          <w:tcPr>
            <w:tcW w:w="9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7,197</w:t>
            </w:r>
          </w:p>
        </w:tc>
      </w:tr>
      <w:tr>
        <w:trPr>
          <w:trHeight w:val="163"/>
        </w:trPr>
        <w:tc>
          <w:tcPr>
            <w:tcW w:w="4300" w:type="dxa"/>
            <w:vAlign w:val="bottom"/>
          </w:tcPr>
          <w:p>
            <w:pPr>
              <w:spacing w:after="0"/>
              <w:rPr>
                <w:sz w:val="14"/>
                <w:szCs w:val="14"/>
                <w:color w:val="auto"/>
              </w:rPr>
            </w:pPr>
          </w:p>
        </w:tc>
        <w:tc>
          <w:tcPr>
            <w:tcW w:w="21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300" w:type="dxa"/>
            <w:vAlign w:val="bottom"/>
          </w:tcPr>
          <w:p>
            <w:pPr>
              <w:spacing w:after="0"/>
              <w:rPr>
                <w:sz w:val="20"/>
                <w:szCs w:val="20"/>
                <w:color w:val="auto"/>
              </w:rPr>
            </w:pPr>
            <w:r>
              <w:rPr>
                <w:rFonts w:ascii="Courier New" w:cs="Courier New" w:eastAsia="Courier New" w:hAnsi="Courier New"/>
                <w:sz w:val="14"/>
                <w:szCs w:val="14"/>
                <w:color w:val="auto"/>
              </w:rPr>
              <w:t>Deferred income tax assets</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Inventories</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564</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351</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337</w:t>
            </w: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Allowance for bad debts</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167</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710</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632</w:t>
            </w: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Vacation accrual</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131</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244</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264</w:t>
            </w: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Health insurance accrual</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139</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Other working capital accruals</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355</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235</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358</w:t>
            </w: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Euroball net operating loss carryforward</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212</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r>
      <w:tr>
        <w:trPr>
          <w:trHeight w:val="163"/>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Other deferred tax assets</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172</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00" w:type="dxa"/>
            <w:vAlign w:val="bottom"/>
          </w:tcPr>
          <w:p>
            <w:pPr>
              <w:spacing w:after="0"/>
              <w:rPr>
                <w:sz w:val="14"/>
                <w:szCs w:val="14"/>
                <w:color w:val="auto"/>
              </w:rPr>
            </w:pPr>
          </w:p>
        </w:tc>
        <w:tc>
          <w:tcPr>
            <w:tcW w:w="21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3"/>
        </w:trPr>
        <w:tc>
          <w:tcPr>
            <w:tcW w:w="4300" w:type="dxa"/>
            <w:vAlign w:val="bottom"/>
          </w:tcPr>
          <w:p>
            <w:pPr>
              <w:ind w:left="520"/>
              <w:spacing w:after="0"/>
              <w:rPr>
                <w:sz w:val="20"/>
                <w:szCs w:val="20"/>
                <w:color w:val="auto"/>
              </w:rPr>
            </w:pPr>
            <w:r>
              <w:rPr>
                <w:rFonts w:ascii="Courier New" w:cs="Courier New" w:eastAsia="Courier New" w:hAnsi="Courier New"/>
                <w:sz w:val="14"/>
                <w:szCs w:val="14"/>
                <w:color w:val="auto"/>
              </w:rPr>
              <w:t>Gross deferred income tax assets</w:t>
            </w:r>
          </w:p>
        </w:tc>
        <w:tc>
          <w:tcPr>
            <w:tcW w:w="1220" w:type="dxa"/>
            <w:vAlign w:val="bottom"/>
          </w:tcPr>
          <w:p>
            <w:pPr>
              <w:spacing w:after="0"/>
              <w:rPr>
                <w:sz w:val="14"/>
                <w:szCs w:val="14"/>
                <w:color w:val="auto"/>
              </w:rPr>
            </w:pP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1,601</w:t>
            </w:r>
          </w:p>
        </w:tc>
        <w:tc>
          <w:tcPr>
            <w:tcW w:w="110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1,704</w:t>
            </w:r>
          </w:p>
        </w:tc>
        <w:tc>
          <w:tcPr>
            <w:tcW w:w="9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1,827</w:t>
            </w:r>
          </w:p>
        </w:tc>
      </w:tr>
      <w:tr>
        <w:trPr>
          <w:trHeight w:val="163"/>
        </w:trPr>
        <w:tc>
          <w:tcPr>
            <w:tcW w:w="4300" w:type="dxa"/>
            <w:vAlign w:val="bottom"/>
          </w:tcPr>
          <w:p>
            <w:pPr>
              <w:spacing w:after="0"/>
              <w:rPr>
                <w:sz w:val="14"/>
                <w:szCs w:val="14"/>
                <w:color w:val="auto"/>
              </w:rPr>
            </w:pPr>
          </w:p>
        </w:tc>
        <w:tc>
          <w:tcPr>
            <w:tcW w:w="21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300" w:type="dxa"/>
            <w:vAlign w:val="bottom"/>
          </w:tcPr>
          <w:p>
            <w:pPr>
              <w:ind w:left="340"/>
              <w:spacing w:after="0"/>
              <w:rPr>
                <w:sz w:val="20"/>
                <w:szCs w:val="20"/>
                <w:color w:val="auto"/>
              </w:rPr>
            </w:pPr>
            <w:r>
              <w:rPr>
                <w:rFonts w:ascii="Courier New" w:cs="Courier New" w:eastAsia="Courier New" w:hAnsi="Courier New"/>
                <w:sz w:val="14"/>
                <w:szCs w:val="14"/>
                <w:color w:val="auto"/>
              </w:rPr>
              <w:t>Net deferred income tax liability</w:t>
            </w:r>
          </w:p>
        </w:tc>
        <w:tc>
          <w:tcPr>
            <w:tcW w:w="122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9"/>
              </w:rPr>
              <w:t>11,822</w:t>
            </w:r>
          </w:p>
        </w:tc>
        <w:tc>
          <w:tcPr>
            <w:tcW w:w="11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w w:val="95"/>
              </w:rPr>
              <w:t>7,934</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5,370</w:t>
            </w:r>
          </w:p>
        </w:tc>
      </w:tr>
      <w:tr>
        <w:trPr>
          <w:trHeight w:val="163"/>
        </w:trPr>
        <w:tc>
          <w:tcPr>
            <w:tcW w:w="4300" w:type="dxa"/>
            <w:vAlign w:val="bottom"/>
          </w:tcPr>
          <w:p>
            <w:pPr>
              <w:spacing w:after="0"/>
              <w:rPr>
                <w:sz w:val="14"/>
                <w:szCs w:val="14"/>
                <w:color w:val="auto"/>
              </w:rPr>
            </w:pPr>
          </w:p>
        </w:tc>
        <w:tc>
          <w:tcPr>
            <w:tcW w:w="216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440" w:right="5000"/>
        <w:spacing w:after="0" w:line="249" w:lineRule="auto"/>
        <w:rPr>
          <w:sz w:val="20"/>
          <w:szCs w:val="20"/>
          <w:color w:val="auto"/>
        </w:rPr>
      </w:pPr>
      <w:r>
        <w:rPr>
          <w:rFonts w:ascii="Courier New" w:cs="Courier New" w:eastAsia="Courier New" w:hAnsi="Courier New"/>
          <w:sz w:val="14"/>
          <w:szCs w:val="14"/>
          <w:color w:val="auto"/>
        </w:rPr>
        <w:t>Deferred income tax expense differs from the change in the net deferred income tax liability due to the following:</w:t>
      </w:r>
    </w:p>
    <w:p>
      <w:pPr>
        <w:spacing w:after="0" w:line="161" w:lineRule="exact"/>
        <w:rPr>
          <w:sz w:val="20"/>
          <w:szCs w:val="20"/>
          <w:color w:val="auto"/>
        </w:rPr>
      </w:pPr>
    </w:p>
    <w:tbl>
      <w:tblPr>
        <w:tblLayout w:type="fixed"/>
        <w:tblInd w:w="600" w:type="dxa"/>
        <w:tblCellMar>
          <w:top w:w="0" w:type="dxa"/>
          <w:left w:w="0" w:type="dxa"/>
          <w:bottom w:w="0" w:type="dxa"/>
          <w:right w:w="0" w:type="dxa"/>
        </w:tblCellMar>
      </w:tblPr>
      <w:tr>
        <w:trPr>
          <w:trHeight w:val="160"/>
        </w:trPr>
        <w:tc>
          <w:tcPr>
            <w:tcW w:w="4620" w:type="dxa"/>
            <w:vAlign w:val="bottom"/>
          </w:tcPr>
          <w:p>
            <w:pPr>
              <w:spacing w:after="0"/>
              <w:rPr>
                <w:sz w:val="13"/>
                <w:szCs w:val="13"/>
                <w:color w:val="auto"/>
              </w:rPr>
            </w:pP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b w:val="1"/>
                <w:bCs w:val="1"/>
                <w:color w:val="auto"/>
              </w:rPr>
              <w:t>2003</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b w:val="1"/>
                <w:bCs w:val="1"/>
                <w:color w:val="auto"/>
              </w:rPr>
              <w:t>2002</w:t>
            </w:r>
          </w:p>
        </w:tc>
        <w:tc>
          <w:tcPr>
            <w:tcW w:w="1140" w:type="dxa"/>
            <w:vAlign w:val="bottom"/>
          </w:tcPr>
          <w:p>
            <w:pPr>
              <w:jc w:val="right"/>
              <w:ind w:right="249"/>
              <w:spacing w:after="0"/>
              <w:rPr>
                <w:sz w:val="20"/>
                <w:szCs w:val="20"/>
                <w:color w:val="auto"/>
              </w:rPr>
            </w:pPr>
            <w:r>
              <w:rPr>
                <w:rFonts w:ascii="Courier New" w:cs="Courier New" w:eastAsia="Courier New" w:hAnsi="Courier New"/>
                <w:sz w:val="14"/>
                <w:szCs w:val="14"/>
                <w:b w:val="1"/>
                <w:bCs w:val="1"/>
                <w:color w:val="auto"/>
              </w:rPr>
              <w:t>2001</w:t>
            </w:r>
          </w:p>
        </w:tc>
      </w:tr>
      <w:tr>
        <w:trPr>
          <w:trHeight w:val="163"/>
        </w:trPr>
        <w:tc>
          <w:tcPr>
            <w:tcW w:w="462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b w:val="1"/>
                <w:bCs w:val="1"/>
                <w:color w:val="auto"/>
              </w:rPr>
              <w:t>-------------</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b w:val="1"/>
                <w:bCs w:val="1"/>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4620" w:type="dxa"/>
            <w:vAlign w:val="bottom"/>
          </w:tcPr>
          <w:p>
            <w:pPr>
              <w:spacing w:after="0"/>
              <w:rPr>
                <w:sz w:val="20"/>
                <w:szCs w:val="20"/>
                <w:color w:val="auto"/>
              </w:rPr>
            </w:pPr>
            <w:r>
              <w:rPr>
                <w:rFonts w:ascii="Courier New" w:cs="Courier New" w:eastAsia="Courier New" w:hAnsi="Courier New"/>
                <w:sz w:val="14"/>
                <w:szCs w:val="14"/>
                <w:color w:val="auto"/>
              </w:rPr>
              <w:t>Change in net deferred income tax liability</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$3,888</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$ 2,564</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$979</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Other comprehensive income adjustment</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88</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principle</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112</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Acquisition of deferred tax asset (liability)</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4620" w:type="dxa"/>
            <w:vAlign w:val="bottom"/>
          </w:tcPr>
          <w:p>
            <w:pPr>
              <w:ind w:left="340"/>
              <w:spacing w:after="0"/>
              <w:rPr>
                <w:sz w:val="20"/>
                <w:szCs w:val="20"/>
                <w:color w:val="auto"/>
              </w:rPr>
            </w:pPr>
            <w:r>
              <w:rPr>
                <w:rFonts w:ascii="Courier New" w:cs="Courier New" w:eastAsia="Courier New" w:hAnsi="Courier New"/>
                <w:sz w:val="14"/>
                <w:szCs w:val="14"/>
                <w:color w:val="auto"/>
              </w:rPr>
              <w:t>recorded</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4620" w:type="dxa"/>
            <w:vAlign w:val="bottom"/>
          </w:tcPr>
          <w:p>
            <w:pPr>
              <w:ind w:left="340"/>
              <w:spacing w:after="0"/>
              <w:rPr>
                <w:sz w:val="20"/>
                <w:szCs w:val="20"/>
                <w:color w:val="auto"/>
              </w:rPr>
            </w:pPr>
            <w:r>
              <w:rPr>
                <w:rFonts w:ascii="Courier New" w:cs="Courier New" w:eastAsia="Courier New" w:hAnsi="Courier New"/>
                <w:sz w:val="14"/>
                <w:szCs w:val="14"/>
                <w:color w:val="auto"/>
              </w:rPr>
              <w:t>under purchase accounting</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229</w:t>
            </w:r>
          </w:p>
        </w:tc>
      </w:tr>
      <w:tr>
        <w:trPr>
          <w:trHeight w:val="163"/>
        </w:trPr>
        <w:tc>
          <w:tcPr>
            <w:tcW w:w="4620" w:type="dxa"/>
            <w:vAlign w:val="bottom"/>
          </w:tcPr>
          <w:p>
            <w:pPr>
              <w:spacing w:after="0"/>
              <w:rPr>
                <w:sz w:val="20"/>
                <w:szCs w:val="20"/>
                <w:color w:val="auto"/>
              </w:rPr>
            </w:pPr>
            <w:r>
              <w:rPr>
                <w:rFonts w:ascii="Courier New" w:cs="Courier New" w:eastAsia="Courier New" w:hAnsi="Courier New"/>
                <w:sz w:val="14"/>
                <w:szCs w:val="14"/>
                <w:color w:val="auto"/>
              </w:rPr>
              <w:t>Effect of currency translation and other</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(88)</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w:t>
            </w:r>
          </w:p>
        </w:tc>
      </w:tr>
      <w:tr>
        <w:trPr>
          <w:trHeight w:val="163"/>
        </w:trPr>
        <w:tc>
          <w:tcPr>
            <w:tcW w:w="462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4620" w:type="dxa"/>
            <w:vAlign w:val="bottom"/>
          </w:tcPr>
          <w:p>
            <w:pPr>
              <w:ind w:left="1200"/>
              <w:spacing w:after="0"/>
              <w:rPr>
                <w:sz w:val="20"/>
                <w:szCs w:val="20"/>
                <w:color w:val="auto"/>
              </w:rPr>
            </w:pPr>
            <w:r>
              <w:rPr>
                <w:rFonts w:ascii="Courier New" w:cs="Courier New" w:eastAsia="Courier New" w:hAnsi="Courier New"/>
                <w:sz w:val="14"/>
                <w:szCs w:val="14"/>
                <w:color w:val="auto"/>
              </w:rPr>
              <w:t>Deferred income tax expense</w:t>
            </w:r>
          </w:p>
        </w:tc>
        <w:tc>
          <w:tcPr>
            <w:tcW w:w="13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$3,888</w:t>
            </w:r>
          </w:p>
        </w:tc>
        <w:tc>
          <w:tcPr>
            <w:tcW w:w="132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$ 2,564</w:t>
            </w:r>
          </w:p>
        </w:tc>
        <w:tc>
          <w:tcPr>
            <w:tcW w:w="11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$1,296</w:t>
            </w:r>
          </w:p>
        </w:tc>
      </w:tr>
      <w:tr>
        <w:trPr>
          <w:trHeight w:val="163"/>
        </w:trPr>
        <w:tc>
          <w:tcPr>
            <w:tcW w:w="462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440" w:right="5000"/>
        <w:spacing w:after="0" w:line="248" w:lineRule="auto"/>
        <w:rPr>
          <w:sz w:val="20"/>
          <w:szCs w:val="20"/>
          <w:color w:val="auto"/>
        </w:rPr>
      </w:pPr>
      <w:r>
        <w:rPr>
          <w:rFonts w:ascii="Courier New" w:cs="Courier New" w:eastAsia="Courier New" w:hAnsi="Courier New"/>
          <w:sz w:val="14"/>
          <w:szCs w:val="14"/>
          <w:color w:val="auto"/>
        </w:rPr>
        <w:t>Although realization of deferred tax assets is not assured, management believes that it is more likely than not that all of the deferred tax assets will be realized. However, the amount of the deferred tax assets</w:t>
      </w:r>
    </w:p>
    <w:p>
      <w:pPr>
        <w:sectPr>
          <w:pgSz w:w="11900" w:h="16838" w:orient="portrait"/>
          <w:cols w:equalWidth="0" w:num="1">
            <w:col w:w="11460"/>
          </w:cols>
          <w:pgMar w:left="220" w:top="141" w:right="219" w:bottom="0" w:gutter="0" w:footer="0" w:header="0"/>
        </w:sectPr>
      </w:pPr>
    </w:p>
    <w:bookmarkStart w:id="43" w:name="page44"/>
    <w:bookmarkEnd w:id="43"/>
    <w:p>
      <w:pPr>
        <w:ind w:left="440"/>
        <w:spacing w:after="0"/>
        <w:rPr>
          <w:sz w:val="20"/>
          <w:szCs w:val="20"/>
          <w:color w:val="auto"/>
        </w:rPr>
      </w:pPr>
      <w:r>
        <w:rPr>
          <w:rFonts w:ascii="Courier New" w:cs="Courier New" w:eastAsia="Courier New" w:hAnsi="Courier New"/>
          <w:sz w:val="14"/>
          <w:szCs w:val="14"/>
          <w:color w:val="auto"/>
        </w:rPr>
        <w:t>considered realizable could be reduced based on changing conditions.</w:t>
      </w:r>
    </w:p>
    <w:p>
      <w:pPr>
        <w:spacing w:after="0" w:line="168" w:lineRule="exact"/>
        <w:rPr>
          <w:sz w:val="20"/>
          <w:szCs w:val="20"/>
          <w:color w:val="auto"/>
        </w:rPr>
      </w:pPr>
    </w:p>
    <w:p>
      <w:pPr>
        <w:ind w:left="440" w:right="3519"/>
        <w:spacing w:after="0" w:line="247" w:lineRule="auto"/>
        <w:rPr>
          <w:sz w:val="20"/>
          <w:szCs w:val="20"/>
          <w:color w:val="auto"/>
        </w:rPr>
      </w:pPr>
      <w:r>
        <w:rPr>
          <w:rFonts w:ascii="Courier New" w:cs="Courier New" w:eastAsia="Courier New" w:hAnsi="Courier New"/>
          <w:sz w:val="14"/>
          <w:szCs w:val="14"/>
          <w:color w:val="auto"/>
        </w:rPr>
        <w:t>The Company has not recognized a deferred tax liability for the undistributed earnings of its non-U.S. subsidiaries and non-U.S. corporate joint ventures. The Company expects to reinvest these undistributed earnings indefinitely and does not expect such earnings to become subject to U.S. taxation in the foreseeable future.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328" w:lineRule="exact"/>
        <w:rPr>
          <w:sz w:val="20"/>
          <w:szCs w:val="20"/>
          <w:color w:val="auto"/>
        </w:rPr>
      </w:pPr>
    </w:p>
    <w:p>
      <w:pPr>
        <w:jc w:val="both"/>
        <w:ind w:left="3320"/>
        <w:spacing w:after="0"/>
        <w:tabs>
          <w:tab w:leader="none" w:pos="6020" w:val="left"/>
        </w:tabs>
        <w:rPr>
          <w:sz w:val="20"/>
          <w:szCs w:val="20"/>
          <w:color w:val="auto"/>
        </w:rPr>
      </w:pPr>
      <w:r>
        <w:rPr>
          <w:rFonts w:ascii="Courier New" w:cs="Courier New" w:eastAsia="Courier New" w:hAnsi="Courier New"/>
          <w:sz w:val="14"/>
          <w:szCs w:val="14"/>
          <w:color w:val="auto"/>
        </w:rPr>
        <w:t>56</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40" w:type="dxa"/>
            <w:vAlign w:val="bottom"/>
          </w:tcPr>
          <w:p>
            <w:pPr>
              <w:spacing w:after="0"/>
              <w:rPr>
                <w:sz w:val="13"/>
                <w:szCs w:val="13"/>
                <w:color w:val="auto"/>
              </w:rPr>
            </w:pPr>
          </w:p>
        </w:tc>
        <w:tc>
          <w:tcPr>
            <w:tcW w:w="5100" w:type="dxa"/>
            <w:vAlign w:val="bottom"/>
            <w:gridSpan w:val="3"/>
          </w:tcPr>
          <w:p>
            <w:pPr>
              <w:jc w:val="right"/>
              <w:ind w:right="429"/>
              <w:spacing w:after="0"/>
              <w:rPr>
                <w:sz w:val="20"/>
                <w:szCs w:val="20"/>
                <w:color w:val="auto"/>
              </w:rPr>
            </w:pPr>
            <w:r>
              <w:rPr>
                <w:rFonts w:ascii="Courier New" w:cs="Courier New" w:eastAsia="Courier New" w:hAnsi="Courier New"/>
                <w:sz w:val="14"/>
                <w:szCs w:val="14"/>
                <w:b w:val="1"/>
                <w:bCs w:val="1"/>
                <w:color w:val="auto"/>
              </w:rPr>
              <w:t>(In thousands, except per share data)</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490"/>
        </w:trPr>
        <w:tc>
          <w:tcPr>
            <w:tcW w:w="340" w:type="dxa"/>
            <w:vAlign w:val="bottom"/>
          </w:tcPr>
          <w:p>
            <w:pPr>
              <w:jc w:val="right"/>
              <w:ind w:right="9"/>
              <w:spacing w:after="0"/>
              <w:rPr>
                <w:sz w:val="20"/>
                <w:szCs w:val="20"/>
                <w:color w:val="auto"/>
              </w:rPr>
            </w:pPr>
            <w:r>
              <w:rPr>
                <w:rFonts w:ascii="Courier New" w:cs="Courier New" w:eastAsia="Courier New" w:hAnsi="Courier New"/>
                <w:sz w:val="14"/>
                <w:szCs w:val="14"/>
                <w:b w:val="1"/>
                <w:bCs w:val="1"/>
                <w:color w:val="auto"/>
                <w:w w:val="95"/>
              </w:rPr>
              <w:t>13)</w:t>
            </w:r>
          </w:p>
        </w:tc>
        <w:tc>
          <w:tcPr>
            <w:tcW w:w="3440" w:type="dxa"/>
            <w:vAlign w:val="bottom"/>
          </w:tcPr>
          <w:p>
            <w:pPr>
              <w:ind w:left="180"/>
              <w:spacing w:after="0"/>
              <w:rPr>
                <w:sz w:val="20"/>
                <w:szCs w:val="20"/>
                <w:color w:val="auto"/>
              </w:rPr>
            </w:pPr>
            <w:r>
              <w:rPr>
                <w:rFonts w:ascii="Courier New" w:cs="Courier New" w:eastAsia="Courier New" w:hAnsi="Courier New"/>
                <w:sz w:val="14"/>
                <w:szCs w:val="14"/>
                <w:b w:val="1"/>
                <w:bCs w:val="1"/>
                <w:color w:val="auto"/>
              </w:rPr>
              <w:t>Reconciliation of Net Income Per Share</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7"/>
        </w:trPr>
        <w:tc>
          <w:tcPr>
            <w:tcW w:w="3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0" w:type="dxa"/>
            <w:vAlign w:val="bottom"/>
            <w:gridSpan w:val="4"/>
          </w:tcPr>
          <w:p>
            <w:pPr>
              <w:jc w:val="right"/>
              <w:ind w:right="509"/>
              <w:spacing w:after="0"/>
              <w:rPr>
                <w:sz w:val="20"/>
                <w:szCs w:val="20"/>
                <w:color w:val="auto"/>
              </w:rPr>
            </w:pPr>
            <w:r>
              <w:rPr>
                <w:rFonts w:ascii="Courier New" w:cs="Courier New" w:eastAsia="Courier New" w:hAnsi="Courier New"/>
                <w:sz w:val="14"/>
                <w:szCs w:val="14"/>
                <w:b w:val="1"/>
                <w:bCs w:val="1"/>
                <w:color w:val="auto"/>
              </w:rPr>
              <w:t>Year ended December 31,</w:t>
            </w:r>
          </w:p>
        </w:tc>
        <w:tc>
          <w:tcPr>
            <w:tcW w:w="940" w:type="dxa"/>
            <w:vAlign w:val="bottom"/>
          </w:tcPr>
          <w:p>
            <w:pPr>
              <w:spacing w:after="0"/>
              <w:rPr>
                <w:sz w:val="24"/>
                <w:szCs w:val="24"/>
                <w:color w:val="auto"/>
              </w:rPr>
            </w:pPr>
          </w:p>
        </w:tc>
      </w:tr>
      <w:tr>
        <w:trPr>
          <w:trHeight w:val="163"/>
        </w:trPr>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jc w:val="right"/>
              <w:ind w:right="429"/>
              <w:spacing w:after="0"/>
              <w:rPr>
                <w:sz w:val="20"/>
                <w:szCs w:val="20"/>
                <w:color w:val="auto"/>
              </w:rPr>
            </w:pPr>
            <w:r>
              <w:rPr>
                <w:rFonts w:ascii="Courier New" w:cs="Courier New" w:eastAsia="Courier New" w:hAnsi="Courier New"/>
                <w:sz w:val="14"/>
                <w:szCs w:val="14"/>
                <w:b w:val="1"/>
                <w:bCs w:val="1"/>
                <w:color w:val="auto"/>
              </w:rPr>
              <w:t>2003</w:t>
            </w:r>
          </w:p>
        </w:tc>
        <w:tc>
          <w:tcPr>
            <w:tcW w:w="760" w:type="dxa"/>
            <w:vAlign w:val="bottom"/>
          </w:tcPr>
          <w:p>
            <w:pPr>
              <w:spacing w:after="0"/>
              <w:rPr>
                <w:sz w:val="14"/>
                <w:szCs w:val="14"/>
                <w:color w:val="auto"/>
              </w:rPr>
            </w:pPr>
          </w:p>
        </w:tc>
        <w:tc>
          <w:tcPr>
            <w:tcW w:w="940" w:type="dxa"/>
            <w:vAlign w:val="bottom"/>
          </w:tcPr>
          <w:p>
            <w:pPr>
              <w:jc w:val="right"/>
              <w:ind w:right="529"/>
              <w:spacing w:after="0"/>
              <w:rPr>
                <w:sz w:val="20"/>
                <w:szCs w:val="20"/>
                <w:color w:val="auto"/>
              </w:rPr>
            </w:pPr>
            <w:r>
              <w:rPr>
                <w:rFonts w:ascii="Courier New" w:cs="Courier New" w:eastAsia="Courier New" w:hAnsi="Courier New"/>
                <w:sz w:val="14"/>
                <w:szCs w:val="14"/>
                <w:b w:val="1"/>
                <w:bCs w:val="1"/>
                <w:color w:val="auto"/>
                <w:w w:val="95"/>
              </w:rPr>
              <w:t>2002</w:t>
            </w:r>
          </w:p>
        </w:tc>
        <w:tc>
          <w:tcPr>
            <w:tcW w:w="760" w:type="dxa"/>
            <w:vAlign w:val="bottom"/>
          </w:tcPr>
          <w:p>
            <w:pPr>
              <w:spacing w:after="0"/>
              <w:rPr>
                <w:sz w:val="14"/>
                <w:szCs w:val="14"/>
                <w:color w:val="auto"/>
              </w:rPr>
            </w:pPr>
          </w:p>
        </w:tc>
        <w:tc>
          <w:tcPr>
            <w:tcW w:w="940" w:type="dxa"/>
            <w:vAlign w:val="bottom"/>
          </w:tcPr>
          <w:p>
            <w:pPr>
              <w:jc w:val="right"/>
              <w:ind w:right="529"/>
              <w:spacing w:after="0"/>
              <w:rPr>
                <w:sz w:val="20"/>
                <w:szCs w:val="20"/>
                <w:color w:val="auto"/>
              </w:rPr>
            </w:pPr>
            <w:r>
              <w:rPr>
                <w:rFonts w:ascii="Courier New" w:cs="Courier New" w:eastAsia="Courier New" w:hAnsi="Courier New"/>
                <w:sz w:val="14"/>
                <w:szCs w:val="14"/>
                <w:b w:val="1"/>
                <w:bCs w:val="1"/>
                <w:color w:val="auto"/>
                <w:w w:val="95"/>
              </w:rPr>
              <w:t>2001</w:t>
            </w:r>
          </w:p>
        </w:tc>
      </w:tr>
      <w:tr>
        <w:trPr>
          <w:trHeight w:val="163"/>
        </w:trPr>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340" w:type="dxa"/>
            <w:vAlign w:val="bottom"/>
          </w:tcPr>
          <w:p>
            <w:pPr>
              <w:spacing w:after="0"/>
              <w:rPr>
                <w:sz w:val="24"/>
                <w:szCs w:val="24"/>
                <w:color w:val="auto"/>
              </w:rPr>
            </w:pPr>
          </w:p>
        </w:tc>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720" w:type="dxa"/>
            <w:vAlign w:val="bottom"/>
          </w:tcPr>
          <w:p>
            <w:pPr>
              <w:spacing w:after="0"/>
              <w:rPr>
                <w:sz w:val="24"/>
                <w:szCs w:val="2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$10,178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7,760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4,662</w:t>
            </w:r>
          </w:p>
        </w:tc>
      </w:tr>
      <w:tr>
        <w:trPr>
          <w:trHeight w:val="327"/>
        </w:trPr>
        <w:tc>
          <w:tcPr>
            <w:tcW w:w="340" w:type="dxa"/>
            <w:vAlign w:val="bottom"/>
          </w:tcPr>
          <w:p>
            <w:pPr>
              <w:spacing w:after="0"/>
              <w:rPr>
                <w:sz w:val="24"/>
                <w:szCs w:val="24"/>
                <w:color w:val="auto"/>
              </w:rPr>
            </w:pPr>
          </w:p>
        </w:tc>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Weighted average shares outstanding</w:t>
            </w:r>
          </w:p>
        </w:tc>
        <w:tc>
          <w:tcPr>
            <w:tcW w:w="720" w:type="dxa"/>
            <w:vAlign w:val="bottom"/>
          </w:tcPr>
          <w:p>
            <w:pPr>
              <w:spacing w:after="0"/>
              <w:rPr>
                <w:sz w:val="24"/>
                <w:szCs w:val="2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15,973</w:t>
            </w:r>
          </w:p>
        </w:tc>
        <w:tc>
          <w:tcPr>
            <w:tcW w:w="760" w:type="dxa"/>
            <w:vAlign w:val="bottom"/>
          </w:tcPr>
          <w:p>
            <w:pPr>
              <w:spacing w:after="0"/>
              <w:rPr>
                <w:sz w:val="24"/>
                <w:szCs w:val="2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15,343</w:t>
            </w:r>
          </w:p>
        </w:tc>
        <w:tc>
          <w:tcPr>
            <w:tcW w:w="760" w:type="dxa"/>
            <w:vAlign w:val="bottom"/>
          </w:tcPr>
          <w:p>
            <w:pPr>
              <w:spacing w:after="0"/>
              <w:rPr>
                <w:sz w:val="24"/>
                <w:szCs w:val="2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15,259</w:t>
            </w:r>
          </w:p>
        </w:tc>
      </w:tr>
      <w:tr>
        <w:trPr>
          <w:trHeight w:val="163"/>
        </w:trPr>
        <w:tc>
          <w:tcPr>
            <w:tcW w:w="340" w:type="dxa"/>
            <w:vAlign w:val="bottom"/>
          </w:tcPr>
          <w:p>
            <w:pPr>
              <w:spacing w:after="0"/>
              <w:rPr>
                <w:sz w:val="14"/>
                <w:szCs w:val="14"/>
                <w:color w:val="auto"/>
              </w:rPr>
            </w:pPr>
          </w:p>
        </w:tc>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Effective of dilutive stock options</w:t>
            </w:r>
          </w:p>
        </w:tc>
        <w:tc>
          <w:tcPr>
            <w:tcW w:w="72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406</w:t>
            </w:r>
          </w:p>
        </w:tc>
        <w:tc>
          <w:tcPr>
            <w:tcW w:w="76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371</w:t>
            </w:r>
          </w:p>
        </w:tc>
        <w:tc>
          <w:tcPr>
            <w:tcW w:w="760" w:type="dxa"/>
            <w:vAlign w:val="bottom"/>
          </w:tcPr>
          <w:p>
            <w:pPr>
              <w:spacing w:after="0"/>
              <w:rPr>
                <w:sz w:val="14"/>
                <w:szCs w:val="1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281</w:t>
            </w:r>
          </w:p>
        </w:tc>
      </w:tr>
      <w:tr>
        <w:trPr>
          <w:trHeight w:val="163"/>
        </w:trPr>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w w:val="99"/>
              </w:rPr>
              <w:t>------------------</w:t>
            </w:r>
          </w:p>
        </w:tc>
      </w:tr>
      <w:tr>
        <w:trPr>
          <w:trHeight w:val="327"/>
        </w:trPr>
        <w:tc>
          <w:tcPr>
            <w:tcW w:w="340" w:type="dxa"/>
            <w:vAlign w:val="bottom"/>
          </w:tcPr>
          <w:p>
            <w:pPr>
              <w:spacing w:after="0"/>
              <w:rPr>
                <w:sz w:val="24"/>
                <w:szCs w:val="24"/>
                <w:color w:val="auto"/>
              </w:rPr>
            </w:pPr>
          </w:p>
        </w:tc>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Dilutive shares outstanding</w:t>
            </w:r>
          </w:p>
        </w:tc>
        <w:tc>
          <w:tcPr>
            <w:tcW w:w="720" w:type="dxa"/>
            <w:vAlign w:val="bottom"/>
          </w:tcPr>
          <w:p>
            <w:pPr>
              <w:spacing w:after="0"/>
              <w:rPr>
                <w:sz w:val="24"/>
                <w:szCs w:val="2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16,379</w:t>
            </w:r>
          </w:p>
        </w:tc>
        <w:tc>
          <w:tcPr>
            <w:tcW w:w="760" w:type="dxa"/>
            <w:vAlign w:val="bottom"/>
          </w:tcPr>
          <w:p>
            <w:pPr>
              <w:spacing w:after="0"/>
              <w:rPr>
                <w:sz w:val="24"/>
                <w:szCs w:val="2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15,714</w:t>
            </w:r>
          </w:p>
        </w:tc>
        <w:tc>
          <w:tcPr>
            <w:tcW w:w="760" w:type="dxa"/>
            <w:vAlign w:val="bottom"/>
          </w:tcPr>
          <w:p>
            <w:pPr>
              <w:spacing w:after="0"/>
              <w:rPr>
                <w:sz w:val="24"/>
                <w:szCs w:val="24"/>
                <w:color w:val="auto"/>
              </w:rPr>
            </w:pP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15,540</w:t>
            </w:r>
          </w:p>
        </w:tc>
      </w:tr>
      <w:tr>
        <w:trPr>
          <w:trHeight w:val="327"/>
        </w:trPr>
        <w:tc>
          <w:tcPr>
            <w:tcW w:w="340" w:type="dxa"/>
            <w:vAlign w:val="bottom"/>
          </w:tcPr>
          <w:p>
            <w:pPr>
              <w:spacing w:after="0"/>
              <w:rPr>
                <w:sz w:val="24"/>
                <w:szCs w:val="24"/>
                <w:color w:val="auto"/>
              </w:rPr>
            </w:pPr>
          </w:p>
        </w:tc>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Basic net income per share</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0.64</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0.51</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0.31</w:t>
            </w:r>
          </w:p>
        </w:tc>
      </w:tr>
      <w:tr>
        <w:trPr>
          <w:trHeight w:val="163"/>
        </w:trPr>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w w:val="99"/>
              </w:rPr>
              <w:t>==================</w:t>
            </w:r>
          </w:p>
        </w:tc>
      </w:tr>
      <w:tr>
        <w:trPr>
          <w:trHeight w:val="327"/>
        </w:trPr>
        <w:tc>
          <w:tcPr>
            <w:tcW w:w="340" w:type="dxa"/>
            <w:vAlign w:val="bottom"/>
          </w:tcPr>
          <w:p>
            <w:pPr>
              <w:spacing w:after="0"/>
              <w:rPr>
                <w:sz w:val="24"/>
                <w:szCs w:val="24"/>
                <w:color w:val="auto"/>
              </w:rPr>
            </w:pPr>
          </w:p>
        </w:tc>
        <w:tc>
          <w:tcPr>
            <w:tcW w:w="3440" w:type="dxa"/>
            <w:vAlign w:val="bottom"/>
          </w:tcPr>
          <w:p>
            <w:pPr>
              <w:ind w:left="100"/>
              <w:spacing w:after="0"/>
              <w:rPr>
                <w:sz w:val="20"/>
                <w:szCs w:val="20"/>
                <w:color w:val="auto"/>
              </w:rPr>
            </w:pPr>
            <w:r>
              <w:rPr>
                <w:rFonts w:ascii="Courier New" w:cs="Courier New" w:eastAsia="Courier New" w:hAnsi="Courier New"/>
                <w:sz w:val="14"/>
                <w:szCs w:val="14"/>
                <w:color w:val="auto"/>
              </w:rPr>
              <w:t>Diluted net income per share</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0.62</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0.49</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0.30</w:t>
            </w:r>
          </w:p>
        </w:tc>
      </w:tr>
      <w:tr>
        <w:trPr>
          <w:trHeight w:val="163"/>
        </w:trPr>
        <w:tc>
          <w:tcPr>
            <w:tcW w:w="3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w w:val="99"/>
              </w:rPr>
              <w:t>==================</w:t>
            </w:r>
          </w:p>
        </w:tc>
      </w:tr>
    </w:tbl>
    <w:p>
      <w:pPr>
        <w:spacing w:after="0" w:line="167" w:lineRule="exact"/>
        <w:rPr>
          <w:sz w:val="20"/>
          <w:szCs w:val="20"/>
          <w:color w:val="auto"/>
        </w:rPr>
      </w:pPr>
    </w:p>
    <w:p>
      <w:pPr>
        <w:ind w:left="440" w:right="3439"/>
        <w:spacing w:after="0" w:line="247" w:lineRule="auto"/>
        <w:rPr>
          <w:sz w:val="20"/>
          <w:szCs w:val="20"/>
          <w:color w:val="auto"/>
        </w:rPr>
      </w:pPr>
      <w:r>
        <w:rPr>
          <w:rFonts w:ascii="Courier New" w:cs="Courier New" w:eastAsia="Courier New" w:hAnsi="Courier New"/>
          <w:sz w:val="14"/>
          <w:szCs w:val="14"/>
          <w:color w:val="auto"/>
        </w:rPr>
        <w:t>Excluded from the shares outstanding for the years ended December 31, 2003, 2002 and 2001 were 0, 7 and 7 antidilutive options, respectively, which had an exercise price of $0 during 2003, $10.26 during 2002, and $10.26 during 2001.</w:t>
      </w:r>
    </w:p>
    <w:p>
      <w:pPr>
        <w:spacing w:after="0" w:line="164" w:lineRule="exact"/>
        <w:rPr>
          <w:sz w:val="20"/>
          <w:szCs w:val="20"/>
          <w:color w:val="auto"/>
        </w:rPr>
      </w:pPr>
    </w:p>
    <w:p>
      <w:pPr>
        <w:ind w:left="440" w:hanging="433"/>
        <w:spacing w:after="0"/>
        <w:tabs>
          <w:tab w:leader="none" w:pos="440" w:val="left"/>
        </w:tabs>
        <w:numPr>
          <w:ilvl w:val="0"/>
          <w:numId w:val="30"/>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Commitments and Contingencies</w:t>
      </w:r>
    </w:p>
    <w:p>
      <w:pPr>
        <w:spacing w:after="0" w:line="168" w:lineRule="exact"/>
        <w:rPr>
          <w:rFonts w:ascii="Courier New" w:cs="Courier New" w:eastAsia="Courier New" w:hAnsi="Courier New"/>
          <w:sz w:val="14"/>
          <w:szCs w:val="14"/>
          <w:b w:val="1"/>
          <w:bCs w:val="1"/>
          <w:color w:val="auto"/>
        </w:rPr>
      </w:pPr>
    </w:p>
    <w:p>
      <w:pPr>
        <w:ind w:left="440" w:right="359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The Company has operating lease commitments for machinery, office equipment, manufacturing and office space which expire on varying dates. Rent expense for 2003, 2002 and 2001 was $2,359, $1,855 and $1,650, respectively. The following is a schedule by year of future minimum lease payments as of December 31, 2003 under operating leases that have initial or remaining noncancelable lease terms in excess of one year.</w:t>
      </w:r>
    </w:p>
    <w:p>
      <w:pPr>
        <w:spacing w:after="0" w:line="327"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b w:val="1"/>
          <w:bCs w:val="1"/>
          <w:color w:val="auto"/>
        </w:rPr>
        <w:t>Year ended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 ----------------------------------------------------------------</w:t>
      </w:r>
    </w:p>
    <w:p>
      <w:pPr>
        <w:spacing w:after="0" w:line="168" w:lineRule="exact"/>
        <w:rPr>
          <w:sz w:val="20"/>
          <w:szCs w:val="20"/>
          <w:color w:val="auto"/>
        </w:rPr>
      </w:pPr>
    </w:p>
    <w:tbl>
      <w:tblPr>
        <w:tblLayout w:type="fixed"/>
        <w:tblInd w:w="680" w:type="dxa"/>
        <w:tblCellMar>
          <w:top w:w="0" w:type="dxa"/>
          <w:left w:w="0" w:type="dxa"/>
          <w:bottom w:w="0" w:type="dxa"/>
          <w:right w:w="0" w:type="dxa"/>
        </w:tblCellMar>
      </w:tblPr>
      <w:tr>
        <w:trPr>
          <w:trHeight w:val="160"/>
        </w:trPr>
        <w:tc>
          <w:tcPr>
            <w:tcW w:w="32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7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2,354</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72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2,086</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72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1,806</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72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1,770</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72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1,768</w:t>
            </w:r>
          </w:p>
        </w:tc>
      </w:tr>
      <w:tr>
        <w:trPr>
          <w:trHeight w:val="163"/>
        </w:trPr>
        <w:tc>
          <w:tcPr>
            <w:tcW w:w="32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72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17,262</w:t>
            </w:r>
          </w:p>
        </w:tc>
      </w:tr>
      <w:tr>
        <w:trPr>
          <w:trHeight w:val="163"/>
        </w:trPr>
        <w:tc>
          <w:tcPr>
            <w:tcW w:w="3280" w:type="dxa"/>
            <w:vAlign w:val="bottom"/>
          </w:tcPr>
          <w:p>
            <w:pPr>
              <w:spacing w:after="0"/>
              <w:rPr>
                <w:sz w:val="14"/>
                <w:szCs w:val="14"/>
                <w:color w:val="auto"/>
              </w:rPr>
            </w:pPr>
          </w:p>
        </w:tc>
        <w:tc>
          <w:tcPr>
            <w:tcW w:w="1480" w:type="dxa"/>
            <w:vAlign w:val="bottom"/>
            <w:gridSpan w:val="2"/>
          </w:tcPr>
          <w:p>
            <w:pPr>
              <w:ind w:left="380"/>
              <w:spacing w:after="0"/>
              <w:rPr>
                <w:sz w:val="20"/>
                <w:szCs w:val="20"/>
                <w:color w:val="auto"/>
              </w:rPr>
            </w:pPr>
            <w:r>
              <w:rPr>
                <w:rFonts w:ascii="Courier New" w:cs="Courier New" w:eastAsia="Courier New" w:hAnsi="Courier New"/>
                <w:sz w:val="14"/>
                <w:szCs w:val="14"/>
                <w:color w:val="auto"/>
                <w:w w:val="98"/>
              </w:rPr>
              <w:t>-------------</w:t>
            </w:r>
          </w:p>
        </w:tc>
      </w:tr>
      <w:tr>
        <w:trPr>
          <w:trHeight w:val="327"/>
        </w:trPr>
        <w:tc>
          <w:tcPr>
            <w:tcW w:w="3280" w:type="dxa"/>
            <w:vAlign w:val="bottom"/>
          </w:tcPr>
          <w:p>
            <w:pPr>
              <w:ind w:left="520"/>
              <w:spacing w:after="0"/>
              <w:rPr>
                <w:sz w:val="20"/>
                <w:szCs w:val="20"/>
                <w:color w:val="auto"/>
              </w:rPr>
            </w:pPr>
            <w:r>
              <w:rPr>
                <w:rFonts w:ascii="Courier New" w:cs="Courier New" w:eastAsia="Courier New" w:hAnsi="Courier New"/>
                <w:sz w:val="14"/>
                <w:szCs w:val="14"/>
                <w:color w:val="auto"/>
              </w:rPr>
              <w:t>Total minimum lease payments</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27,046</w:t>
            </w:r>
          </w:p>
        </w:tc>
      </w:tr>
      <w:tr>
        <w:trPr>
          <w:trHeight w:val="163"/>
        </w:trPr>
        <w:tc>
          <w:tcPr>
            <w:tcW w:w="3280" w:type="dxa"/>
            <w:vAlign w:val="bottom"/>
          </w:tcPr>
          <w:p>
            <w:pPr>
              <w:spacing w:after="0"/>
              <w:rPr>
                <w:sz w:val="14"/>
                <w:szCs w:val="14"/>
                <w:color w:val="auto"/>
              </w:rPr>
            </w:pPr>
          </w:p>
        </w:tc>
        <w:tc>
          <w:tcPr>
            <w:tcW w:w="1480" w:type="dxa"/>
            <w:vAlign w:val="bottom"/>
            <w:gridSpan w:val="2"/>
          </w:tcPr>
          <w:p>
            <w:pPr>
              <w:ind w:left="380"/>
              <w:spacing w:after="0"/>
              <w:rPr>
                <w:sz w:val="20"/>
                <w:szCs w:val="20"/>
                <w:color w:val="auto"/>
              </w:rPr>
            </w:pPr>
            <w:r>
              <w:rPr>
                <w:rFonts w:ascii="Courier New" w:cs="Courier New" w:eastAsia="Courier New" w:hAnsi="Courier New"/>
                <w:sz w:val="14"/>
                <w:szCs w:val="14"/>
                <w:color w:val="auto"/>
                <w:w w:val="98"/>
              </w:rPr>
              <w:t>=============</w:t>
            </w:r>
          </w:p>
        </w:tc>
      </w:tr>
    </w:tbl>
    <w:p>
      <w:pPr>
        <w:spacing w:after="0" w:line="330" w:lineRule="exact"/>
        <w:rPr>
          <w:sz w:val="20"/>
          <w:szCs w:val="20"/>
          <w:color w:val="auto"/>
        </w:rPr>
      </w:pPr>
    </w:p>
    <w:p>
      <w:pPr>
        <w:ind w:left="440" w:right="3439"/>
        <w:spacing w:after="0" w:line="247" w:lineRule="auto"/>
        <w:rPr>
          <w:sz w:val="20"/>
          <w:szCs w:val="20"/>
          <w:color w:val="auto"/>
        </w:rPr>
      </w:pPr>
      <w:r>
        <w:rPr>
          <w:rFonts w:ascii="Courier New" w:cs="Courier New" w:eastAsia="Courier New" w:hAnsi="Courier New"/>
          <w:sz w:val="14"/>
          <w:szCs w:val="14"/>
          <w:color w:val="auto"/>
        </w:rPr>
        <w:t>The Kilkenny operation of the NN Europe Segment has received certain grants from the Ireland government. These grants are based upon the Kilkenny facility hiring and retaining certain employment levels by the measurement date. At December 31, 2003, actual employment levels are less than those required by certain grant covenants. During 2002, the grant agreement measurement date was amended to extend the measurement date. The Company anticipates that, if necessary, the grant agreement measurement date and /or employment level thresholds would again be adjusted. As of December 31, 2003 and 2002 the grant obligation is recorded as a component of other non-current liabilities in the amount of $617 and $506, respectively.</w:t>
      </w:r>
    </w:p>
    <w:p>
      <w:pPr>
        <w:spacing w:after="0" w:line="164" w:lineRule="exact"/>
        <w:rPr>
          <w:sz w:val="20"/>
          <w:szCs w:val="20"/>
          <w:color w:val="auto"/>
        </w:rPr>
      </w:pPr>
    </w:p>
    <w:p>
      <w:pPr>
        <w:ind w:left="440" w:right="3699"/>
        <w:spacing w:after="0" w:line="247" w:lineRule="auto"/>
        <w:rPr>
          <w:sz w:val="20"/>
          <w:szCs w:val="20"/>
          <w:color w:val="auto"/>
        </w:rPr>
      </w:pPr>
      <w:r>
        <w:rPr>
          <w:rFonts w:ascii="Courier New" w:cs="Courier New" w:eastAsia="Courier New" w:hAnsi="Courier New"/>
          <w:sz w:val="14"/>
          <w:szCs w:val="14"/>
          <w:color w:val="auto"/>
        </w:rPr>
        <w:t>The NN Europe Segment has entered into a supply contract with Ascometal France ("Ascometal") for the purchase of steel for ball production. The contract terms specify that Ascometal provide Euroball 90%, 90%, 85% and</w:t>
      </w:r>
    </w:p>
    <w:p>
      <w:pPr>
        <w:ind w:left="440"/>
        <w:spacing w:after="0"/>
        <w:rPr>
          <w:sz w:val="20"/>
          <w:szCs w:val="20"/>
          <w:color w:val="auto"/>
        </w:rPr>
      </w:pPr>
      <w:r>
        <w:rPr>
          <w:rFonts w:ascii="Courier New" w:cs="Courier New" w:eastAsia="Courier New" w:hAnsi="Courier New"/>
          <w:sz w:val="14"/>
          <w:szCs w:val="14"/>
          <w:color w:val="auto"/>
        </w:rPr>
        <w:t>85% of its steel requirements for the years ending December 31, 2002, 2003,</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2004 and 2005,</w:t>
      </w:r>
    </w:p>
    <w:p>
      <w:pPr>
        <w:spacing w:after="0" w:line="331" w:lineRule="exact"/>
        <w:rPr>
          <w:sz w:val="20"/>
          <w:szCs w:val="20"/>
          <w:color w:val="auto"/>
        </w:rPr>
      </w:pPr>
    </w:p>
    <w:p>
      <w:pPr>
        <w:jc w:val="both"/>
        <w:ind w:left="3320"/>
        <w:spacing w:after="0"/>
        <w:tabs>
          <w:tab w:leader="none" w:pos="6020" w:val="left"/>
        </w:tabs>
        <w:rPr>
          <w:sz w:val="20"/>
          <w:szCs w:val="20"/>
          <w:color w:val="auto"/>
        </w:rPr>
      </w:pPr>
      <w:r>
        <w:rPr>
          <w:rFonts w:ascii="Courier New" w:cs="Courier New" w:eastAsia="Courier New" w:hAnsi="Courier New"/>
          <w:sz w:val="14"/>
          <w:szCs w:val="14"/>
          <w:color w:val="auto"/>
        </w:rPr>
        <w:t>57</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ectPr>
          <w:pgSz w:w="11900" w:h="16838" w:orient="portrait"/>
          <w:cols w:equalWidth="0" w:num="1">
            <w:col w:w="10239"/>
          </w:cols>
          <w:pgMar w:left="220" w:top="141" w:right="1440" w:bottom="154" w:gutter="0" w:footer="0" w:header="0"/>
        </w:sectPr>
      </w:pPr>
    </w:p>
    <w:bookmarkStart w:id="44" w:name="page45"/>
    <w:bookmarkEnd w:id="44"/>
    <w:p>
      <w:pPr>
        <w:jc w:val="center"/>
        <w:ind w:right="3439"/>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b w:val="1"/>
          <w:bCs w:val="1"/>
          <w:color w:val="auto"/>
        </w:rPr>
        <w:t>December 31, 2003, 2002 and 2001</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200" w:lineRule="exact"/>
        <w:rPr>
          <w:sz w:val="20"/>
          <w:szCs w:val="20"/>
          <w:color w:val="auto"/>
        </w:rPr>
      </w:pPr>
    </w:p>
    <w:p>
      <w:pPr>
        <w:spacing w:after="0" w:line="295" w:lineRule="exact"/>
        <w:rPr>
          <w:sz w:val="20"/>
          <w:szCs w:val="20"/>
          <w:color w:val="auto"/>
        </w:rPr>
      </w:pPr>
    </w:p>
    <w:p>
      <w:pPr>
        <w:ind w:left="440" w:right="3519"/>
        <w:spacing w:after="0" w:line="247" w:lineRule="auto"/>
        <w:rPr>
          <w:sz w:val="20"/>
          <w:szCs w:val="20"/>
          <w:color w:val="auto"/>
        </w:rPr>
      </w:pPr>
      <w:r>
        <w:rPr>
          <w:rFonts w:ascii="Courier New" w:cs="Courier New" w:eastAsia="Courier New" w:hAnsi="Courier New"/>
          <w:sz w:val="14"/>
          <w:szCs w:val="14"/>
          <w:color w:val="auto"/>
        </w:rPr>
        <w:t>respectively. The contract, among other things, stipulates that Ascometal achieve certain performance targets related to quality, reliability and service. The contract provisions include annual price adjustments based upon published indexes in addition to annual productivity improvement factor multiples. In 2003, Euroball purchased approximately $23,400 under the terms of this contract. Annual purchase commitments for the remaining term of the contract are approximately $23,639 and $24,112 for 2004 and 2005, respectively. The contract expires December 31, 2005, however, it is automatically renewed for one year periods thereafter unless notice is provided by either Euroball or Ascometal.</w:t>
      </w:r>
    </w:p>
    <w:p>
      <w:pPr>
        <w:spacing w:after="0" w:line="164" w:lineRule="exact"/>
        <w:rPr>
          <w:sz w:val="20"/>
          <w:szCs w:val="20"/>
          <w:color w:val="auto"/>
        </w:rPr>
      </w:pPr>
    </w:p>
    <w:p>
      <w:pPr>
        <w:ind w:left="440" w:hanging="433"/>
        <w:spacing w:after="0"/>
        <w:tabs>
          <w:tab w:leader="none" w:pos="440" w:val="left"/>
        </w:tabs>
        <w:numPr>
          <w:ilvl w:val="0"/>
          <w:numId w:val="31"/>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Quarterly Results of Operations (Unaudited)</w:t>
      </w:r>
    </w:p>
    <w:p>
      <w:pPr>
        <w:spacing w:after="0" w:line="168" w:lineRule="exact"/>
        <w:rPr>
          <w:rFonts w:ascii="Courier New" w:cs="Courier New" w:eastAsia="Courier New" w:hAnsi="Courier New"/>
          <w:sz w:val="14"/>
          <w:szCs w:val="14"/>
          <w:b w:val="1"/>
          <w:bCs w:val="1"/>
          <w:color w:val="auto"/>
        </w:rPr>
      </w:pPr>
    </w:p>
    <w:p>
      <w:pPr>
        <w:ind w:left="440" w:right="3519"/>
        <w:spacing w:after="0" w:line="249"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The following summarizes the unaudited quarterly results of operations for the years ended December 31, 2003 and 2002.</w:t>
      </w:r>
    </w:p>
    <w:p>
      <w:pPr>
        <w:spacing w:after="0" w:line="161" w:lineRule="exact"/>
        <w:rPr>
          <w:sz w:val="20"/>
          <w:szCs w:val="20"/>
          <w:color w:val="auto"/>
        </w:rPr>
      </w:pPr>
    </w:p>
    <w:tbl>
      <w:tblPr>
        <w:tblLayout w:type="fixed"/>
        <w:tblInd w:w="600" w:type="dxa"/>
        <w:tblCellMar>
          <w:top w:w="0" w:type="dxa"/>
          <w:left w:w="0" w:type="dxa"/>
          <w:bottom w:w="0" w:type="dxa"/>
          <w:right w:w="0" w:type="dxa"/>
        </w:tblCellMar>
      </w:tblPr>
      <w:tr>
        <w:trPr>
          <w:trHeight w:val="160"/>
        </w:trPr>
        <w:tc>
          <w:tcPr>
            <w:tcW w:w="27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3"/>
          </w:tcPr>
          <w:p>
            <w:pPr>
              <w:ind w:left="80"/>
              <w:spacing w:after="0"/>
              <w:rPr>
                <w:sz w:val="20"/>
                <w:szCs w:val="20"/>
                <w:color w:val="auto"/>
              </w:rPr>
            </w:pPr>
            <w:r>
              <w:rPr>
                <w:rFonts w:ascii="Courier New" w:cs="Courier New" w:eastAsia="Courier New" w:hAnsi="Courier New"/>
                <w:sz w:val="14"/>
                <w:szCs w:val="14"/>
                <w:b w:val="1"/>
                <w:bCs w:val="1"/>
                <w:color w:val="auto"/>
              </w:rPr>
              <w:t>Year ended December 31, 2003</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327"/>
        </w:trPr>
        <w:tc>
          <w:tcPr>
            <w:tcW w:w="2720" w:type="dxa"/>
            <w:vAlign w:val="bottom"/>
          </w:tcPr>
          <w:p>
            <w:pPr>
              <w:spacing w:after="0"/>
              <w:rPr>
                <w:sz w:val="24"/>
                <w:szCs w:val="24"/>
                <w:color w:val="auto"/>
              </w:rPr>
            </w:pPr>
          </w:p>
        </w:tc>
        <w:tc>
          <w:tcPr>
            <w:tcW w:w="1860" w:type="dxa"/>
            <w:vAlign w:val="bottom"/>
          </w:tcPr>
          <w:p>
            <w:pPr>
              <w:jc w:val="right"/>
              <w:ind w:right="429"/>
              <w:spacing w:after="0"/>
              <w:rPr>
                <w:sz w:val="20"/>
                <w:szCs w:val="20"/>
                <w:color w:val="auto"/>
              </w:rPr>
            </w:pPr>
            <w:r>
              <w:rPr>
                <w:rFonts w:ascii="Courier New" w:cs="Courier New" w:eastAsia="Courier New" w:hAnsi="Courier New"/>
                <w:sz w:val="14"/>
                <w:szCs w:val="14"/>
                <w:b w:val="1"/>
                <w:bCs w:val="1"/>
                <w:color w:val="auto"/>
              </w:rPr>
              <w:t>March 31</w:t>
            </w:r>
          </w:p>
        </w:tc>
        <w:tc>
          <w:tcPr>
            <w:tcW w:w="180" w:type="dxa"/>
            <w:vAlign w:val="bottom"/>
          </w:tcPr>
          <w:p>
            <w:pPr>
              <w:spacing w:after="0"/>
              <w:rPr>
                <w:sz w:val="24"/>
                <w:szCs w:val="24"/>
                <w:color w:val="auto"/>
              </w:rPr>
            </w:pPr>
          </w:p>
        </w:tc>
        <w:tc>
          <w:tcPr>
            <w:tcW w:w="1440" w:type="dxa"/>
            <w:vAlign w:val="bottom"/>
          </w:tcPr>
          <w:p>
            <w:pPr>
              <w:ind w:left="340"/>
              <w:spacing w:after="0"/>
              <w:rPr>
                <w:sz w:val="20"/>
                <w:szCs w:val="20"/>
                <w:color w:val="auto"/>
              </w:rPr>
            </w:pPr>
            <w:r>
              <w:rPr>
                <w:rFonts w:ascii="Courier New" w:cs="Courier New" w:eastAsia="Courier New" w:hAnsi="Courier New"/>
                <w:sz w:val="14"/>
                <w:szCs w:val="14"/>
                <w:b w:val="1"/>
                <w:bCs w:val="1"/>
                <w:color w:val="auto"/>
              </w:rPr>
              <w:t>June 30</w:t>
            </w:r>
          </w:p>
        </w:tc>
        <w:tc>
          <w:tcPr>
            <w:tcW w:w="180" w:type="dxa"/>
            <w:vAlign w:val="bottom"/>
          </w:tcPr>
          <w:p>
            <w:pPr>
              <w:spacing w:after="0"/>
              <w:rPr>
                <w:sz w:val="24"/>
                <w:szCs w:val="24"/>
                <w:color w:val="auto"/>
              </w:rPr>
            </w:pPr>
          </w:p>
        </w:tc>
        <w:tc>
          <w:tcPr>
            <w:tcW w:w="1440" w:type="dxa"/>
            <w:vAlign w:val="bottom"/>
          </w:tcPr>
          <w:p>
            <w:pPr>
              <w:jc w:val="right"/>
              <w:ind w:right="449"/>
              <w:spacing w:after="0"/>
              <w:rPr>
                <w:sz w:val="20"/>
                <w:szCs w:val="20"/>
                <w:color w:val="auto"/>
              </w:rPr>
            </w:pPr>
            <w:r>
              <w:rPr>
                <w:rFonts w:ascii="Courier New" w:cs="Courier New" w:eastAsia="Courier New" w:hAnsi="Courier New"/>
                <w:sz w:val="14"/>
                <w:szCs w:val="14"/>
                <w:b w:val="1"/>
                <w:bCs w:val="1"/>
                <w:color w:val="auto"/>
              </w:rPr>
              <w:t>Sept. 30</w:t>
            </w:r>
          </w:p>
        </w:tc>
        <w:tc>
          <w:tcPr>
            <w:tcW w:w="160" w:type="dxa"/>
            <w:vAlign w:val="bottom"/>
          </w:tcPr>
          <w:p>
            <w:pPr>
              <w:spacing w:after="0"/>
              <w:rPr>
                <w:sz w:val="24"/>
                <w:szCs w:val="24"/>
                <w:color w:val="auto"/>
              </w:rPr>
            </w:pPr>
          </w:p>
        </w:tc>
        <w:tc>
          <w:tcPr>
            <w:tcW w:w="1540" w:type="dxa"/>
            <w:vAlign w:val="bottom"/>
          </w:tcPr>
          <w:p>
            <w:pPr>
              <w:jc w:val="right"/>
              <w:ind w:right="609"/>
              <w:spacing w:after="0"/>
              <w:rPr>
                <w:sz w:val="20"/>
                <w:szCs w:val="20"/>
                <w:color w:val="auto"/>
              </w:rPr>
            </w:pPr>
            <w:r>
              <w:rPr>
                <w:rFonts w:ascii="Courier New" w:cs="Courier New" w:eastAsia="Courier New" w:hAnsi="Courier New"/>
                <w:sz w:val="14"/>
                <w:szCs w:val="14"/>
                <w:b w:val="1"/>
                <w:bCs w:val="1"/>
                <w:color w:val="auto"/>
              </w:rPr>
              <w:t>Dec. 31</w:t>
            </w:r>
          </w:p>
        </w:tc>
      </w:tr>
      <w:tr>
        <w:trPr>
          <w:trHeight w:val="163"/>
        </w:trPr>
        <w:tc>
          <w:tcPr>
            <w:tcW w:w="2720" w:type="dxa"/>
            <w:vAlign w:val="bottom"/>
          </w:tcPr>
          <w:p>
            <w:pPr>
              <w:spacing w:after="0"/>
              <w:rPr>
                <w:sz w:val="14"/>
                <w:szCs w:val="14"/>
                <w:color w:val="auto"/>
              </w:rPr>
            </w:pPr>
          </w:p>
        </w:tc>
        <w:tc>
          <w:tcPr>
            <w:tcW w:w="1860" w:type="dxa"/>
            <w:vAlign w:val="bottom"/>
          </w:tcPr>
          <w:p>
            <w:pPr>
              <w:jc w:val="right"/>
              <w:ind w:right="89"/>
              <w:spacing w:after="0"/>
              <w:rPr>
                <w:sz w:val="20"/>
                <w:szCs w:val="20"/>
                <w:color w:val="auto"/>
              </w:rPr>
            </w:pPr>
            <w:r>
              <w:rPr>
                <w:rFonts w:ascii="Courier New" w:cs="Courier New" w:eastAsia="Courier New" w:hAnsi="Courier New"/>
                <w:sz w:val="14"/>
                <w:szCs w:val="14"/>
                <w:b w:val="1"/>
                <w:bCs w:val="1"/>
                <w:color w:val="auto"/>
              </w:rPr>
              <w:t>-----------------</w:t>
            </w:r>
          </w:p>
        </w:tc>
        <w:tc>
          <w:tcPr>
            <w:tcW w:w="1620" w:type="dxa"/>
            <w:vAlign w:val="bottom"/>
            <w:gridSpan w:val="2"/>
          </w:tcPr>
          <w:p>
            <w:pPr>
              <w:jc w:val="right"/>
              <w:ind w:right="89"/>
              <w:spacing w:after="0"/>
              <w:rPr>
                <w:sz w:val="20"/>
                <w:szCs w:val="20"/>
                <w:color w:val="auto"/>
              </w:rPr>
            </w:pPr>
            <w:r>
              <w:rPr>
                <w:rFonts w:ascii="Courier New" w:cs="Courier New" w:eastAsia="Courier New" w:hAnsi="Courier New"/>
                <w:sz w:val="14"/>
                <w:szCs w:val="14"/>
                <w:b w:val="1"/>
                <w:bCs w:val="1"/>
                <w:color w:val="auto"/>
              </w:rPr>
              <w:t>-----------------</w:t>
            </w:r>
          </w:p>
        </w:tc>
        <w:tc>
          <w:tcPr>
            <w:tcW w:w="1620" w:type="dxa"/>
            <w:vAlign w:val="bottom"/>
            <w:gridSpan w:val="2"/>
          </w:tcPr>
          <w:p>
            <w:pPr>
              <w:jc w:val="right"/>
              <w:ind w:right="109"/>
              <w:spacing w:after="0"/>
              <w:rPr>
                <w:sz w:val="20"/>
                <w:szCs w:val="20"/>
                <w:color w:val="auto"/>
              </w:rPr>
            </w:pPr>
            <w:r>
              <w:rPr>
                <w:rFonts w:ascii="Courier New" w:cs="Courier New" w:eastAsia="Courier New" w:hAnsi="Courier New"/>
                <w:sz w:val="14"/>
                <w:szCs w:val="14"/>
                <w:b w:val="1"/>
                <w:bCs w:val="1"/>
                <w:color w:val="auto"/>
                <w:w w:val="99"/>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b w:val="1"/>
                <w:bCs w:val="1"/>
                <w:color w:val="auto"/>
                <w:w w:val="99"/>
              </w:rPr>
              <w:t>-----------------</w:t>
            </w:r>
          </w:p>
        </w:tc>
      </w:tr>
      <w:tr>
        <w:trPr>
          <w:trHeight w:val="327"/>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$57,609</w:t>
            </w:r>
          </w:p>
        </w:tc>
        <w:tc>
          <w:tcPr>
            <w:tcW w:w="180" w:type="dxa"/>
            <w:vAlign w:val="bottom"/>
          </w:tcPr>
          <w:p>
            <w:pPr>
              <w:spacing w:after="0"/>
              <w:rPr>
                <w:sz w:val="24"/>
                <w:szCs w:val="2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64,194</w:t>
            </w:r>
          </w:p>
        </w:tc>
        <w:tc>
          <w:tcPr>
            <w:tcW w:w="180" w:type="dxa"/>
            <w:vAlign w:val="bottom"/>
          </w:tcPr>
          <w:p>
            <w:pPr>
              <w:spacing w:after="0"/>
              <w:rPr>
                <w:sz w:val="24"/>
                <w:szCs w:val="2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64,612</w:t>
            </w:r>
          </w:p>
        </w:tc>
        <w:tc>
          <w:tcPr>
            <w:tcW w:w="160" w:type="dxa"/>
            <w:vAlign w:val="bottom"/>
          </w:tcPr>
          <w:p>
            <w:pPr>
              <w:spacing w:after="0"/>
              <w:rPr>
                <w:sz w:val="24"/>
                <w:szCs w:val="24"/>
                <w:color w:val="auto"/>
              </w:rPr>
            </w:pP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$67,047</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8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7,155</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2,497</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5,653</w:t>
            </w:r>
          </w:p>
        </w:tc>
        <w:tc>
          <w:tcPr>
            <w:tcW w:w="160" w:type="dxa"/>
            <w:vAlign w:val="bottom"/>
          </w:tcPr>
          <w:p>
            <w:pPr>
              <w:spacing w:after="0"/>
              <w:rPr>
                <w:sz w:val="14"/>
                <w:szCs w:val="14"/>
                <w:color w:val="auto"/>
              </w:rPr>
            </w:pP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4,473</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3,643</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697</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3,164</w:t>
            </w:r>
          </w:p>
        </w:tc>
        <w:tc>
          <w:tcPr>
            <w:tcW w:w="160" w:type="dxa"/>
            <w:vAlign w:val="bottom"/>
          </w:tcPr>
          <w:p>
            <w:pPr>
              <w:spacing w:after="0"/>
              <w:rPr>
                <w:sz w:val="14"/>
                <w:szCs w:val="14"/>
                <w:color w:val="auto"/>
              </w:rPr>
            </w:pP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2,674</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Basic net income per share</w:t>
            </w:r>
          </w:p>
        </w:tc>
        <w:tc>
          <w:tcPr>
            <w:tcW w:w="18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0.24</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0.04</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0.19</w:t>
            </w:r>
          </w:p>
        </w:tc>
        <w:tc>
          <w:tcPr>
            <w:tcW w:w="160" w:type="dxa"/>
            <w:vAlign w:val="bottom"/>
          </w:tcPr>
          <w:p>
            <w:pPr>
              <w:spacing w:after="0"/>
              <w:rPr>
                <w:sz w:val="14"/>
                <w:szCs w:val="14"/>
                <w:color w:val="auto"/>
              </w:rPr>
            </w:pP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0.16</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Dilutive net income per share</w:t>
            </w:r>
          </w:p>
        </w:tc>
        <w:tc>
          <w:tcPr>
            <w:tcW w:w="18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0.23</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0.04</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0.18</w:t>
            </w:r>
          </w:p>
        </w:tc>
        <w:tc>
          <w:tcPr>
            <w:tcW w:w="160" w:type="dxa"/>
            <w:vAlign w:val="bottom"/>
          </w:tcPr>
          <w:p>
            <w:pPr>
              <w:spacing w:after="0"/>
              <w:rPr>
                <w:sz w:val="14"/>
                <w:szCs w:val="14"/>
                <w:color w:val="auto"/>
              </w:rPr>
            </w:pP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0.16</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Weighted average shares</w:t>
            </w: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2720" w:type="dxa"/>
            <w:vAlign w:val="bottom"/>
          </w:tcPr>
          <w:p>
            <w:pPr>
              <w:ind w:left="340"/>
              <w:spacing w:after="0"/>
              <w:rPr>
                <w:sz w:val="20"/>
                <w:szCs w:val="20"/>
                <w:color w:val="auto"/>
              </w:rPr>
            </w:pPr>
            <w:r>
              <w:rPr>
                <w:rFonts w:ascii="Courier New" w:cs="Courier New" w:eastAsia="Courier New" w:hAnsi="Courier New"/>
                <w:sz w:val="14"/>
                <w:szCs w:val="14"/>
                <w:color w:val="auto"/>
              </w:rPr>
              <w:t>outstanding:</w:t>
            </w: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2720" w:type="dxa"/>
            <w:vAlign w:val="bottom"/>
          </w:tcPr>
          <w:p>
            <w:pPr>
              <w:ind w:left="340"/>
              <w:spacing w:after="0"/>
              <w:rPr>
                <w:sz w:val="20"/>
                <w:szCs w:val="20"/>
                <w:color w:val="auto"/>
              </w:rPr>
            </w:pPr>
            <w:r>
              <w:rPr>
                <w:rFonts w:ascii="Courier New" w:cs="Courier New" w:eastAsia="Courier New" w:hAnsi="Courier New"/>
                <w:sz w:val="14"/>
                <w:szCs w:val="14"/>
                <w:color w:val="auto"/>
              </w:rPr>
              <w:t>Basic number of shares</w:t>
            </w:r>
          </w:p>
        </w:tc>
        <w:tc>
          <w:tcPr>
            <w:tcW w:w="18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15,378</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16,015</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16,660</w:t>
            </w:r>
          </w:p>
        </w:tc>
        <w:tc>
          <w:tcPr>
            <w:tcW w:w="160" w:type="dxa"/>
            <w:vAlign w:val="bottom"/>
          </w:tcPr>
          <w:p>
            <w:pPr>
              <w:spacing w:after="0"/>
              <w:rPr>
                <w:sz w:val="14"/>
                <w:szCs w:val="14"/>
                <w:color w:val="auto"/>
              </w:rPr>
            </w:pP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16,711</w:t>
            </w:r>
          </w:p>
        </w:tc>
      </w:tr>
      <w:tr>
        <w:trPr>
          <w:trHeight w:val="163"/>
        </w:trPr>
        <w:tc>
          <w:tcPr>
            <w:tcW w:w="2720" w:type="dxa"/>
            <w:vAlign w:val="bottom"/>
          </w:tcPr>
          <w:p>
            <w:pPr>
              <w:ind w:left="340"/>
              <w:spacing w:after="0"/>
              <w:rPr>
                <w:sz w:val="20"/>
                <w:szCs w:val="20"/>
                <w:color w:val="auto"/>
              </w:rPr>
            </w:pPr>
            <w:r>
              <w:rPr>
                <w:rFonts w:ascii="Courier New" w:cs="Courier New" w:eastAsia="Courier New" w:hAnsi="Courier New"/>
                <w:sz w:val="14"/>
                <w:szCs w:val="14"/>
                <w:color w:val="auto"/>
              </w:rPr>
              <w:t>Effect of dilutive stock</w:t>
            </w: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2720" w:type="dxa"/>
            <w:vAlign w:val="bottom"/>
          </w:tcPr>
          <w:p>
            <w:pPr>
              <w:ind w:left="520"/>
              <w:spacing w:after="0"/>
              <w:rPr>
                <w:sz w:val="20"/>
                <w:szCs w:val="20"/>
                <w:color w:val="auto"/>
              </w:rPr>
            </w:pPr>
            <w:r>
              <w:rPr>
                <w:rFonts w:ascii="Courier New" w:cs="Courier New" w:eastAsia="Courier New" w:hAnsi="Courier New"/>
                <w:sz w:val="14"/>
                <w:szCs w:val="14"/>
                <w:color w:val="auto"/>
              </w:rPr>
              <w:t>options</w:t>
            </w:r>
          </w:p>
        </w:tc>
        <w:tc>
          <w:tcPr>
            <w:tcW w:w="18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196</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450</w:t>
            </w:r>
          </w:p>
        </w:tc>
        <w:tc>
          <w:tcPr>
            <w:tcW w:w="180" w:type="dxa"/>
            <w:vAlign w:val="bottom"/>
          </w:tcPr>
          <w:p>
            <w:pPr>
              <w:spacing w:after="0"/>
              <w:rPr>
                <w:sz w:val="14"/>
                <w:szCs w:val="1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507</w:t>
            </w:r>
          </w:p>
        </w:tc>
        <w:tc>
          <w:tcPr>
            <w:tcW w:w="160" w:type="dxa"/>
            <w:vAlign w:val="bottom"/>
          </w:tcPr>
          <w:p>
            <w:pPr>
              <w:spacing w:after="0"/>
              <w:rPr>
                <w:sz w:val="14"/>
                <w:szCs w:val="14"/>
                <w:color w:val="auto"/>
              </w:rPr>
            </w:pP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470</w:t>
            </w:r>
          </w:p>
        </w:tc>
      </w:tr>
      <w:tr>
        <w:trPr>
          <w:trHeight w:val="163"/>
        </w:trPr>
        <w:tc>
          <w:tcPr>
            <w:tcW w:w="2720" w:type="dxa"/>
            <w:vAlign w:val="bottom"/>
          </w:tcPr>
          <w:p>
            <w:pPr>
              <w:spacing w:after="0"/>
              <w:rPr>
                <w:sz w:val="14"/>
                <w:szCs w:val="14"/>
                <w:color w:val="auto"/>
              </w:rPr>
            </w:pPr>
          </w:p>
        </w:tc>
        <w:tc>
          <w:tcPr>
            <w:tcW w:w="18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9"/>
              </w:rPr>
              <w:t>-----------------</w:t>
            </w:r>
          </w:p>
        </w:tc>
      </w:tr>
      <w:tr>
        <w:trPr>
          <w:trHeight w:val="327"/>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Diluted number of shares</w:t>
            </w:r>
          </w:p>
        </w:tc>
        <w:tc>
          <w:tcPr>
            <w:tcW w:w="186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15,574</w:t>
            </w:r>
          </w:p>
        </w:tc>
        <w:tc>
          <w:tcPr>
            <w:tcW w:w="180" w:type="dxa"/>
            <w:vAlign w:val="bottom"/>
          </w:tcPr>
          <w:p>
            <w:pPr>
              <w:spacing w:after="0"/>
              <w:rPr>
                <w:sz w:val="24"/>
                <w:szCs w:val="2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16,465</w:t>
            </w:r>
          </w:p>
        </w:tc>
        <w:tc>
          <w:tcPr>
            <w:tcW w:w="180" w:type="dxa"/>
            <w:vAlign w:val="bottom"/>
          </w:tcPr>
          <w:p>
            <w:pPr>
              <w:spacing w:after="0"/>
              <w:rPr>
                <w:sz w:val="24"/>
                <w:szCs w:val="2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17,167</w:t>
            </w:r>
          </w:p>
        </w:tc>
        <w:tc>
          <w:tcPr>
            <w:tcW w:w="160" w:type="dxa"/>
            <w:vAlign w:val="bottom"/>
          </w:tcPr>
          <w:p>
            <w:pPr>
              <w:spacing w:after="0"/>
              <w:rPr>
                <w:sz w:val="24"/>
                <w:szCs w:val="24"/>
                <w:color w:val="auto"/>
              </w:rPr>
            </w:pPr>
          </w:p>
        </w:tc>
        <w:tc>
          <w:tcPr>
            <w:tcW w:w="15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17,181</w:t>
            </w:r>
          </w:p>
        </w:tc>
      </w:tr>
      <w:tr>
        <w:trPr>
          <w:trHeight w:val="163"/>
        </w:trPr>
        <w:tc>
          <w:tcPr>
            <w:tcW w:w="2720" w:type="dxa"/>
            <w:vAlign w:val="bottom"/>
          </w:tcPr>
          <w:p>
            <w:pPr>
              <w:spacing w:after="0"/>
              <w:rPr>
                <w:sz w:val="14"/>
                <w:szCs w:val="14"/>
                <w:color w:val="auto"/>
              </w:rPr>
            </w:pPr>
          </w:p>
        </w:tc>
        <w:tc>
          <w:tcPr>
            <w:tcW w:w="18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17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w w:val="99"/>
              </w:rPr>
              <w:t>=================</w:t>
            </w:r>
          </w:p>
        </w:tc>
      </w:tr>
      <w:tr>
        <w:trPr>
          <w:trHeight w:val="327"/>
        </w:trPr>
        <w:tc>
          <w:tcPr>
            <w:tcW w:w="2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3"/>
          </w:tcPr>
          <w:p>
            <w:pPr>
              <w:ind w:left="340"/>
              <w:spacing w:after="0"/>
              <w:rPr>
                <w:sz w:val="20"/>
                <w:szCs w:val="20"/>
                <w:color w:val="auto"/>
              </w:rPr>
            </w:pPr>
            <w:r>
              <w:rPr>
                <w:rFonts w:ascii="Courier New" w:cs="Courier New" w:eastAsia="Courier New" w:hAnsi="Courier New"/>
                <w:sz w:val="14"/>
                <w:szCs w:val="14"/>
                <w:b w:val="1"/>
                <w:bCs w:val="1"/>
                <w:color w:val="auto"/>
              </w:rPr>
              <w:t>Year ended December 31, 2002</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7"/>
        </w:trPr>
        <w:tc>
          <w:tcPr>
            <w:tcW w:w="2720" w:type="dxa"/>
            <w:vAlign w:val="bottom"/>
          </w:tcPr>
          <w:p>
            <w:pPr>
              <w:spacing w:after="0"/>
              <w:rPr>
                <w:sz w:val="24"/>
                <w:szCs w:val="24"/>
                <w:color w:val="auto"/>
              </w:rPr>
            </w:pPr>
          </w:p>
        </w:tc>
        <w:tc>
          <w:tcPr>
            <w:tcW w:w="186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March 31</w:t>
            </w:r>
          </w:p>
        </w:tc>
        <w:tc>
          <w:tcPr>
            <w:tcW w:w="180" w:type="dxa"/>
            <w:vAlign w:val="bottom"/>
          </w:tcPr>
          <w:p>
            <w:pPr>
              <w:spacing w:after="0"/>
              <w:rPr>
                <w:sz w:val="24"/>
                <w:szCs w:val="24"/>
                <w:color w:val="auto"/>
              </w:rPr>
            </w:pPr>
          </w:p>
        </w:tc>
        <w:tc>
          <w:tcPr>
            <w:tcW w:w="1440" w:type="dxa"/>
            <w:vAlign w:val="bottom"/>
          </w:tcPr>
          <w:p>
            <w:pPr>
              <w:jc w:val="right"/>
              <w:ind w:right="269"/>
              <w:spacing w:after="0"/>
              <w:rPr>
                <w:sz w:val="20"/>
                <w:szCs w:val="20"/>
                <w:color w:val="auto"/>
              </w:rPr>
            </w:pPr>
            <w:r>
              <w:rPr>
                <w:rFonts w:ascii="Courier New" w:cs="Courier New" w:eastAsia="Courier New" w:hAnsi="Courier New"/>
                <w:sz w:val="14"/>
                <w:szCs w:val="14"/>
                <w:b w:val="1"/>
                <w:bCs w:val="1"/>
                <w:color w:val="auto"/>
              </w:rPr>
              <w:t>June 30</w:t>
            </w:r>
          </w:p>
        </w:tc>
        <w:tc>
          <w:tcPr>
            <w:tcW w:w="180" w:type="dxa"/>
            <w:vAlign w:val="bottom"/>
          </w:tcPr>
          <w:p>
            <w:pPr>
              <w:spacing w:after="0"/>
              <w:rPr>
                <w:sz w:val="24"/>
                <w:szCs w:val="24"/>
                <w:color w:val="auto"/>
              </w:rPr>
            </w:pPr>
          </w:p>
        </w:tc>
        <w:tc>
          <w:tcPr>
            <w:tcW w:w="1440" w:type="dxa"/>
            <w:vAlign w:val="bottom"/>
          </w:tcPr>
          <w:p>
            <w:pPr>
              <w:jc w:val="right"/>
              <w:ind w:right="189"/>
              <w:spacing w:after="0"/>
              <w:rPr>
                <w:sz w:val="20"/>
                <w:szCs w:val="20"/>
                <w:color w:val="auto"/>
              </w:rPr>
            </w:pPr>
            <w:r>
              <w:rPr>
                <w:rFonts w:ascii="Courier New" w:cs="Courier New" w:eastAsia="Courier New" w:hAnsi="Courier New"/>
                <w:sz w:val="14"/>
                <w:szCs w:val="14"/>
                <w:b w:val="1"/>
                <w:bCs w:val="1"/>
                <w:color w:val="auto"/>
              </w:rPr>
              <w:t>Sept. 30</w:t>
            </w:r>
          </w:p>
        </w:tc>
        <w:tc>
          <w:tcPr>
            <w:tcW w:w="160" w:type="dxa"/>
            <w:vAlign w:val="bottom"/>
          </w:tcPr>
          <w:p>
            <w:pPr>
              <w:spacing w:after="0"/>
              <w:rPr>
                <w:sz w:val="24"/>
                <w:szCs w:val="24"/>
                <w:color w:val="auto"/>
              </w:rPr>
            </w:pPr>
          </w:p>
        </w:tc>
        <w:tc>
          <w:tcPr>
            <w:tcW w:w="1540" w:type="dxa"/>
            <w:vAlign w:val="bottom"/>
          </w:tcPr>
          <w:p>
            <w:pPr>
              <w:jc w:val="right"/>
              <w:ind w:right="369"/>
              <w:spacing w:after="0"/>
              <w:rPr>
                <w:sz w:val="20"/>
                <w:szCs w:val="20"/>
                <w:color w:val="auto"/>
              </w:rPr>
            </w:pPr>
            <w:r>
              <w:rPr>
                <w:rFonts w:ascii="Courier New" w:cs="Courier New" w:eastAsia="Courier New" w:hAnsi="Courier New"/>
                <w:sz w:val="14"/>
                <w:szCs w:val="14"/>
                <w:b w:val="1"/>
                <w:bCs w:val="1"/>
                <w:color w:val="auto"/>
              </w:rPr>
              <w:t>Dec. 31</w:t>
            </w:r>
          </w:p>
        </w:tc>
      </w:tr>
      <w:tr>
        <w:trPr>
          <w:trHeight w:val="163"/>
        </w:trPr>
        <w:tc>
          <w:tcPr>
            <w:tcW w:w="2720" w:type="dxa"/>
            <w:vAlign w:val="bottom"/>
          </w:tcPr>
          <w:p>
            <w:pPr>
              <w:spacing w:after="0"/>
              <w:rPr>
                <w:sz w:val="14"/>
                <w:szCs w:val="14"/>
                <w:color w:val="auto"/>
              </w:rPr>
            </w:pPr>
          </w:p>
        </w:tc>
        <w:tc>
          <w:tcPr>
            <w:tcW w:w="2040" w:type="dxa"/>
            <w:vAlign w:val="bottom"/>
            <w:gridSpan w:val="2"/>
          </w:tcPr>
          <w:p>
            <w:pPr>
              <w:jc w:val="right"/>
              <w:ind w:right="9"/>
              <w:spacing w:after="0"/>
              <w:rPr>
                <w:sz w:val="20"/>
                <w:szCs w:val="20"/>
                <w:color w:val="auto"/>
              </w:rPr>
            </w:pPr>
            <w:r>
              <w:rPr>
                <w:rFonts w:ascii="Courier New" w:cs="Courier New" w:eastAsia="Courier New" w:hAnsi="Courier New"/>
                <w:sz w:val="14"/>
                <w:szCs w:val="14"/>
                <w:b w:val="1"/>
                <w:bCs w:val="1"/>
                <w:color w:val="auto"/>
              </w:rPr>
              <w:t>-----------------</w:t>
            </w: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b w:val="1"/>
                <w:bCs w:val="1"/>
                <w:color w:val="auto"/>
              </w:rPr>
              <w:t>-----------------</w:t>
            </w:r>
          </w:p>
        </w:tc>
        <w:tc>
          <w:tcPr>
            <w:tcW w:w="1600" w:type="dxa"/>
            <w:vAlign w:val="bottom"/>
            <w:gridSpan w:val="2"/>
          </w:tcPr>
          <w:p>
            <w:pPr>
              <w:jc w:val="right"/>
              <w:ind w:right="9"/>
              <w:spacing w:after="0"/>
              <w:rPr>
                <w:sz w:val="20"/>
                <w:szCs w:val="20"/>
                <w:color w:val="auto"/>
              </w:rPr>
            </w:pPr>
            <w:r>
              <w:rPr>
                <w:rFonts w:ascii="Courier New" w:cs="Courier New" w:eastAsia="Courier New" w:hAnsi="Courier New"/>
                <w:sz w:val="14"/>
                <w:szCs w:val="14"/>
                <w:b w:val="1"/>
                <w:bCs w:val="1"/>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b w:val="1"/>
                <w:bCs w:val="1"/>
                <w:color w:val="auto"/>
              </w:rPr>
              <w:t>-----------------</w:t>
            </w:r>
          </w:p>
        </w:tc>
      </w:tr>
      <w:tr>
        <w:trPr>
          <w:trHeight w:val="327"/>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  47,200</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49,186</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47,451</w:t>
            </w:r>
          </w:p>
        </w:tc>
        <w:tc>
          <w:tcPr>
            <w:tcW w:w="160" w:type="dxa"/>
            <w:vAlign w:val="bottom"/>
          </w:tcPr>
          <w:p>
            <w:pPr>
              <w:spacing w:after="0"/>
              <w:rPr>
                <w:sz w:val="24"/>
                <w:szCs w:val="24"/>
                <w:color w:val="auto"/>
              </w:rPr>
            </w:pPr>
          </w:p>
        </w:tc>
        <w:tc>
          <w:tcPr>
            <w:tcW w:w="15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49,019</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4,335</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5,503</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4,863</w:t>
            </w:r>
          </w:p>
        </w:tc>
        <w:tc>
          <w:tcPr>
            <w:tcW w:w="160" w:type="dxa"/>
            <w:vAlign w:val="bottom"/>
          </w:tcPr>
          <w:p>
            <w:pPr>
              <w:spacing w:after="0"/>
              <w:rPr>
                <w:sz w:val="14"/>
                <w:szCs w:val="14"/>
                <w:color w:val="auto"/>
              </w:rPr>
            </w:pPr>
          </w:p>
        </w:tc>
        <w:tc>
          <w:tcPr>
            <w:tcW w:w="15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4,258</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1,848</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2,408</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2,119</w:t>
            </w:r>
          </w:p>
        </w:tc>
        <w:tc>
          <w:tcPr>
            <w:tcW w:w="160" w:type="dxa"/>
            <w:vAlign w:val="bottom"/>
          </w:tcPr>
          <w:p>
            <w:pPr>
              <w:spacing w:after="0"/>
              <w:rPr>
                <w:sz w:val="14"/>
                <w:szCs w:val="14"/>
                <w:color w:val="auto"/>
              </w:rPr>
            </w:pPr>
          </w:p>
        </w:tc>
        <w:tc>
          <w:tcPr>
            <w:tcW w:w="15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1,384</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Basic net income per share</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0.16</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0.14</w:t>
            </w:r>
          </w:p>
        </w:tc>
        <w:tc>
          <w:tcPr>
            <w:tcW w:w="160" w:type="dxa"/>
            <w:vAlign w:val="bottom"/>
          </w:tcPr>
          <w:p>
            <w:pPr>
              <w:spacing w:after="0"/>
              <w:rPr>
                <w:sz w:val="14"/>
                <w:szCs w:val="14"/>
                <w:color w:val="auto"/>
              </w:rPr>
            </w:pPr>
          </w:p>
        </w:tc>
        <w:tc>
          <w:tcPr>
            <w:tcW w:w="15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0.09</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Dilutive net income per share</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0.15</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0.14</w:t>
            </w:r>
          </w:p>
        </w:tc>
        <w:tc>
          <w:tcPr>
            <w:tcW w:w="160" w:type="dxa"/>
            <w:vAlign w:val="bottom"/>
          </w:tcPr>
          <w:p>
            <w:pPr>
              <w:spacing w:after="0"/>
              <w:rPr>
                <w:sz w:val="14"/>
                <w:szCs w:val="14"/>
                <w:color w:val="auto"/>
              </w:rPr>
            </w:pPr>
          </w:p>
        </w:tc>
        <w:tc>
          <w:tcPr>
            <w:tcW w:w="15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0.09</w:t>
            </w:r>
          </w:p>
        </w:tc>
      </w:tr>
      <w:tr>
        <w:trPr>
          <w:trHeight w:val="163"/>
        </w:trPr>
        <w:tc>
          <w:tcPr>
            <w:tcW w:w="2720" w:type="dxa"/>
            <w:vAlign w:val="bottom"/>
          </w:tcPr>
          <w:p>
            <w:pPr>
              <w:spacing w:after="0"/>
              <w:rPr>
                <w:sz w:val="20"/>
                <w:szCs w:val="20"/>
                <w:color w:val="auto"/>
              </w:rPr>
            </w:pPr>
            <w:r>
              <w:rPr>
                <w:rFonts w:ascii="Courier New" w:cs="Courier New" w:eastAsia="Courier New" w:hAnsi="Courier New"/>
                <w:sz w:val="14"/>
                <w:szCs w:val="14"/>
                <w:color w:val="auto"/>
              </w:rPr>
              <w:t>Weighted average shares</w:t>
            </w: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2720" w:type="dxa"/>
            <w:vAlign w:val="bottom"/>
          </w:tcPr>
          <w:p>
            <w:pPr>
              <w:ind w:left="340"/>
              <w:spacing w:after="0"/>
              <w:rPr>
                <w:sz w:val="20"/>
                <w:szCs w:val="20"/>
                <w:color w:val="auto"/>
              </w:rPr>
            </w:pPr>
            <w:r>
              <w:rPr>
                <w:rFonts w:ascii="Courier New" w:cs="Courier New" w:eastAsia="Courier New" w:hAnsi="Courier New"/>
                <w:sz w:val="14"/>
                <w:szCs w:val="14"/>
                <w:color w:val="auto"/>
              </w:rPr>
              <w:t>outstanding:</w:t>
            </w: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2720" w:type="dxa"/>
            <w:vAlign w:val="bottom"/>
          </w:tcPr>
          <w:p>
            <w:pPr>
              <w:ind w:left="340"/>
              <w:spacing w:after="0"/>
              <w:rPr>
                <w:sz w:val="20"/>
                <w:szCs w:val="20"/>
                <w:color w:val="auto"/>
              </w:rPr>
            </w:pPr>
            <w:r>
              <w:rPr>
                <w:rFonts w:ascii="Courier New" w:cs="Courier New" w:eastAsia="Courier New" w:hAnsi="Courier New"/>
                <w:sz w:val="14"/>
                <w:szCs w:val="14"/>
                <w:color w:val="auto"/>
              </w:rPr>
              <w:t>Basic number of shares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15,341</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15,359</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15,368</w:t>
            </w:r>
          </w:p>
        </w:tc>
        <w:tc>
          <w:tcPr>
            <w:tcW w:w="160" w:type="dxa"/>
            <w:vAlign w:val="bottom"/>
          </w:tcPr>
          <w:p>
            <w:pPr>
              <w:spacing w:after="0"/>
              <w:rPr>
                <w:sz w:val="14"/>
                <w:szCs w:val="14"/>
                <w:color w:val="auto"/>
              </w:rPr>
            </w:pPr>
          </w:p>
        </w:tc>
        <w:tc>
          <w:tcPr>
            <w:tcW w:w="15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15,368</w:t>
            </w:r>
          </w:p>
        </w:tc>
      </w:tr>
      <w:tr>
        <w:trPr>
          <w:trHeight w:val="163"/>
        </w:trPr>
        <w:tc>
          <w:tcPr>
            <w:tcW w:w="2720" w:type="dxa"/>
            <w:vAlign w:val="bottom"/>
          </w:tcPr>
          <w:p>
            <w:pPr>
              <w:ind w:left="340"/>
              <w:spacing w:after="0"/>
              <w:rPr>
                <w:sz w:val="20"/>
                <w:szCs w:val="20"/>
                <w:color w:val="auto"/>
              </w:rPr>
            </w:pPr>
            <w:r>
              <w:rPr>
                <w:rFonts w:ascii="Courier New" w:cs="Courier New" w:eastAsia="Courier New" w:hAnsi="Courier New"/>
                <w:sz w:val="14"/>
                <w:szCs w:val="14"/>
                <w:color w:val="auto"/>
              </w:rPr>
              <w:t>Effect of dilutive stock</w:t>
            </w: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3"/>
        </w:trPr>
        <w:tc>
          <w:tcPr>
            <w:tcW w:w="2720" w:type="dxa"/>
            <w:vAlign w:val="bottom"/>
          </w:tcPr>
          <w:p>
            <w:pPr>
              <w:ind w:left="520"/>
              <w:spacing w:after="0"/>
              <w:rPr>
                <w:sz w:val="20"/>
                <w:szCs w:val="20"/>
                <w:color w:val="auto"/>
              </w:rPr>
            </w:pPr>
            <w:r>
              <w:rPr>
                <w:rFonts w:ascii="Courier New" w:cs="Courier New" w:eastAsia="Courier New" w:hAnsi="Courier New"/>
                <w:sz w:val="14"/>
                <w:szCs w:val="14"/>
                <w:color w:val="auto"/>
              </w:rPr>
              <w:t>options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394</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509</w:t>
            </w:r>
          </w:p>
        </w:tc>
        <w:tc>
          <w:tcPr>
            <w:tcW w:w="1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280</w:t>
            </w:r>
          </w:p>
        </w:tc>
        <w:tc>
          <w:tcPr>
            <w:tcW w:w="160" w:type="dxa"/>
            <w:vAlign w:val="bottom"/>
          </w:tcPr>
          <w:p>
            <w:pPr>
              <w:spacing w:after="0"/>
              <w:rPr>
                <w:sz w:val="14"/>
                <w:szCs w:val="14"/>
                <w:color w:val="auto"/>
              </w:rPr>
            </w:pPr>
          </w:p>
        </w:tc>
        <w:tc>
          <w:tcPr>
            <w:tcW w:w="15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341</w:t>
            </w:r>
          </w:p>
        </w:tc>
      </w:tr>
      <w:tr>
        <w:trPr>
          <w:trHeight w:val="163"/>
        </w:trPr>
        <w:tc>
          <w:tcPr>
            <w:tcW w:w="2720" w:type="dxa"/>
            <w:vAlign w:val="bottom"/>
          </w:tcPr>
          <w:p>
            <w:pPr>
              <w:spacing w:after="0"/>
              <w:rPr>
                <w:sz w:val="14"/>
                <w:szCs w:val="14"/>
                <w:color w:val="auto"/>
              </w:rPr>
            </w:pPr>
          </w:p>
        </w:tc>
        <w:tc>
          <w:tcPr>
            <w:tcW w:w="20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7"/>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Diluted number of shares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15,735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15,868</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15,648</w:t>
            </w:r>
          </w:p>
        </w:tc>
        <w:tc>
          <w:tcPr>
            <w:tcW w:w="160" w:type="dxa"/>
            <w:vAlign w:val="bottom"/>
          </w:tcPr>
          <w:p>
            <w:pPr>
              <w:spacing w:after="0"/>
              <w:rPr>
                <w:sz w:val="24"/>
                <w:szCs w:val="24"/>
                <w:color w:val="auto"/>
              </w:rPr>
            </w:pPr>
          </w:p>
        </w:tc>
        <w:tc>
          <w:tcPr>
            <w:tcW w:w="15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15,709</w:t>
            </w:r>
          </w:p>
        </w:tc>
      </w:tr>
      <w:tr>
        <w:trPr>
          <w:trHeight w:val="163"/>
        </w:trPr>
        <w:tc>
          <w:tcPr>
            <w:tcW w:w="2720" w:type="dxa"/>
            <w:vAlign w:val="bottom"/>
          </w:tcPr>
          <w:p>
            <w:pPr>
              <w:spacing w:after="0"/>
              <w:rPr>
                <w:sz w:val="14"/>
                <w:szCs w:val="14"/>
                <w:color w:val="auto"/>
              </w:rPr>
            </w:pPr>
          </w:p>
        </w:tc>
        <w:tc>
          <w:tcPr>
            <w:tcW w:w="20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7" w:lineRule="exact"/>
        <w:rPr>
          <w:sz w:val="20"/>
          <w:szCs w:val="20"/>
          <w:color w:val="auto"/>
        </w:rPr>
      </w:pPr>
    </w:p>
    <w:p>
      <w:pPr>
        <w:ind w:left="440" w:right="3519"/>
        <w:spacing w:after="0" w:line="247" w:lineRule="auto"/>
        <w:rPr>
          <w:sz w:val="20"/>
          <w:szCs w:val="20"/>
          <w:color w:val="auto"/>
        </w:rPr>
      </w:pPr>
      <w:r>
        <w:rPr>
          <w:rFonts w:ascii="Courier New" w:cs="Courier New" w:eastAsia="Courier New" w:hAnsi="Courier New"/>
          <w:sz w:val="14"/>
          <w:szCs w:val="14"/>
          <w:color w:val="auto"/>
        </w:rPr>
        <w:t>Second quarter and third quarter results in 2003 include a pre-tax charge of $3,047 ($1,950 of after-tax) and $(449) (($267) after-tax), respectively, related to asset write downs due to the closure of our NN Arte operation in Guadalajara, Mexico. These changes have been recorded as a component of income from operations.</w:t>
      </w:r>
    </w:p>
    <w:p>
      <w:pPr>
        <w:spacing w:after="0" w:line="164" w:lineRule="exact"/>
        <w:rPr>
          <w:sz w:val="20"/>
          <w:szCs w:val="20"/>
          <w:color w:val="auto"/>
        </w:rPr>
      </w:pPr>
    </w:p>
    <w:p>
      <w:pPr>
        <w:ind w:left="440" w:right="3439"/>
        <w:spacing w:after="0" w:line="247" w:lineRule="auto"/>
        <w:rPr>
          <w:sz w:val="20"/>
          <w:szCs w:val="20"/>
          <w:color w:val="auto"/>
        </w:rPr>
      </w:pPr>
      <w:r>
        <w:rPr>
          <w:rFonts w:ascii="Courier New" w:cs="Courier New" w:eastAsia="Courier New" w:hAnsi="Courier New"/>
          <w:sz w:val="14"/>
          <w:szCs w:val="14"/>
          <w:color w:val="auto"/>
        </w:rPr>
        <w:t>Fourth quarter results in 2002 include a pre-tax charge of $1,199 ($767 after-tax) related to asset write downs on the Company's Walterboro, SC production facility. This change has been recorded as a component of income from operations.</w:t>
      </w:r>
    </w:p>
    <w:p>
      <w:pPr>
        <w:spacing w:after="0" w:line="327" w:lineRule="exact"/>
        <w:rPr>
          <w:sz w:val="20"/>
          <w:szCs w:val="20"/>
          <w:color w:val="auto"/>
        </w:rPr>
      </w:pPr>
    </w:p>
    <w:p>
      <w:pPr>
        <w:ind w:left="3320"/>
        <w:spacing w:after="0"/>
        <w:tabs>
          <w:tab w:leader="none" w:pos="6020" w:val="left"/>
        </w:tabs>
        <w:rPr>
          <w:sz w:val="20"/>
          <w:szCs w:val="20"/>
          <w:color w:val="auto"/>
        </w:rPr>
      </w:pPr>
      <w:r>
        <w:rPr>
          <w:rFonts w:ascii="Courier New" w:cs="Courier New" w:eastAsia="Courier New" w:hAnsi="Courier New"/>
          <w:sz w:val="14"/>
          <w:szCs w:val="14"/>
          <w:color w:val="auto"/>
        </w:rPr>
        <w:t>58</w:t>
      </w:r>
      <w:r>
        <w:rPr>
          <w:sz w:val="20"/>
          <w:szCs w:val="20"/>
          <w:color w:val="auto"/>
        </w:rPr>
        <w:tab/>
      </w:r>
      <w:r>
        <w:rPr>
          <w:rFonts w:ascii="Courier New" w:cs="Courier New" w:eastAsia="Courier New" w:hAnsi="Courier New"/>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NN, Inc.</w:t>
      </w:r>
    </w:p>
    <w:p>
      <w:pPr>
        <w:spacing w:after="0" w:line="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b w:val="1"/>
          <w:bCs w:val="1"/>
          <w:color w:val="auto"/>
        </w:rPr>
        <w:t>Notes to Consolidated Financial Statements</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b w:val="1"/>
          <w:bCs w:val="1"/>
          <w:color w:val="auto"/>
        </w:rPr>
        <w:t>December 31, 2002, 2001 and 2000</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b w:val="1"/>
          <w:bCs w:val="1"/>
          <w:color w:val="auto"/>
        </w:rPr>
        <w:t>(In thousands, except per share data)</w:t>
      </w:r>
    </w:p>
    <w:p>
      <w:pPr>
        <w:spacing w:after="0" w:line="331" w:lineRule="exact"/>
        <w:rPr>
          <w:sz w:val="20"/>
          <w:szCs w:val="20"/>
          <w:color w:val="auto"/>
        </w:rPr>
      </w:pPr>
    </w:p>
    <w:p>
      <w:pPr>
        <w:ind w:left="440" w:hanging="433"/>
        <w:spacing w:after="0"/>
        <w:tabs>
          <w:tab w:leader="none" w:pos="440" w:val="left"/>
        </w:tabs>
        <w:numPr>
          <w:ilvl w:val="0"/>
          <w:numId w:val="32"/>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Fair Value of Financial Instruments</w:t>
      </w:r>
    </w:p>
    <w:p>
      <w:pPr>
        <w:spacing w:after="0" w:line="168" w:lineRule="exact"/>
        <w:rPr>
          <w:rFonts w:ascii="Courier New" w:cs="Courier New" w:eastAsia="Courier New" w:hAnsi="Courier New"/>
          <w:sz w:val="14"/>
          <w:szCs w:val="14"/>
          <w:b w:val="1"/>
          <w:bCs w:val="1"/>
          <w:color w:val="auto"/>
        </w:rPr>
      </w:pPr>
    </w:p>
    <w:p>
      <w:pPr>
        <w:ind w:left="440" w:right="359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Management believes the fair value of financial instruments approximate their carrying value due to the short maturity of these instruments or in the case of the Company's notes receivable and debt, due to the variable interest rates.</w:t>
      </w:r>
    </w:p>
    <w:p>
      <w:pPr>
        <w:spacing w:after="0" w:line="163" w:lineRule="exact"/>
        <w:rPr>
          <w:rFonts w:ascii="Courier New" w:cs="Courier New" w:eastAsia="Courier New" w:hAnsi="Courier New"/>
          <w:sz w:val="14"/>
          <w:szCs w:val="14"/>
          <w:b w:val="1"/>
          <w:bCs w:val="1"/>
          <w:color w:val="auto"/>
        </w:rPr>
      </w:pPr>
    </w:p>
    <w:p>
      <w:pPr>
        <w:ind w:left="440" w:hanging="433"/>
        <w:spacing w:after="0"/>
        <w:tabs>
          <w:tab w:leader="none" w:pos="440" w:val="left"/>
        </w:tabs>
        <w:numPr>
          <w:ilvl w:val="0"/>
          <w:numId w:val="32"/>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Involuntary Conversion</w:t>
      </w:r>
    </w:p>
    <w:p>
      <w:pPr>
        <w:spacing w:after="0" w:line="168" w:lineRule="exact"/>
        <w:rPr>
          <w:rFonts w:ascii="Courier New" w:cs="Courier New" w:eastAsia="Courier New" w:hAnsi="Courier New"/>
          <w:sz w:val="14"/>
          <w:szCs w:val="14"/>
          <w:b w:val="1"/>
          <w:bCs w:val="1"/>
          <w:color w:val="auto"/>
        </w:rPr>
      </w:pPr>
    </w:p>
    <w:p>
      <w:pPr>
        <w:ind w:left="440"/>
        <w:spacing w:after="0"/>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On March 12, 2000, a fire damaged a portion of the Company's manufacturing</w:t>
      </w:r>
    </w:p>
    <w:p>
      <w:pPr>
        <w:sectPr>
          <w:pgSz w:w="11900" w:h="16838" w:orient="portrait"/>
          <w:cols w:equalWidth="0" w:num="1">
            <w:col w:w="10239"/>
          </w:cols>
          <w:pgMar w:left="220" w:top="631" w:right="1440" w:bottom="0" w:gutter="0" w:footer="0" w:header="0"/>
        </w:sectPr>
      </w:pPr>
    </w:p>
    <w:bookmarkStart w:id="45" w:name="page46"/>
    <w:bookmarkEnd w:id="45"/>
    <w:p>
      <w:pPr>
        <w:ind w:left="440" w:right="3439"/>
        <w:spacing w:after="0" w:line="247" w:lineRule="auto"/>
        <w:rPr>
          <w:sz w:val="20"/>
          <w:szCs w:val="20"/>
          <w:color w:val="auto"/>
        </w:rPr>
      </w:pPr>
      <w:r>
        <w:rPr>
          <w:rFonts w:ascii="Courier New" w:cs="Courier New" w:eastAsia="Courier New" w:hAnsi="Courier New"/>
          <w:sz w:val="14"/>
          <w:szCs w:val="14"/>
          <w:color w:val="auto"/>
        </w:rPr>
        <w:t>plant in Erwin, Tennessee. The fire was contained to approximately 30% of the productions area and did not result in serious injury to any employee. Affected production was shifted to the Company's other facilities as possible as well as the use of other certain suppliers to protect product supply to customers. Insurance coverage for the loss provided for reimbursement of the replacement value of property and equipment damaged in the fire. As of December 31, 2001 the Company has settled the insurance claim. For the year ended December 31, 2001 the net gain on involuntary conversion of $3,901 represents insurance proceeds received in excess of costs incurred. There were no amounts recorded as related involuntary conversion for the years ended December 31, 2003 and 2002.</w:t>
      </w:r>
    </w:p>
    <w:p>
      <w:pPr>
        <w:spacing w:after="0" w:line="164" w:lineRule="exact"/>
        <w:rPr>
          <w:sz w:val="20"/>
          <w:szCs w:val="20"/>
          <w:color w:val="auto"/>
        </w:rPr>
      </w:pPr>
    </w:p>
    <w:p>
      <w:pPr>
        <w:ind w:left="440" w:hanging="433"/>
        <w:spacing w:after="0"/>
        <w:tabs>
          <w:tab w:leader="none" w:pos="440" w:val="left"/>
        </w:tabs>
        <w:numPr>
          <w:ilvl w:val="0"/>
          <w:numId w:val="33"/>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Accumulated Other Comprehensive Income</w:t>
      </w:r>
    </w:p>
    <w:p>
      <w:pPr>
        <w:spacing w:after="0" w:line="168" w:lineRule="exact"/>
        <w:rPr>
          <w:rFonts w:ascii="Courier New" w:cs="Courier New" w:eastAsia="Courier New" w:hAnsi="Courier New"/>
          <w:sz w:val="14"/>
          <w:szCs w:val="14"/>
          <w:b w:val="1"/>
          <w:bCs w:val="1"/>
          <w:color w:val="auto"/>
        </w:rPr>
      </w:pPr>
    </w:p>
    <w:p>
      <w:pPr>
        <w:ind w:left="440" w:right="343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At December 31, 2003 the Company has included in accumulated other comprehensive income (loss) unrealized income due to foreign currency translation of $9,667, and at December 31, 2002 the Company has included in accumulated other comprehensive income (loss) an unrealized loss due to foreign currency translation of ($1,606). Income taxes on the foreign currency translation adjustment in other comprehensive income (loss) were not recognized because the earnings are intended to be indefinitely reinvested in those operations. Also included in accumulated other comprehensive loss as of December 31, 2003, and 2002 were additional minimum pension liability, net of tax of ($258) and ($81), respectively.</w:t>
      </w:r>
    </w:p>
    <w:p>
      <w:pPr>
        <w:spacing w:after="0" w:line="164" w:lineRule="exact"/>
        <w:rPr>
          <w:rFonts w:ascii="Courier New" w:cs="Courier New" w:eastAsia="Courier New" w:hAnsi="Courier New"/>
          <w:sz w:val="14"/>
          <w:szCs w:val="14"/>
          <w:b w:val="1"/>
          <w:bCs w:val="1"/>
          <w:color w:val="auto"/>
        </w:rPr>
      </w:pPr>
    </w:p>
    <w:p>
      <w:pPr>
        <w:ind w:left="440" w:hanging="433"/>
        <w:spacing w:after="0"/>
        <w:tabs>
          <w:tab w:leader="none" w:pos="440" w:val="left"/>
        </w:tabs>
        <w:numPr>
          <w:ilvl w:val="0"/>
          <w:numId w:val="33"/>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color w:val="auto"/>
        </w:rPr>
        <w:t>Sale of Common Stock</w:t>
      </w:r>
    </w:p>
    <w:p>
      <w:pPr>
        <w:spacing w:after="0" w:line="168" w:lineRule="exact"/>
        <w:rPr>
          <w:rFonts w:ascii="Courier New" w:cs="Courier New" w:eastAsia="Courier New" w:hAnsi="Courier New"/>
          <w:sz w:val="14"/>
          <w:szCs w:val="14"/>
          <w:b w:val="1"/>
          <w:bCs w:val="1"/>
          <w:color w:val="auto"/>
        </w:rPr>
      </w:pPr>
    </w:p>
    <w:p>
      <w:pPr>
        <w:ind w:left="440" w:right="3519"/>
        <w:spacing w:after="0" w:line="247" w:lineRule="auto"/>
        <w:rPr>
          <w:rFonts w:ascii="Courier New" w:cs="Courier New" w:eastAsia="Courier New" w:hAnsi="Courier New"/>
          <w:sz w:val="14"/>
          <w:szCs w:val="14"/>
          <w:b w:val="1"/>
          <w:bCs w:val="1"/>
          <w:color w:val="auto"/>
        </w:rPr>
      </w:pPr>
      <w:r>
        <w:rPr>
          <w:rFonts w:ascii="Courier New" w:cs="Courier New" w:eastAsia="Courier New" w:hAnsi="Courier New"/>
          <w:sz w:val="14"/>
          <w:szCs w:val="14"/>
          <w:color w:val="auto"/>
        </w:rPr>
        <w:t>During May 2003, we completed a public offering of 3.6 million shares of our stock by a group of selling shareholders. We did not receive any proceeds from the sale of the shares previously held by the group of selling shareholders, however, the underwriters did exercise their over-allotment option of 533,600 shares, which were offered by us. Net proceeds received by us in connection with the exercise of the over-allotment option were approximately $5.1 million, net of issue costs. Per the terms of our credit facility, we repaid a portion of our credit facility with these proceeds.</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9.</w:t>
      </w:r>
    </w:p>
    <w:p>
      <w:pPr>
        <w:spacing w:after="0" w:line="168" w:lineRule="exact"/>
        <w:rPr>
          <w:sz w:val="20"/>
          <w:szCs w:val="20"/>
          <w:color w:val="auto"/>
        </w:rPr>
      </w:pPr>
    </w:p>
    <w:p>
      <w:pPr>
        <w:ind w:right="4039"/>
        <w:spacing w:after="0" w:line="249" w:lineRule="auto"/>
        <w:rPr>
          <w:sz w:val="20"/>
          <w:szCs w:val="20"/>
          <w:color w:val="auto"/>
        </w:rPr>
      </w:pPr>
      <w:r>
        <w:rPr>
          <w:rFonts w:ascii="Courier New" w:cs="Courier New" w:eastAsia="Courier New" w:hAnsi="Courier New"/>
          <w:sz w:val="14"/>
          <w:szCs w:val="14"/>
          <w:b w:val="1"/>
          <w:bCs w:val="1"/>
          <w:color w:val="auto"/>
        </w:rPr>
        <w:t>Changes in and Disagreements with Accountants on Accounting and Financial Disclosure</w:t>
      </w:r>
    </w:p>
    <w:p>
      <w:pPr>
        <w:spacing w:after="0" w:line="161" w:lineRule="exact"/>
        <w:rPr>
          <w:sz w:val="20"/>
          <w:szCs w:val="20"/>
          <w:color w:val="auto"/>
        </w:rPr>
      </w:pPr>
    </w:p>
    <w:p>
      <w:pPr>
        <w:ind w:right="3519"/>
        <w:spacing w:after="0" w:line="248" w:lineRule="auto"/>
        <w:rPr>
          <w:sz w:val="20"/>
          <w:szCs w:val="20"/>
          <w:color w:val="auto"/>
        </w:rPr>
      </w:pPr>
      <w:r>
        <w:rPr>
          <w:rFonts w:ascii="Courier New" w:cs="Courier New" w:eastAsia="Courier New" w:hAnsi="Courier New"/>
          <w:sz w:val="14"/>
          <w:szCs w:val="14"/>
          <w:color w:val="auto"/>
        </w:rPr>
        <w:t>The information required by this Item was previously reported by the Company in Current Reports on Form 8-K and 8-K/A, dated August 25, 2003 and August 26, 2003.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9A.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Controls and Procedures</w:t>
      </w:r>
    </w:p>
    <w:p>
      <w:pPr>
        <w:spacing w:after="0" w:line="168" w:lineRule="exact"/>
        <w:rPr>
          <w:sz w:val="20"/>
          <w:szCs w:val="20"/>
          <w:color w:val="auto"/>
        </w:rPr>
      </w:pPr>
    </w:p>
    <w:p>
      <w:pPr>
        <w:ind w:right="3439" w:firstLine="432"/>
        <w:spacing w:after="0" w:line="247" w:lineRule="auto"/>
        <w:tabs>
          <w:tab w:leader="none" w:pos="84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2003,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164" w:lineRule="exact"/>
        <w:rPr>
          <w:rFonts w:ascii="Courier New" w:cs="Courier New" w:eastAsia="Courier New" w:hAnsi="Courier New"/>
          <w:sz w:val="14"/>
          <w:szCs w:val="14"/>
          <w:color w:val="auto"/>
        </w:rPr>
      </w:pPr>
    </w:p>
    <w:p>
      <w:pPr>
        <w:ind w:right="3519" w:firstLine="432"/>
        <w:spacing w:after="0" w:line="247" w:lineRule="auto"/>
        <w:tabs>
          <w:tab w:leader="none" w:pos="84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fiscal quarter ended December 31, 2003, there have been no changes in the Company's internal control over financial reporting or in other factors that have materially affected, or are reasonably likely to materially affect, the registrant's internal control over financial reporting.</w:t>
      </w:r>
    </w:p>
    <w:p>
      <w:pPr>
        <w:spacing w:after="0" w:line="32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b w:val="1"/>
          <w:bCs w:val="1"/>
          <w:color w:val="auto"/>
        </w:rPr>
        <w:t>Part III</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10.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Directors and Executive Officers of the Registrant</w:t>
      </w:r>
    </w:p>
    <w:p>
      <w:pPr>
        <w:spacing w:after="0" w:line="168" w:lineRule="exact"/>
        <w:rPr>
          <w:sz w:val="20"/>
          <w:szCs w:val="20"/>
          <w:color w:val="auto"/>
        </w:rPr>
      </w:pPr>
    </w:p>
    <w:p>
      <w:pPr>
        <w:ind w:right="359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Directors. </w:t>
      </w:r>
      <w:r>
        <w:rPr>
          <w:rFonts w:ascii="Courier New" w:cs="Courier New" w:eastAsia="Courier New" w:hAnsi="Courier New"/>
          <w:sz w:val="14"/>
          <w:szCs w:val="14"/>
          <w:color w:val="auto"/>
        </w:rPr>
        <w:t>The information required by Item 401 of Regulation S-K</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concerning the Company's directors is contained in the section entitled "Election of Directors -- Information about the Directors" of the Company's definitive Proxy Statement to be filed with the Securities and Exchange Commission within 120 days after December 31, 2003, in accordance with General Instruction G to Form 10-K, is hereby incorporated herein by reference.</w:t>
      </w:r>
    </w:p>
    <w:p>
      <w:pPr>
        <w:spacing w:after="0" w:line="164" w:lineRule="exact"/>
        <w:rPr>
          <w:sz w:val="20"/>
          <w:szCs w:val="20"/>
          <w:color w:val="auto"/>
        </w:rPr>
      </w:pPr>
    </w:p>
    <w:p>
      <w:pPr>
        <w:ind w:right="3519" w:firstLine="425"/>
        <w:spacing w:after="0" w:line="248" w:lineRule="auto"/>
        <w:rPr>
          <w:sz w:val="20"/>
          <w:szCs w:val="20"/>
          <w:color w:val="auto"/>
        </w:rPr>
      </w:pPr>
      <w:r>
        <w:rPr>
          <w:rFonts w:ascii="Courier New" w:cs="Courier New" w:eastAsia="Courier New" w:hAnsi="Courier New"/>
          <w:sz w:val="14"/>
          <w:szCs w:val="14"/>
          <w:i w:val="1"/>
          <w:iCs w:val="1"/>
          <w:color w:val="auto"/>
        </w:rPr>
        <w:t xml:space="preserve">Executive Officers. </w:t>
      </w:r>
      <w:r>
        <w:rPr>
          <w:rFonts w:ascii="Courier New" w:cs="Courier New" w:eastAsia="Courier New" w:hAnsi="Courier New"/>
          <w:sz w:val="14"/>
          <w:szCs w:val="14"/>
          <w:color w:val="auto"/>
        </w:rPr>
        <w:t>Information required by Item 401 of Regulation S-K</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concerning the Company's executive officers is set forth in Item 1 hereof under the caption "Executive Officers of the Registrant."</w:t>
      </w:r>
    </w:p>
    <w:p>
      <w:pPr>
        <w:spacing w:after="0" w:line="162" w:lineRule="exact"/>
        <w:rPr>
          <w:sz w:val="20"/>
          <w:szCs w:val="20"/>
          <w:color w:val="auto"/>
        </w:rPr>
      </w:pPr>
    </w:p>
    <w:p>
      <w:pPr>
        <w:ind w:right="3439"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Compliance with Section 16(a) of the Securities Exchange Act. </w:t>
      </w:r>
      <w:r>
        <w:rPr>
          <w:rFonts w:ascii="Courier New" w:cs="Courier New" w:eastAsia="Courier New" w:hAnsi="Courier New"/>
          <w:sz w:val="14"/>
          <w:szCs w:val="14"/>
          <w:color w:val="auto"/>
        </w:rPr>
        <w:t>The</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information required by Item 405 of Regulation S-K concerning compliance with Section 16(a) of the Securities Exchange Act by the Company's directors and executive officers and any 10% beneficial owners is contained in the section entitled "Section 16(a) Beneficial Ownership Reporting Compliance" of the Company's definitive Proxy Statement and, in accordance with General Instruction G to Form 10-K, is hereby incorporated herein by reference.</w:t>
      </w:r>
    </w:p>
    <w:p>
      <w:pPr>
        <w:sectPr>
          <w:pgSz w:w="11900" w:h="16838" w:orient="portrait"/>
          <w:cols w:equalWidth="0" w:num="1">
            <w:col w:w="10239"/>
          </w:cols>
          <w:pgMar w:left="220" w:top="141" w:right="1440" w:bottom="0" w:gutter="0" w:footer="0" w:header="0"/>
        </w:sectPr>
      </w:pPr>
    </w:p>
    <w:bookmarkStart w:id="46" w:name="page47"/>
    <w:bookmarkEnd w:id="46"/>
    <w:p>
      <w:pPr>
        <w:ind w:right="3820"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Code of Ethics. </w:t>
      </w:r>
      <w:r>
        <w:rPr>
          <w:rFonts w:ascii="Courier New" w:cs="Courier New" w:eastAsia="Courier New" w:hAnsi="Courier New"/>
          <w:sz w:val="14"/>
          <w:szCs w:val="14"/>
          <w:color w:val="auto"/>
        </w:rPr>
        <w:t>Our Code of Ethics (the "Code") was approved by our Board</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on November 6, 2003. The Code will be applicable to all officers, directors and employees. The Code will be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Audit Committee Financial Experts</w:t>
      </w:r>
    </w:p>
    <w:p>
      <w:pPr>
        <w:spacing w:after="0" w:line="331" w:lineRule="exact"/>
        <w:rPr>
          <w:sz w:val="20"/>
          <w:szCs w:val="20"/>
          <w:color w:val="auto"/>
        </w:rPr>
      </w:pPr>
    </w:p>
    <w:p>
      <w:pPr>
        <w:ind w:right="3820" w:firstLine="425"/>
        <w:spacing w:after="0" w:line="248" w:lineRule="auto"/>
        <w:rPr>
          <w:sz w:val="20"/>
          <w:szCs w:val="20"/>
          <w:color w:val="auto"/>
        </w:rPr>
      </w:pPr>
      <w:r>
        <w:rPr>
          <w:rFonts w:ascii="Courier New" w:cs="Courier New" w:eastAsia="Courier New" w:hAnsi="Courier New"/>
          <w:sz w:val="14"/>
          <w:szCs w:val="14"/>
          <w:i w:val="1"/>
          <w:iCs w:val="1"/>
          <w:color w:val="auto"/>
        </w:rPr>
        <w:t xml:space="preserve">Audit Committee Members and Financial Expert. </w:t>
      </w:r>
      <w:r>
        <w:rPr>
          <w:rFonts w:ascii="Courier New" w:cs="Courier New" w:eastAsia="Courier New" w:hAnsi="Courier New"/>
          <w:sz w:val="14"/>
          <w:szCs w:val="14"/>
          <w:color w:val="auto"/>
        </w:rPr>
        <w:t>Information required by Item</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401 of Regulation S-K concerning the Company's Audit Committee Members and Financial Expert is contained in the section entitled "Information about the</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820"/>
        <w:spacing w:after="0" w:line="249" w:lineRule="auto"/>
        <w:rPr>
          <w:sz w:val="20"/>
          <w:szCs w:val="20"/>
          <w:color w:val="auto"/>
        </w:rPr>
      </w:pPr>
      <w:r>
        <w:rPr>
          <w:rFonts w:ascii="Courier New" w:cs="Courier New" w:eastAsia="Courier New" w:hAnsi="Courier New"/>
          <w:sz w:val="14"/>
          <w:szCs w:val="14"/>
          <w:color w:val="auto"/>
        </w:rPr>
        <w:t>Directors" of the Company's definitive Proxy Statement and, in accordance with General Instruction G to Form 10-K, is hereby incorporated herein by reference.</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11. Executive Compensation</w:t>
      </w:r>
    </w:p>
    <w:p>
      <w:pPr>
        <w:spacing w:after="0" w:line="168" w:lineRule="exact"/>
        <w:rPr>
          <w:sz w:val="20"/>
          <w:szCs w:val="20"/>
          <w:color w:val="auto"/>
        </w:rPr>
      </w:pPr>
    </w:p>
    <w:p>
      <w:pPr>
        <w:ind w:right="3820" w:firstLine="425"/>
        <w:spacing w:after="0" w:line="247" w:lineRule="auto"/>
        <w:rPr>
          <w:sz w:val="20"/>
          <w:szCs w:val="20"/>
          <w:color w:val="auto"/>
        </w:rPr>
      </w:pPr>
      <w:r>
        <w:rPr>
          <w:rFonts w:ascii="Courier New" w:cs="Courier New" w:eastAsia="Courier New" w:hAnsi="Courier New"/>
          <w:sz w:val="14"/>
          <w:szCs w:val="14"/>
          <w:color w:val="auto"/>
        </w:rPr>
        <w:t>The information required by Item 402 of Regulation S-K is contained in the sections entitled "Information about the Election of Directors -- Compensation of Directors" and "Executive Compensation" of the Company's definitive Proxy Statement and, in accordance with General Instruction G to Form 10-K, is hereby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12. Security Ownership of Certain Beneficial Owners and Management</w:t>
      </w:r>
    </w:p>
    <w:p>
      <w:pPr>
        <w:spacing w:after="0" w:line="168" w:lineRule="exact"/>
        <w:rPr>
          <w:sz w:val="20"/>
          <w:szCs w:val="20"/>
          <w:color w:val="auto"/>
        </w:rPr>
      </w:pPr>
    </w:p>
    <w:p>
      <w:pPr>
        <w:ind w:right="3740" w:firstLine="425"/>
        <w:spacing w:after="0" w:line="247" w:lineRule="auto"/>
        <w:rPr>
          <w:sz w:val="20"/>
          <w:szCs w:val="20"/>
          <w:color w:val="auto"/>
        </w:rPr>
      </w:pPr>
      <w:r>
        <w:rPr>
          <w:rFonts w:ascii="Courier New" w:cs="Courier New" w:eastAsia="Courier New" w:hAnsi="Courier New"/>
          <w:sz w:val="14"/>
          <w:szCs w:val="14"/>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164" w:lineRule="exact"/>
        <w:rPr>
          <w:sz w:val="20"/>
          <w:szCs w:val="20"/>
          <w:color w:val="auto"/>
        </w:rPr>
      </w:pPr>
    </w:p>
    <w:p>
      <w:pPr>
        <w:ind w:right="3740"/>
        <w:spacing w:after="0" w:line="249" w:lineRule="auto"/>
        <w:rPr>
          <w:sz w:val="20"/>
          <w:szCs w:val="20"/>
          <w:color w:val="auto"/>
        </w:rPr>
      </w:pPr>
      <w:r>
        <w:rPr>
          <w:rFonts w:ascii="Courier New" w:cs="Courier New" w:eastAsia="Courier New" w:hAnsi="Courier New"/>
          <w:sz w:val="14"/>
          <w:szCs w:val="14"/>
          <w:color w:val="auto"/>
        </w:rPr>
        <w:t>Information required by Item 201 (d) of Regulations S-K concerning the Company's equity compensation plans is set forth in the table below:</w:t>
      </w:r>
    </w:p>
    <w:p>
      <w:pPr>
        <w:spacing w:after="0" w:line="16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b w:val="1"/>
          <w:bCs w:val="1"/>
          <w:color w:val="auto"/>
        </w:rPr>
        <w:t>Table of Equity Compensation Plan Information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tbl>
      <w:tblPr>
        <w:tblLayout w:type="fixed"/>
        <w:tblInd w:w="340" w:type="dxa"/>
        <w:tblCellMar>
          <w:top w:w="0" w:type="dxa"/>
          <w:left w:w="0" w:type="dxa"/>
          <w:bottom w:w="0" w:type="dxa"/>
          <w:right w:w="0" w:type="dxa"/>
        </w:tblCellMar>
      </w:tblPr>
      <w:tr>
        <w:trPr>
          <w:trHeight w:val="160"/>
        </w:trPr>
        <w:tc>
          <w:tcPr>
            <w:tcW w:w="1400" w:type="dxa"/>
            <w:vAlign w:val="bottom"/>
          </w:tcPr>
          <w:p>
            <w:pPr>
              <w:spacing w:after="0"/>
              <w:rPr>
                <w:sz w:val="20"/>
                <w:szCs w:val="20"/>
                <w:color w:val="auto"/>
              </w:rPr>
            </w:pPr>
            <w:r>
              <w:rPr>
                <w:rFonts w:ascii="Courier New" w:cs="Courier New" w:eastAsia="Courier New" w:hAnsi="Courier New"/>
                <w:sz w:val="14"/>
                <w:szCs w:val="14"/>
                <w:color w:val="auto"/>
              </w:rPr>
              <w:t>Plan Category</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Number of</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to</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Weighted</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-average exercise</w:t>
            </w:r>
          </w:p>
        </w:tc>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Number</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securities</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remaining</w:t>
            </w:r>
          </w:p>
        </w:tc>
      </w:tr>
      <w:tr>
        <w:trPr>
          <w:trHeight w:val="163"/>
        </w:trPr>
        <w:tc>
          <w:tcPr>
            <w:tcW w:w="140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be issued</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upon exercise</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price of</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outstanding options,</w:t>
            </w:r>
          </w:p>
        </w:tc>
        <w:tc>
          <w:tcPr>
            <w:tcW w:w="9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available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for future</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issuance under</w:t>
            </w:r>
          </w:p>
        </w:tc>
      </w:tr>
      <w:tr>
        <w:trPr>
          <w:trHeight w:val="163"/>
        </w:trPr>
        <w:tc>
          <w:tcPr>
            <w:tcW w:w="1400" w:type="dxa"/>
            <w:vAlign w:val="bottom"/>
          </w:tcPr>
          <w:p>
            <w:pPr>
              <w:spacing w:after="0"/>
              <w:rPr>
                <w:sz w:val="14"/>
                <w:szCs w:val="14"/>
                <w:color w:val="auto"/>
              </w:rPr>
            </w:pPr>
          </w:p>
        </w:tc>
        <w:tc>
          <w:tcPr>
            <w:tcW w:w="24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of outstanding options,</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warrants</w:t>
            </w:r>
          </w:p>
        </w:tc>
        <w:tc>
          <w:tcPr>
            <w:tcW w:w="1920" w:type="dxa"/>
            <w:vAlign w:val="bottom"/>
          </w:tcPr>
          <w:p>
            <w:pPr>
              <w:ind w:left="40"/>
              <w:spacing w:after="0"/>
              <w:rPr>
                <w:sz w:val="20"/>
                <w:szCs w:val="20"/>
                <w:color w:val="auto"/>
              </w:rPr>
            </w:pPr>
            <w:r>
              <w:rPr>
                <w:rFonts w:ascii="Courier New" w:cs="Courier New" w:eastAsia="Courier New" w:hAnsi="Courier New"/>
                <w:sz w:val="14"/>
                <w:szCs w:val="14"/>
                <w:color w:val="auto"/>
              </w:rPr>
              <w:t>and rights</w:t>
            </w:r>
          </w:p>
        </w:tc>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equity</w:t>
            </w:r>
          </w:p>
        </w:tc>
        <w:tc>
          <w:tcPr>
            <w:tcW w:w="25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compensation plans (excluding</w:t>
            </w:r>
          </w:p>
        </w:tc>
      </w:tr>
      <w:tr>
        <w:trPr>
          <w:trHeight w:val="163"/>
        </w:trPr>
        <w:tc>
          <w:tcPr>
            <w:tcW w:w="1400" w:type="dxa"/>
            <w:vAlign w:val="bottom"/>
          </w:tcPr>
          <w:p>
            <w:pPr>
              <w:spacing w:after="0"/>
              <w:rPr>
                <w:sz w:val="14"/>
                <w:szCs w:val="14"/>
                <w:color w:val="auto"/>
              </w:rPr>
            </w:pPr>
          </w:p>
        </w:tc>
        <w:tc>
          <w:tcPr>
            <w:tcW w:w="24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warrants and rights</w:t>
            </w: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2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securities reflected in column (a))</w:t>
            </w:r>
          </w:p>
        </w:tc>
      </w:tr>
      <w:tr>
        <w:trPr>
          <w:trHeight w:val="327"/>
        </w:trPr>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ind w:left="120"/>
              <w:spacing w:after="0"/>
              <w:rPr>
                <w:sz w:val="20"/>
                <w:szCs w:val="20"/>
                <w:color w:val="auto"/>
              </w:rPr>
            </w:pPr>
            <w:r>
              <w:rPr>
                <w:rFonts w:ascii="Courier New" w:cs="Courier New" w:eastAsia="Courier New" w:hAnsi="Courier New"/>
                <w:sz w:val="14"/>
                <w:szCs w:val="14"/>
                <w:color w:val="auto"/>
              </w:rPr>
              <w:t>(a)</w:t>
            </w:r>
          </w:p>
        </w:tc>
        <w:tc>
          <w:tcPr>
            <w:tcW w:w="900" w:type="dxa"/>
            <w:vAlign w:val="bottom"/>
          </w:tcPr>
          <w:p>
            <w:pPr>
              <w:spacing w:after="0"/>
              <w:rPr>
                <w:sz w:val="24"/>
                <w:szCs w:val="24"/>
                <w:color w:val="auto"/>
              </w:rPr>
            </w:pPr>
          </w:p>
        </w:tc>
        <w:tc>
          <w:tcPr>
            <w:tcW w:w="1920" w:type="dxa"/>
            <w:vAlign w:val="bottom"/>
          </w:tcPr>
          <w:p>
            <w:pPr>
              <w:ind w:left="460"/>
              <w:spacing w:after="0"/>
              <w:rPr>
                <w:sz w:val="20"/>
                <w:szCs w:val="20"/>
                <w:color w:val="auto"/>
              </w:rPr>
            </w:pPr>
            <w:r>
              <w:rPr>
                <w:rFonts w:ascii="Courier New" w:cs="Courier New" w:eastAsia="Courier New" w:hAnsi="Courier New"/>
                <w:sz w:val="14"/>
                <w:szCs w:val="14"/>
                <w:color w:val="auto"/>
              </w:rPr>
              <w:t>(b)</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(c)</w:t>
            </w:r>
          </w:p>
        </w:tc>
        <w:tc>
          <w:tcPr>
            <w:tcW w:w="1320" w:type="dxa"/>
            <w:vAlign w:val="bottom"/>
          </w:tcPr>
          <w:p>
            <w:pPr>
              <w:spacing w:after="0"/>
              <w:rPr>
                <w:sz w:val="24"/>
                <w:szCs w:val="24"/>
                <w:color w:val="auto"/>
              </w:rPr>
            </w:pPr>
          </w:p>
        </w:tc>
      </w:tr>
    </w:tbl>
    <w:p>
      <w:pPr>
        <w:spacing w:after="0" w:line="3" w:lineRule="exact"/>
        <w:rPr>
          <w:sz w:val="20"/>
          <w:szCs w:val="20"/>
          <w:color w:val="auto"/>
        </w:rPr>
      </w:pPr>
    </w:p>
    <w:p>
      <w:pPr>
        <w:ind w:left="180" w:hanging="173"/>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right="9080"/>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Equity compensation plans approved by</w:t>
      </w:r>
    </w:p>
    <w:tbl>
      <w:tblPr>
        <w:tblLayout w:type="fixed"/>
        <w:tblInd w:w="0" w:type="dxa"/>
        <w:tblCellMar>
          <w:top w:w="0" w:type="dxa"/>
          <w:left w:w="0" w:type="dxa"/>
          <w:bottom w:w="0" w:type="dxa"/>
          <w:right w:w="0" w:type="dxa"/>
        </w:tblCellMar>
      </w:tblPr>
      <w:tr>
        <w:trPr>
          <w:trHeight w:val="160"/>
        </w:trPr>
        <w:tc>
          <w:tcPr>
            <w:tcW w:w="2140" w:type="dxa"/>
            <w:vAlign w:val="bottom"/>
          </w:tcPr>
          <w:p>
            <w:pPr>
              <w:spacing w:after="0"/>
              <w:rPr>
                <w:sz w:val="20"/>
                <w:szCs w:val="20"/>
                <w:color w:val="auto"/>
              </w:rPr>
            </w:pPr>
            <w:r>
              <w:rPr>
                <w:rFonts w:ascii="Courier New" w:cs="Courier New" w:eastAsia="Courier New" w:hAnsi="Courier New"/>
                <w:sz w:val="14"/>
                <w:szCs w:val="14"/>
                <w:color w:val="auto"/>
              </w:rPr>
              <w:t>security holders</w:t>
            </w:r>
          </w:p>
        </w:tc>
        <w:tc>
          <w:tcPr>
            <w:tcW w:w="2240" w:type="dxa"/>
            <w:vAlign w:val="bottom"/>
          </w:tcPr>
          <w:p>
            <w:pPr>
              <w:jc w:val="right"/>
              <w:ind w:right="989"/>
              <w:spacing w:after="0"/>
              <w:rPr>
                <w:sz w:val="20"/>
                <w:szCs w:val="20"/>
                <w:color w:val="auto"/>
              </w:rPr>
            </w:pPr>
            <w:r>
              <w:rPr>
                <w:rFonts w:ascii="Courier New" w:cs="Courier New" w:eastAsia="Courier New" w:hAnsi="Courier New"/>
                <w:sz w:val="14"/>
                <w:szCs w:val="14"/>
                <w:color w:val="auto"/>
              </w:rPr>
              <w:t>1,251</w:t>
            </w:r>
          </w:p>
        </w:tc>
        <w:tc>
          <w:tcPr>
            <w:tcW w:w="2840" w:type="dxa"/>
            <w:vAlign w:val="bottom"/>
          </w:tcPr>
          <w:p>
            <w:pPr>
              <w:jc w:val="right"/>
              <w:ind w:right="1289"/>
              <w:spacing w:after="0"/>
              <w:rPr>
                <w:sz w:val="20"/>
                <w:szCs w:val="20"/>
                <w:color w:val="auto"/>
              </w:rPr>
            </w:pPr>
            <w:r>
              <w:rPr>
                <w:rFonts w:ascii="Courier New" w:cs="Courier New" w:eastAsia="Courier New" w:hAnsi="Courier New"/>
                <w:sz w:val="14"/>
                <w:szCs w:val="14"/>
                <w:color w:val="auto"/>
              </w:rPr>
              <w:t>$7.53</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447</w:t>
            </w:r>
          </w:p>
        </w:tc>
      </w:tr>
    </w:tbl>
    <w:p>
      <w:pPr>
        <w:spacing w:after="0" w:line="3" w:lineRule="exact"/>
        <w:rPr>
          <w:sz w:val="20"/>
          <w:szCs w:val="20"/>
          <w:color w:val="auto"/>
        </w:rPr>
      </w:pPr>
    </w:p>
    <w:p>
      <w:pPr>
        <w:ind w:left="180" w:hanging="173"/>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right="9000"/>
        <w:spacing w:after="0" w:line="24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Equity compensation plans not approved</w:t>
      </w:r>
    </w:p>
    <w:p>
      <w:pPr>
        <w:spacing w:after="0"/>
        <w:tabs>
          <w:tab w:leader="none" w:pos="3120" w:val="left"/>
          <w:tab w:leader="none" w:pos="5680" w:val="left"/>
          <w:tab w:leader="none" w:pos="8740" w:val="left"/>
        </w:tabs>
        <w:rPr>
          <w:sz w:val="20"/>
          <w:szCs w:val="20"/>
          <w:color w:val="auto"/>
        </w:rPr>
      </w:pPr>
      <w:r>
        <w:rPr>
          <w:rFonts w:ascii="Courier New" w:cs="Courier New" w:eastAsia="Courier New" w:hAnsi="Courier New"/>
          <w:sz w:val="14"/>
          <w:szCs w:val="14"/>
          <w:color w:val="auto"/>
        </w:rPr>
        <w:t>by security holders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5" w:lineRule="exact"/>
        <w:rPr>
          <w:sz w:val="20"/>
          <w:szCs w:val="20"/>
          <w:color w:val="auto"/>
        </w:rPr>
      </w:pPr>
    </w:p>
    <w:p>
      <w:pPr>
        <w:ind w:left="680"/>
        <w:spacing w:after="0"/>
        <w:tabs>
          <w:tab w:leader="none" w:pos="2880" w:val="left"/>
          <w:tab w:leader="none" w:pos="5420" w:val="left"/>
          <w:tab w:leader="none" w:pos="856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1,251</w:t>
      </w:r>
      <w:r>
        <w:rPr>
          <w:sz w:val="20"/>
          <w:szCs w:val="20"/>
          <w:color w:val="auto"/>
        </w:rPr>
        <w:tab/>
      </w:r>
      <w:r>
        <w:rPr>
          <w:rFonts w:ascii="Courier New" w:cs="Courier New" w:eastAsia="Courier New" w:hAnsi="Courier New"/>
          <w:sz w:val="14"/>
          <w:szCs w:val="14"/>
          <w:color w:val="auto"/>
        </w:rPr>
        <w:t>$7.53</w:t>
      </w:r>
      <w:r>
        <w:rPr>
          <w:sz w:val="20"/>
          <w:szCs w:val="20"/>
          <w:color w:val="auto"/>
        </w:rPr>
        <w:tab/>
      </w:r>
      <w:r>
        <w:rPr>
          <w:rFonts w:ascii="Courier New" w:cs="Courier New" w:eastAsia="Courier New" w:hAnsi="Courier New"/>
          <w:sz w:val="14"/>
          <w:szCs w:val="14"/>
          <w:color w:val="auto"/>
        </w:rPr>
        <w:t>447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13. Related Party Relationships</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None.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14. Principal Accountant Fees and Services</w:t>
      </w:r>
    </w:p>
    <w:p>
      <w:pPr>
        <w:spacing w:after="0" w:line="168" w:lineRule="exact"/>
        <w:rPr>
          <w:sz w:val="20"/>
          <w:szCs w:val="20"/>
          <w:color w:val="auto"/>
        </w:rPr>
      </w:pPr>
    </w:p>
    <w:p>
      <w:pPr>
        <w:ind w:right="3820" w:firstLine="425"/>
        <w:spacing w:after="0" w:line="247" w:lineRule="auto"/>
        <w:rPr>
          <w:sz w:val="20"/>
          <w:szCs w:val="20"/>
          <w:color w:val="auto"/>
        </w:rPr>
      </w:pPr>
      <w:r>
        <w:rPr>
          <w:rFonts w:ascii="Courier New" w:cs="Courier New" w:eastAsia="Courier New" w:hAnsi="Courier New"/>
          <w:sz w:val="14"/>
          <w:szCs w:val="14"/>
          <w:i w:val="1"/>
          <w:iCs w:val="1"/>
          <w:color w:val="auto"/>
        </w:rPr>
        <w:t xml:space="preserve">Accountants' Fees and Services. </w:t>
      </w:r>
      <w:r>
        <w:rPr>
          <w:rFonts w:ascii="Courier New" w:cs="Courier New" w:eastAsia="Courier New" w:hAnsi="Courier New"/>
          <w:sz w:val="14"/>
          <w:szCs w:val="14"/>
          <w:color w:val="auto"/>
        </w:rPr>
        <w:t>Information required by Item 2-01 of</w:t>
      </w:r>
      <w:r>
        <w:rPr>
          <w:rFonts w:ascii="Courier New" w:cs="Courier New" w:eastAsia="Courier New" w:hAnsi="Courier New"/>
          <w:sz w:val="14"/>
          <w:szCs w:val="14"/>
          <w:i w:val="1"/>
          <w:iCs w:val="1"/>
          <w:color w:val="auto"/>
        </w:rPr>
        <w:t xml:space="preserve"> </w:t>
      </w:r>
      <w:r>
        <w:rPr>
          <w:rFonts w:ascii="Courier New" w:cs="Courier New" w:eastAsia="Courier New" w:hAnsi="Courier New"/>
          <w:sz w:val="14"/>
          <w:szCs w:val="14"/>
          <w:color w:val="auto"/>
        </w:rPr>
        <w:t>Regulation S-X and Section 10A(i) of the Securities Exchange Act concerning the Company's Accountants' Fees and Services is contained in the section entitled "Fees Paid to Independent Auditors" of the Company's definitive Proxy Statement and, in accordance with General Instruction G to Form 10-K, is hereby incorporated herein by reference.</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b w:val="1"/>
          <w:bCs w:val="1"/>
          <w:color w:val="auto"/>
        </w:rPr>
        <w:t>Part IV</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Item 15. Exhibits, Financial Statement Schedules, and Reports on Form 8-K</w:t>
      </w:r>
    </w:p>
    <w:p>
      <w:pPr>
        <w:spacing w:after="0" w:line="168" w:lineRule="exact"/>
        <w:rPr>
          <w:sz w:val="20"/>
          <w:szCs w:val="20"/>
          <w:color w:val="auto"/>
        </w:rPr>
      </w:pPr>
    </w:p>
    <w:p>
      <w:pPr>
        <w:ind w:left="440" w:right="6200" w:hanging="433"/>
        <w:spacing w:after="0" w:line="496" w:lineRule="auto"/>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of Documents Filed as Part of this Report 1. Financial Statements</w:t>
      </w:r>
    </w:p>
    <w:p>
      <w:pPr>
        <w:sectPr>
          <w:pgSz w:w="11900" w:h="16838" w:orient="portrait"/>
          <w:cols w:equalWidth="0" w:num="1">
            <w:col w:w="10540"/>
          </w:cols>
          <w:pgMar w:left="220" w:top="141" w:right="1139" w:bottom="0" w:gutter="0" w:footer="0" w:header="0"/>
        </w:sectPr>
      </w:pPr>
    </w:p>
    <w:bookmarkStart w:id="47" w:name="page48"/>
    <w:bookmarkEnd w:id="47"/>
    <w:p>
      <w:pPr>
        <w:ind w:right="3439" w:firstLine="425"/>
        <w:spacing w:after="0" w:line="249" w:lineRule="auto"/>
        <w:rPr>
          <w:sz w:val="20"/>
          <w:szCs w:val="20"/>
          <w:color w:val="auto"/>
        </w:rPr>
      </w:pPr>
      <w:r>
        <w:rPr>
          <w:rFonts w:ascii="Courier New" w:cs="Courier New" w:eastAsia="Courier New" w:hAnsi="Courier New"/>
          <w:sz w:val="14"/>
          <w:szCs w:val="14"/>
          <w:color w:val="auto"/>
        </w:rPr>
        <w:t>The financial statements of the Company filed as part of this Annual Report on Form 10-K begin on the following pages hereof:</w:t>
      </w:r>
    </w:p>
    <w:p>
      <w:pPr>
        <w:spacing w:after="0" w:line="294" w:lineRule="exact"/>
        <w:rPr>
          <w:sz w:val="20"/>
          <w:szCs w:val="20"/>
          <w:color w:val="auto"/>
        </w:rPr>
      </w:pPr>
    </w:p>
    <w:tbl>
      <w:tblPr>
        <w:tblLayout w:type="fixed"/>
        <w:tblInd w:w="780" w:type="dxa"/>
        <w:tblCellMar>
          <w:top w:w="0" w:type="dxa"/>
          <w:left w:w="0" w:type="dxa"/>
          <w:bottom w:w="0" w:type="dxa"/>
          <w:right w:w="0" w:type="dxa"/>
        </w:tblCellMar>
      </w:tblPr>
      <w:tr>
        <w:trPr>
          <w:trHeight w:val="159"/>
        </w:trPr>
        <w:tc>
          <w:tcPr>
            <w:tcW w:w="110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Courier New" w:cs="Courier New" w:eastAsia="Courier New" w:hAnsi="Courier New"/>
                <w:sz w:val="14"/>
                <w:szCs w:val="14"/>
                <w:b w:val="1"/>
                <w:bCs w:val="1"/>
                <w:color w:val="auto"/>
                <w:w w:val="95"/>
              </w:rPr>
              <w:t>Page</w:t>
            </w:r>
          </w:p>
        </w:tc>
      </w:tr>
      <w:tr>
        <w:trPr>
          <w:trHeight w:val="338"/>
        </w:trPr>
        <w:tc>
          <w:tcPr>
            <w:tcW w:w="568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Auditors for the year ended December 31,</w:t>
            </w:r>
          </w:p>
        </w:tc>
        <w:tc>
          <w:tcPr>
            <w:tcW w:w="340" w:type="dxa"/>
            <w:vAlign w:val="bottom"/>
          </w:tcPr>
          <w:p>
            <w:pPr>
              <w:spacing w:after="0"/>
              <w:rPr>
                <w:sz w:val="24"/>
                <w:szCs w:val="24"/>
                <w:color w:val="auto"/>
              </w:rPr>
            </w:pPr>
          </w:p>
        </w:tc>
      </w:tr>
      <w:tr>
        <w:trPr>
          <w:trHeight w:val="163"/>
        </w:trPr>
        <w:tc>
          <w:tcPr>
            <w:tcW w:w="5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2003.................................................................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27"/>
        </w:trPr>
        <w:tc>
          <w:tcPr>
            <w:tcW w:w="5680" w:type="dxa"/>
            <w:vAlign w:val="bottom"/>
            <w:gridSpan w:val="2"/>
          </w:tcPr>
          <w:p>
            <w:pPr>
              <w:spacing w:after="0"/>
              <w:rPr>
                <w:sz w:val="20"/>
                <w:szCs w:val="20"/>
                <w:color w:val="auto"/>
              </w:rPr>
            </w:pPr>
            <w:r>
              <w:rPr>
                <w:rFonts w:ascii="Courier New" w:cs="Courier New" w:eastAsia="Courier New" w:hAnsi="Courier New"/>
                <w:sz w:val="14"/>
                <w:szCs w:val="14"/>
                <w:color w:val="auto"/>
              </w:rPr>
              <w:t>Report of Independent Auditors for the years ended December 31,</w:t>
            </w:r>
          </w:p>
        </w:tc>
        <w:tc>
          <w:tcPr>
            <w:tcW w:w="340" w:type="dxa"/>
            <w:vAlign w:val="bottom"/>
          </w:tcPr>
          <w:p>
            <w:pPr>
              <w:spacing w:after="0"/>
              <w:rPr>
                <w:sz w:val="24"/>
                <w:szCs w:val="24"/>
                <w:color w:val="auto"/>
              </w:rPr>
            </w:pPr>
          </w:p>
        </w:tc>
      </w:tr>
      <w:tr>
        <w:trPr>
          <w:trHeight w:val="163"/>
        </w:trPr>
        <w:tc>
          <w:tcPr>
            <w:tcW w:w="1100" w:type="dxa"/>
            <w:vAlign w:val="bottom"/>
          </w:tcPr>
          <w:p>
            <w:pPr>
              <w:spacing w:after="0"/>
              <w:rPr>
                <w:sz w:val="20"/>
                <w:szCs w:val="20"/>
                <w:color w:val="auto"/>
              </w:rPr>
            </w:pPr>
            <w:r>
              <w:rPr>
                <w:rFonts w:ascii="Courier New" w:cs="Courier New" w:eastAsia="Courier New" w:hAnsi="Courier New"/>
                <w:sz w:val="14"/>
                <w:szCs w:val="14"/>
                <w:color w:val="auto"/>
                <w:w w:val="98"/>
              </w:rPr>
              <w:t>2002 and 2001</w:t>
            </w:r>
          </w:p>
        </w:tc>
        <w:tc>
          <w:tcPr>
            <w:tcW w:w="4580" w:type="dxa"/>
            <w:vAlign w:val="bottom"/>
          </w:tcPr>
          <w:p>
            <w:pPr>
              <w:jc w:val="right"/>
              <w:spacing w:after="0"/>
              <w:rPr>
                <w:sz w:val="20"/>
                <w:szCs w:val="20"/>
                <w:color w:val="auto"/>
              </w:rPr>
            </w:pPr>
            <w:r>
              <w:rPr>
                <w:rFonts w:ascii="Courier New" w:cs="Courier New" w:eastAsia="Courier New" w:hAnsi="Courier New"/>
                <w:sz w:val="14"/>
                <w:szCs w:val="14"/>
                <w:color w:val="auto"/>
                <w:w w:val="96"/>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2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4580" w:type="dxa"/>
            <w:vAlign w:val="bottom"/>
          </w:tcPr>
          <w:p>
            <w:pPr>
              <w:spacing w:after="0"/>
              <w:rPr>
                <w:sz w:val="20"/>
                <w:szCs w:val="20"/>
                <w:color w:val="auto"/>
              </w:rPr>
            </w:pPr>
            <w:r>
              <w:rPr>
                <w:rFonts w:ascii="Courier New" w:cs="Courier New" w:eastAsia="Courier New" w:hAnsi="Courier New"/>
                <w:sz w:val="14"/>
                <w:szCs w:val="14"/>
                <w:color w:val="auto"/>
                <w:w w:val="96"/>
              </w:rPr>
              <w:t>Balance Sheets at December 31, 2003 and 2002............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2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Statements of Income and Comprehensive Income for the</w:t>
            </w:r>
          </w:p>
        </w:tc>
        <w:tc>
          <w:tcPr>
            <w:tcW w:w="340" w:type="dxa"/>
            <w:vAlign w:val="bottom"/>
          </w:tcPr>
          <w:p>
            <w:pPr>
              <w:spacing w:after="0"/>
              <w:rPr>
                <w:sz w:val="24"/>
                <w:szCs w:val="24"/>
                <w:color w:val="auto"/>
              </w:rPr>
            </w:pPr>
          </w:p>
        </w:tc>
      </w:tr>
      <w:tr>
        <w:trPr>
          <w:trHeight w:val="163"/>
        </w:trPr>
        <w:tc>
          <w:tcPr>
            <w:tcW w:w="5680" w:type="dxa"/>
            <w:vAlign w:val="bottom"/>
            <w:gridSpan w:val="2"/>
          </w:tcPr>
          <w:p>
            <w:pPr>
              <w:spacing w:after="0"/>
              <w:rPr>
                <w:sz w:val="20"/>
                <w:szCs w:val="20"/>
                <w:color w:val="auto"/>
              </w:rPr>
            </w:pPr>
            <w:r>
              <w:rPr>
                <w:rFonts w:ascii="Courier New" w:cs="Courier New" w:eastAsia="Courier New" w:hAnsi="Courier New"/>
                <w:sz w:val="14"/>
                <w:szCs w:val="14"/>
                <w:color w:val="auto"/>
                <w:w w:val="97"/>
              </w:rPr>
              <w:t>three years ended December 31, 2003..................................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2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Statements of Changes in Stockholders' Equity for</w:t>
            </w:r>
          </w:p>
        </w:tc>
        <w:tc>
          <w:tcPr>
            <w:tcW w:w="340" w:type="dxa"/>
            <w:vAlign w:val="bottom"/>
          </w:tcPr>
          <w:p>
            <w:pPr>
              <w:spacing w:after="0"/>
              <w:rPr>
                <w:sz w:val="24"/>
                <w:szCs w:val="24"/>
                <w:color w:val="auto"/>
              </w:rPr>
            </w:pPr>
          </w:p>
        </w:tc>
      </w:tr>
      <w:tr>
        <w:trPr>
          <w:trHeight w:val="163"/>
        </w:trPr>
        <w:tc>
          <w:tcPr>
            <w:tcW w:w="5680" w:type="dxa"/>
            <w:vAlign w:val="bottom"/>
            <w:gridSpan w:val="2"/>
          </w:tcPr>
          <w:p>
            <w:pPr>
              <w:spacing w:after="0"/>
              <w:rPr>
                <w:sz w:val="20"/>
                <w:szCs w:val="20"/>
                <w:color w:val="auto"/>
              </w:rPr>
            </w:pPr>
            <w:r>
              <w:rPr>
                <w:rFonts w:ascii="Courier New" w:cs="Courier New" w:eastAsia="Courier New" w:hAnsi="Courier New"/>
                <w:sz w:val="14"/>
                <w:szCs w:val="14"/>
                <w:color w:val="auto"/>
                <w:w w:val="97"/>
              </w:rPr>
              <w:t>the three years ended December 31, 2003..............................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2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4580" w:type="dxa"/>
            <w:vAlign w:val="bottom"/>
          </w:tcPr>
          <w:p>
            <w:pPr>
              <w:spacing w:after="0"/>
              <w:rPr>
                <w:sz w:val="20"/>
                <w:szCs w:val="20"/>
                <w:color w:val="auto"/>
              </w:rPr>
            </w:pPr>
            <w:r>
              <w:rPr>
                <w:rFonts w:ascii="Courier New" w:cs="Courier New" w:eastAsia="Courier New" w:hAnsi="Courier New"/>
                <w:sz w:val="14"/>
                <w:szCs w:val="14"/>
                <w:color w:val="auto"/>
              </w:rPr>
              <w:t>Statements of Cash Flows for the three years ended</w:t>
            </w:r>
          </w:p>
        </w:tc>
        <w:tc>
          <w:tcPr>
            <w:tcW w:w="340" w:type="dxa"/>
            <w:vAlign w:val="bottom"/>
          </w:tcPr>
          <w:p>
            <w:pPr>
              <w:spacing w:after="0"/>
              <w:rPr>
                <w:sz w:val="24"/>
                <w:szCs w:val="24"/>
                <w:color w:val="auto"/>
              </w:rPr>
            </w:pPr>
          </w:p>
        </w:tc>
      </w:tr>
      <w:tr>
        <w:trPr>
          <w:trHeight w:val="163"/>
        </w:trPr>
        <w:tc>
          <w:tcPr>
            <w:tcW w:w="11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4580" w:type="dxa"/>
            <w:vAlign w:val="bottom"/>
          </w:tcPr>
          <w:p>
            <w:pPr>
              <w:jc w:val="right"/>
              <w:spacing w:after="0"/>
              <w:rPr>
                <w:sz w:val="20"/>
                <w:szCs w:val="20"/>
                <w:color w:val="auto"/>
              </w:rPr>
            </w:pPr>
            <w:r>
              <w:rPr>
                <w:rFonts w:ascii="Courier New" w:cs="Courier New" w:eastAsia="Courier New" w:hAnsi="Courier New"/>
                <w:sz w:val="14"/>
                <w:szCs w:val="14"/>
                <w:color w:val="auto"/>
                <w:w w:val="96"/>
              </w:rPr>
              <w:t>2003....................................................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27"/>
        </w:trPr>
        <w:tc>
          <w:tcPr>
            <w:tcW w:w="5680" w:type="dxa"/>
            <w:vAlign w:val="bottom"/>
            <w:gridSpan w:val="2"/>
          </w:tcPr>
          <w:p>
            <w:pPr>
              <w:spacing w:after="0"/>
              <w:rPr>
                <w:sz w:val="20"/>
                <w:szCs w:val="20"/>
                <w:color w:val="auto"/>
              </w:rPr>
            </w:pPr>
            <w:r>
              <w:rPr>
                <w:rFonts w:ascii="Courier New" w:cs="Courier New" w:eastAsia="Courier New" w:hAnsi="Courier New"/>
                <w:sz w:val="14"/>
                <w:szCs w:val="14"/>
                <w:color w:val="auto"/>
                <w:w w:val="97"/>
              </w:rPr>
              <w:t>Notes to Consolidated Financial Statements...........................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330" w:lineRule="exact"/>
        <w:rPr>
          <w:sz w:val="20"/>
          <w:szCs w:val="20"/>
          <w:color w:val="auto"/>
        </w:rPr>
      </w:pPr>
    </w:p>
    <w:p>
      <w:pPr>
        <w:ind w:left="780" w:right="6999" w:hanging="348"/>
        <w:spacing w:after="0" w:line="494" w:lineRule="auto"/>
        <w:tabs>
          <w:tab w:leader="none" w:pos="78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Not applicable.</w:t>
      </w:r>
    </w:p>
    <w:p>
      <w:pPr>
        <w:ind w:left="780" w:hanging="348"/>
        <w:spacing w:after="0"/>
        <w:tabs>
          <w:tab w:leader="none" w:pos="78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Index to Exhibits (attached hereto)</w:t>
      </w:r>
    </w:p>
    <w:p>
      <w:pPr>
        <w:spacing w:after="0" w:line="168" w:lineRule="exact"/>
        <w:rPr>
          <w:rFonts w:ascii="Courier New" w:cs="Courier New" w:eastAsia="Courier New" w:hAnsi="Courier New"/>
          <w:sz w:val="14"/>
          <w:szCs w:val="14"/>
          <w:color w:val="auto"/>
        </w:rPr>
      </w:pPr>
    </w:p>
    <w:p>
      <w:pPr>
        <w:ind w:left="440" w:hanging="433"/>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68" w:lineRule="exact"/>
        <w:rPr>
          <w:sz w:val="20"/>
          <w:szCs w:val="20"/>
          <w:color w:val="auto"/>
        </w:rPr>
      </w:pPr>
    </w:p>
    <w:p>
      <w:pPr>
        <w:ind w:left="860" w:right="3439"/>
        <w:spacing w:after="0" w:line="248" w:lineRule="auto"/>
        <w:rPr>
          <w:sz w:val="20"/>
          <w:szCs w:val="20"/>
          <w:color w:val="auto"/>
        </w:rPr>
      </w:pPr>
      <w:r>
        <w:rPr>
          <w:rFonts w:ascii="Courier New" w:cs="Courier New" w:eastAsia="Courier New" w:hAnsi="Courier New"/>
          <w:sz w:val="14"/>
          <w:szCs w:val="14"/>
          <w:color w:val="auto"/>
        </w:rPr>
        <w:t>The Company filed a Form 8-K, in response to items 5 and 7, on October 2, 2003 announcing the formation of a new Slovakian company and a related asset acquisition.</w:t>
      </w:r>
    </w:p>
    <w:p>
      <w:pPr>
        <w:spacing w:after="0" w:line="162" w:lineRule="exact"/>
        <w:rPr>
          <w:sz w:val="20"/>
          <w:szCs w:val="20"/>
          <w:color w:val="auto"/>
        </w:rPr>
      </w:pPr>
    </w:p>
    <w:p>
      <w:pPr>
        <w:ind w:left="860" w:right="3699"/>
        <w:spacing w:after="0" w:line="249" w:lineRule="auto"/>
        <w:rPr>
          <w:sz w:val="20"/>
          <w:szCs w:val="20"/>
          <w:color w:val="auto"/>
        </w:rPr>
      </w:pPr>
      <w:r>
        <w:rPr>
          <w:rFonts w:ascii="Courier New" w:cs="Courier New" w:eastAsia="Courier New" w:hAnsi="Courier New"/>
          <w:sz w:val="14"/>
          <w:szCs w:val="14"/>
          <w:color w:val="auto"/>
        </w:rPr>
        <w:t>The Company furnished a Form 8-K, in response to items 12 and 7, on October 30, 2003 announcing its third quarter earnings.</w:t>
      </w:r>
    </w:p>
    <w:p>
      <w:pPr>
        <w:spacing w:after="0" w:line="161" w:lineRule="exact"/>
        <w:rPr>
          <w:sz w:val="20"/>
          <w:szCs w:val="20"/>
          <w:color w:val="auto"/>
        </w:rPr>
      </w:pPr>
    </w:p>
    <w:p>
      <w:pPr>
        <w:ind w:left="860" w:right="3599"/>
        <w:spacing w:after="0" w:line="247" w:lineRule="auto"/>
        <w:rPr>
          <w:sz w:val="20"/>
          <w:szCs w:val="20"/>
          <w:color w:val="auto"/>
        </w:rPr>
      </w:pPr>
      <w:r>
        <w:rPr>
          <w:rFonts w:ascii="Courier New" w:cs="Courier New" w:eastAsia="Courier New" w:hAnsi="Courier New"/>
          <w:sz w:val="14"/>
          <w:szCs w:val="14"/>
          <w:color w:val="auto"/>
        </w:rPr>
        <w:t>The Company furnished a Form 8-K, in response to items 12 and 7, on November 21, 2003 announcing that it had delayed the filing of its third quarter 10-Q, confirming previously announced third quarter operating results and providing abbreviated qualitative information.</w:t>
      </w:r>
    </w:p>
    <w:p>
      <w:pPr>
        <w:spacing w:after="0" w:line="164" w:lineRule="exact"/>
        <w:rPr>
          <w:sz w:val="20"/>
          <w:szCs w:val="20"/>
          <w:color w:val="auto"/>
        </w:rPr>
      </w:pPr>
    </w:p>
    <w:p>
      <w:pPr>
        <w:ind w:left="860" w:right="3439"/>
        <w:spacing w:after="0" w:line="247" w:lineRule="auto"/>
        <w:rPr>
          <w:sz w:val="20"/>
          <w:szCs w:val="20"/>
          <w:color w:val="auto"/>
        </w:rPr>
      </w:pPr>
      <w:r>
        <w:rPr>
          <w:rFonts w:ascii="Courier New" w:cs="Courier New" w:eastAsia="Courier New" w:hAnsi="Courier New"/>
          <w:sz w:val="14"/>
          <w:szCs w:val="14"/>
          <w:color w:val="auto"/>
        </w:rPr>
        <w:t>The Company filed a Form 8-K, in response to items 5 and 7, on December 4, 2003 announcing that it had received a notice from Nasdaq related to the delayed filing of its quarterly report on Form 10-Q for the fiscal third quarter 2003.</w:t>
      </w:r>
    </w:p>
    <w:p>
      <w:pPr>
        <w:spacing w:after="0" w:line="164" w:lineRule="exact"/>
        <w:rPr>
          <w:sz w:val="20"/>
          <w:szCs w:val="20"/>
          <w:color w:val="auto"/>
        </w:rPr>
      </w:pPr>
    </w:p>
    <w:p>
      <w:pPr>
        <w:ind w:left="440" w:hanging="433"/>
        <w:spacing w:after="0"/>
        <w:tabs>
          <w:tab w:leader="none" w:pos="4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See Index to Exhibits (attached hereto).</w:t>
      </w:r>
    </w:p>
    <w:p>
      <w:pPr>
        <w:spacing w:after="0" w:line="168" w:lineRule="exact"/>
        <w:rPr>
          <w:sz w:val="20"/>
          <w:szCs w:val="20"/>
          <w:color w:val="auto"/>
        </w:rPr>
      </w:pPr>
    </w:p>
    <w:p>
      <w:pPr>
        <w:ind w:left="860" w:right="3519"/>
        <w:spacing w:after="0" w:line="248" w:lineRule="auto"/>
        <w:rPr>
          <w:sz w:val="20"/>
          <w:szCs w:val="20"/>
          <w:color w:val="auto"/>
        </w:rPr>
      </w:pPr>
      <w:r>
        <w:rPr>
          <w:rFonts w:ascii="Courier New" w:cs="Courier New" w:eastAsia="Courier New" w:hAnsi="Courier New"/>
          <w:sz w:val="14"/>
          <w:szCs w:val="14"/>
          <w:color w:val="auto"/>
        </w:rPr>
        <w:t>The Company will provide without charge to any person, upon the written request of such person, a copy of any of the Exhibits to this Form 10-K.</w:t>
      </w:r>
    </w:p>
    <w:p>
      <w:pPr>
        <w:spacing w:after="0" w:line="32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SIGNATURES</w:t>
      </w:r>
    </w:p>
    <w:p>
      <w:pPr>
        <w:spacing w:after="0" w:line="168" w:lineRule="exact"/>
        <w:rPr>
          <w:sz w:val="20"/>
          <w:szCs w:val="20"/>
          <w:color w:val="auto"/>
        </w:rPr>
      </w:pPr>
    </w:p>
    <w:p>
      <w:pPr>
        <w:ind w:right="3439" w:firstLine="425"/>
        <w:spacing w:after="0" w:line="248"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8" w:lineRule="exact"/>
        <w:rPr>
          <w:sz w:val="20"/>
          <w:szCs w:val="20"/>
          <w:color w:val="auto"/>
        </w:rPr>
      </w:pPr>
    </w:p>
    <w:p>
      <w:pPr>
        <w:ind w:left="3320"/>
        <w:spacing w:after="0"/>
        <w:tabs>
          <w:tab w:leader="none" w:pos="3720" w:val="left"/>
        </w:tabs>
        <w:rPr>
          <w:sz w:val="20"/>
          <w:szCs w:val="20"/>
          <w:color w:val="auto"/>
        </w:rPr>
      </w:pPr>
      <w:r>
        <w:rPr>
          <w:rFonts w:ascii="Courier New" w:cs="Courier New" w:eastAsia="Courier New" w:hAnsi="Courier New"/>
          <w:sz w:val="14"/>
          <w:szCs w:val="14"/>
          <w:color w:val="auto"/>
        </w:rPr>
        <w:t>By:</w:t>
        <w:tab/>
        <w:t>/S/ RODERICK R. BATY</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Roderick R. Baty</w:t>
      </w: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i w:val="1"/>
          <w:iCs w:val="1"/>
          <w:color w:val="auto"/>
        </w:rPr>
        <w:t>Chairman and Director</w:t>
      </w:r>
    </w:p>
    <w:p>
      <w:pPr>
        <w:spacing w:after="0" w:line="168" w:lineRule="exact"/>
        <w:rPr>
          <w:sz w:val="20"/>
          <w:szCs w:val="20"/>
          <w:color w:val="auto"/>
        </w:rPr>
      </w:pPr>
    </w:p>
    <w:p>
      <w:pPr>
        <w:ind w:left="3740"/>
        <w:spacing w:after="0"/>
        <w:tabs>
          <w:tab w:leader="none" w:pos="4400" w:val="left"/>
        </w:tabs>
        <w:rPr>
          <w:sz w:val="20"/>
          <w:szCs w:val="20"/>
          <w:color w:val="auto"/>
        </w:rPr>
      </w:pPr>
      <w:r>
        <w:rPr>
          <w:rFonts w:ascii="Courier New" w:cs="Courier New" w:eastAsia="Courier New" w:hAnsi="Courier New"/>
          <w:sz w:val="14"/>
          <w:szCs w:val="14"/>
          <w:color w:val="auto"/>
        </w:rPr>
        <w:t>Dated:</w:t>
        <w:tab/>
        <w:t>March 15, 2004</w:t>
      </w:r>
    </w:p>
    <w:p>
      <w:pPr>
        <w:spacing w:after="0" w:line="168" w:lineRule="exact"/>
        <w:rPr>
          <w:sz w:val="20"/>
          <w:szCs w:val="20"/>
          <w:color w:val="auto"/>
        </w:rPr>
      </w:pPr>
    </w:p>
    <w:p>
      <w:pPr>
        <w:ind w:right="3599" w:firstLine="425"/>
        <w:spacing w:after="0" w:line="248"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40" w:type="dxa"/>
            <w:vAlign w:val="bottom"/>
          </w:tcPr>
          <w:p>
            <w:pPr>
              <w:spacing w:after="0"/>
              <w:rPr>
                <w:sz w:val="20"/>
                <w:szCs w:val="20"/>
                <w:color w:val="auto"/>
              </w:rPr>
            </w:pPr>
            <w:r>
              <w:rPr>
                <w:rFonts w:ascii="Courier New" w:cs="Courier New" w:eastAsia="Courier New" w:hAnsi="Courier New"/>
                <w:sz w:val="14"/>
                <w:szCs w:val="14"/>
                <w:b w:val="1"/>
                <w:bCs w:val="1"/>
                <w:color w:val="auto"/>
              </w:rPr>
              <w:t>Name and Signature</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Title</w:t>
            </w:r>
          </w:p>
        </w:tc>
        <w:tc>
          <w:tcPr>
            <w:tcW w:w="4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14"/>
                <w:szCs w:val="14"/>
                <w:b w:val="1"/>
                <w:bCs w:val="1"/>
                <w:color w:val="auto"/>
              </w:rPr>
              <w:t>Date</w:t>
            </w:r>
          </w:p>
        </w:tc>
      </w:tr>
      <w:tr>
        <w:trPr>
          <w:trHeight w:val="20"/>
        </w:trPr>
        <w:tc>
          <w:tcPr>
            <w:tcW w:w="1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01"/>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/S/ RODERICK R. BATY</w:t>
            </w: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Chairman, Chief Executive Officer,</w:t>
            </w:r>
          </w:p>
        </w:tc>
        <w:tc>
          <w:tcPr>
            <w:tcW w:w="12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March 15, 2004</w:t>
            </w:r>
          </w:p>
        </w:tc>
      </w:tr>
      <w:tr>
        <w:trPr>
          <w:trHeight w:val="163"/>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w w:val="96"/>
              </w:rPr>
              <w:t>- ---------------------------</w:t>
            </w:r>
          </w:p>
        </w:tc>
        <w:tc>
          <w:tcPr>
            <w:tcW w:w="26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President and Director (Principal</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Roderick R. Baty</w:t>
            </w: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Executive Officer)</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0"/>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/S/ WILLIAM C. KELLY, JR.</w:t>
            </w: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Treasurer, Secretary and Chief</w:t>
            </w:r>
          </w:p>
        </w:tc>
        <w:tc>
          <w:tcPr>
            <w:tcW w:w="12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March 15, 2004</w:t>
            </w:r>
          </w:p>
        </w:tc>
      </w:tr>
      <w:tr>
        <w:trPr>
          <w:trHeight w:val="163"/>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w w:val="96"/>
              </w:rPr>
              <w:t>- ---------------------------</w:t>
            </w:r>
          </w:p>
        </w:tc>
        <w:tc>
          <w:tcPr>
            <w:tcW w:w="26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Administrative Officer (Principal</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William C. Kelly, Jr.</w:t>
            </w: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Accounting Officer)</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0"/>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/S/ DAVID L. DYCKMAN</w:t>
            </w: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Vice President - Corporate Development</w:t>
            </w:r>
          </w:p>
        </w:tc>
        <w:tc>
          <w:tcPr>
            <w:tcW w:w="12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March 15, 2004</w:t>
            </w:r>
          </w:p>
        </w:tc>
      </w:tr>
      <w:tr>
        <w:trPr>
          <w:trHeight w:val="163"/>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w w:val="96"/>
              </w:rPr>
              <w:t>- ---------------------------</w:t>
            </w:r>
          </w:p>
        </w:tc>
        <w:tc>
          <w:tcPr>
            <w:tcW w:w="260" w:type="dxa"/>
            <w:vAlign w:val="bottom"/>
          </w:tcPr>
          <w:p>
            <w:pPr>
              <w:spacing w:after="0"/>
              <w:rPr>
                <w:sz w:val="14"/>
                <w:szCs w:val="14"/>
                <w:color w:val="auto"/>
              </w:rPr>
            </w:pPr>
          </w:p>
        </w:tc>
        <w:tc>
          <w:tcPr>
            <w:tcW w:w="34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and Chief Financial Officer (Principal</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3"/>
        </w:trPr>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David L. Dyckman</w:t>
            </w:r>
          </w:p>
        </w:tc>
        <w:tc>
          <w:tcPr>
            <w:tcW w:w="3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Financial Officer)</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ectPr>
          <w:pgSz w:w="11900" w:h="16838" w:orient="portrait"/>
          <w:cols w:equalWidth="0" w:num="1">
            <w:col w:w="10239"/>
          </w:cols>
          <w:pgMar w:left="220" w:top="141" w:right="1440" w:bottom="0" w:gutter="0" w:footer="0" w:header="0"/>
        </w:sectPr>
      </w:pPr>
    </w:p>
    <w:bookmarkStart w:id="48" w:name="page49"/>
    <w:bookmarkEnd w:id="48"/>
    <w:p>
      <w:pPr>
        <w:spacing w:after="0"/>
        <w:tabs>
          <w:tab w:leader="none" w:pos="2620" w:val="left"/>
          <w:tab w:leader="none" w:pos="6100" w:val="left"/>
        </w:tabs>
        <w:rPr>
          <w:sz w:val="20"/>
          <w:szCs w:val="20"/>
          <w:color w:val="auto"/>
        </w:rPr>
      </w:pPr>
      <w:r>
        <w:rPr>
          <w:rFonts w:ascii="Courier New" w:cs="Courier New" w:eastAsia="Courier New" w:hAnsi="Courier New"/>
          <w:sz w:val="14"/>
          <w:szCs w:val="14"/>
          <w:color w:val="auto"/>
        </w:rPr>
        <w:t>/S/ MICHAEL D. HUFF</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15, 2004</w:t>
      </w:r>
    </w:p>
    <w:p>
      <w:pPr>
        <w:spacing w:after="0" w:line="5" w:lineRule="exact"/>
        <w:rPr>
          <w:sz w:val="20"/>
          <w:szCs w:val="20"/>
          <w:color w:val="auto"/>
        </w:rPr>
      </w:pPr>
    </w:p>
    <w:p>
      <w:pPr>
        <w:ind w:left="180" w:hanging="173"/>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Michael D. Huff</w:t>
      </w:r>
    </w:p>
    <w:p>
      <w:pPr>
        <w:spacing w:after="0" w:line="331" w:lineRule="exact"/>
        <w:rPr>
          <w:sz w:val="20"/>
          <w:szCs w:val="20"/>
          <w:color w:val="auto"/>
        </w:rPr>
      </w:pPr>
    </w:p>
    <w:p>
      <w:pPr>
        <w:spacing w:after="0"/>
        <w:tabs>
          <w:tab w:leader="none" w:pos="2620" w:val="left"/>
          <w:tab w:leader="none" w:pos="6100" w:val="left"/>
        </w:tabs>
        <w:rPr>
          <w:sz w:val="20"/>
          <w:szCs w:val="20"/>
          <w:color w:val="auto"/>
        </w:rPr>
      </w:pPr>
      <w:r>
        <w:rPr>
          <w:rFonts w:ascii="Courier New" w:cs="Courier New" w:eastAsia="Courier New" w:hAnsi="Courier New"/>
          <w:sz w:val="14"/>
          <w:szCs w:val="14"/>
          <w:color w:val="auto"/>
        </w:rPr>
        <w:t>/S/ G. RONALD MORRIS</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15, 2004</w:t>
      </w:r>
    </w:p>
    <w:p>
      <w:pPr>
        <w:spacing w:after="0" w:line="5" w:lineRule="exact"/>
        <w:rPr>
          <w:sz w:val="20"/>
          <w:szCs w:val="20"/>
          <w:color w:val="auto"/>
        </w:rPr>
      </w:pPr>
    </w:p>
    <w:p>
      <w:pPr>
        <w:ind w:left="180" w:hanging="173"/>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 Ronald Morris</w:t>
      </w:r>
    </w:p>
    <w:p>
      <w:pPr>
        <w:spacing w:after="0" w:line="331" w:lineRule="exact"/>
        <w:rPr>
          <w:sz w:val="20"/>
          <w:szCs w:val="20"/>
          <w:color w:val="auto"/>
        </w:rPr>
      </w:pPr>
    </w:p>
    <w:p>
      <w:pPr>
        <w:spacing w:after="0"/>
        <w:tabs>
          <w:tab w:leader="none" w:pos="2620" w:val="left"/>
          <w:tab w:leader="none" w:pos="6100" w:val="left"/>
        </w:tabs>
        <w:rPr>
          <w:sz w:val="20"/>
          <w:szCs w:val="20"/>
          <w:color w:val="auto"/>
        </w:rPr>
      </w:pPr>
      <w:r>
        <w:rPr>
          <w:rFonts w:ascii="Courier New" w:cs="Courier New" w:eastAsia="Courier New" w:hAnsi="Courier New"/>
          <w:sz w:val="14"/>
          <w:szCs w:val="14"/>
          <w:color w:val="auto"/>
        </w:rPr>
        <w:t>/S/ MICHAEL E. WERNER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15, 2004</w:t>
      </w:r>
    </w:p>
    <w:p>
      <w:pPr>
        <w:spacing w:after="0" w:line="5" w:lineRule="exact"/>
        <w:rPr>
          <w:sz w:val="20"/>
          <w:szCs w:val="20"/>
          <w:color w:val="auto"/>
        </w:rPr>
      </w:pPr>
    </w:p>
    <w:p>
      <w:pPr>
        <w:ind w:left="180" w:hanging="173"/>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Michael E. Werner</w:t>
      </w:r>
    </w:p>
    <w:p>
      <w:pPr>
        <w:spacing w:after="0" w:line="331" w:lineRule="exact"/>
        <w:rPr>
          <w:sz w:val="20"/>
          <w:szCs w:val="20"/>
          <w:color w:val="auto"/>
        </w:rPr>
      </w:pPr>
    </w:p>
    <w:p>
      <w:pPr>
        <w:spacing w:after="0"/>
        <w:tabs>
          <w:tab w:leader="none" w:pos="2620" w:val="left"/>
          <w:tab w:leader="none" w:pos="6100" w:val="left"/>
        </w:tabs>
        <w:rPr>
          <w:sz w:val="20"/>
          <w:szCs w:val="20"/>
          <w:color w:val="auto"/>
        </w:rPr>
      </w:pPr>
      <w:r>
        <w:rPr>
          <w:rFonts w:ascii="Courier New" w:cs="Courier New" w:eastAsia="Courier New" w:hAnsi="Courier New"/>
          <w:sz w:val="14"/>
          <w:szCs w:val="14"/>
          <w:color w:val="auto"/>
        </w:rPr>
        <w:t>/S/ STEVEN T. WARSHAW</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15, 2004</w:t>
      </w:r>
    </w:p>
    <w:p>
      <w:pPr>
        <w:spacing w:after="0" w:line="5" w:lineRule="exact"/>
        <w:rPr>
          <w:sz w:val="20"/>
          <w:szCs w:val="20"/>
          <w:color w:val="auto"/>
        </w:rPr>
      </w:pPr>
    </w:p>
    <w:p>
      <w:pPr>
        <w:ind w:left="180" w:hanging="173"/>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Steven T. Warshaw</w:t>
      </w:r>
    </w:p>
    <w:p>
      <w:pPr>
        <w:spacing w:after="0" w:line="331" w:lineRule="exact"/>
        <w:rPr>
          <w:sz w:val="20"/>
          <w:szCs w:val="20"/>
          <w:color w:val="auto"/>
        </w:rPr>
      </w:pPr>
    </w:p>
    <w:p>
      <w:pPr>
        <w:spacing w:after="0"/>
        <w:tabs>
          <w:tab w:leader="none" w:pos="2620" w:val="left"/>
          <w:tab w:leader="none" w:pos="6100" w:val="left"/>
        </w:tabs>
        <w:rPr>
          <w:sz w:val="20"/>
          <w:szCs w:val="20"/>
          <w:color w:val="auto"/>
        </w:rPr>
      </w:pPr>
      <w:r>
        <w:rPr>
          <w:rFonts w:ascii="Courier New" w:cs="Courier New" w:eastAsia="Courier New" w:hAnsi="Courier New"/>
          <w:sz w:val="14"/>
          <w:szCs w:val="14"/>
          <w:color w:val="auto"/>
        </w:rPr>
        <w:t>/S/ JAMES L. EARSLEY</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15, 2004</w:t>
      </w:r>
    </w:p>
    <w:p>
      <w:pPr>
        <w:spacing w:after="0" w:line="5" w:lineRule="exact"/>
        <w:rPr>
          <w:sz w:val="20"/>
          <w:szCs w:val="20"/>
          <w:color w:val="auto"/>
        </w:rPr>
      </w:pPr>
    </w:p>
    <w:p>
      <w:pPr>
        <w:ind w:left="180" w:hanging="173"/>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 L. Earsley</w:t>
      </w:r>
    </w:p>
    <w:p>
      <w:pPr>
        <w:spacing w:after="0" w:line="168" w:lineRule="exact"/>
        <w:rPr>
          <w:sz w:val="20"/>
          <w:szCs w:val="20"/>
          <w:color w:val="auto"/>
        </w:rPr>
      </w:pPr>
    </w:p>
    <w:p>
      <w:pPr>
        <w:spacing w:after="0"/>
        <w:tabs>
          <w:tab w:leader="none" w:pos="2620" w:val="left"/>
          <w:tab w:leader="none" w:pos="6100" w:val="left"/>
        </w:tabs>
        <w:rPr>
          <w:sz w:val="20"/>
          <w:szCs w:val="20"/>
          <w:color w:val="auto"/>
        </w:rPr>
      </w:pPr>
      <w:r>
        <w:rPr>
          <w:rFonts w:ascii="Courier New" w:cs="Courier New" w:eastAsia="Courier New" w:hAnsi="Courier New"/>
          <w:sz w:val="14"/>
          <w:szCs w:val="14"/>
          <w:color w:val="auto"/>
        </w:rPr>
        <w:t>/S/ ROBERT M. AIKEN, JR..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15, 2004</w:t>
      </w:r>
    </w:p>
    <w:p>
      <w:pPr>
        <w:spacing w:after="0" w:line="5" w:lineRule="exact"/>
        <w:rPr>
          <w:sz w:val="20"/>
          <w:szCs w:val="20"/>
          <w:color w:val="auto"/>
        </w:rPr>
      </w:pPr>
    </w:p>
    <w:p>
      <w:pPr>
        <w:ind w:left="180" w:hanging="173"/>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M. Aiken, Jr.</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b w:val="1"/>
          <w:bCs w:val="1"/>
          <w:color w:val="auto"/>
        </w:rPr>
        <w:t>Index to Exhibits</w:t>
      </w:r>
    </w:p>
    <w:p>
      <w:pPr>
        <w:spacing w:after="0" w:line="168" w:lineRule="exact"/>
        <w:rPr>
          <w:sz w:val="20"/>
          <w:szCs w:val="20"/>
          <w:color w:val="auto"/>
        </w:rPr>
      </w:pPr>
    </w:p>
    <w:p>
      <w:pPr>
        <w:ind w:left="860" w:right="3439" w:hanging="424"/>
        <w:spacing w:after="0" w:line="247" w:lineRule="auto"/>
        <w:tabs>
          <w:tab w:leader="none" w:pos="840" w:val="left"/>
        </w:tabs>
        <w:rPr>
          <w:sz w:val="20"/>
          <w:szCs w:val="20"/>
          <w:color w:val="auto"/>
        </w:rPr>
      </w:pPr>
      <w:r>
        <w:rPr>
          <w:rFonts w:ascii="Courier New" w:cs="Courier New" w:eastAsia="Courier New" w:hAnsi="Courier New"/>
          <w:sz w:val="14"/>
          <w:szCs w:val="14"/>
          <w:color w:val="auto"/>
        </w:rPr>
        <w:t>2.1</w:t>
        <w:tab/>
        <w:t>Asset Purchase Agreement dated April 14, 2003 among SKF Holding Maatschappij Holland B.V., SKF B.V., NN, Inc. and NN Netherlands B.V. (incorporated by reference to Exhibit 2.1 of Form 8-K filed on May 16, 2003).</w:t>
      </w:r>
    </w:p>
    <w:p>
      <w:pPr>
        <w:spacing w:after="0" w:line="164" w:lineRule="exact"/>
        <w:rPr>
          <w:sz w:val="20"/>
          <w:szCs w:val="20"/>
          <w:color w:val="auto"/>
        </w:rPr>
      </w:pPr>
    </w:p>
    <w:p>
      <w:pPr>
        <w:jc w:val="both"/>
        <w:ind w:left="860" w:right="3519" w:hanging="424"/>
        <w:spacing w:after="0" w:line="248" w:lineRule="auto"/>
        <w:tabs>
          <w:tab w:leader="none" w:pos="840" w:val="left"/>
        </w:tabs>
        <w:rPr>
          <w:sz w:val="20"/>
          <w:szCs w:val="20"/>
          <w:color w:val="auto"/>
        </w:rPr>
      </w:pPr>
      <w:r>
        <w:rPr>
          <w:rFonts w:ascii="Courier New" w:cs="Courier New" w:eastAsia="Courier New" w:hAnsi="Courier New"/>
          <w:sz w:val="14"/>
          <w:szCs w:val="14"/>
          <w:color w:val="auto"/>
        </w:rPr>
        <w:t>3.1</w:t>
        <w:tab/>
        <w:t>Restated Certificate of Incorporation of the Company (incorporated by reference to Exhibit 3.1 of the Company's Registration Statement No. 333-89950 on Form S-3 filed June 6, 2002)</w:t>
      </w:r>
    </w:p>
    <w:p>
      <w:pPr>
        <w:spacing w:after="0" w:line="162" w:lineRule="exact"/>
        <w:rPr>
          <w:sz w:val="20"/>
          <w:szCs w:val="20"/>
          <w:color w:val="auto"/>
        </w:rPr>
      </w:pPr>
    </w:p>
    <w:p>
      <w:pPr>
        <w:jc w:val="both"/>
        <w:ind w:left="860" w:right="3519" w:hanging="424"/>
        <w:spacing w:after="0" w:line="248" w:lineRule="auto"/>
        <w:tabs>
          <w:tab w:leader="none" w:pos="840" w:val="left"/>
        </w:tabs>
        <w:rPr>
          <w:sz w:val="20"/>
          <w:szCs w:val="20"/>
          <w:color w:val="auto"/>
        </w:rPr>
      </w:pPr>
      <w:r>
        <w:rPr>
          <w:rFonts w:ascii="Courier New" w:cs="Courier New" w:eastAsia="Courier New" w:hAnsi="Courier New"/>
          <w:sz w:val="14"/>
          <w:szCs w:val="14"/>
          <w:color w:val="auto"/>
        </w:rPr>
        <w:t>3.2</w:t>
        <w:tab/>
        <w:t>Restated By-Laws of the Company (incorporated by reference to Exhibit 3.2 of the Company's Registration Statement No. 333-89950 on Form S-3 filed June 6, 2002)</w:t>
      </w:r>
    </w:p>
    <w:p>
      <w:pPr>
        <w:spacing w:after="0" w:line="162" w:lineRule="exact"/>
        <w:rPr>
          <w:sz w:val="20"/>
          <w:szCs w:val="20"/>
          <w:color w:val="auto"/>
        </w:rPr>
      </w:pPr>
    </w:p>
    <w:p>
      <w:pPr>
        <w:ind w:left="860" w:right="3439" w:hanging="424"/>
        <w:spacing w:after="0" w:line="247" w:lineRule="auto"/>
        <w:tabs>
          <w:tab w:leader="none" w:pos="840" w:val="left"/>
        </w:tabs>
        <w:rPr>
          <w:sz w:val="20"/>
          <w:szCs w:val="20"/>
          <w:color w:val="auto"/>
        </w:rPr>
      </w:pPr>
      <w:r>
        <w:rPr>
          <w:rFonts w:ascii="Courier New" w:cs="Courier New" w:eastAsia="Courier New" w:hAnsi="Courier New"/>
          <w:sz w:val="14"/>
          <w:szCs w:val="14"/>
          <w:color w:val="auto"/>
        </w:rPr>
        <w:t>4.1</w:t>
        <w:tab/>
        <w:t>The specimen stock certificate representing the Company's Common Stock, par value $0.01 per share (incorporated by reference to Exhibit 4.1 of the Company's Registration Statement No. 333-89950 on Form S-3 filed June 6, 2002)</w:t>
      </w:r>
    </w:p>
    <w:p>
      <w:pPr>
        <w:spacing w:after="0" w:line="164" w:lineRule="exact"/>
        <w:rPr>
          <w:sz w:val="20"/>
          <w:szCs w:val="20"/>
          <w:color w:val="auto"/>
        </w:rPr>
      </w:pPr>
    </w:p>
    <w:p>
      <w:pPr>
        <w:ind w:left="860" w:right="3599" w:hanging="424"/>
        <w:spacing w:after="0" w:line="248" w:lineRule="auto"/>
        <w:tabs>
          <w:tab w:leader="none" w:pos="840" w:val="left"/>
        </w:tabs>
        <w:rPr>
          <w:sz w:val="20"/>
          <w:szCs w:val="20"/>
          <w:color w:val="auto"/>
        </w:rPr>
      </w:pPr>
      <w:r>
        <w:rPr>
          <w:rFonts w:ascii="Courier New" w:cs="Courier New" w:eastAsia="Courier New" w:hAnsi="Courier New"/>
          <w:sz w:val="14"/>
          <w:szCs w:val="14"/>
          <w:color w:val="auto"/>
        </w:rPr>
        <w:t>4.2</w:t>
        <w:tab/>
        <w:t>Article IV, Article V (Sections 3 through 6), Article VI (Section 2) and Article VII (Sections 1 and 3) of the Restated Certificate of Incorporation of the Company (included in Exhibit 3.1)</w:t>
      </w:r>
    </w:p>
    <w:p>
      <w:pPr>
        <w:spacing w:after="0" w:line="162" w:lineRule="exact"/>
        <w:rPr>
          <w:sz w:val="20"/>
          <w:szCs w:val="20"/>
          <w:color w:val="auto"/>
        </w:rPr>
      </w:pPr>
    </w:p>
    <w:p>
      <w:pPr>
        <w:ind w:left="860" w:right="3439" w:hanging="424"/>
        <w:spacing w:after="0" w:line="248" w:lineRule="auto"/>
        <w:tabs>
          <w:tab w:leader="none" w:pos="840" w:val="left"/>
        </w:tabs>
        <w:rPr>
          <w:sz w:val="20"/>
          <w:szCs w:val="20"/>
          <w:color w:val="auto"/>
        </w:rPr>
      </w:pPr>
      <w:r>
        <w:rPr>
          <w:rFonts w:ascii="Courier New" w:cs="Courier New" w:eastAsia="Courier New" w:hAnsi="Courier New"/>
          <w:sz w:val="14"/>
          <w:szCs w:val="14"/>
          <w:color w:val="auto"/>
        </w:rPr>
        <w:t>4.3</w:t>
        <w:tab/>
        <w:t>Article II (Sections 7 and 12), Article III (Sections 2 and 15) and Article VI of the Restated By-Laws of the Company (included in Exhibit 3.2)</w:t>
      </w:r>
    </w:p>
    <w:p>
      <w:pPr>
        <w:spacing w:after="0" w:line="162" w:lineRule="exact"/>
        <w:rPr>
          <w:sz w:val="20"/>
          <w:szCs w:val="20"/>
          <w:color w:val="auto"/>
        </w:rPr>
      </w:pPr>
    </w:p>
    <w:p>
      <w:pPr>
        <w:ind w:left="860" w:right="3599" w:hanging="424"/>
        <w:spacing w:after="0" w:line="247" w:lineRule="auto"/>
        <w:rPr>
          <w:sz w:val="20"/>
          <w:szCs w:val="20"/>
          <w:color w:val="auto"/>
        </w:rPr>
      </w:pPr>
      <w:r>
        <w:rPr>
          <w:rFonts w:ascii="Courier New" w:cs="Courier New" w:eastAsia="Courier New" w:hAnsi="Courier New"/>
          <w:sz w:val="14"/>
          <w:szCs w:val="14"/>
          <w:color w:val="auto"/>
        </w:rPr>
        <w:t>10.1 NN, Inc. Stock Incentive Plan and Form of Incentive Stock Option Agreement pursuant to the Plan (incorporated by reference to Exhibit 10.1 of the Company's Registration Statement No. 333-89950 on Form S-3/A filed July 15, 2002)*</w:t>
      </w:r>
    </w:p>
    <w:p>
      <w:pPr>
        <w:spacing w:after="0" w:line="164" w:lineRule="exact"/>
        <w:rPr>
          <w:sz w:val="20"/>
          <w:szCs w:val="20"/>
          <w:color w:val="auto"/>
        </w:rPr>
      </w:pPr>
    </w:p>
    <w:p>
      <w:pPr>
        <w:jc w:val="both"/>
        <w:ind w:left="860" w:right="3519" w:hanging="424"/>
        <w:spacing w:after="0" w:line="248" w:lineRule="auto"/>
        <w:rPr>
          <w:sz w:val="20"/>
          <w:szCs w:val="20"/>
          <w:color w:val="auto"/>
        </w:rPr>
      </w:pPr>
      <w:r>
        <w:rPr>
          <w:rFonts w:ascii="Courier New" w:cs="Courier New" w:eastAsia="Courier New" w:hAnsi="Courier New"/>
          <w:sz w:val="14"/>
          <w:szCs w:val="14"/>
          <w:color w:val="auto"/>
        </w:rPr>
        <w:t>10.2 Amendment No. 1 to the NN, Inc. Stock Incentive Plan (incorporated by reference to Exhibit 4.6 of the Company's Registration Statement No. 333-50934 on Form S-8 filed on November 30, 2000)*</w:t>
      </w:r>
    </w:p>
    <w:p>
      <w:pPr>
        <w:spacing w:after="0" w:line="162" w:lineRule="exact"/>
        <w:rPr>
          <w:sz w:val="20"/>
          <w:szCs w:val="20"/>
          <w:color w:val="auto"/>
        </w:rPr>
      </w:pPr>
    </w:p>
    <w:p>
      <w:pPr>
        <w:jc w:val="both"/>
        <w:ind w:left="860" w:right="3519" w:hanging="424"/>
        <w:spacing w:after="0" w:line="248" w:lineRule="auto"/>
        <w:rPr>
          <w:sz w:val="20"/>
          <w:szCs w:val="20"/>
          <w:color w:val="auto"/>
        </w:rPr>
      </w:pPr>
      <w:r>
        <w:rPr>
          <w:rFonts w:ascii="Courier New" w:cs="Courier New" w:eastAsia="Courier New" w:hAnsi="Courier New"/>
          <w:sz w:val="14"/>
          <w:szCs w:val="14"/>
          <w:color w:val="auto"/>
        </w:rPr>
        <w:t>10.3 Amendment No. 2 to the NN, Inc. Stock Incentive Plan (incorporated by reference to Exhibit 4.7 of the Company's Registration Statement No. 333-69588 on Form S-8 filed on September 18, 2001)*</w:t>
      </w:r>
    </w:p>
    <w:p>
      <w:pPr>
        <w:spacing w:after="0" w:line="162" w:lineRule="exact"/>
        <w:rPr>
          <w:sz w:val="20"/>
          <w:szCs w:val="20"/>
          <w:color w:val="auto"/>
        </w:rPr>
      </w:pPr>
    </w:p>
    <w:p>
      <w:pPr>
        <w:ind w:left="860" w:right="3439" w:hanging="424"/>
        <w:spacing w:after="0" w:line="247" w:lineRule="auto"/>
        <w:rPr>
          <w:sz w:val="20"/>
          <w:szCs w:val="20"/>
          <w:color w:val="auto"/>
        </w:rPr>
      </w:pPr>
      <w:r>
        <w:rPr>
          <w:rFonts w:ascii="Courier New" w:cs="Courier New" w:eastAsia="Courier New" w:hAnsi="Courier New"/>
          <w:sz w:val="14"/>
          <w:szCs w:val="14"/>
          <w:color w:val="auto"/>
        </w:rPr>
        <w:t>10.4 Form of Non-Competition and Confidentiality Agreement for Executive Officers of the Company (incorporated by reference to Exhibit 10.4 of the Company's Registration Statement No. 333-89950 on Form S-3/A filed July 15, 2002)*</w:t>
      </w:r>
    </w:p>
    <w:p>
      <w:pPr>
        <w:spacing w:after="0" w:line="164" w:lineRule="exact"/>
        <w:rPr>
          <w:sz w:val="20"/>
          <w:szCs w:val="20"/>
          <w:color w:val="auto"/>
        </w:rPr>
      </w:pPr>
    </w:p>
    <w:p>
      <w:pPr>
        <w:ind w:left="860" w:right="3519" w:hanging="424"/>
        <w:spacing w:after="0" w:line="248" w:lineRule="auto"/>
        <w:rPr>
          <w:sz w:val="20"/>
          <w:szCs w:val="20"/>
          <w:color w:val="auto"/>
        </w:rPr>
      </w:pPr>
      <w:r>
        <w:rPr>
          <w:rFonts w:ascii="Courier New" w:cs="Courier New" w:eastAsia="Courier New" w:hAnsi="Courier New"/>
          <w:sz w:val="14"/>
          <w:szCs w:val="14"/>
          <w:color w:val="auto"/>
        </w:rPr>
        <w:t>10.5 Form of Indemnification Agreement (incorporated by reference to Exhibit 10.6 of the Company's Registration Statement No. 333-89950 on Form S-3/A filed July 15, 2002)</w:t>
      </w:r>
    </w:p>
    <w:p>
      <w:pPr>
        <w:spacing w:after="0" w:line="162" w:lineRule="exact"/>
        <w:rPr>
          <w:sz w:val="20"/>
          <w:szCs w:val="20"/>
          <w:color w:val="auto"/>
        </w:rPr>
      </w:pPr>
    </w:p>
    <w:p>
      <w:pPr>
        <w:ind w:left="860" w:right="3439" w:hanging="424"/>
        <w:spacing w:after="0" w:line="247" w:lineRule="auto"/>
        <w:rPr>
          <w:sz w:val="20"/>
          <w:szCs w:val="20"/>
          <w:color w:val="auto"/>
        </w:rPr>
      </w:pPr>
      <w:r>
        <w:rPr>
          <w:rFonts w:ascii="Courier New" w:cs="Courier New" w:eastAsia="Courier New" w:hAnsi="Courier New"/>
          <w:sz w:val="14"/>
          <w:szCs w:val="14"/>
          <w:color w:val="auto"/>
        </w:rPr>
        <w:t>10.6 Form of Stock Option Agreement, dated December 7, 1998, between the Company and the non-employee directors of the Company (incorporated by reference to Exhibit 10.15 of the Company's Annual Report on Form 10-K filed March 31, 1999)*</w:t>
      </w:r>
    </w:p>
    <w:p>
      <w:pPr>
        <w:spacing w:after="0" w:line="164" w:lineRule="exact"/>
        <w:rPr>
          <w:sz w:val="20"/>
          <w:szCs w:val="20"/>
          <w:color w:val="auto"/>
        </w:rPr>
      </w:pPr>
    </w:p>
    <w:p>
      <w:pPr>
        <w:ind w:left="860" w:right="3699" w:hanging="424"/>
        <w:spacing w:after="0" w:line="248" w:lineRule="auto"/>
        <w:rPr>
          <w:sz w:val="20"/>
          <w:szCs w:val="20"/>
          <w:color w:val="auto"/>
        </w:rPr>
      </w:pPr>
      <w:r>
        <w:rPr>
          <w:rFonts w:ascii="Courier New" w:cs="Courier New" w:eastAsia="Courier New" w:hAnsi="Courier New"/>
          <w:sz w:val="14"/>
          <w:szCs w:val="14"/>
          <w:color w:val="auto"/>
        </w:rPr>
        <w:t>10.7 Elective Deferred Compensation Plan, dated February 26, 1999 (incorporated by reference to Exhibit 10.16 of the Company's Annual Report on Form 10-K filed March 31, 1999)*</w:t>
      </w:r>
    </w:p>
    <w:p>
      <w:pPr>
        <w:spacing w:after="0" w:line="162" w:lineRule="exact"/>
        <w:rPr>
          <w:sz w:val="20"/>
          <w:szCs w:val="20"/>
          <w:color w:val="auto"/>
        </w:rPr>
      </w:pPr>
    </w:p>
    <w:p>
      <w:pPr>
        <w:jc w:val="both"/>
        <w:ind w:left="860" w:right="3699" w:hanging="424"/>
        <w:spacing w:after="0" w:line="248" w:lineRule="auto"/>
        <w:rPr>
          <w:sz w:val="20"/>
          <w:szCs w:val="20"/>
          <w:color w:val="auto"/>
        </w:rPr>
      </w:pPr>
      <w:r>
        <w:rPr>
          <w:rFonts w:ascii="Courier New" w:cs="Courier New" w:eastAsia="Courier New" w:hAnsi="Courier New"/>
          <w:sz w:val="14"/>
          <w:szCs w:val="14"/>
          <w:color w:val="auto"/>
        </w:rPr>
        <w:t>10.8 Employment Agreement, dated August 1, 1997, between the Company and Roderick R. Baty (incorporated by reference to Exhibit 10.14 of the Company's Form 10-Q filed November 14, 1997)*</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10.9 Amendment No. 1 to Employment Agreement between the Company and</w:t>
      </w:r>
    </w:p>
    <w:p>
      <w:pPr>
        <w:sectPr>
          <w:pgSz w:w="11900" w:h="16838" w:orient="portrait"/>
          <w:cols w:equalWidth="0" w:num="1">
            <w:col w:w="10239"/>
          </w:cols>
          <w:pgMar w:left="220" w:top="305" w:right="1440" w:bottom="0" w:gutter="0" w:footer="0" w:header="0"/>
        </w:sectPr>
      </w:pPr>
    </w:p>
    <w:bookmarkStart w:id="49" w:name="page50"/>
    <w:bookmarkEnd w:id="49"/>
    <w:p>
      <w:pPr>
        <w:ind w:left="420" w:right="3439"/>
        <w:spacing w:after="0" w:line="248" w:lineRule="auto"/>
        <w:rPr>
          <w:sz w:val="20"/>
          <w:szCs w:val="20"/>
          <w:color w:val="auto"/>
        </w:rPr>
      </w:pPr>
      <w:r>
        <w:rPr>
          <w:rFonts w:ascii="Courier New" w:cs="Courier New" w:eastAsia="Courier New" w:hAnsi="Courier New"/>
          <w:sz w:val="14"/>
          <w:szCs w:val="14"/>
          <w:color w:val="auto"/>
        </w:rPr>
        <w:t>Roderick R. Baty, dated January 21, 2002 (incorporated by reference to Exhibit 10.18 of the Company's Annual Report on Form 10-K filed March 29, 2002)*</w:t>
      </w:r>
    </w:p>
    <w:p>
      <w:pPr>
        <w:spacing w:after="0" w:line="162" w:lineRule="exact"/>
        <w:rPr>
          <w:sz w:val="20"/>
          <w:szCs w:val="20"/>
          <w:color w:val="auto"/>
        </w:rPr>
      </w:pPr>
    </w:p>
    <w:p>
      <w:pPr>
        <w:ind w:left="420" w:right="3439" w:hanging="424"/>
        <w:spacing w:after="0" w:line="247" w:lineRule="auto"/>
        <w:rPr>
          <w:sz w:val="20"/>
          <w:szCs w:val="20"/>
          <w:color w:val="auto"/>
        </w:rPr>
      </w:pPr>
      <w:r>
        <w:rPr>
          <w:rFonts w:ascii="Courier New" w:cs="Courier New" w:eastAsia="Courier New" w:hAnsi="Courier New"/>
          <w:sz w:val="14"/>
          <w:szCs w:val="14"/>
          <w:color w:val="auto"/>
        </w:rPr>
        <w:t>10.10 Change of Control and Noncompetition Agreement dated January 21, 2002 between the Company and Roderick R. Baty (incorporated by reference to Exhibit 10.19 of the Company's Annual Report on Form 10-K filed March 29, 2002)*</w:t>
      </w:r>
    </w:p>
    <w:p>
      <w:pPr>
        <w:spacing w:after="0" w:line="164" w:lineRule="exact"/>
        <w:rPr>
          <w:sz w:val="20"/>
          <w:szCs w:val="20"/>
          <w:color w:val="auto"/>
        </w:rPr>
      </w:pPr>
    </w:p>
    <w:p>
      <w:pPr>
        <w:jc w:val="both"/>
        <w:ind w:left="420" w:right="3779" w:hanging="424"/>
        <w:spacing w:after="0" w:line="248" w:lineRule="auto"/>
        <w:rPr>
          <w:sz w:val="20"/>
          <w:szCs w:val="20"/>
          <w:color w:val="auto"/>
        </w:rPr>
      </w:pPr>
      <w:r>
        <w:rPr>
          <w:rFonts w:ascii="Courier New" w:cs="Courier New" w:eastAsia="Courier New" w:hAnsi="Courier New"/>
          <w:sz w:val="14"/>
          <w:szCs w:val="14"/>
          <w:color w:val="auto"/>
        </w:rPr>
        <w:t>10.11 Employment Agreement, dated May 7, 1998, between the Company and Frank T. Gentry (incorporated by reference to Exhibit 10.14 of the Company's Annual Report on Form 10-K filed March 31, 1999)*</w:t>
      </w:r>
    </w:p>
    <w:p>
      <w:pPr>
        <w:spacing w:after="0" w:line="32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286385</wp:posOffset>
            </wp:positionV>
            <wp:extent cx="72986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0" w:right="3439" w:hanging="424"/>
        <w:spacing w:after="0" w:line="247" w:lineRule="auto"/>
        <w:rPr>
          <w:sz w:val="20"/>
          <w:szCs w:val="20"/>
          <w:color w:val="auto"/>
        </w:rPr>
      </w:pPr>
      <w:r>
        <w:rPr>
          <w:rFonts w:ascii="Courier New" w:cs="Courier New" w:eastAsia="Courier New" w:hAnsi="Courier New"/>
          <w:sz w:val="14"/>
          <w:szCs w:val="14"/>
          <w:color w:val="auto"/>
        </w:rPr>
        <w:t>10.12 Amendment No. 1 to Employment Agreement between the Company and Frank T. Gentry, dated January 21, 2002 (incorporated by reference to Exhibit 10.16 of the Company's Annual Report on Form 10-K filed March 29, 2002)*</w:t>
      </w:r>
    </w:p>
    <w:p>
      <w:pPr>
        <w:spacing w:after="0" w:line="164" w:lineRule="exact"/>
        <w:rPr>
          <w:sz w:val="20"/>
          <w:szCs w:val="20"/>
          <w:color w:val="auto"/>
        </w:rPr>
      </w:pPr>
    </w:p>
    <w:p>
      <w:pPr>
        <w:ind w:left="420" w:right="3439" w:hanging="424"/>
        <w:spacing w:after="0" w:line="247" w:lineRule="auto"/>
        <w:rPr>
          <w:sz w:val="20"/>
          <w:szCs w:val="20"/>
          <w:color w:val="auto"/>
        </w:rPr>
      </w:pPr>
      <w:r>
        <w:rPr>
          <w:rFonts w:ascii="Courier New" w:cs="Courier New" w:eastAsia="Courier New" w:hAnsi="Courier New"/>
          <w:sz w:val="14"/>
          <w:szCs w:val="14"/>
          <w:color w:val="auto"/>
        </w:rPr>
        <w:t>10.13 Change of Control and Noncompetition Agreement dated January 21, 2002 between the Company and Frank T. Gentry (incorporated by reference to Exhibit 10.17 to the Company's Annual Report on Form 10-K filed March 29, 2002)*</w:t>
      </w:r>
    </w:p>
    <w:p>
      <w:pPr>
        <w:spacing w:after="0" w:line="16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10.14 Employment Agreement, dated January 21, 2002, between the Company and</w:t>
      </w:r>
    </w:p>
    <w:p>
      <w:pPr>
        <w:spacing w:after="0" w:line="5" w:lineRule="exact"/>
        <w:rPr>
          <w:sz w:val="20"/>
          <w:szCs w:val="20"/>
          <w:color w:val="auto"/>
        </w:rPr>
      </w:pPr>
    </w:p>
    <w:p>
      <w:pPr>
        <w:ind w:left="420" w:right="3859"/>
        <w:spacing w:after="0" w:line="249" w:lineRule="auto"/>
        <w:rPr>
          <w:sz w:val="20"/>
          <w:szCs w:val="20"/>
          <w:color w:val="auto"/>
        </w:rPr>
      </w:pPr>
      <w:r>
        <w:rPr>
          <w:rFonts w:ascii="Courier New" w:cs="Courier New" w:eastAsia="Courier New" w:hAnsi="Courier New"/>
          <w:sz w:val="14"/>
          <w:szCs w:val="14"/>
          <w:color w:val="auto"/>
        </w:rPr>
        <w:t>Robert R. Sams (incorporated by reference to Exhibit 10.20 of the Company's Annual Report on Form 10-K filed March 29, 2002)*</w:t>
      </w:r>
    </w:p>
    <w:p>
      <w:pPr>
        <w:spacing w:after="0" w:line="161" w:lineRule="exact"/>
        <w:rPr>
          <w:sz w:val="20"/>
          <w:szCs w:val="20"/>
          <w:color w:val="auto"/>
        </w:rPr>
      </w:pPr>
    </w:p>
    <w:p>
      <w:pPr>
        <w:ind w:left="420" w:right="3439" w:hanging="424"/>
        <w:spacing w:after="0" w:line="247" w:lineRule="auto"/>
        <w:rPr>
          <w:sz w:val="20"/>
          <w:szCs w:val="20"/>
          <w:color w:val="auto"/>
        </w:rPr>
      </w:pPr>
      <w:r>
        <w:rPr>
          <w:rFonts w:ascii="Courier New" w:cs="Courier New" w:eastAsia="Courier New" w:hAnsi="Courier New"/>
          <w:sz w:val="14"/>
          <w:szCs w:val="14"/>
          <w:color w:val="auto"/>
        </w:rPr>
        <w:t>10.15 Change of Control and Noncompetition Agreement dated January 21, 2002 between the Company and Robert R. Sams (incorporated by reference to Exhibit 10.21 of the Company's Annual Report on Form 10-K filed March 29, 2002)*</w:t>
      </w:r>
    </w:p>
    <w:p>
      <w:pPr>
        <w:spacing w:after="0" w:line="164" w:lineRule="exact"/>
        <w:rPr>
          <w:sz w:val="20"/>
          <w:szCs w:val="20"/>
          <w:color w:val="auto"/>
        </w:rPr>
      </w:pPr>
    </w:p>
    <w:p>
      <w:pPr>
        <w:ind w:left="420" w:right="3439" w:hanging="424"/>
        <w:spacing w:after="0" w:line="248" w:lineRule="auto"/>
        <w:rPr>
          <w:sz w:val="20"/>
          <w:szCs w:val="20"/>
          <w:color w:val="auto"/>
        </w:rPr>
      </w:pPr>
      <w:r>
        <w:rPr>
          <w:rFonts w:ascii="Courier New" w:cs="Courier New" w:eastAsia="Courier New" w:hAnsi="Courier New"/>
          <w:sz w:val="14"/>
          <w:szCs w:val="14"/>
          <w:color w:val="auto"/>
        </w:rPr>
        <w:t>10.16 Employment Agreement, dated January 21, 2002, between the Company and David L. Dyckman (incorporated by reference to Exhibit 10.22 of the Company's Annual Report on Form 10-K filed March 29, 2002)*</w:t>
      </w:r>
    </w:p>
    <w:p>
      <w:pPr>
        <w:spacing w:after="0" w:line="162" w:lineRule="exact"/>
        <w:rPr>
          <w:sz w:val="20"/>
          <w:szCs w:val="20"/>
          <w:color w:val="auto"/>
        </w:rPr>
      </w:pPr>
    </w:p>
    <w:p>
      <w:pPr>
        <w:ind w:left="420" w:right="3439" w:hanging="424"/>
        <w:spacing w:after="0" w:line="247" w:lineRule="auto"/>
        <w:rPr>
          <w:sz w:val="20"/>
          <w:szCs w:val="20"/>
          <w:color w:val="auto"/>
        </w:rPr>
      </w:pPr>
      <w:r>
        <w:rPr>
          <w:rFonts w:ascii="Courier New" w:cs="Courier New" w:eastAsia="Courier New" w:hAnsi="Courier New"/>
          <w:sz w:val="14"/>
          <w:szCs w:val="14"/>
          <w:color w:val="auto"/>
        </w:rPr>
        <w:t>10.17 Change of Control and Noncompetition Agreement, dated January 21, 2002, between the Company and David L. Dyckman (incorporated by reference to Exhibit 10.25 of the Company's Annual Report on Form 10-K filed March 29, 2002)*</w:t>
      </w:r>
    </w:p>
    <w:p>
      <w:pPr>
        <w:spacing w:after="0" w:line="164" w:lineRule="exact"/>
        <w:rPr>
          <w:sz w:val="20"/>
          <w:szCs w:val="20"/>
          <w:color w:val="auto"/>
        </w:rPr>
      </w:pPr>
    </w:p>
    <w:p>
      <w:pPr>
        <w:jc w:val="both"/>
        <w:ind w:left="420" w:right="3519" w:hanging="424"/>
        <w:spacing w:after="0" w:line="248" w:lineRule="auto"/>
        <w:rPr>
          <w:sz w:val="20"/>
          <w:szCs w:val="20"/>
          <w:color w:val="auto"/>
        </w:rPr>
      </w:pPr>
      <w:r>
        <w:rPr>
          <w:rFonts w:ascii="Courier New" w:cs="Courier New" w:eastAsia="Courier New" w:hAnsi="Courier New"/>
          <w:sz w:val="14"/>
          <w:szCs w:val="14"/>
          <w:color w:val="auto"/>
        </w:rPr>
        <w:t>10.18 Employment Agreement dated January 21, 2002, between the Company and William C. Kelly, Jr. (incorporated by reference to Exhibit 10.22 of the Company's Annual Report on Form 10-K filed March 29, 2002)*</w:t>
      </w:r>
    </w:p>
    <w:p>
      <w:pPr>
        <w:spacing w:after="0" w:line="162" w:lineRule="exact"/>
        <w:rPr>
          <w:sz w:val="20"/>
          <w:szCs w:val="20"/>
          <w:color w:val="auto"/>
        </w:rPr>
      </w:pPr>
    </w:p>
    <w:p>
      <w:pPr>
        <w:ind w:left="420" w:right="3439" w:hanging="424"/>
        <w:spacing w:after="0" w:line="247" w:lineRule="auto"/>
        <w:rPr>
          <w:sz w:val="20"/>
          <w:szCs w:val="20"/>
          <w:color w:val="auto"/>
        </w:rPr>
      </w:pPr>
      <w:r>
        <w:rPr>
          <w:rFonts w:ascii="Courier New" w:cs="Courier New" w:eastAsia="Courier New" w:hAnsi="Courier New"/>
          <w:sz w:val="14"/>
          <w:szCs w:val="14"/>
          <w:color w:val="auto"/>
        </w:rPr>
        <w:t>10.19 Change of Control and Noncompetition Agreement, dated January 21, 2002, between the Company and William C. Kelly, Jr. (incorporated by reference to Exhibit 10.23 of the Company's Annual Report on Form 10-K filed March 29, 2002)*</w:t>
      </w:r>
    </w:p>
    <w:p>
      <w:pPr>
        <w:spacing w:after="0" w:line="164" w:lineRule="exact"/>
        <w:rPr>
          <w:sz w:val="20"/>
          <w:szCs w:val="20"/>
          <w:color w:val="auto"/>
        </w:rPr>
      </w:pPr>
    </w:p>
    <w:p>
      <w:pPr>
        <w:ind w:left="420" w:right="3439" w:hanging="424"/>
        <w:spacing w:after="0" w:line="247" w:lineRule="auto"/>
        <w:rPr>
          <w:sz w:val="20"/>
          <w:szCs w:val="20"/>
          <w:color w:val="auto"/>
        </w:rPr>
      </w:pPr>
      <w:r>
        <w:rPr>
          <w:rFonts w:ascii="Courier New" w:cs="Courier New" w:eastAsia="Courier New" w:hAnsi="Courier New"/>
          <w:sz w:val="14"/>
          <w:szCs w:val="14"/>
          <w:color w:val="auto"/>
        </w:rPr>
        <w:t>10.20 NN Euroball, ApS Shareholder Agreement dated April 6, 2000 among NN, Inc., AB SKF and FAG Kugelfischer Georg Shafer AG (incorporated by reference to Exhibit 10.26 of the Company's Annual Report on Form 10-K filed March 29, 2002)</w:t>
      </w:r>
    </w:p>
    <w:p>
      <w:pPr>
        <w:spacing w:after="0" w:line="164" w:lineRule="exact"/>
        <w:rPr>
          <w:sz w:val="20"/>
          <w:szCs w:val="20"/>
          <w:color w:val="auto"/>
        </w:rPr>
      </w:pPr>
    </w:p>
    <w:p>
      <w:pPr>
        <w:ind w:left="420" w:right="3439" w:hanging="424"/>
        <w:spacing w:after="0" w:line="247" w:lineRule="auto"/>
        <w:rPr>
          <w:sz w:val="20"/>
          <w:szCs w:val="20"/>
          <w:color w:val="auto"/>
        </w:rPr>
      </w:pPr>
      <w:r>
        <w:rPr>
          <w:rFonts w:ascii="Courier New" w:cs="Courier New" w:eastAsia="Courier New" w:hAnsi="Courier New"/>
          <w:sz w:val="14"/>
          <w:szCs w:val="14"/>
          <w:color w:val="auto"/>
        </w:rPr>
        <w:t>10.21 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164" w:lineRule="exact"/>
        <w:rPr>
          <w:sz w:val="20"/>
          <w:szCs w:val="20"/>
          <w:color w:val="auto"/>
        </w:rPr>
      </w:pPr>
    </w:p>
    <w:p>
      <w:pPr>
        <w:ind w:left="420" w:right="3519" w:hanging="424"/>
        <w:spacing w:after="0" w:line="249" w:lineRule="auto"/>
        <w:rPr>
          <w:sz w:val="20"/>
          <w:szCs w:val="20"/>
          <w:color w:val="auto"/>
        </w:rPr>
      </w:pPr>
      <w:r>
        <w:rPr>
          <w:rFonts w:ascii="Courier New" w:cs="Courier New" w:eastAsia="Courier New" w:hAnsi="Courier New"/>
          <w:sz w:val="14"/>
          <w:szCs w:val="14"/>
          <w:color w:val="auto"/>
        </w:rPr>
        <w:t>10.22 Employment Agreement dated January 21, 2002, between the Company and Paul N. Fortier.*</w:t>
      </w:r>
    </w:p>
    <w:p>
      <w:pPr>
        <w:spacing w:after="0" w:line="161" w:lineRule="exact"/>
        <w:rPr>
          <w:sz w:val="20"/>
          <w:szCs w:val="20"/>
          <w:color w:val="auto"/>
        </w:rPr>
      </w:pPr>
    </w:p>
    <w:p>
      <w:pPr>
        <w:ind w:left="420" w:right="3519" w:hanging="424"/>
        <w:spacing w:after="0" w:line="247" w:lineRule="auto"/>
        <w:rPr>
          <w:sz w:val="20"/>
          <w:szCs w:val="20"/>
          <w:color w:val="auto"/>
        </w:rPr>
      </w:pPr>
      <w:r>
        <w:rPr>
          <w:rFonts w:ascii="Courier New" w:cs="Courier New" w:eastAsia="Courier New" w:hAnsi="Courier New"/>
          <w:sz w:val="14"/>
          <w:szCs w:val="14"/>
          <w:color w:val="auto"/>
        </w:rPr>
        <w:t>10.23 Amendment No. 3 to NN, Inc. Stock Incentive Plan as ratified by the shareholders on May 15, 2003 amending the Plan to permit the issuance of awards under the Plan to directors of the Company (incorporated by reference to Exhibit 10.1 of the Company's Quarterly Report on Form 10-Q filed August 14, 2003)*</w:t>
      </w:r>
    </w:p>
    <w:p>
      <w:pPr>
        <w:spacing w:after="0" w:line="164" w:lineRule="exact"/>
        <w:rPr>
          <w:sz w:val="20"/>
          <w:szCs w:val="20"/>
          <w:color w:val="auto"/>
        </w:rPr>
      </w:pPr>
    </w:p>
    <w:p>
      <w:pPr>
        <w:ind w:left="420" w:right="3439" w:hanging="424"/>
        <w:spacing w:after="0" w:line="247" w:lineRule="auto"/>
        <w:rPr>
          <w:sz w:val="20"/>
          <w:szCs w:val="20"/>
          <w:color w:val="auto"/>
        </w:rPr>
      </w:pPr>
      <w:r>
        <w:rPr>
          <w:rFonts w:ascii="Courier New" w:cs="Courier New" w:eastAsia="Courier New" w:hAnsi="Courier New"/>
          <w:sz w:val="14"/>
          <w:szCs w:val="14"/>
          <w:color w:val="auto"/>
        </w:rPr>
        <w:t>10.24 Credit Agreement dated as of May 1, 2003 among NN, Inc., and NN Euroball as the Borrowers, the Subsidiaries as Guarantors, the Lenders as identifies therein, AmSouth Bank as Administrative Agent, and SunTrust Bank as Documentation Agent and Euro Loan Agent (incorporated by reference to Exhibit 10.2 of the Company's Quarterly Report on Form 10-Q filed August 14, 2003)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10.25 Supply Agreement between NN Euroball ApS and AB SKF dated April 6,</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2000. (We have omitted</w:t>
      </w:r>
    </w:p>
    <w:p>
      <w:pPr>
        <w:spacing w:after="0" w:line="331"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286385</wp:posOffset>
            </wp:positionV>
            <wp:extent cx="72986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ectPr>
          <w:pgSz w:w="11900" w:h="16838" w:orient="portrait"/>
          <w:cols w:equalWidth="0" w:num="1">
            <w:col w:w="9799"/>
          </w:cols>
          <w:pgMar w:left="660" w:top="141" w:right="1440" w:bottom="480" w:gutter="0" w:footer="0" w:header="0"/>
        </w:sectPr>
      </w:pPr>
    </w:p>
    <w:bookmarkStart w:id="50" w:name="page51"/>
    <w:bookmarkEnd w:id="50"/>
    <w:p>
      <w:pPr>
        <w:ind w:left="860" w:right="3439"/>
        <w:spacing w:after="0" w:line="247" w:lineRule="auto"/>
        <w:rPr>
          <w:sz w:val="20"/>
          <w:szCs w:val="20"/>
          <w:color w:val="auto"/>
        </w:rPr>
      </w:pPr>
      <w:r>
        <w:rPr>
          <w:rFonts w:ascii="Courier New" w:cs="Courier New" w:eastAsia="Courier New" w:hAnsi="Courier New"/>
          <w:sz w:val="14"/>
          <w:szCs w:val="14"/>
          <w:color w:val="auto"/>
        </w:rPr>
        <w:t>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 (incorporated by reference to Exhibit 10.3 of the Company's Quarterly Report on Form 10-Q filed August 14, 2003)</w:t>
      </w:r>
    </w:p>
    <w:p>
      <w:pPr>
        <w:spacing w:after="0" w:line="164" w:lineRule="exact"/>
        <w:rPr>
          <w:sz w:val="20"/>
          <w:szCs w:val="20"/>
          <w:color w:val="auto"/>
        </w:rPr>
      </w:pPr>
    </w:p>
    <w:p>
      <w:pPr>
        <w:ind w:left="860" w:right="3439" w:hanging="424"/>
        <w:spacing w:after="0" w:line="247" w:lineRule="auto"/>
        <w:rPr>
          <w:sz w:val="20"/>
          <w:szCs w:val="20"/>
          <w:color w:val="auto"/>
        </w:rPr>
      </w:pPr>
      <w:r>
        <w:rPr>
          <w:rFonts w:ascii="Courier New" w:cs="Courier New" w:eastAsia="Courier New" w:hAnsi="Courier New"/>
          <w:sz w:val="14"/>
          <w:szCs w:val="14"/>
          <w:color w:val="auto"/>
        </w:rPr>
        <w:t>10.26 Global Supply Agreement among NN, Inc., NN Netherlands B.V. and SKF Holding Maatschappij Holland B.V. dated April 14, 2003.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brackets([*])(incorporated by reference to Exhibit 10.4 of the Company's Quarterly Report on Form 10-Q filed August 14, 2003)</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21.1 List of Subsidiaries of the Company.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23.1 Consent of PricewaterhouseCoopers LLP, Independent Accountants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23.2 Consent of KPMG, LLP, Independent Auditors</w:t>
      </w:r>
    </w:p>
    <w:p>
      <w:pPr>
        <w:spacing w:after="0" w:line="168" w:lineRule="exact"/>
        <w:rPr>
          <w:sz w:val="20"/>
          <w:szCs w:val="20"/>
          <w:color w:val="auto"/>
        </w:rPr>
      </w:pPr>
    </w:p>
    <w:p>
      <w:pPr>
        <w:ind w:left="860" w:right="3699" w:hanging="424"/>
        <w:spacing w:after="0" w:line="249" w:lineRule="auto"/>
        <w:rPr>
          <w:sz w:val="20"/>
          <w:szCs w:val="20"/>
          <w:color w:val="auto"/>
        </w:rPr>
      </w:pPr>
      <w:r>
        <w:rPr>
          <w:rFonts w:ascii="Courier New" w:cs="Courier New" w:eastAsia="Courier New" w:hAnsi="Courier New"/>
          <w:sz w:val="14"/>
          <w:szCs w:val="14"/>
          <w:color w:val="auto"/>
        </w:rPr>
        <w:t>31.1 Certification of Chief Executive Officer pursuant to Section 302 of Sarbanes-Oxley Act</w:t>
      </w:r>
    </w:p>
    <w:p>
      <w:pPr>
        <w:spacing w:after="0" w:line="161" w:lineRule="exact"/>
        <w:rPr>
          <w:sz w:val="20"/>
          <w:szCs w:val="20"/>
          <w:color w:val="auto"/>
        </w:rPr>
      </w:pPr>
    </w:p>
    <w:p>
      <w:pPr>
        <w:ind w:left="860" w:right="3699" w:hanging="424"/>
        <w:spacing w:after="0" w:line="249" w:lineRule="auto"/>
        <w:rPr>
          <w:sz w:val="20"/>
          <w:szCs w:val="20"/>
          <w:color w:val="auto"/>
        </w:rPr>
      </w:pPr>
      <w:r>
        <w:rPr>
          <w:rFonts w:ascii="Courier New" w:cs="Courier New" w:eastAsia="Courier New" w:hAnsi="Courier New"/>
          <w:sz w:val="14"/>
          <w:szCs w:val="14"/>
          <w:color w:val="auto"/>
        </w:rPr>
        <w:t>31.2 Certification of Chief Financial Officer pursuant to Section 302 of Sarbanes-Oxley Act</w:t>
      </w:r>
    </w:p>
    <w:p>
      <w:pPr>
        <w:spacing w:after="0" w:line="161" w:lineRule="exact"/>
        <w:rPr>
          <w:sz w:val="20"/>
          <w:szCs w:val="20"/>
          <w:color w:val="auto"/>
        </w:rPr>
      </w:pPr>
    </w:p>
    <w:p>
      <w:pPr>
        <w:ind w:left="860" w:right="3699" w:hanging="424"/>
        <w:spacing w:after="0" w:line="249" w:lineRule="auto"/>
        <w:rPr>
          <w:sz w:val="20"/>
          <w:szCs w:val="20"/>
          <w:color w:val="auto"/>
        </w:rPr>
      </w:pPr>
      <w:r>
        <w:rPr>
          <w:rFonts w:ascii="Courier New" w:cs="Courier New" w:eastAsia="Courier New" w:hAnsi="Courier New"/>
          <w:sz w:val="14"/>
          <w:szCs w:val="14"/>
          <w:color w:val="auto"/>
        </w:rPr>
        <w:t>32.1 Certification of Chief Executive Officer pursuant to Section 906 of Sarbanes-Oxley Act</w:t>
      </w:r>
    </w:p>
    <w:p>
      <w:pPr>
        <w:spacing w:after="0" w:line="161" w:lineRule="exact"/>
        <w:rPr>
          <w:sz w:val="20"/>
          <w:szCs w:val="20"/>
          <w:color w:val="auto"/>
        </w:rPr>
      </w:pPr>
    </w:p>
    <w:p>
      <w:pPr>
        <w:ind w:left="860" w:right="3699" w:hanging="424"/>
        <w:spacing w:after="0" w:line="249" w:lineRule="auto"/>
        <w:rPr>
          <w:sz w:val="20"/>
          <w:szCs w:val="20"/>
          <w:color w:val="auto"/>
        </w:rPr>
      </w:pPr>
      <w:r>
        <w:rPr>
          <w:rFonts w:ascii="Courier New" w:cs="Courier New" w:eastAsia="Courier New" w:hAnsi="Courier New"/>
          <w:sz w:val="14"/>
          <w:szCs w:val="14"/>
          <w:color w:val="auto"/>
        </w:rPr>
        <w:t>32.2 Certification of Chief Financial Officer pursuant to Section 906 of Sarbanes-Oxley Act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5" w:lineRule="exact"/>
        <w:rPr>
          <w:sz w:val="20"/>
          <w:szCs w:val="20"/>
          <w:color w:val="auto"/>
        </w:rPr>
      </w:pPr>
    </w:p>
    <w:p>
      <w:pPr>
        <w:ind w:left="3320" w:right="5059" w:hanging="3313"/>
        <w:spacing w:after="0" w:line="743" w:lineRule="auto"/>
        <w:tabs>
          <w:tab w:leader="none" w:pos="43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 66</w:t>
      </w:r>
    </w:p>
    <w:p>
      <w:pPr>
        <w:sectPr>
          <w:pgSz w:w="11900" w:h="16838" w:orient="portrait"/>
          <w:cols w:equalWidth="0" w:num="1">
            <w:col w:w="10239"/>
          </w:cols>
          <w:pgMar w:left="220" w:top="468" w:right="1440" w:bottom="1440" w:gutter="0" w:footer="0" w:header="0"/>
        </w:sectPr>
      </w:pPr>
    </w:p>
    <w:bookmarkStart w:id="51" w:name="page52"/>
    <w:bookmarkEnd w:id="51"/>
    <w:p>
      <w:pPr>
        <w:ind w:left="5700"/>
        <w:spacing w:after="0"/>
        <w:rPr>
          <w:sz w:val="20"/>
          <w:szCs w:val="20"/>
          <w:color w:val="auto"/>
        </w:rPr>
      </w:pPr>
      <w:r>
        <w:rPr>
          <w:rFonts w:ascii="Courier New" w:cs="Courier New" w:eastAsia="Courier New" w:hAnsi="Courier New"/>
          <w:sz w:val="14"/>
          <w:szCs w:val="14"/>
          <w:color w:val="auto"/>
        </w:rPr>
        <w:t>Exhibit 10.22</w:t>
      </w:r>
    </w:p>
    <w:p>
      <w:pPr>
        <w:spacing w:after="0" w:line="33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b w:val="1"/>
          <w:bCs w:val="1"/>
          <w:u w:val="single" w:color="auto"/>
          <w:color w:val="auto"/>
        </w:rPr>
        <w:t>EMPLOYMENT AGREEMENT</w:t>
      </w:r>
    </w:p>
    <w:p>
      <w:pPr>
        <w:spacing w:after="0" w:line="168" w:lineRule="exact"/>
        <w:rPr>
          <w:sz w:val="20"/>
          <w:szCs w:val="20"/>
          <w:color w:val="auto"/>
        </w:rPr>
      </w:pPr>
    </w:p>
    <w:p>
      <w:pPr>
        <w:jc w:val="both"/>
        <w:ind w:right="3439" w:firstLine="425"/>
        <w:spacing w:after="0" w:line="247" w:lineRule="auto"/>
        <w:rPr>
          <w:sz w:val="20"/>
          <w:szCs w:val="20"/>
          <w:color w:val="auto"/>
        </w:rPr>
      </w:pPr>
      <w:r>
        <w:rPr>
          <w:rFonts w:ascii="Courier New" w:cs="Courier New" w:eastAsia="Courier New" w:hAnsi="Courier New"/>
          <w:sz w:val="14"/>
          <w:szCs w:val="14"/>
          <w:color w:val="auto"/>
        </w:rPr>
        <w:t>This AGREEMENT is made as of January 1, 2002, by and between NN, Inc., a Delaware corporation, having its principal place of business located at 1200 Waters Edge Drive, Johnson City, Tennessee 37604 (the "Company" or "NN") and Paul Fortier (the "Executive").</w:t>
      </w:r>
    </w:p>
    <w:p>
      <w:pPr>
        <w:spacing w:after="0" w:line="164"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W I T N E S S E T H:</w:t>
      </w:r>
    </w:p>
    <w:p>
      <w:pPr>
        <w:spacing w:after="0" w:line="168" w:lineRule="exact"/>
        <w:rPr>
          <w:sz w:val="20"/>
          <w:szCs w:val="20"/>
          <w:color w:val="auto"/>
        </w:rPr>
      </w:pPr>
    </w:p>
    <w:p>
      <w:pPr>
        <w:jc w:val="both"/>
        <w:ind w:right="3439" w:firstLine="425"/>
        <w:spacing w:after="0" w:line="247" w:lineRule="auto"/>
        <w:rPr>
          <w:sz w:val="20"/>
          <w:szCs w:val="20"/>
          <w:color w:val="auto"/>
        </w:rPr>
      </w:pPr>
      <w:r>
        <w:rPr>
          <w:rFonts w:ascii="Courier New" w:cs="Courier New" w:eastAsia="Courier New" w:hAnsi="Courier New"/>
          <w:sz w:val="14"/>
          <w:szCs w:val="14"/>
          <w:color w:val="auto"/>
        </w:rPr>
        <w:t>WHEREAS, the Company's Board of Directors (the "Board") has determined that it is in the best interest of the Company and its shareholders to employ the Executive as Vice President General Manager Delta Rubber, and the Executive desires to serve in that capacity;</w:t>
      </w:r>
    </w:p>
    <w:p>
      <w:pPr>
        <w:spacing w:after="0" w:line="164" w:lineRule="exact"/>
        <w:rPr>
          <w:sz w:val="20"/>
          <w:szCs w:val="20"/>
          <w:color w:val="auto"/>
        </w:rPr>
      </w:pPr>
    </w:p>
    <w:p>
      <w:pPr>
        <w:jc w:val="both"/>
        <w:ind w:right="3439" w:firstLine="425"/>
        <w:spacing w:after="0" w:line="248" w:lineRule="auto"/>
        <w:rPr>
          <w:sz w:val="20"/>
          <w:szCs w:val="20"/>
          <w:color w:val="auto"/>
        </w:rPr>
      </w:pPr>
      <w:r>
        <w:rPr>
          <w:rFonts w:ascii="Courier New" w:cs="Courier New" w:eastAsia="Courier New" w:hAnsi="Courier New"/>
          <w:sz w:val="14"/>
          <w:szCs w:val="14"/>
          <w:color w:val="auto"/>
        </w:rPr>
        <w:t>NOW, THEREFORE, in consideration of the foregoing and of the respective covenants and agreements of the parties herein contained, the parties hereto, intending to be legally bound, agree as follows:</w:t>
      </w:r>
    </w:p>
    <w:p>
      <w:pPr>
        <w:spacing w:after="0" w:line="162" w:lineRule="exact"/>
        <w:rPr>
          <w:sz w:val="20"/>
          <w:szCs w:val="20"/>
          <w:color w:val="auto"/>
        </w:rPr>
      </w:pPr>
    </w:p>
    <w:p>
      <w:pPr>
        <w:jc w:val="both"/>
        <w:ind w:right="3439" w:firstLine="432"/>
        <w:spacing w:after="0" w:line="248" w:lineRule="auto"/>
        <w:tabs>
          <w:tab w:leader="none" w:pos="764" w:val="left"/>
        </w:tabs>
        <w:numPr>
          <w:ilvl w:val="0"/>
          <w:numId w:val="4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Employment</w:t>
      </w:r>
      <w:r>
        <w:rPr>
          <w:rFonts w:ascii="Courier New" w:cs="Courier New" w:eastAsia="Courier New" w:hAnsi="Courier New"/>
          <w:sz w:val="14"/>
          <w:szCs w:val="14"/>
          <w:color w:val="auto"/>
        </w:rPr>
        <w:t>. The Company agrees to continue to employ the Executive and</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the Executive hereby agrees to continue to be employed for the period of time set forth in Paragraph 2, subject to the terms and conditions set forth herein.</w:t>
      </w:r>
    </w:p>
    <w:p>
      <w:pPr>
        <w:spacing w:after="0" w:line="161" w:lineRule="exact"/>
        <w:rPr>
          <w:rFonts w:ascii="Courier New" w:cs="Courier New" w:eastAsia="Courier New" w:hAnsi="Courier New"/>
          <w:sz w:val="14"/>
          <w:szCs w:val="14"/>
          <w:b w:val="1"/>
          <w:bCs w:val="1"/>
          <w:color w:val="auto"/>
        </w:rPr>
      </w:pPr>
    </w:p>
    <w:p>
      <w:pPr>
        <w:jc w:val="both"/>
        <w:ind w:right="3439" w:firstLine="432"/>
        <w:spacing w:after="0" w:line="247" w:lineRule="auto"/>
        <w:tabs>
          <w:tab w:leader="none" w:pos="764" w:val="left"/>
        </w:tabs>
        <w:numPr>
          <w:ilvl w:val="0"/>
          <w:numId w:val="4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Term</w:t>
      </w:r>
      <w:r>
        <w:rPr>
          <w:rFonts w:ascii="Courier New" w:cs="Courier New" w:eastAsia="Courier New" w:hAnsi="Courier New"/>
          <w:sz w:val="14"/>
          <w:szCs w:val="14"/>
          <w:color w:val="auto"/>
        </w:rPr>
        <w:t>. Subject to the terms hereof, Company agrees to employ the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Executive for a period of two years commencing upon January 1, 2002 and expiring on the second anniversary from that date (the "Employment Term") (unless sooner terminated as provided herein). The Employment Term shall be extended automatically from time to time, on a rolling basis, for additional one year periods, unless either party gives written notice of termination to the other at least six (6) months prior to the date that the Employment Term is scheduled to expire.</w:t>
      </w:r>
    </w:p>
    <w:p>
      <w:pPr>
        <w:spacing w:after="0" w:line="164" w:lineRule="exact"/>
        <w:rPr>
          <w:rFonts w:ascii="Courier New" w:cs="Courier New" w:eastAsia="Courier New" w:hAnsi="Courier New"/>
          <w:sz w:val="14"/>
          <w:szCs w:val="14"/>
          <w:b w:val="1"/>
          <w:bCs w:val="1"/>
          <w:color w:val="auto"/>
        </w:rPr>
      </w:pPr>
    </w:p>
    <w:p>
      <w:pPr>
        <w:jc w:val="both"/>
        <w:ind w:right="3439" w:firstLine="432"/>
        <w:spacing w:after="0" w:line="247" w:lineRule="auto"/>
        <w:tabs>
          <w:tab w:leader="none" w:pos="764" w:val="left"/>
        </w:tabs>
        <w:numPr>
          <w:ilvl w:val="0"/>
          <w:numId w:val="4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Position and Responsibilities</w:t>
      </w:r>
      <w:r>
        <w:rPr>
          <w:rFonts w:ascii="Courier New" w:cs="Courier New" w:eastAsia="Courier New" w:hAnsi="Courier New"/>
          <w:sz w:val="14"/>
          <w:szCs w:val="14"/>
          <w:color w:val="auto"/>
        </w:rPr>
        <w:t>. The Executive shall serve as Vice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President General Manager Delta Rubber, reporting only to the Chairman of the Board and Chief Executive Officer of the Company (the "Chairman") or such other individual as the Chairman may designate (his "Designee"), and shall have supervision and control over, and responsibility for all aspects of Delta Rubber. The Executive shall also have such other powers and duties as may from time to time be prescribed by the Chairman and Chief Executive Officer; provided, however, that such duties shall be consistent with the Executive's position as the officer in charge of Delta Rubber.</w:t>
      </w:r>
    </w:p>
    <w:p>
      <w:pPr>
        <w:spacing w:after="0" w:line="164" w:lineRule="exact"/>
        <w:rPr>
          <w:rFonts w:ascii="Courier New" w:cs="Courier New" w:eastAsia="Courier New" w:hAnsi="Courier New"/>
          <w:sz w:val="14"/>
          <w:szCs w:val="14"/>
          <w:b w:val="1"/>
          <w:bCs w:val="1"/>
          <w:color w:val="auto"/>
        </w:rPr>
      </w:pPr>
    </w:p>
    <w:p>
      <w:pPr>
        <w:jc w:val="both"/>
        <w:ind w:right="3439" w:firstLine="432"/>
        <w:spacing w:after="0" w:line="247" w:lineRule="auto"/>
        <w:tabs>
          <w:tab w:leader="none" w:pos="764" w:val="left"/>
        </w:tabs>
        <w:numPr>
          <w:ilvl w:val="0"/>
          <w:numId w:val="4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Diligence</w:t>
      </w:r>
      <w:r>
        <w:rPr>
          <w:rFonts w:ascii="Courier New" w:cs="Courier New" w:eastAsia="Courier New" w:hAnsi="Courier New"/>
          <w:sz w:val="14"/>
          <w:szCs w:val="14"/>
          <w:color w:val="auto"/>
        </w:rPr>
        <w:t>. Executive agrees to serve in the position referred to in</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Paragraph 3 and to perform diligently the duties and services appertaining to such office, as well as such additional duties and services appropriate to such office which the parties mutually may agree upon from time to time.</w:t>
      </w:r>
    </w:p>
    <w:p>
      <w:pPr>
        <w:spacing w:after="0" w:line="163" w:lineRule="exact"/>
        <w:rPr>
          <w:rFonts w:ascii="Courier New" w:cs="Courier New" w:eastAsia="Courier New" w:hAnsi="Courier New"/>
          <w:sz w:val="14"/>
          <w:szCs w:val="14"/>
          <w:b w:val="1"/>
          <w:bCs w:val="1"/>
          <w:color w:val="auto"/>
        </w:rPr>
      </w:pPr>
    </w:p>
    <w:p>
      <w:pPr>
        <w:ind w:right="3439" w:firstLine="432"/>
        <w:spacing w:after="0" w:line="247" w:lineRule="auto"/>
        <w:tabs>
          <w:tab w:leader="none" w:pos="764" w:val="left"/>
        </w:tabs>
        <w:numPr>
          <w:ilvl w:val="0"/>
          <w:numId w:val="4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Time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Executive agrees to devote his entire working time and efforts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to the business and affairs of the Company and its affiliates and not to engage, directly or indirectly, in any other business or businesses, whether or not similar to that of the Company, except with the consent of the Chairman and Chief Executive Officer and the Board. The foregoing notwithstanding, the parties recognize and agree that Executive (i) may engage in personal investments, subject to any restrictions set forth in the Non-Competition and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283845</wp:posOffset>
            </wp:positionV>
            <wp:extent cx="729869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right="3439"/>
        <w:spacing w:after="0" w:line="247" w:lineRule="auto"/>
        <w:rPr>
          <w:sz w:val="20"/>
          <w:szCs w:val="20"/>
          <w:color w:val="auto"/>
        </w:rPr>
      </w:pPr>
      <w:r>
        <w:rPr>
          <w:rFonts w:ascii="Courier New" w:cs="Courier New" w:eastAsia="Courier New" w:hAnsi="Courier New"/>
          <w:sz w:val="14"/>
          <w:szCs w:val="14"/>
          <w:color w:val="auto"/>
        </w:rPr>
        <w:t>provisions addressed in Paragraphs 7 through 10 below and (ii) subject to the prior consent of the Chairman of the Board and Chief Executive Officer, may serve on the board of directors of other companies, provided such service does not conflict with the business and affairs of the Company or interfere with Executive's performance of his duties hereunder.</w:t>
      </w:r>
    </w:p>
    <w:p>
      <w:pPr>
        <w:spacing w:after="0" w:line="164" w:lineRule="exact"/>
        <w:rPr>
          <w:sz w:val="20"/>
          <w:szCs w:val="20"/>
          <w:color w:val="auto"/>
        </w:rPr>
      </w:pPr>
    </w:p>
    <w:p>
      <w:pPr>
        <w:ind w:left="860" w:hanging="428"/>
        <w:spacing w:after="0"/>
        <w:tabs>
          <w:tab w:leader="none" w:pos="860" w:val="left"/>
        </w:tabs>
        <w:numPr>
          <w:ilvl w:val="0"/>
          <w:numId w:val="49"/>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Compensation</w:t>
      </w:r>
      <w:r>
        <w:rPr>
          <w:rFonts w:ascii="Courier New" w:cs="Courier New" w:eastAsia="Courier New" w:hAnsi="Courier New"/>
          <w:sz w:val="14"/>
          <w:szCs w:val="14"/>
          <w:b w:val="1"/>
          <w:bCs w:val="1"/>
          <w:color w:val="auto"/>
        </w:rPr>
        <w:t>.</w:t>
      </w:r>
    </w:p>
    <w:p>
      <w:pPr>
        <w:spacing w:after="0" w:line="168" w:lineRule="exact"/>
        <w:rPr>
          <w:rFonts w:ascii="Courier New" w:cs="Courier New" w:eastAsia="Courier New" w:hAnsi="Courier New"/>
          <w:sz w:val="14"/>
          <w:szCs w:val="14"/>
          <w:b w:val="1"/>
          <w:bCs w:val="1"/>
          <w:color w:val="auto"/>
        </w:rPr>
      </w:pPr>
    </w:p>
    <w:p>
      <w:pPr>
        <w:jc w:val="both"/>
        <w:ind w:right="3439" w:firstLine="856"/>
        <w:spacing w:after="0" w:line="247" w:lineRule="auto"/>
        <w:tabs>
          <w:tab w:leader="none" w:pos="1274"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Salary</w:t>
      </w:r>
      <w:r>
        <w:rPr>
          <w:rFonts w:ascii="Courier New" w:cs="Courier New" w:eastAsia="Courier New" w:hAnsi="Courier New"/>
          <w:sz w:val="14"/>
          <w:szCs w:val="14"/>
          <w:color w:val="auto"/>
        </w:rPr>
        <w:t>. During the Employment Term, the Executive shall receive an annual Salary of $140,000 per year, which annual salary shall be subject to such increases as the Chairman or his Designee, in their sole discretion may from time to time determine (the "Annual Salary"). The Annual Salary shall be payable by the Company in accordance with its regular compensation policies and practices for paying executives.</w:t>
      </w:r>
    </w:p>
    <w:p>
      <w:pPr>
        <w:spacing w:after="0" w:line="163" w:lineRule="exact"/>
        <w:rPr>
          <w:rFonts w:ascii="Courier New" w:cs="Courier New" w:eastAsia="Courier New" w:hAnsi="Courier New"/>
          <w:sz w:val="14"/>
          <w:szCs w:val="14"/>
          <w:color w:val="auto"/>
        </w:rPr>
      </w:pPr>
    </w:p>
    <w:p>
      <w:pPr>
        <w:jc w:val="both"/>
        <w:ind w:right="3439" w:firstLine="856"/>
        <w:spacing w:after="0" w:line="247" w:lineRule="auto"/>
        <w:tabs>
          <w:tab w:leader="none" w:pos="1274"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Expenses</w:t>
      </w:r>
      <w:r>
        <w:rPr>
          <w:rFonts w:ascii="Courier New" w:cs="Courier New" w:eastAsia="Courier New" w:hAnsi="Courier New"/>
          <w:sz w:val="14"/>
          <w:szCs w:val="14"/>
          <w:color w:val="auto"/>
        </w:rPr>
        <w:t>. During the term of his employment hereunder, the Executive shall be entitled to be reimbursed for all reasonable business expenses incurred by him in connection with his services hereunder, including but not limited to expenses for entertainment and travel, in accordance with the policies and procedures from time to time in effect for the Company's senior executives. The Company retains the right to establish limits on the types or amounts of business expenses that the Executive may incur.</w:t>
      </w:r>
    </w:p>
    <w:p>
      <w:pPr>
        <w:spacing w:after="0" w:line="163" w:lineRule="exact"/>
        <w:rPr>
          <w:rFonts w:ascii="Courier New" w:cs="Courier New" w:eastAsia="Courier New" w:hAnsi="Courier New"/>
          <w:sz w:val="14"/>
          <w:szCs w:val="14"/>
          <w:color w:val="auto"/>
        </w:rPr>
      </w:pPr>
    </w:p>
    <w:p>
      <w:pPr>
        <w:jc w:val="both"/>
        <w:ind w:right="3439" w:firstLine="856"/>
        <w:spacing w:after="0" w:line="247" w:lineRule="auto"/>
        <w:tabs>
          <w:tab w:leader="none" w:pos="1274"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Employee Benefit Programs</w:t>
      </w:r>
      <w:r>
        <w:rPr>
          <w:rFonts w:ascii="Courier New" w:cs="Courier New" w:eastAsia="Courier New" w:hAnsi="Courier New"/>
          <w:sz w:val="14"/>
          <w:szCs w:val="14"/>
          <w:color w:val="auto"/>
        </w:rPr>
        <w:t>. The Executive shall be entitled to participate in all of the Company's employee benefit plans and programs (including life, disability, and health insurance plans and programs and savings plans and programs) to the extent his position, tenure, salary, age, health and other qualifications make him eligible to participate, subject to the rules and regulations applicable thereto. The Company retains the right to abolish or alter the terms of any employee benefit programs, plans or policies that it may establish, provided such abolition or amendment shall be applicable to the senior executives of the Company generally.</w:t>
      </w:r>
    </w:p>
    <w:p>
      <w:pPr>
        <w:spacing w:after="0" w:line="164" w:lineRule="exact"/>
        <w:rPr>
          <w:rFonts w:ascii="Courier New" w:cs="Courier New" w:eastAsia="Courier New" w:hAnsi="Courier New"/>
          <w:sz w:val="14"/>
          <w:szCs w:val="14"/>
          <w:color w:val="auto"/>
        </w:rPr>
      </w:pPr>
    </w:p>
    <w:p>
      <w:pPr>
        <w:jc w:val="both"/>
        <w:ind w:right="3439" w:firstLine="856"/>
        <w:spacing w:after="0" w:line="248" w:lineRule="auto"/>
        <w:tabs>
          <w:tab w:leader="none" w:pos="1274"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Vacation and Other Absences</w:t>
      </w:r>
      <w:r>
        <w:rPr>
          <w:rFonts w:ascii="Courier New" w:cs="Courier New" w:eastAsia="Courier New" w:hAnsi="Courier New"/>
          <w:sz w:val="14"/>
          <w:szCs w:val="14"/>
          <w:color w:val="auto"/>
        </w:rPr>
        <w:t>. The Executive shall be entitled to the number of paid vacation days in each calendar year determined by the Company from time to time for its senior executives generally. The Executive shall also</w:t>
      </w:r>
    </w:p>
    <w:p>
      <w:pPr>
        <w:sectPr>
          <w:pgSz w:w="11900" w:h="16838" w:orient="portrait"/>
          <w:cols w:equalWidth="0" w:num="1">
            <w:col w:w="10239"/>
          </w:cols>
          <w:pgMar w:left="220" w:top="468" w:right="1440" w:bottom="0" w:gutter="0" w:footer="0" w:header="0"/>
        </w:sectPr>
      </w:pPr>
    </w:p>
    <w:bookmarkStart w:id="52" w:name="page53"/>
    <w:bookmarkEnd w:id="52"/>
    <w:p>
      <w:pPr>
        <w:spacing w:after="0" w:line="248" w:lineRule="auto"/>
        <w:rPr>
          <w:sz w:val="20"/>
          <w:szCs w:val="20"/>
          <w:color w:val="auto"/>
        </w:rPr>
      </w:pPr>
      <w:r>
        <w:rPr>
          <w:rFonts w:ascii="Courier New" w:cs="Courier New" w:eastAsia="Courier New" w:hAnsi="Courier New"/>
          <w:sz w:val="14"/>
          <w:szCs w:val="14"/>
          <w:color w:val="auto"/>
        </w:rPr>
        <w:t>be entitled to all paid the Company's plans, employees.</w:t>
      </w:r>
    </w:p>
    <w:p>
      <w:pPr>
        <w:spacing w:after="0" w:line="20" w:lineRule="exact"/>
        <w:rPr>
          <w:sz w:val="20"/>
          <w:szCs w:val="20"/>
          <w:color w:val="auto"/>
        </w:rPr>
      </w:pPr>
      <w:r>
        <w:rPr>
          <w:sz w:val="20"/>
          <w:szCs w:val="20"/>
          <w:color w:val="auto"/>
        </w:rPr>
        <w:br w:type="column"/>
      </w:r>
    </w:p>
    <w:p>
      <w:pPr>
        <w:ind w:right="3439" w:firstLine="85"/>
        <w:spacing w:after="0" w:line="249" w:lineRule="auto"/>
        <w:rPr>
          <w:sz w:val="20"/>
          <w:szCs w:val="20"/>
          <w:color w:val="auto"/>
        </w:rPr>
      </w:pPr>
      <w:r>
        <w:rPr>
          <w:rFonts w:ascii="Courier New" w:cs="Courier New" w:eastAsia="Courier New" w:hAnsi="Courier New"/>
          <w:sz w:val="14"/>
          <w:szCs w:val="14"/>
          <w:color w:val="auto"/>
        </w:rPr>
        <w:t>absences for holidays or illnesses in accordance with policies or provisions applicable to senior executive</w:t>
      </w:r>
    </w:p>
    <w:p>
      <w:pPr>
        <w:spacing w:after="0" w:line="324" w:lineRule="exact"/>
        <w:rPr>
          <w:sz w:val="20"/>
          <w:szCs w:val="20"/>
          <w:color w:val="auto"/>
        </w:rPr>
      </w:pPr>
    </w:p>
    <w:p>
      <w:pPr>
        <w:sectPr>
          <w:pgSz w:w="11900" w:h="16838" w:orient="portrait"/>
          <w:cols w:equalWidth="0" w:num="2">
            <w:col w:w="1960" w:space="80"/>
            <w:col w:w="8199"/>
          </w:cols>
          <w:pgMar w:left="220" w:top="141" w:right="1440" w:bottom="0" w:gutter="0" w:footer="0" w:header="0"/>
        </w:sectPr>
      </w:pPr>
    </w:p>
    <w:p>
      <w:pPr>
        <w:jc w:val="both"/>
        <w:ind w:right="3439" w:firstLine="432"/>
        <w:spacing w:after="0" w:line="247" w:lineRule="auto"/>
        <w:tabs>
          <w:tab w:leader="none" w:pos="849" w:val="left"/>
        </w:tabs>
        <w:numPr>
          <w:ilvl w:val="0"/>
          <w:numId w:val="50"/>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Non-Competition</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As a material inducement to the Company entering into</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this Agreement and in consideration for the Executive's continued employment, Executive hereby reconfirms and agrees to continue to be bound in all respects by the following Non-Competition and Confidentiality terms.</w:t>
      </w:r>
    </w:p>
    <w:p>
      <w:pPr>
        <w:spacing w:after="0" w:line="163" w:lineRule="exact"/>
        <w:rPr>
          <w:rFonts w:ascii="Courier New" w:cs="Courier New" w:eastAsia="Courier New" w:hAnsi="Courier New"/>
          <w:sz w:val="14"/>
          <w:szCs w:val="14"/>
          <w:b w:val="1"/>
          <w:bCs w:val="1"/>
          <w:color w:val="auto"/>
        </w:rPr>
      </w:pPr>
    </w:p>
    <w:p>
      <w:pPr>
        <w:jc w:val="both"/>
        <w:ind w:right="3439" w:firstLine="856"/>
        <w:spacing w:after="0" w:line="247" w:lineRule="auto"/>
        <w:tabs>
          <w:tab w:leader="none" w:pos="1274"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Restriction on Competition</w:t>
      </w:r>
      <w:r>
        <w:rPr>
          <w:rFonts w:ascii="Courier New" w:cs="Courier New" w:eastAsia="Courier New" w:hAnsi="Courier New"/>
          <w:sz w:val="14"/>
          <w:szCs w:val="14"/>
          <w:color w:val="auto"/>
        </w:rPr>
        <w:t>. The Executive agrees that during the Term of Employment, and for a period of 2 years following the Term of Employment or termination of this Agreement under Section 12, the Executive will not compete with the business of Delta Rubber Company or its successors or assigns. This agreement not to compete means that the Executive agrees he will not in any capacity, including, but not limited to, as an employee, owner, officer, director, consultant, stockholder or partner of a competitive enterprise, (1) solicit orders for any product or service that is competitive with the product or services provided by NN, or (2) accept</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4"/>
          <w:szCs w:val="14"/>
          <w:color w:val="auto"/>
        </w:rPr>
        <w:t>employment with a business that sells products or services competitive with the products or services of NN.</w:t>
      </w:r>
    </w:p>
    <w:p>
      <w:pPr>
        <w:spacing w:after="0" w:line="161" w:lineRule="exact"/>
        <w:rPr>
          <w:sz w:val="20"/>
          <w:szCs w:val="20"/>
          <w:color w:val="auto"/>
        </w:rPr>
      </w:pPr>
    </w:p>
    <w:p>
      <w:pPr>
        <w:jc w:val="both"/>
        <w:ind w:right="3439" w:firstLine="856"/>
        <w:spacing w:after="0" w:line="247" w:lineRule="auto"/>
        <w:tabs>
          <w:tab w:leader="none" w:pos="1274"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Judicial Modification</w:t>
      </w:r>
      <w:r>
        <w:rPr>
          <w:rFonts w:ascii="Courier New" w:cs="Courier New" w:eastAsia="Courier New" w:hAnsi="Courier New"/>
          <w:sz w:val="14"/>
          <w:szCs w:val="14"/>
          <w:color w:val="auto"/>
        </w:rPr>
        <w:t>. The restriction on competition in this paragraph extends to all geographic areas serviced by NN, during the Executive's employment. NN, Inc. and the Executive have attempted to limit the Executive's right to compete only to the extent permitted by applicable law and necessary to protect NN from unfair competition. If a Court should determine that the restriction contained in this section 7 is of too long a duration or too broad in geographic scope to be reasonable and enforceable, then such a provision shall be amended only so much as shall be necessary for the restrictions contained herein to be enforceable.</w:t>
      </w:r>
    </w:p>
    <w:p>
      <w:pPr>
        <w:spacing w:after="0" w:line="164"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52"/>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Non-Disclosure and Return of Confidential Information</w:t>
      </w:r>
      <w:r>
        <w:rPr>
          <w:rFonts w:ascii="Courier New" w:cs="Courier New" w:eastAsia="Courier New" w:hAnsi="Courier New"/>
          <w:sz w:val="14"/>
          <w:szCs w:val="14"/>
          <w:b w:val="1"/>
          <w:bCs w:val="1"/>
          <w:color w:val="auto"/>
        </w:rPr>
        <w:t>.</w:t>
      </w:r>
    </w:p>
    <w:p>
      <w:pPr>
        <w:spacing w:after="0" w:line="168" w:lineRule="exact"/>
        <w:rPr>
          <w:rFonts w:ascii="Courier New" w:cs="Courier New" w:eastAsia="Courier New" w:hAnsi="Courier New"/>
          <w:sz w:val="14"/>
          <w:szCs w:val="14"/>
          <w:b w:val="1"/>
          <w:bCs w:val="1"/>
          <w:color w:val="auto"/>
        </w:rPr>
      </w:pPr>
    </w:p>
    <w:p>
      <w:pPr>
        <w:ind w:right="3439" w:firstLine="856"/>
        <w:spacing w:after="0" w:line="249" w:lineRule="auto"/>
        <w:tabs>
          <w:tab w:leader="none" w:pos="1274"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Definitions</w:t>
      </w:r>
      <w:r>
        <w:rPr>
          <w:rFonts w:ascii="Courier New" w:cs="Courier New" w:eastAsia="Courier New" w:hAnsi="Courier New"/>
          <w:sz w:val="14"/>
          <w:szCs w:val="14"/>
          <w:color w:val="auto"/>
        </w:rPr>
        <w:t>. The following definitions are established for the purposes of this agreement:</w:t>
      </w:r>
    </w:p>
    <w:p>
      <w:pPr>
        <w:spacing w:after="0" w:line="160" w:lineRule="exact"/>
        <w:rPr>
          <w:rFonts w:ascii="Courier New" w:cs="Courier New" w:eastAsia="Courier New" w:hAnsi="Courier New"/>
          <w:sz w:val="14"/>
          <w:szCs w:val="14"/>
          <w:color w:val="auto"/>
        </w:rPr>
      </w:pPr>
    </w:p>
    <w:p>
      <w:pPr>
        <w:jc w:val="both"/>
        <w:ind w:left="860" w:right="3439" w:firstLine="421"/>
        <w:spacing w:after="0" w:line="247" w:lineRule="auto"/>
        <w:tabs>
          <w:tab w:leader="none" w:pos="1709"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"Trade Secret" means any information, including, but not limited to, formulas, patterns, compilations, programs, devices, methods, techniques or processes that NN considers confidential and valuable and provides a competitive advantage because it is not generally known and not readily ascertainable by proper means;</w:t>
      </w:r>
    </w:p>
    <w:p>
      <w:pPr>
        <w:spacing w:after="0" w:line="163" w:lineRule="exact"/>
        <w:rPr>
          <w:rFonts w:ascii="Courier New" w:cs="Courier New" w:eastAsia="Courier New" w:hAnsi="Courier New"/>
          <w:sz w:val="14"/>
          <w:szCs w:val="14"/>
          <w:color w:val="auto"/>
        </w:rPr>
      </w:pPr>
    </w:p>
    <w:p>
      <w:pPr>
        <w:jc w:val="both"/>
        <w:ind w:left="860" w:right="3439" w:firstLine="421"/>
        <w:spacing w:after="0" w:line="247" w:lineRule="auto"/>
        <w:tabs>
          <w:tab w:leader="none" w:pos="1709"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is defined as information (whether or not in writing) which is related to NN's business and is maintained as confidential. Confidential Information includes, but is not limited to, Trade Secrets, customer data and account information; sales records and invoices; information pertaining to manufacturing processes, apparatus, formulas, systems and other confidential technical data; personnel and related human resources information; the existence and contents of agreements; marketing plans, strategies and related information; information regarding economic condition, determination of prices, sales, net income, indebtedness and related financial information.</w:t>
      </w:r>
    </w:p>
    <w:p>
      <w:pPr>
        <w:spacing w:after="0" w:line="164" w:lineRule="exact"/>
        <w:rPr>
          <w:rFonts w:ascii="Courier New" w:cs="Courier New" w:eastAsia="Courier New" w:hAnsi="Courier New"/>
          <w:sz w:val="14"/>
          <w:szCs w:val="14"/>
          <w:color w:val="auto"/>
        </w:rPr>
      </w:pPr>
    </w:p>
    <w:p>
      <w:pPr>
        <w:jc w:val="both"/>
        <w:ind w:right="3439" w:firstLine="856"/>
        <w:spacing w:after="0" w:line="247" w:lineRule="auto"/>
        <w:tabs>
          <w:tab w:leader="none" w:pos="1274"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Acknowledgments</w:t>
      </w:r>
      <w:r>
        <w:rPr>
          <w:rFonts w:ascii="Courier New" w:cs="Courier New" w:eastAsia="Courier New" w:hAnsi="Courier New"/>
          <w:sz w:val="14"/>
          <w:szCs w:val="14"/>
          <w:color w:val="auto"/>
        </w:rPr>
        <w:t>. The Executive acknowledges that: (i) NN's business is both highly specialized and competitive, and (ii) documents and information regarding NN's customers, clients, services, methods of operation, sales as well as the specialized business needs of NN's customers and clients, constitute Confidential Information and Trade Secrets that are not generally known to, or readily ascertainable by, the public or NN's competitors. The Executive further acknowledges that during the Term of Employment he will have access to Confidential Information and Trade Secrets belonging to NN, agrees that such Confidential Information and Trade Secrets shall remain the exclusive property of NN, and understands that the misappropriation or unauthorized disclosure of such Confidential Information or Trade Secrets is prohibited and will cause NN irreparable injury.</w:t>
      </w:r>
    </w:p>
    <w:p>
      <w:pPr>
        <w:spacing w:after="0" w:line="164" w:lineRule="exact"/>
        <w:rPr>
          <w:rFonts w:ascii="Courier New" w:cs="Courier New" w:eastAsia="Courier New" w:hAnsi="Courier New"/>
          <w:sz w:val="14"/>
          <w:szCs w:val="14"/>
          <w:color w:val="auto"/>
        </w:rPr>
      </w:pPr>
    </w:p>
    <w:p>
      <w:pPr>
        <w:jc w:val="both"/>
        <w:ind w:right="3439" w:firstLine="856"/>
        <w:spacing w:after="0" w:line="247" w:lineRule="auto"/>
        <w:tabs>
          <w:tab w:leader="none" w:pos="1274"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Non-Disclosure</w:t>
      </w:r>
      <w:r>
        <w:rPr>
          <w:rFonts w:ascii="Courier New" w:cs="Courier New" w:eastAsia="Courier New" w:hAnsi="Courier New"/>
          <w:sz w:val="14"/>
          <w:szCs w:val="14"/>
          <w:color w:val="auto"/>
        </w:rPr>
        <w:t>. During the Employment Term, and at all times following the Employment Term or the termination of this Agreement under section 12, the Executive shall not disclose Confidential Information or Trade Secrets to anyone other than</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4"/>
          <w:szCs w:val="14"/>
          <w:color w:val="auto"/>
        </w:rPr>
        <w:t>NN's officers orauthorized employees and shall not use such information for any unauthorized purpose without the prior written consent of NN.</w:t>
      </w:r>
    </w:p>
    <w:p>
      <w:pPr>
        <w:spacing w:after="0" w:line="161" w:lineRule="exact"/>
        <w:rPr>
          <w:sz w:val="20"/>
          <w:szCs w:val="20"/>
          <w:color w:val="auto"/>
        </w:rPr>
      </w:pPr>
    </w:p>
    <w:p>
      <w:pPr>
        <w:jc w:val="both"/>
        <w:ind w:right="3439" w:firstLine="856"/>
        <w:spacing w:after="0" w:line="247" w:lineRule="auto"/>
        <w:tabs>
          <w:tab w:leader="none" w:pos="1274"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Non-Removal</w:t>
      </w:r>
      <w:r>
        <w:rPr>
          <w:rFonts w:ascii="Courier New" w:cs="Courier New" w:eastAsia="Courier New" w:hAnsi="Courier New"/>
          <w:sz w:val="14"/>
          <w:szCs w:val="14"/>
          <w:color w:val="auto"/>
        </w:rPr>
        <w:t>. The Executive shall not, either during the Term of Employment or at anytime thereafter or at any time following a termination of this agreement under Section 12, directly or indirectly, copy, take or remove from NN's premises any of NN's books, records, files, customer lists, documents or materials, including any Confidential Information or Trade Secrets, or copies of any of the foregoing, without the prior written consent of NN.</w:t>
      </w:r>
    </w:p>
    <w:p>
      <w:pPr>
        <w:spacing w:after="0" w:line="163"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54"/>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Assignment of Intellectual Property</w:t>
      </w:r>
      <w:r>
        <w:rPr>
          <w:rFonts w:ascii="Courier New" w:cs="Courier New" w:eastAsia="Courier New" w:hAnsi="Courier New"/>
          <w:sz w:val="14"/>
          <w:szCs w:val="14"/>
          <w:b w:val="1"/>
          <w:bCs w:val="1"/>
          <w:color w:val="auto"/>
        </w:rPr>
        <w:t>.</w:t>
      </w:r>
    </w:p>
    <w:p>
      <w:pPr>
        <w:sectPr>
          <w:pgSz w:w="11900" w:h="16838" w:orient="portrait"/>
          <w:cols w:equalWidth="0" w:num="1">
            <w:col w:w="10239"/>
          </w:cols>
          <w:pgMar w:left="220" w:top="141" w:right="1440" w:bottom="0" w:gutter="0" w:footer="0" w:header="0"/>
          <w:type w:val="continuous"/>
        </w:sectPr>
      </w:pPr>
    </w:p>
    <w:bookmarkStart w:id="53" w:name="page54"/>
    <w:bookmarkEnd w:id="53"/>
    <w:p>
      <w:pPr>
        <w:jc w:val="both"/>
        <w:ind w:right="3439" w:firstLine="856"/>
        <w:spacing w:after="0" w:line="247" w:lineRule="auto"/>
        <w:tabs>
          <w:tab w:leader="none" w:pos="1274"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inventions, writings, analyses, improvements, procedures, discoveries, processes and/or techniques ("Intellectual Property") that the Executive may make, conceive, discover or develop, either solely or jointly with any other person or persons, at any time during his employment with NN, whether during working hours or at any other time, and whether at the request or upon the suggestion of NN or otherwise, which relate to or are useful in connection with any business carried on or contemplated by NN, shall be the sole and exclusive property of NN. The Executive shall make full disclosure to NN of all such Intellectual Property, and the Executive shall do everything necessary to vest the absolute title thereto in NN. The Executive agrees that he shall not be entitled to any additional or special compensation or reimbursement in connection with any and all such Intellectual Property.</w:t>
      </w:r>
    </w:p>
    <w:p>
      <w:pPr>
        <w:spacing w:after="0" w:line="164" w:lineRule="exact"/>
        <w:rPr>
          <w:rFonts w:ascii="Courier New" w:cs="Courier New" w:eastAsia="Courier New" w:hAnsi="Courier New"/>
          <w:sz w:val="14"/>
          <w:szCs w:val="14"/>
          <w:color w:val="auto"/>
        </w:rPr>
      </w:pPr>
    </w:p>
    <w:p>
      <w:pPr>
        <w:jc w:val="both"/>
        <w:ind w:right="3439" w:firstLine="856"/>
        <w:spacing w:after="0" w:line="247" w:lineRule="auto"/>
        <w:tabs>
          <w:tab w:leader="none" w:pos="1274"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assist NN at anytime during or after his employment, in obtaining patents on all such Intellectual Property deemed patentable by NN and shall execute all documents and do all things necessary to obtain letters patent, vest NN with full and exclusive title thereto, and protect the same against infringement by others. If such assistance takes place after his employment is terminated the Executive shall be paid by NN at a reasonable rate for any time actually spent in rendering such assistance at the request of NN.</w:t>
      </w:r>
    </w:p>
    <w:p>
      <w:pPr>
        <w:spacing w:after="0" w:line="164" w:lineRule="exact"/>
        <w:rPr>
          <w:rFonts w:ascii="Courier New" w:cs="Courier New" w:eastAsia="Courier New" w:hAnsi="Courier New"/>
          <w:sz w:val="14"/>
          <w:szCs w:val="14"/>
          <w:color w:val="auto"/>
        </w:rPr>
      </w:pPr>
    </w:p>
    <w:p>
      <w:pPr>
        <w:ind w:left="860" w:hanging="428"/>
        <w:spacing w:after="0"/>
        <w:tabs>
          <w:tab w:leader="none" w:pos="860" w:val="left"/>
        </w:tabs>
        <w:numPr>
          <w:ilvl w:val="1"/>
          <w:numId w:val="56"/>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Non-Solicitation</w:t>
      </w:r>
      <w:r>
        <w:rPr>
          <w:rFonts w:ascii="Courier New" w:cs="Courier New" w:eastAsia="Courier New" w:hAnsi="Courier New"/>
          <w:sz w:val="14"/>
          <w:szCs w:val="14"/>
          <w:b w:val="1"/>
          <w:bCs w:val="1"/>
          <w:color w:val="auto"/>
        </w:rPr>
        <w:t>.</w:t>
      </w:r>
    </w:p>
    <w:p>
      <w:pPr>
        <w:spacing w:after="0" w:line="168" w:lineRule="exact"/>
        <w:rPr>
          <w:rFonts w:ascii="Courier New" w:cs="Courier New" w:eastAsia="Courier New" w:hAnsi="Courier New"/>
          <w:sz w:val="14"/>
          <w:szCs w:val="14"/>
          <w:b w:val="1"/>
          <w:bCs w:val="1"/>
          <w:color w:val="auto"/>
        </w:rPr>
      </w:pPr>
    </w:p>
    <w:p>
      <w:pPr>
        <w:jc w:val="both"/>
        <w:ind w:right="3439" w:firstLine="856"/>
        <w:spacing w:after="0" w:line="247" w:lineRule="auto"/>
        <w:tabs>
          <w:tab w:leader="none" w:pos="1274"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Acknowledgments</w:t>
      </w:r>
      <w:r>
        <w:rPr>
          <w:rFonts w:ascii="Courier New" w:cs="Courier New" w:eastAsia="Courier New" w:hAnsi="Courier New"/>
          <w:sz w:val="14"/>
          <w:szCs w:val="14"/>
          <w:color w:val="auto"/>
        </w:rPr>
        <w:t>. The Executive acknowledges that NN's relationships with its customers, clients, employees, and other business associations are among NN's most important assets, and that developing, maintaining and continuing these relationships is one of NN's highest priorities. The Executive further understands that he will be relied upon to develop and maintain the goodwill of these relationships on behalf of NN throughout the course of his employment with NN.</w:t>
      </w:r>
    </w:p>
    <w:p>
      <w:pPr>
        <w:spacing w:after="0" w:line="163" w:lineRule="exact"/>
        <w:rPr>
          <w:rFonts w:ascii="Courier New" w:cs="Courier New" w:eastAsia="Courier New" w:hAnsi="Courier New"/>
          <w:sz w:val="14"/>
          <w:szCs w:val="14"/>
          <w:color w:val="auto"/>
        </w:rPr>
      </w:pPr>
    </w:p>
    <w:p>
      <w:pPr>
        <w:jc w:val="both"/>
        <w:ind w:right="3439" w:firstLine="856"/>
        <w:spacing w:after="0" w:line="247" w:lineRule="auto"/>
        <w:tabs>
          <w:tab w:leader="none" w:pos="1274"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Non-Solicitation of Employees</w:t>
      </w:r>
      <w:r>
        <w:rPr>
          <w:rFonts w:ascii="Courier New" w:cs="Courier New" w:eastAsia="Courier New" w:hAnsi="Courier New"/>
          <w:sz w:val="14"/>
          <w:szCs w:val="14"/>
          <w:color w:val="auto"/>
        </w:rPr>
        <w:t>. The Executive, therefore agrees that during the Term of Employment, and for a period of 2 years following the Term of Employment or a termination of this Agreement under Section 12, he will not directly or indirectly recruit, solicit, or induce, or attempt to recruit, solicit, or induce, any employees of NN to terminate their employment with, or otherwise cease a relationship with, NN.</w:t>
      </w:r>
    </w:p>
    <w:p>
      <w:pPr>
        <w:spacing w:after="0" w:line="163" w:lineRule="exact"/>
        <w:rPr>
          <w:rFonts w:ascii="Courier New" w:cs="Courier New" w:eastAsia="Courier New" w:hAnsi="Courier New"/>
          <w:sz w:val="14"/>
          <w:szCs w:val="14"/>
          <w:color w:val="auto"/>
        </w:rPr>
      </w:pPr>
    </w:p>
    <w:p>
      <w:pPr>
        <w:jc w:val="both"/>
        <w:ind w:right="3439" w:firstLine="856"/>
        <w:spacing w:after="0" w:line="247" w:lineRule="auto"/>
        <w:tabs>
          <w:tab w:leader="none" w:pos="1274"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Non-Solicitation of Customers</w:t>
      </w:r>
      <w:r>
        <w:rPr>
          <w:rFonts w:ascii="Courier New" w:cs="Courier New" w:eastAsia="Courier New" w:hAnsi="Courier New"/>
          <w:sz w:val="14"/>
          <w:szCs w:val="14"/>
          <w:color w:val="auto"/>
        </w:rPr>
        <w:t>. In addition, the Executive agrees that during the Term of Employment and for a period of 2 years following the Term of Employment or a termination of the Agreement under Section 12, he will not directly or indirectly solicit,</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3439"/>
        <w:spacing w:after="0" w:line="248" w:lineRule="auto"/>
        <w:rPr>
          <w:sz w:val="20"/>
          <w:szCs w:val="20"/>
          <w:color w:val="auto"/>
        </w:rPr>
      </w:pPr>
      <w:r>
        <w:rPr>
          <w:rFonts w:ascii="Courier New" w:cs="Courier New" w:eastAsia="Courier New" w:hAnsi="Courier New"/>
          <w:sz w:val="14"/>
          <w:szCs w:val="14"/>
          <w:color w:val="auto"/>
        </w:rPr>
        <w:t>divert or take away, or attempt to solicit, divert, or take away the business or patronage of any of the clients, customers or accounts, or prospective clients, customers or accounts, of NN.</w:t>
      </w:r>
    </w:p>
    <w:p>
      <w:pPr>
        <w:spacing w:after="0" w:line="162" w:lineRule="exact"/>
        <w:rPr>
          <w:sz w:val="20"/>
          <w:szCs w:val="20"/>
          <w:color w:val="auto"/>
        </w:rPr>
      </w:pPr>
    </w:p>
    <w:p>
      <w:pPr>
        <w:jc w:val="both"/>
        <w:ind w:right="3439" w:firstLine="432"/>
        <w:spacing w:after="0" w:line="247" w:lineRule="auto"/>
        <w:tabs>
          <w:tab w:leader="none" w:pos="849" w:val="left"/>
        </w:tabs>
        <w:numPr>
          <w:ilvl w:val="0"/>
          <w:numId w:val="57"/>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Legal and Equitable Relief</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The restrictions contained in Sections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7-10 are necessary for the protection of the legitimate business interests and goodwill of NN, and are considered by the Executive to be reasonable for such purposes. The Executive agrees that any breach of Sections 7-10 will cause NN substantial and irrevocable damage. In the event of any such breach, in addition to such other remedies that may be available, including the recovery of damages from the Executive, NN shall have the right to injunctive relief to restrain or to enjoin any actual or threatened breach of the provisions of Sections 7-10.</w:t>
      </w:r>
    </w:p>
    <w:p>
      <w:pPr>
        <w:spacing w:after="0" w:line="164" w:lineRule="exact"/>
        <w:rPr>
          <w:rFonts w:ascii="Courier New" w:cs="Courier New" w:eastAsia="Courier New" w:hAnsi="Courier New"/>
          <w:sz w:val="14"/>
          <w:szCs w:val="14"/>
          <w:b w:val="1"/>
          <w:bCs w:val="1"/>
          <w:color w:val="auto"/>
        </w:rPr>
      </w:pPr>
    </w:p>
    <w:p>
      <w:pPr>
        <w:ind w:left="860" w:hanging="428"/>
        <w:spacing w:after="0"/>
        <w:tabs>
          <w:tab w:leader="none" w:pos="860" w:val="left"/>
        </w:tabs>
        <w:numPr>
          <w:ilvl w:val="0"/>
          <w:numId w:val="57"/>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Termination of Employment</w:t>
      </w:r>
      <w:r>
        <w:rPr>
          <w:rFonts w:ascii="Courier New" w:cs="Courier New" w:eastAsia="Courier New" w:hAnsi="Courier New"/>
          <w:sz w:val="14"/>
          <w:szCs w:val="14"/>
          <w:b w:val="1"/>
          <w:bCs w:val="1"/>
          <w:color w:val="auto"/>
        </w:rPr>
        <w:t>.</w:t>
      </w:r>
    </w:p>
    <w:p>
      <w:pPr>
        <w:spacing w:after="0" w:line="168" w:lineRule="exact"/>
        <w:rPr>
          <w:rFonts w:ascii="Courier New" w:cs="Courier New" w:eastAsia="Courier New" w:hAnsi="Courier New"/>
          <w:sz w:val="14"/>
          <w:szCs w:val="14"/>
          <w:b w:val="1"/>
          <w:bCs w:val="1"/>
          <w:color w:val="auto"/>
        </w:rPr>
      </w:pPr>
    </w:p>
    <w:p>
      <w:pPr>
        <w:jc w:val="both"/>
        <w:ind w:right="3439" w:firstLine="856"/>
        <w:spacing w:after="0" w:line="247" w:lineRule="auto"/>
        <w:tabs>
          <w:tab w:leader="none" w:pos="1274"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Death or Disability</w:t>
      </w:r>
      <w:r>
        <w:rPr>
          <w:rFonts w:ascii="Courier New" w:cs="Courier New" w:eastAsia="Courier New" w:hAnsi="Courier New"/>
          <w:sz w:val="14"/>
          <w:szCs w:val="14"/>
          <w:color w:val="auto"/>
        </w:rPr>
        <w:t>. The Executive's employment shall terminate automatically upon the Executive's death during the Employment Term. The Company shall be entitled to terminate the Executive's employment because of the Executive's disability during the Employment Term if, as a result of the Executive's incapacity due to physical or mental illness (hereinafter "Disability"), the Executive shall have been absent from his duties hereunder for one hundred and twenty (120) days during any three hundred and sixty (360) day period.</w:t>
      </w:r>
    </w:p>
    <w:p>
      <w:pPr>
        <w:spacing w:after="0" w:line="164" w:lineRule="exact"/>
        <w:rPr>
          <w:rFonts w:ascii="Courier New" w:cs="Courier New" w:eastAsia="Courier New" w:hAnsi="Courier New"/>
          <w:sz w:val="14"/>
          <w:szCs w:val="14"/>
          <w:color w:val="auto"/>
        </w:rPr>
      </w:pPr>
    </w:p>
    <w:p>
      <w:pPr>
        <w:ind w:right="3439" w:firstLine="856"/>
        <w:spacing w:after="0" w:line="249" w:lineRule="auto"/>
        <w:tabs>
          <w:tab w:leader="none" w:pos="1274"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Termination by Company for Cause</w:t>
      </w:r>
      <w:r>
        <w:rPr>
          <w:rFonts w:ascii="Courier New" w:cs="Courier New" w:eastAsia="Courier New" w:hAnsi="Courier New"/>
          <w:sz w:val="14"/>
          <w:szCs w:val="14"/>
          <w:color w:val="auto"/>
        </w:rPr>
        <w:t>. (i) The Company may terminate the Executive's employment during the Employment Term for Cause. "Cause" means:</w:t>
      </w:r>
    </w:p>
    <w:p>
      <w:pPr>
        <w:spacing w:after="0" w:line="160" w:lineRule="exact"/>
        <w:rPr>
          <w:rFonts w:ascii="Courier New" w:cs="Courier New" w:eastAsia="Courier New" w:hAnsi="Courier New"/>
          <w:sz w:val="14"/>
          <w:szCs w:val="14"/>
          <w:color w:val="auto"/>
        </w:rPr>
      </w:pPr>
    </w:p>
    <w:p>
      <w:pPr>
        <w:jc w:val="both"/>
        <w:ind w:left="860" w:right="3439" w:firstLine="421"/>
        <w:spacing w:after="0" w:line="247" w:lineRule="auto"/>
        <w:tabs>
          <w:tab w:leader="none" w:pos="1709"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the Executive to perform the Executive's material duties under this Agreement (other than as a result of physical or mental illness or injury), which failure, provided it does not constitute willful misconduct or gross negligence described in Subsection B below, remains uncorrected for 60 days following written notice to Executive by the Chairman, his Designee or the Board of such breach;</w:t>
      </w:r>
    </w:p>
    <w:p>
      <w:pPr>
        <w:spacing w:after="0" w:line="163" w:lineRule="exact"/>
        <w:rPr>
          <w:rFonts w:ascii="Courier New" w:cs="Courier New" w:eastAsia="Courier New" w:hAnsi="Courier New"/>
          <w:sz w:val="14"/>
          <w:szCs w:val="14"/>
          <w:color w:val="auto"/>
        </w:rPr>
      </w:pPr>
    </w:p>
    <w:p>
      <w:pPr>
        <w:jc w:val="both"/>
        <w:ind w:left="860" w:right="3439" w:firstLine="421"/>
        <w:spacing w:after="0" w:line="248" w:lineRule="auto"/>
        <w:tabs>
          <w:tab w:leader="none" w:pos="1709"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willful misconduct or gross negligence by the Executive, in either case that results in material damage to the business or reputation of the Company,</w:t>
      </w:r>
    </w:p>
    <w:p>
      <w:pPr>
        <w:spacing w:after="0" w:line="161" w:lineRule="exact"/>
        <w:rPr>
          <w:rFonts w:ascii="Courier New" w:cs="Courier New" w:eastAsia="Courier New" w:hAnsi="Courier New"/>
          <w:sz w:val="14"/>
          <w:szCs w:val="14"/>
          <w:color w:val="auto"/>
        </w:rPr>
      </w:pPr>
    </w:p>
    <w:p>
      <w:pPr>
        <w:jc w:val="both"/>
        <w:ind w:left="860" w:right="3439" w:firstLine="421"/>
        <w:spacing w:after="0" w:line="247" w:lineRule="auto"/>
        <w:tabs>
          <w:tab w:leader="none" w:pos="1709"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material breach by Executive of either this Agreement or that certain Non-Competition and Confidentiality Agreement referenced in Paragraph 8 which, if correctable, remains uncorrected for 60 days following written notice to Executive by the Board of such breach; or</w:t>
      </w:r>
    </w:p>
    <w:p>
      <w:pPr>
        <w:spacing w:after="0" w:line="163" w:lineRule="exact"/>
        <w:rPr>
          <w:rFonts w:ascii="Courier New" w:cs="Courier New" w:eastAsia="Courier New" w:hAnsi="Courier New"/>
          <w:sz w:val="14"/>
          <w:szCs w:val="14"/>
          <w:color w:val="auto"/>
        </w:rPr>
      </w:pPr>
    </w:p>
    <w:p>
      <w:pPr>
        <w:jc w:val="both"/>
        <w:ind w:left="860" w:right="3439" w:firstLine="421"/>
        <w:spacing w:after="0" w:line="248" w:lineRule="auto"/>
        <w:tabs>
          <w:tab w:leader="none" w:pos="1709" w:val="left"/>
        </w:tabs>
        <w:numPr>
          <w:ilvl w:val="2"/>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is convicted of a felony or any other crime involving moral turpitude (whether or not in connection with the performance by Executive of his duties under this Agreement).</w:t>
      </w:r>
    </w:p>
    <w:p>
      <w:pPr>
        <w:spacing w:after="0" w:line="161" w:lineRule="exact"/>
        <w:rPr>
          <w:rFonts w:ascii="Courier New" w:cs="Courier New" w:eastAsia="Courier New" w:hAnsi="Courier New"/>
          <w:sz w:val="14"/>
          <w:szCs w:val="14"/>
          <w:color w:val="auto"/>
        </w:rPr>
      </w:pPr>
    </w:p>
    <w:p>
      <w:pPr>
        <w:ind w:left="1280" w:hanging="424"/>
        <w:spacing w:after="0"/>
        <w:tabs>
          <w:tab w:leader="none" w:pos="1280"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Termination By Company  Without Cause</w:t>
      </w:r>
      <w:r>
        <w:rPr>
          <w:rFonts w:ascii="Courier New" w:cs="Courier New" w:eastAsia="Courier New" w:hAnsi="Courier New"/>
          <w:sz w:val="14"/>
          <w:szCs w:val="14"/>
          <w:color w:val="auto"/>
        </w:rPr>
        <w:t>.  The Company may terminate</w:t>
      </w:r>
    </w:p>
    <w:p>
      <w:pPr>
        <w:sectPr>
          <w:pgSz w:w="11900" w:h="16838" w:orient="portrait"/>
          <w:cols w:equalWidth="0" w:num="1">
            <w:col w:w="10239"/>
          </w:cols>
          <w:pgMar w:left="220" w:top="141" w:right="1440"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the employment of Executive under this Agreement for any reason at any time.</w:t>
      </w:r>
    </w:p>
    <w:p>
      <w:pPr>
        <w:spacing w:after="0" w:line="168" w:lineRule="exact"/>
        <w:rPr>
          <w:sz w:val="20"/>
          <w:szCs w:val="20"/>
          <w:color w:val="auto"/>
        </w:rPr>
      </w:pPr>
    </w:p>
    <w:p>
      <w:pPr>
        <w:ind w:right="3439" w:firstLine="856"/>
        <w:spacing w:after="0" w:line="249" w:lineRule="auto"/>
        <w:tabs>
          <w:tab w:leader="none" w:pos="127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Termination by Executive for Good Reason</w:t>
      </w:r>
      <w:r>
        <w:rPr>
          <w:rFonts w:ascii="Courier New" w:cs="Courier New" w:eastAsia="Courier New" w:hAnsi="Courier New"/>
          <w:sz w:val="14"/>
          <w:szCs w:val="14"/>
          <w:color w:val="auto"/>
        </w:rPr>
        <w:t>. (i) The Executive may terminate employment for Good Reason. "Good Reason" means:</w:t>
      </w:r>
    </w:p>
    <w:p>
      <w:pPr>
        <w:spacing w:after="0" w:line="324"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860" w:right="3439" w:firstLine="421"/>
        <w:spacing w:after="0" w:line="247" w:lineRule="auto"/>
        <w:tabs>
          <w:tab w:leader="none" w:pos="1709" w:val="left"/>
        </w:tabs>
        <w:numPr>
          <w:ilvl w:val="2"/>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to the Executive of any duties inconsistent with Executive's position, duties, responsibilities, title or office, or any other action by the Company that results in a material diminution in the Executive's position, authority, duties or responsibilities, excluding in each case any assignment or action that is remedied by the Company within 60 days after receipt of notice thereof from the Executive; or</w:t>
      </w:r>
    </w:p>
    <w:p>
      <w:pPr>
        <w:spacing w:after="0" w:line="163" w:lineRule="exact"/>
        <w:rPr>
          <w:rFonts w:ascii="Courier New" w:cs="Courier New" w:eastAsia="Courier New" w:hAnsi="Courier New"/>
          <w:sz w:val="14"/>
          <w:szCs w:val="14"/>
          <w:color w:val="auto"/>
        </w:rPr>
      </w:pPr>
    </w:p>
    <w:p>
      <w:pPr>
        <w:jc w:val="both"/>
        <w:ind w:left="860" w:right="3439" w:firstLine="421"/>
        <w:spacing w:after="0" w:line="248" w:lineRule="auto"/>
        <w:tabs>
          <w:tab w:leader="none" w:pos="1709" w:val="left"/>
        </w:tabs>
        <w:numPr>
          <w:ilvl w:val="2"/>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failure by the Company to comply with this Agreement, other than a failure that is remedied by the Company within 60 days after receipt of notice thereof from the Executive.</w:t>
      </w:r>
    </w:p>
    <w:p>
      <w:pPr>
        <w:spacing w:after="0" w:line="161" w:lineRule="exact"/>
        <w:rPr>
          <w:rFonts w:ascii="Courier New" w:cs="Courier New" w:eastAsia="Courier New" w:hAnsi="Courier New"/>
          <w:sz w:val="14"/>
          <w:szCs w:val="14"/>
          <w:color w:val="auto"/>
        </w:rPr>
      </w:pPr>
    </w:p>
    <w:p>
      <w:pPr>
        <w:jc w:val="both"/>
        <w:ind w:right="3439" w:firstLine="856"/>
        <w:spacing w:after="0" w:line="248" w:lineRule="auto"/>
        <w:tabs>
          <w:tab w:leader="none" w:pos="1274"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Voluntary Termination by Executive Without Good Reason</w:t>
      </w:r>
      <w:r>
        <w:rPr>
          <w:rFonts w:ascii="Courier New" w:cs="Courier New" w:eastAsia="Courier New" w:hAnsi="Courier New"/>
          <w:sz w:val="14"/>
          <w:szCs w:val="14"/>
          <w:color w:val="auto"/>
        </w:rPr>
        <w:t>. Executive may at any time terminate his employment under this Agreement without Good Reason.</w:t>
      </w:r>
    </w:p>
    <w:p>
      <w:pPr>
        <w:spacing w:after="0" w:line="161" w:lineRule="exact"/>
        <w:rPr>
          <w:rFonts w:ascii="Courier New" w:cs="Courier New" w:eastAsia="Courier New" w:hAnsi="Courier New"/>
          <w:sz w:val="14"/>
          <w:szCs w:val="14"/>
          <w:color w:val="auto"/>
        </w:rPr>
      </w:pPr>
    </w:p>
    <w:p>
      <w:pPr>
        <w:jc w:val="both"/>
        <w:ind w:right="3439" w:firstLine="856"/>
        <w:spacing w:after="0" w:line="247" w:lineRule="auto"/>
        <w:tabs>
          <w:tab w:leader="none" w:pos="1274"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Notice of Termination</w:t>
      </w:r>
      <w:r>
        <w:rPr>
          <w:rFonts w:ascii="Courier New" w:cs="Courier New" w:eastAsia="Courier New" w:hAnsi="Courier New"/>
          <w:sz w:val="14"/>
          <w:szCs w:val="14"/>
          <w:color w:val="auto"/>
        </w:rPr>
        <w:t>. If Company or Executive desires to terminate Executive's employment hereunder at any time, it or he shall do so by giving written notice to the other party (following the expiration of any applicable cure periods) that it or he has elected to terminate Executive's employment hereunder and stating the effective date and reason for such termination. Any termination by Executive of his employment without Good Reason shall be made on not less than 14 days' notice.</w:t>
      </w:r>
    </w:p>
    <w:p>
      <w:pPr>
        <w:spacing w:after="0" w:line="163"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61"/>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Effect of Termination</w:t>
      </w:r>
      <w:r>
        <w:rPr>
          <w:rFonts w:ascii="Courier New" w:cs="Courier New" w:eastAsia="Courier New" w:hAnsi="Courier New"/>
          <w:sz w:val="14"/>
          <w:szCs w:val="14"/>
          <w:b w:val="1"/>
          <w:bCs w:val="1"/>
          <w:color w:val="auto"/>
        </w:rPr>
        <w:t>.</w:t>
      </w:r>
    </w:p>
    <w:p>
      <w:pPr>
        <w:spacing w:after="0" w:line="168" w:lineRule="exact"/>
        <w:rPr>
          <w:rFonts w:ascii="Courier New" w:cs="Courier New" w:eastAsia="Courier New" w:hAnsi="Courier New"/>
          <w:sz w:val="14"/>
          <w:szCs w:val="14"/>
          <w:b w:val="1"/>
          <w:bCs w:val="1"/>
          <w:color w:val="auto"/>
        </w:rPr>
      </w:pPr>
    </w:p>
    <w:p>
      <w:pPr>
        <w:jc w:val="both"/>
        <w:ind w:left="1280" w:right="3439" w:hanging="424"/>
        <w:spacing w:after="0" w:line="247" w:lineRule="auto"/>
        <w:tabs>
          <w:tab w:leader="none" w:pos="128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Voluntary Termination by Executive; Termination for Cause; Death, or Disability</w:t>
      </w:r>
      <w:r>
        <w:rPr>
          <w:rFonts w:ascii="Courier New" w:cs="Courier New" w:eastAsia="Courier New" w:hAnsi="Courier New"/>
          <w:sz w:val="14"/>
          <w:szCs w:val="14"/>
          <w:color w:val="auto"/>
        </w:rPr>
        <w:t>. In the event that Executives employment is terminated pursuant to Paragraphs 12(a), 12(b) or 12(e), on the date of termination, the Company shall be liable to Executive as follows:</w:t>
      </w:r>
    </w:p>
    <w:p>
      <w:pPr>
        <w:spacing w:after="0" w:line="163" w:lineRule="exact"/>
        <w:rPr>
          <w:rFonts w:ascii="Courier New" w:cs="Courier New" w:eastAsia="Courier New" w:hAnsi="Courier New"/>
          <w:sz w:val="14"/>
          <w:szCs w:val="14"/>
          <w:color w:val="auto"/>
        </w:rPr>
      </w:pPr>
    </w:p>
    <w:p>
      <w:pPr>
        <w:jc w:val="both"/>
        <w:ind w:left="1280" w:right="3439" w:firstLine="426"/>
        <w:spacing w:after="0" w:line="248" w:lineRule="auto"/>
        <w:tabs>
          <w:tab w:leader="none" w:pos="2129" w:val="left"/>
        </w:tabs>
        <w:numPr>
          <w:ilvl w:val="3"/>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be entitled to receive the Annual Salary due to him through the date of termination of his employment.</w:t>
      </w:r>
    </w:p>
    <w:p>
      <w:pPr>
        <w:spacing w:after="0" w:line="161" w:lineRule="exact"/>
        <w:rPr>
          <w:rFonts w:ascii="Courier New" w:cs="Courier New" w:eastAsia="Courier New" w:hAnsi="Courier New"/>
          <w:sz w:val="14"/>
          <w:szCs w:val="14"/>
          <w:color w:val="auto"/>
        </w:rPr>
      </w:pPr>
    </w:p>
    <w:p>
      <w:pPr>
        <w:jc w:val="both"/>
        <w:ind w:left="1280" w:right="3439" w:firstLine="426"/>
        <w:spacing w:after="0" w:line="247" w:lineRule="auto"/>
        <w:tabs>
          <w:tab w:leader="none" w:pos="2129" w:val="left"/>
        </w:tabs>
        <w:numPr>
          <w:ilvl w:val="3"/>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vested rights of Executive shall be paid to Executive in accordance with the Company's plans, programs or policies. Without limiting the foregoing, in the event of the termination of Executive's employment due to death or disability (Paragraph 12(a)), the rights and benefits of Executive (or his designated beneficiary or representatives, as applicable) under any Company life, health and long-term disability plans and policies shall be determined in accordance with the terms and provisions of such plans and policies.</w:t>
      </w:r>
    </w:p>
    <w:p>
      <w:pPr>
        <w:spacing w:after="0" w:line="164" w:lineRule="exact"/>
        <w:rPr>
          <w:sz w:val="20"/>
          <w:szCs w:val="20"/>
          <w:color w:val="auto"/>
        </w:rPr>
      </w:pPr>
    </w:p>
    <w:p>
      <w:pPr>
        <w:jc w:val="both"/>
        <w:ind w:left="1280" w:right="3439" w:firstLine="425"/>
        <w:spacing w:after="0" w:line="248" w:lineRule="auto"/>
        <w:rPr>
          <w:sz w:val="20"/>
          <w:szCs w:val="20"/>
          <w:color w:val="auto"/>
        </w:rPr>
      </w:pPr>
      <w:r>
        <w:rPr>
          <w:rFonts w:ascii="Courier New" w:cs="Courier New" w:eastAsia="Courier New" w:hAnsi="Courier New"/>
          <w:sz w:val="14"/>
          <w:szCs w:val="14"/>
          <w:color w:val="auto"/>
        </w:rPr>
        <w:t>(iii)The Company shall promptly reimburse Executive for any and all reimbursable business expenses (to the extent not already reimbursed) upon Executive's properly accounting for the same.</w:t>
      </w:r>
    </w:p>
    <w:p>
      <w:pPr>
        <w:spacing w:after="0" w:line="162" w:lineRule="exact"/>
        <w:rPr>
          <w:sz w:val="20"/>
          <w:szCs w:val="20"/>
          <w:color w:val="auto"/>
        </w:rPr>
      </w:pPr>
    </w:p>
    <w:p>
      <w:pPr>
        <w:jc w:val="both"/>
        <w:ind w:right="3439" w:firstLine="856"/>
        <w:spacing w:after="0" w:line="247" w:lineRule="auto"/>
        <w:tabs>
          <w:tab w:leader="none" w:pos="127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Termination Without Cause; Termination by Executive for Good Reason</w:t>
      </w:r>
      <w:r>
        <w:rPr>
          <w:rFonts w:ascii="Courier New" w:cs="Courier New" w:eastAsia="Courier New" w:hAnsi="Courier New"/>
          <w:sz w:val="14"/>
          <w:szCs w:val="14"/>
          <w:color w:val="auto"/>
        </w:rPr>
        <w:t>. In the event that the Company terminates Executive's employment without Cause pursuant to Paragraph 12(c) or Executive terminates his employment with the Company pursuant to Paragraph 12(d), the Company shall be liable as follows:</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860" w:right="3439" w:firstLine="421"/>
        <w:spacing w:after="0" w:line="247" w:lineRule="auto"/>
        <w:tabs>
          <w:tab w:leader="none" w:pos="170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shall be entitled to receive the Annual Salary due to him through the date of termination of his Employment. In addition, Executive shall be entitled to receive continued monthly payments of his Annual Salary, based on the Annual Salary in effect, on the date of termination, until the first anniversary of the date of termination. The Executive shall also be entitled to receive a bonus upon the anniversary of his date of termination that is equal to the average bonus paid Executive for the 3 years immediately preceding the date of his termination.</w:t>
      </w:r>
    </w:p>
    <w:p>
      <w:pPr>
        <w:spacing w:after="0" w:line="164" w:lineRule="exact"/>
        <w:rPr>
          <w:rFonts w:ascii="Courier New" w:cs="Courier New" w:eastAsia="Courier New" w:hAnsi="Courier New"/>
          <w:sz w:val="14"/>
          <w:szCs w:val="14"/>
          <w:color w:val="auto"/>
        </w:rPr>
      </w:pPr>
    </w:p>
    <w:p>
      <w:pPr>
        <w:ind w:left="860" w:right="3439" w:firstLine="421"/>
        <w:spacing w:after="0" w:line="249" w:lineRule="auto"/>
        <w:tabs>
          <w:tab w:leader="none" w:pos="170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vested rights of Executive shall be paid to Executive in accordance with the Company's plans, programs or policies.</w:t>
      </w:r>
    </w:p>
    <w:p>
      <w:pPr>
        <w:spacing w:after="0" w:line="161" w:lineRule="exact"/>
        <w:rPr>
          <w:sz w:val="20"/>
          <w:szCs w:val="20"/>
          <w:color w:val="auto"/>
        </w:rPr>
      </w:pPr>
    </w:p>
    <w:p>
      <w:pPr>
        <w:jc w:val="both"/>
        <w:ind w:left="860" w:right="3439" w:firstLine="425"/>
        <w:spacing w:after="0" w:line="248" w:lineRule="auto"/>
        <w:rPr>
          <w:sz w:val="20"/>
          <w:szCs w:val="20"/>
          <w:color w:val="auto"/>
        </w:rPr>
      </w:pPr>
      <w:r>
        <w:rPr>
          <w:rFonts w:ascii="Courier New" w:cs="Courier New" w:eastAsia="Courier New" w:hAnsi="Courier New"/>
          <w:sz w:val="14"/>
          <w:szCs w:val="14"/>
          <w:color w:val="auto"/>
        </w:rPr>
        <w:t>(iii)The Company shall promptly reimburse Executive for any and all reimbursable business expenses (to the extent not already reimbursed) upon Executive's properly accounting for the same.</w:t>
      </w:r>
    </w:p>
    <w:p>
      <w:pPr>
        <w:spacing w:after="0" w:line="162" w:lineRule="exact"/>
        <w:rPr>
          <w:sz w:val="20"/>
          <w:szCs w:val="20"/>
          <w:color w:val="auto"/>
        </w:rPr>
      </w:pPr>
    </w:p>
    <w:p>
      <w:pPr>
        <w:jc w:val="both"/>
        <w:ind w:left="860" w:right="3439" w:firstLine="421"/>
        <w:spacing w:after="0" w:line="247" w:lineRule="auto"/>
        <w:tabs>
          <w:tab w:leader="none" w:pos="170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and/or Executive's family shall be entitled to receive health benefits (as contemplated by Paragraph 7(c) hereof) until the first anniversary of the date of termination at least equal to those which would have been provided to them in accordance with this Agreement if Executive's employment had not been terminated provided that the Company's obligation to provide such benefits shall be reduced by any comparable benefits (or amounts received by Executive in respect thereof) received by Executive under the terms of</w:t>
      </w:r>
    </w:p>
    <w:p>
      <w:pPr>
        <w:sectPr>
          <w:pgSz w:w="11900" w:h="16838" w:orient="portrait"/>
          <w:cols w:equalWidth="0" w:num="1">
            <w:col w:w="10239"/>
          </w:cols>
          <w:pgMar w:left="220" w:top="141" w:right="1440" w:bottom="0" w:gutter="0" w:footer="0" w:header="0"/>
        </w:sectPr>
      </w:pPr>
    </w:p>
    <w:bookmarkStart w:id="55" w:name="page56"/>
    <w:bookmarkEnd w:id="55"/>
    <w:p>
      <w:pPr>
        <w:jc w:val="both"/>
        <w:ind w:left="860" w:right="3439"/>
        <w:spacing w:after="0" w:line="247" w:lineRule="auto"/>
        <w:rPr>
          <w:sz w:val="20"/>
          <w:szCs w:val="20"/>
          <w:color w:val="auto"/>
        </w:rPr>
      </w:pPr>
      <w:r>
        <w:rPr>
          <w:rFonts w:ascii="Courier New" w:cs="Courier New" w:eastAsia="Courier New" w:hAnsi="Courier New"/>
          <w:sz w:val="14"/>
          <w:szCs w:val="14"/>
          <w:color w:val="auto"/>
        </w:rPr>
        <w:t>new employment undertaken by Executive after termination and prior to the first anniversary of the date of termination; and provided further, that the terms of the Company's health insurance plans shall be subject to amendment during such period, to the extent that such amendments are applicable to the executive officers of the Company generally.</w:t>
      </w:r>
    </w:p>
    <w:p>
      <w:pPr>
        <w:spacing w:after="0" w:line="164" w:lineRule="exact"/>
        <w:rPr>
          <w:sz w:val="20"/>
          <w:szCs w:val="20"/>
          <w:color w:val="auto"/>
        </w:rPr>
      </w:pPr>
    </w:p>
    <w:p>
      <w:pPr>
        <w:jc w:val="both"/>
        <w:ind w:right="3439" w:firstLine="856"/>
        <w:spacing w:after="0" w:line="247" w:lineRule="auto"/>
        <w:tabs>
          <w:tab w:leader="none" w:pos="1274"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Limit on Company Liability</w:t>
      </w:r>
      <w:r>
        <w:rPr>
          <w:rFonts w:ascii="Courier New" w:cs="Courier New" w:eastAsia="Courier New" w:hAnsi="Courier New"/>
          <w:sz w:val="14"/>
          <w:szCs w:val="14"/>
          <w:color w:val="auto"/>
        </w:rPr>
        <w:t>. Except as expressly set forth in this Paragraph 13, the Company shall have no obligation to Executive under this Agreement following a termination of Executive's employment with the Company. Without limiting the generality of the provision of the foregoing sentence, the Company shall not, following a termination of Executive's employment with the Company, have any obligation to provide any further benefit to Executive or make any further contribution for Executive's benefit except as provided in this Paragraph 10.</w:t>
      </w:r>
    </w:p>
    <w:p>
      <w:pPr>
        <w:spacing w:after="0" w:line="164" w:lineRule="exact"/>
        <w:rPr>
          <w:rFonts w:ascii="Courier New" w:cs="Courier New" w:eastAsia="Courier New" w:hAnsi="Courier New"/>
          <w:sz w:val="14"/>
          <w:szCs w:val="14"/>
          <w:color w:val="auto"/>
        </w:rPr>
      </w:pPr>
    </w:p>
    <w:p>
      <w:pPr>
        <w:ind w:left="860" w:hanging="428"/>
        <w:spacing w:after="0"/>
        <w:tabs>
          <w:tab w:leader="none" w:pos="860" w:val="left"/>
        </w:tabs>
        <w:numPr>
          <w:ilvl w:val="0"/>
          <w:numId w:val="66"/>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Company Proprietary Rights</w:t>
      </w:r>
      <w:r>
        <w:rPr>
          <w:rFonts w:ascii="Courier New" w:cs="Courier New" w:eastAsia="Courier New" w:hAnsi="Courier New"/>
          <w:sz w:val="14"/>
          <w:szCs w:val="14"/>
          <w:b w:val="1"/>
          <w:bCs w:val="1"/>
          <w:color w:val="auto"/>
        </w:rPr>
        <w:t>.</w:t>
      </w:r>
    </w:p>
    <w:p>
      <w:pPr>
        <w:spacing w:after="0" w:line="168" w:lineRule="exact"/>
        <w:rPr>
          <w:rFonts w:ascii="Courier New" w:cs="Courier New" w:eastAsia="Courier New" w:hAnsi="Courier New"/>
          <w:sz w:val="14"/>
          <w:szCs w:val="14"/>
          <w:b w:val="1"/>
          <w:bCs w:val="1"/>
          <w:color w:val="auto"/>
        </w:rPr>
      </w:pPr>
    </w:p>
    <w:p>
      <w:pPr>
        <w:jc w:val="both"/>
        <w:ind w:right="3439" w:firstLine="856"/>
        <w:spacing w:after="0" w:line="247" w:lineRule="auto"/>
        <w:tabs>
          <w:tab w:leader="none" w:pos="1274"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Company to Retain Rights</w:t>
      </w:r>
      <w:r>
        <w:rPr>
          <w:rFonts w:ascii="Courier New" w:cs="Courier New" w:eastAsia="Courier New" w:hAnsi="Courier New"/>
          <w:sz w:val="14"/>
          <w:szCs w:val="14"/>
          <w:color w:val="auto"/>
        </w:rPr>
        <w:t>. Executive agrees that all right, title and interest of every kind and nature whatsoever in and to copyrights, patents, ideas, business or strategic plans and concepts, studies, presentations, creations, inventions, writings, properties, discoveries and all other intellectual property conceived by executive during the term of this Agreement and pertaining to or useful in or to (directly or indirectly) the activities of the</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3439"/>
        <w:spacing w:after="0" w:line="248" w:lineRule="auto"/>
        <w:rPr>
          <w:sz w:val="20"/>
          <w:szCs w:val="20"/>
          <w:color w:val="auto"/>
        </w:rPr>
      </w:pPr>
      <w:r>
        <w:rPr>
          <w:rFonts w:ascii="Courier New" w:cs="Courier New" w:eastAsia="Courier New" w:hAnsi="Courier New"/>
          <w:sz w:val="14"/>
          <w:szCs w:val="14"/>
          <w:color w:val="auto"/>
        </w:rPr>
        <w:t>Company (collectively, "Company Intellectual Property") shall become and remain the exclusive property of the Company, and Executive shall have no interest therein.</w:t>
      </w:r>
    </w:p>
    <w:p>
      <w:pPr>
        <w:spacing w:after="0" w:line="162" w:lineRule="exact"/>
        <w:rPr>
          <w:sz w:val="20"/>
          <w:szCs w:val="20"/>
          <w:color w:val="auto"/>
        </w:rPr>
      </w:pPr>
    </w:p>
    <w:p>
      <w:pPr>
        <w:jc w:val="both"/>
        <w:ind w:right="3439" w:firstLine="856"/>
        <w:spacing w:after="0" w:line="247" w:lineRule="auto"/>
        <w:tabs>
          <w:tab w:leader="none" w:pos="1274"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Further Assurances</w:t>
      </w:r>
      <w:r>
        <w:rPr>
          <w:rFonts w:ascii="Courier New" w:cs="Courier New" w:eastAsia="Courier New" w:hAnsi="Courier New"/>
          <w:sz w:val="14"/>
          <w:szCs w:val="14"/>
          <w:color w:val="auto"/>
        </w:rPr>
        <w:t>. At the request of the Company, Executive shall, at the Company's expense but without additional consideration, execute such documents and perform such other acts as the Company may deem necessary or appropriate to vest in the Company or its designee such title as Executive may have to all Company Intellectual Property in which Executive may be able to claim any rights by virtue of his employment under this Agreement.</w:t>
      </w:r>
    </w:p>
    <w:p>
      <w:pPr>
        <w:spacing w:after="0" w:line="163" w:lineRule="exact"/>
        <w:rPr>
          <w:rFonts w:ascii="Courier New" w:cs="Courier New" w:eastAsia="Courier New" w:hAnsi="Courier New"/>
          <w:sz w:val="14"/>
          <w:szCs w:val="14"/>
          <w:color w:val="auto"/>
        </w:rPr>
      </w:pPr>
    </w:p>
    <w:p>
      <w:pPr>
        <w:jc w:val="both"/>
        <w:ind w:right="3439" w:firstLine="856"/>
        <w:spacing w:after="0" w:line="247" w:lineRule="auto"/>
        <w:tabs>
          <w:tab w:leader="none" w:pos="1274"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u w:val="single" w:color="auto"/>
          <w:color w:val="auto"/>
        </w:rPr>
        <w:t>Return of Material</w:t>
      </w:r>
      <w:r>
        <w:rPr>
          <w:rFonts w:ascii="Courier New" w:cs="Courier New" w:eastAsia="Courier New" w:hAnsi="Courier New"/>
          <w:sz w:val="14"/>
          <w:szCs w:val="14"/>
          <w:color w:val="auto"/>
        </w:rPr>
        <w:t>. Upon the termination of the Employment Term, including any termination of employment described in Paragraph 12, the Executive will promptly return to the Company all copies of information protected by the terms of this agreement which are in his possession, custody or control, whether prepared by him or others, and the Executive agrees that he shall not retain any of same.</w:t>
      </w:r>
    </w:p>
    <w:p>
      <w:pPr>
        <w:spacing w:after="0" w:line="163" w:lineRule="exact"/>
        <w:rPr>
          <w:rFonts w:ascii="Courier New" w:cs="Courier New" w:eastAsia="Courier New" w:hAnsi="Courier New"/>
          <w:sz w:val="14"/>
          <w:szCs w:val="14"/>
          <w:color w:val="auto"/>
        </w:rPr>
      </w:pPr>
    </w:p>
    <w:p>
      <w:pPr>
        <w:jc w:val="both"/>
        <w:ind w:right="3439" w:firstLine="432"/>
        <w:spacing w:after="0" w:line="247" w:lineRule="auto"/>
        <w:tabs>
          <w:tab w:leader="none" w:pos="849" w:val="left"/>
        </w:tabs>
        <w:numPr>
          <w:ilvl w:val="0"/>
          <w:numId w:val="6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Representation and Warranty of Executive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Executive represents and</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warrants to the Company that he is not now under any obligation, of a contractual nature or otherwise, to any person, partnership, company or corporation that is inconsistent or in conflict with this Agreement or which would prevent, limit or impair in any way the performance by him of his obligations hereunder.</w:t>
      </w:r>
    </w:p>
    <w:p>
      <w:pPr>
        <w:spacing w:after="0" w:line="163" w:lineRule="exact"/>
        <w:rPr>
          <w:rFonts w:ascii="Courier New" w:cs="Courier New" w:eastAsia="Courier New" w:hAnsi="Courier New"/>
          <w:sz w:val="14"/>
          <w:szCs w:val="14"/>
          <w:b w:val="1"/>
          <w:bCs w:val="1"/>
          <w:color w:val="auto"/>
        </w:rPr>
      </w:pPr>
    </w:p>
    <w:p>
      <w:pPr>
        <w:jc w:val="both"/>
        <w:ind w:right="3439" w:firstLine="432"/>
        <w:spacing w:after="0" w:line="247" w:lineRule="auto"/>
        <w:tabs>
          <w:tab w:leader="none" w:pos="849" w:val="left"/>
        </w:tabs>
        <w:numPr>
          <w:ilvl w:val="0"/>
          <w:numId w:val="6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Assignment</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This Agreement, and the rights and obligations of the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parties hereunder, are personal and neither this Agreement, nor any right, benefit or obligation of either party hereto, shall be subject to voluntary or involuntary assignment, alienation or transfer, whether by operation of law or otherwise, without the prior written consent of the other party; provided, however, that Company may assign this Agreement in connection with a merger or consolidation involving Company or a sale of substantially all its assets to the surviving corporation or purchaser, as the case may be, so long as such assignee assumes Company's obligations hereunder.</w:t>
      </w:r>
    </w:p>
    <w:p>
      <w:pPr>
        <w:spacing w:after="0" w:line="164" w:lineRule="exact"/>
        <w:rPr>
          <w:rFonts w:ascii="Courier New" w:cs="Courier New" w:eastAsia="Courier New" w:hAnsi="Courier New"/>
          <w:sz w:val="14"/>
          <w:szCs w:val="14"/>
          <w:b w:val="1"/>
          <w:bCs w:val="1"/>
          <w:color w:val="auto"/>
        </w:rPr>
      </w:pPr>
    </w:p>
    <w:p>
      <w:pPr>
        <w:jc w:val="both"/>
        <w:ind w:right="3439" w:firstLine="432"/>
        <w:spacing w:after="0" w:line="248" w:lineRule="auto"/>
        <w:tabs>
          <w:tab w:leader="none" w:pos="849" w:val="left"/>
        </w:tabs>
        <w:numPr>
          <w:ilvl w:val="0"/>
          <w:numId w:val="6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Withholding</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Payment of Executive's Annual Salary and payment or</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provision of other compensation to Executive pursuant hereto shall be subject to such reporting and withholding for applicable taxes as is required by law.</w:t>
      </w:r>
    </w:p>
    <w:p>
      <w:pPr>
        <w:spacing w:after="0" w:line="161" w:lineRule="exact"/>
        <w:rPr>
          <w:rFonts w:ascii="Courier New" w:cs="Courier New" w:eastAsia="Courier New" w:hAnsi="Courier New"/>
          <w:sz w:val="14"/>
          <w:szCs w:val="14"/>
          <w:b w:val="1"/>
          <w:bCs w:val="1"/>
          <w:color w:val="auto"/>
        </w:rPr>
      </w:pPr>
    </w:p>
    <w:p>
      <w:pPr>
        <w:jc w:val="both"/>
        <w:ind w:right="3439" w:firstLine="432"/>
        <w:spacing w:after="0" w:line="247" w:lineRule="auto"/>
        <w:tabs>
          <w:tab w:leader="none" w:pos="849" w:val="left"/>
        </w:tabs>
        <w:numPr>
          <w:ilvl w:val="0"/>
          <w:numId w:val="6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Certain Expenses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Company, on or before the date hereof, shall pay</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directly or reimburse Executive (at Executive's discretion) for the actual legal fees and other costs and expenses, if any, incurred by Executive in connection with the preparation, finalizing and execution of this Letter.</w:t>
      </w:r>
    </w:p>
    <w:p>
      <w:pPr>
        <w:spacing w:after="0" w:line="163" w:lineRule="exact"/>
        <w:rPr>
          <w:rFonts w:ascii="Courier New" w:cs="Courier New" w:eastAsia="Courier New" w:hAnsi="Courier New"/>
          <w:sz w:val="14"/>
          <w:szCs w:val="14"/>
          <w:b w:val="1"/>
          <w:bCs w:val="1"/>
          <w:color w:val="auto"/>
        </w:rPr>
      </w:pPr>
    </w:p>
    <w:p>
      <w:pPr>
        <w:jc w:val="both"/>
        <w:ind w:right="3439" w:firstLine="432"/>
        <w:spacing w:after="0" w:line="247" w:lineRule="auto"/>
        <w:tabs>
          <w:tab w:leader="none" w:pos="849" w:val="left"/>
        </w:tabs>
        <w:numPr>
          <w:ilvl w:val="0"/>
          <w:numId w:val="6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Severability</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In the event that any provision or portion of this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Agreement is determined to be invalid or unenforceable for any reason, in whole or in part, the remaining provisions of this Agreement will be unaffected thereby and will remain in full force and effect to the fullest extent permitted by law.</w:t>
      </w:r>
    </w:p>
    <w:p>
      <w:pPr>
        <w:spacing w:after="0" w:line="163" w:lineRule="exact"/>
        <w:rPr>
          <w:rFonts w:ascii="Courier New" w:cs="Courier New" w:eastAsia="Courier New" w:hAnsi="Courier New"/>
          <w:sz w:val="14"/>
          <w:szCs w:val="14"/>
          <w:b w:val="1"/>
          <w:bCs w:val="1"/>
          <w:color w:val="auto"/>
        </w:rPr>
      </w:pPr>
    </w:p>
    <w:p>
      <w:pPr>
        <w:jc w:val="both"/>
        <w:ind w:right="3439" w:firstLine="432"/>
        <w:spacing w:after="0" w:line="247" w:lineRule="auto"/>
        <w:tabs>
          <w:tab w:leader="none" w:pos="849" w:val="left"/>
        </w:tabs>
        <w:numPr>
          <w:ilvl w:val="0"/>
          <w:numId w:val="68"/>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Notices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For all purposes of this Agreement, notices and all other</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communications provided for herein shall be in writing and shall be deemed to have been duly given, in the case of a notice to the Company, when delivered to the Company at the following</w:t>
      </w:r>
    </w:p>
    <w:p>
      <w:pPr>
        <w:spacing w:after="0" w:line="32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286385</wp:posOffset>
            </wp:positionV>
            <wp:extent cx="729869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8690"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439"/>
        <w:spacing w:after="0" w:line="249" w:lineRule="auto"/>
        <w:rPr>
          <w:sz w:val="20"/>
          <w:szCs w:val="20"/>
          <w:color w:val="auto"/>
        </w:rPr>
      </w:pPr>
      <w:r>
        <w:rPr>
          <w:rFonts w:ascii="Courier New" w:cs="Courier New" w:eastAsia="Courier New" w:hAnsi="Courier New"/>
          <w:sz w:val="14"/>
          <w:szCs w:val="14"/>
          <w:color w:val="auto"/>
        </w:rPr>
        <w:t>address, and in the case of a notice to Executive, when received by Executive, and in both cases addressed as follows:</w:t>
      </w:r>
    </w:p>
    <w:p>
      <w:pPr>
        <w:spacing w:after="0" w:line="161" w:lineRule="exact"/>
        <w:rPr>
          <w:sz w:val="20"/>
          <w:szCs w:val="20"/>
          <w:color w:val="auto"/>
        </w:rPr>
      </w:pPr>
    </w:p>
    <w:p>
      <w:pPr>
        <w:ind w:left="860"/>
        <w:spacing w:after="0"/>
        <w:tabs>
          <w:tab w:leader="none" w:pos="3800" w:val="left"/>
        </w:tabs>
        <w:rPr>
          <w:sz w:val="20"/>
          <w:szCs w:val="20"/>
          <w:color w:val="auto"/>
        </w:rPr>
      </w:pPr>
      <w:r>
        <w:rPr>
          <w:rFonts w:ascii="Courier New" w:cs="Courier New" w:eastAsia="Courier New" w:hAnsi="Courier New"/>
          <w:sz w:val="14"/>
          <w:szCs w:val="14"/>
          <w:color w:val="auto"/>
        </w:rPr>
        <w:t>If to Company, to:</w:t>
      </w:r>
      <w:r>
        <w:rPr>
          <w:sz w:val="20"/>
          <w:szCs w:val="20"/>
          <w:color w:val="auto"/>
        </w:rPr>
        <w:tab/>
      </w:r>
      <w:r>
        <w:rPr>
          <w:rFonts w:ascii="Courier New" w:cs="Courier New" w:eastAsia="Courier New" w:hAnsi="Courier New"/>
          <w:sz w:val="14"/>
          <w:szCs w:val="14"/>
          <w:color w:val="auto"/>
        </w:rPr>
        <w:t>NN, Inc.</w:t>
      </w:r>
    </w:p>
    <w:p>
      <w:pPr>
        <w:sectPr>
          <w:pgSz w:w="11900" w:h="16838" w:orient="portrait"/>
          <w:cols w:equalWidth="0" w:num="1">
            <w:col w:w="10239"/>
          </w:cols>
          <w:pgMar w:left="220" w:top="141" w:right="1440" w:bottom="0" w:gutter="0" w:footer="0" w:header="0"/>
        </w:sectPr>
      </w:pPr>
    </w:p>
    <w:bookmarkStart w:id="56" w:name="page57"/>
    <w:bookmarkEnd w:id="56"/>
    <w:p>
      <w:pPr>
        <w:ind w:left="3820"/>
        <w:spacing w:after="0"/>
        <w:rPr>
          <w:sz w:val="20"/>
          <w:szCs w:val="20"/>
          <w:color w:val="auto"/>
        </w:rPr>
      </w:pPr>
      <w:r>
        <w:rPr>
          <w:rFonts w:ascii="Courier New" w:cs="Courier New" w:eastAsia="Courier New" w:hAnsi="Courier New"/>
          <w:sz w:val="14"/>
          <w:szCs w:val="14"/>
          <w:color w:val="auto"/>
        </w:rPr>
        <w:t>2000 Waters Edge Drive</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Building C, Suite 12</w:t>
      </w:r>
    </w:p>
    <w:p>
      <w:pPr>
        <w:spacing w:after="0" w:line="5" w:lineRule="exact"/>
        <w:rPr>
          <w:sz w:val="20"/>
          <w:szCs w:val="20"/>
          <w:color w:val="auto"/>
        </w:rPr>
      </w:pPr>
    </w:p>
    <w:p>
      <w:pPr>
        <w:ind w:left="3820"/>
        <w:spacing w:after="0"/>
        <w:tabs>
          <w:tab w:leader="none" w:pos="5940" w:val="left"/>
        </w:tabs>
        <w:rPr>
          <w:sz w:val="20"/>
          <w:szCs w:val="20"/>
          <w:color w:val="auto"/>
        </w:rPr>
      </w:pPr>
      <w:r>
        <w:rPr>
          <w:rFonts w:ascii="Courier New" w:cs="Courier New" w:eastAsia="Courier New" w:hAnsi="Courier New"/>
          <w:sz w:val="14"/>
          <w:szCs w:val="14"/>
          <w:color w:val="auto"/>
        </w:rPr>
        <w:t>Johnson City, Tennessee</w:t>
        <w:tab/>
        <w:t>37604</w:t>
      </w:r>
    </w:p>
    <w:p>
      <w:pPr>
        <w:spacing w:after="0" w:line="5" w:lineRule="exact"/>
        <w:rPr>
          <w:sz w:val="20"/>
          <w:szCs w:val="20"/>
          <w:color w:val="auto"/>
        </w:rPr>
      </w:pPr>
    </w:p>
    <w:p>
      <w:pPr>
        <w:ind w:left="3820"/>
        <w:spacing w:after="0"/>
        <w:tabs>
          <w:tab w:leader="none" w:pos="4820" w:val="left"/>
        </w:tabs>
        <w:rPr>
          <w:sz w:val="20"/>
          <w:szCs w:val="20"/>
          <w:color w:val="auto"/>
        </w:rPr>
      </w:pPr>
      <w:r>
        <w:rPr>
          <w:rFonts w:ascii="Courier New" w:cs="Courier New" w:eastAsia="Courier New" w:hAnsi="Courier New"/>
          <w:sz w:val="14"/>
          <w:szCs w:val="14"/>
          <w:color w:val="auto"/>
        </w:rPr>
        <w:t>Attention:</w:t>
        <w:tab/>
        <w:t>CEO</w:t>
      </w:r>
    </w:p>
    <w:p>
      <w:pPr>
        <w:spacing w:after="0" w:line="168" w:lineRule="exact"/>
        <w:rPr>
          <w:sz w:val="20"/>
          <w:szCs w:val="20"/>
          <w:color w:val="auto"/>
        </w:rPr>
      </w:pPr>
    </w:p>
    <w:p>
      <w:pPr>
        <w:ind w:left="860"/>
        <w:spacing w:after="0"/>
        <w:tabs>
          <w:tab w:leader="none" w:pos="3800" w:val="left"/>
        </w:tabs>
        <w:rPr>
          <w:sz w:val="20"/>
          <w:szCs w:val="20"/>
          <w:color w:val="auto"/>
        </w:rPr>
      </w:pPr>
      <w:r>
        <w:rPr>
          <w:rFonts w:ascii="Courier New" w:cs="Courier New" w:eastAsia="Courier New" w:hAnsi="Courier New"/>
          <w:sz w:val="14"/>
          <w:szCs w:val="14"/>
          <w:color w:val="auto"/>
        </w:rPr>
        <w:t>If to Executive, to:</w:t>
      </w:r>
      <w:r>
        <w:rPr>
          <w:sz w:val="20"/>
          <w:szCs w:val="20"/>
          <w:color w:val="auto"/>
        </w:rPr>
        <w:tab/>
      </w:r>
      <w:r>
        <w:rPr>
          <w:rFonts w:ascii="Courier New" w:cs="Courier New" w:eastAsia="Courier New" w:hAnsi="Courier New"/>
          <w:sz w:val="14"/>
          <w:szCs w:val="14"/>
          <w:color w:val="auto"/>
        </w:rPr>
        <w:t>Paul Fortier</w:t>
      </w:r>
    </w:p>
    <w:p>
      <w:pPr>
        <w:spacing w:after="0" w:line="168" w:lineRule="exact"/>
        <w:rPr>
          <w:sz w:val="20"/>
          <w:szCs w:val="20"/>
          <w:color w:val="auto"/>
        </w:rPr>
      </w:pPr>
    </w:p>
    <w:p>
      <w:pPr>
        <w:jc w:val="both"/>
        <w:ind w:right="3439" w:firstLine="432"/>
        <w:spacing w:after="0" w:line="247" w:lineRule="auto"/>
        <w:tabs>
          <w:tab w:leader="none" w:pos="849" w:val="left"/>
        </w:tabs>
        <w:numPr>
          <w:ilvl w:val="0"/>
          <w:numId w:val="69"/>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Modifications and Waivers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No provision of this Agreement may be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modified or discharged unless such modification or discharge is authorized by the Board and is agreed to in writing, signed by the Executive and by an officer of the Company duly authorized by the Board. No waiver by either party hereto of any breach by the other party hereto of any condition or provision of this Agreement to be performed by such other party will be deemed a waiver of similar or dissimilar provisions or conditions at the time or at any prior or subsequent time.</w:t>
      </w:r>
    </w:p>
    <w:p>
      <w:pPr>
        <w:spacing w:after="0" w:line="164" w:lineRule="exact"/>
        <w:rPr>
          <w:rFonts w:ascii="Courier New" w:cs="Courier New" w:eastAsia="Courier New" w:hAnsi="Courier New"/>
          <w:sz w:val="14"/>
          <w:szCs w:val="14"/>
          <w:b w:val="1"/>
          <w:bCs w:val="1"/>
          <w:color w:val="auto"/>
        </w:rPr>
      </w:pPr>
    </w:p>
    <w:p>
      <w:pPr>
        <w:jc w:val="both"/>
        <w:ind w:right="3439" w:firstLine="432"/>
        <w:spacing w:after="0" w:line="247" w:lineRule="auto"/>
        <w:tabs>
          <w:tab w:leader="none" w:pos="849" w:val="left"/>
        </w:tabs>
        <w:numPr>
          <w:ilvl w:val="0"/>
          <w:numId w:val="69"/>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Entire Agreement</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This Agreement constitutes the entire understanding</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of the parties hereto with respect to their subject matter. This Agreement supersedes all prior agreements between the parties hereto with respect to their subject matter.</w:t>
      </w:r>
    </w:p>
    <w:p>
      <w:pPr>
        <w:spacing w:after="0" w:line="163" w:lineRule="exact"/>
        <w:rPr>
          <w:rFonts w:ascii="Courier New" w:cs="Courier New" w:eastAsia="Courier New" w:hAnsi="Courier New"/>
          <w:sz w:val="14"/>
          <w:szCs w:val="14"/>
          <w:b w:val="1"/>
          <w:bCs w:val="1"/>
          <w:color w:val="auto"/>
        </w:rPr>
      </w:pPr>
    </w:p>
    <w:p>
      <w:pPr>
        <w:ind w:right="3439" w:firstLine="432"/>
        <w:spacing w:after="0" w:line="249" w:lineRule="auto"/>
        <w:tabs>
          <w:tab w:leader="none" w:pos="849" w:val="left"/>
        </w:tabs>
        <w:numPr>
          <w:ilvl w:val="0"/>
          <w:numId w:val="69"/>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Governing Law</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This Agreement will be governed by the laws of the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State of Tennessee without regard for its conflict of law rules.</w:t>
      </w:r>
    </w:p>
    <w:p>
      <w:pPr>
        <w:spacing w:after="0" w:line="160" w:lineRule="exact"/>
        <w:rPr>
          <w:rFonts w:ascii="Courier New" w:cs="Courier New" w:eastAsia="Courier New" w:hAnsi="Courier New"/>
          <w:sz w:val="14"/>
          <w:szCs w:val="14"/>
          <w:b w:val="1"/>
          <w:bCs w:val="1"/>
          <w:color w:val="auto"/>
        </w:rPr>
      </w:pPr>
    </w:p>
    <w:p>
      <w:pPr>
        <w:jc w:val="both"/>
        <w:ind w:right="3439" w:firstLine="432"/>
        <w:spacing w:after="0" w:line="248" w:lineRule="auto"/>
        <w:tabs>
          <w:tab w:leader="none" w:pos="849" w:val="left"/>
        </w:tabs>
        <w:numPr>
          <w:ilvl w:val="0"/>
          <w:numId w:val="69"/>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Counterparts</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This Agreement may be executed simultaneously in one or</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more counterparts, each of which will be deemed to be an original but all of which together will constitute one and the same instrument.</w:t>
      </w:r>
    </w:p>
    <w:p>
      <w:pPr>
        <w:spacing w:after="0" w:line="161" w:lineRule="exact"/>
        <w:rPr>
          <w:rFonts w:ascii="Courier New" w:cs="Courier New" w:eastAsia="Courier New" w:hAnsi="Courier New"/>
          <w:sz w:val="14"/>
          <w:szCs w:val="14"/>
          <w:b w:val="1"/>
          <w:bCs w:val="1"/>
          <w:color w:val="auto"/>
        </w:rPr>
      </w:pPr>
    </w:p>
    <w:p>
      <w:pPr>
        <w:jc w:val="both"/>
        <w:ind w:right="3439" w:firstLine="432"/>
        <w:spacing w:after="0" w:line="247" w:lineRule="auto"/>
        <w:tabs>
          <w:tab w:leader="none" w:pos="849" w:val="left"/>
        </w:tabs>
        <w:numPr>
          <w:ilvl w:val="0"/>
          <w:numId w:val="69"/>
        </w:numPr>
        <w:rPr>
          <w:rFonts w:ascii="Courier New" w:cs="Courier New" w:eastAsia="Courier New" w:hAnsi="Courier New"/>
          <w:sz w:val="14"/>
          <w:szCs w:val="14"/>
          <w:b w:val="1"/>
          <w:bCs w:val="1"/>
          <w:color w:val="auto"/>
        </w:rPr>
      </w:pPr>
      <w:r>
        <w:rPr>
          <w:rFonts w:ascii="Courier New" w:cs="Courier New" w:eastAsia="Courier New" w:hAnsi="Courier New"/>
          <w:sz w:val="14"/>
          <w:szCs w:val="14"/>
          <w:b w:val="1"/>
          <w:bCs w:val="1"/>
          <w:u w:val="single" w:color="auto"/>
          <w:color w:val="auto"/>
        </w:rPr>
        <w:t>Headings, Etc</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The section headings contained in this Agreement are</w:t>
      </w:r>
      <w:r>
        <w:rPr>
          <w:rFonts w:ascii="Courier New" w:cs="Courier New" w:eastAsia="Courier New" w:hAnsi="Courier New"/>
          <w:sz w:val="14"/>
          <w:szCs w:val="14"/>
          <w:b w:val="1"/>
          <w:bCs w:val="1"/>
          <w:color w:val="auto"/>
        </w:rPr>
        <w:t xml:space="preserve"> </w:t>
      </w:r>
      <w:r>
        <w:rPr>
          <w:rFonts w:ascii="Courier New" w:cs="Courier New" w:eastAsia="Courier New" w:hAnsi="Courier New"/>
          <w:sz w:val="14"/>
          <w:szCs w:val="14"/>
          <w:color w:val="auto"/>
        </w:rPr>
        <w:t>for convenience of reference only and will not be deemed to control or affect the meaning or construction of any provision of this Agreement. Reference to Paragraphs are to Paragraphs in this Agreement.</w:t>
      </w:r>
    </w:p>
    <w:p>
      <w:pPr>
        <w:spacing w:after="0" w:line="164" w:lineRule="exact"/>
        <w:rPr>
          <w:sz w:val="20"/>
          <w:szCs w:val="20"/>
          <w:color w:val="auto"/>
        </w:rPr>
      </w:pPr>
    </w:p>
    <w:p>
      <w:pPr>
        <w:ind w:right="3439" w:firstLine="425"/>
        <w:spacing w:after="0" w:line="249"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date first above written.</w:t>
      </w:r>
    </w:p>
    <w:p>
      <w:pPr>
        <w:spacing w:after="0" w:line="16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NN, INC.</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By: /s/ Roderick R. Baty</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EXECUTIVE</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By: /s/ Paul N. Fortier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141"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0"/>
        </w:trPr>
        <w:tc>
          <w:tcPr>
            <w:tcW w:w="6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3"/>
          </w:tcPr>
          <w:p>
            <w:pPr>
              <w:ind w:left="760"/>
              <w:spacing w:after="0"/>
              <w:rPr>
                <w:sz w:val="20"/>
                <w:szCs w:val="20"/>
                <w:color w:val="auto"/>
              </w:rPr>
            </w:pPr>
            <w:r>
              <w:rPr>
                <w:rFonts w:ascii="Courier New" w:cs="Courier New" w:eastAsia="Courier New" w:hAnsi="Courier New"/>
                <w:sz w:val="14"/>
                <w:szCs w:val="14"/>
                <w:color w:val="auto"/>
                <w:w w:val="99"/>
              </w:rPr>
              <w:t>Exhibit 21.1</w:t>
            </w:r>
          </w:p>
        </w:tc>
      </w:tr>
      <w:tr>
        <w:trPr>
          <w:trHeight w:val="327"/>
        </w:trPr>
        <w:tc>
          <w:tcPr>
            <w:tcW w:w="680" w:type="dxa"/>
            <w:vAlign w:val="bottom"/>
          </w:tcPr>
          <w:p>
            <w:pPr>
              <w:spacing w:after="0"/>
              <w:rPr>
                <w:sz w:val="24"/>
                <w:szCs w:val="24"/>
                <w:color w:val="auto"/>
              </w:rPr>
            </w:pPr>
          </w:p>
        </w:tc>
        <w:tc>
          <w:tcPr>
            <w:tcW w:w="4340" w:type="dxa"/>
            <w:vAlign w:val="bottom"/>
            <w:gridSpan w:val="4"/>
          </w:tcPr>
          <w:p>
            <w:pPr>
              <w:jc w:val="right"/>
              <w:ind w:right="269"/>
              <w:spacing w:after="0"/>
              <w:rPr>
                <w:sz w:val="20"/>
                <w:szCs w:val="20"/>
                <w:color w:val="auto"/>
              </w:rPr>
            </w:pPr>
            <w:r>
              <w:rPr>
                <w:rFonts w:ascii="Courier New" w:cs="Courier New" w:eastAsia="Courier New" w:hAnsi="Courier New"/>
                <w:sz w:val="14"/>
                <w:szCs w:val="14"/>
                <w:b w:val="1"/>
                <w:bCs w:val="1"/>
                <w:color w:val="auto"/>
              </w:rPr>
              <w:t>Subsidiaries of the Registrant</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2040" w:type="dxa"/>
            <w:vAlign w:val="bottom"/>
            <w:tcBorders>
              <w:bottom w:val="single" w:sz="8" w:color="auto"/>
            </w:tcBorders>
          </w:tcPr>
          <w:p>
            <w:pPr>
              <w:spacing w:after="0"/>
              <w:rPr>
                <w:sz w:val="20"/>
                <w:szCs w:val="20"/>
                <w:color w:val="auto"/>
              </w:rPr>
            </w:pPr>
            <w:r>
              <w:rPr>
                <w:rFonts w:ascii="Courier New" w:cs="Courier New" w:eastAsia="Courier New" w:hAnsi="Courier New"/>
                <w:sz w:val="14"/>
                <w:szCs w:val="14"/>
                <w:b w:val="1"/>
                <w:bCs w:val="1"/>
                <w:color w:val="auto"/>
              </w:rPr>
              <w:t>Subsidiaries of NN, Inc.</w:t>
            </w:r>
          </w:p>
        </w:tc>
        <w:tc>
          <w:tcPr>
            <w:tcW w:w="1440" w:type="dxa"/>
            <w:vAlign w:val="bottom"/>
          </w:tcPr>
          <w:p>
            <w:pPr>
              <w:spacing w:after="0"/>
              <w:rPr>
                <w:sz w:val="24"/>
                <w:szCs w:val="24"/>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Courier New" w:cs="Courier New" w:eastAsia="Courier New" w:hAnsi="Courier New"/>
                <w:sz w:val="14"/>
                <w:szCs w:val="14"/>
                <w:b w:val="1"/>
                <w:bCs w:val="1"/>
                <w:color w:val="auto"/>
              </w:rPr>
              <w:t>Jurisdiction of Incorporation</w:t>
            </w:r>
          </w:p>
        </w:tc>
        <w:tc>
          <w:tcPr>
            <w:tcW w:w="160" w:type="dxa"/>
            <w:vAlign w:val="bottom"/>
          </w:tcPr>
          <w:p>
            <w:pPr>
              <w:spacing w:after="0"/>
              <w:rPr>
                <w:sz w:val="24"/>
                <w:szCs w:val="24"/>
                <w:color w:val="auto"/>
              </w:rPr>
            </w:pPr>
          </w:p>
        </w:tc>
      </w:tr>
      <w:tr>
        <w:trPr>
          <w:trHeight w:val="143"/>
        </w:trPr>
        <w:tc>
          <w:tcPr>
            <w:tcW w:w="6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Borders>
              <w:bottom w:val="single" w:sz="8" w:color="auto"/>
            </w:tcBorders>
            <w:gridSpan w:val="2"/>
          </w:tcPr>
          <w:p>
            <w:pPr>
              <w:jc w:val="center"/>
              <w:spacing w:after="0" w:line="143" w:lineRule="exact"/>
              <w:rPr>
                <w:sz w:val="20"/>
                <w:szCs w:val="20"/>
                <w:color w:val="auto"/>
              </w:rPr>
            </w:pPr>
            <w:r>
              <w:rPr>
                <w:rFonts w:ascii="Courier New" w:cs="Courier New" w:eastAsia="Courier New" w:hAnsi="Courier New"/>
                <w:sz w:val="14"/>
                <w:szCs w:val="14"/>
                <w:b w:val="1"/>
                <w:bCs w:val="1"/>
                <w:color w:val="auto"/>
              </w:rPr>
              <w:t>or Organization</w:t>
            </w:r>
          </w:p>
        </w:tc>
        <w:tc>
          <w:tcPr>
            <w:tcW w:w="760" w:type="dxa"/>
            <w:vAlign w:val="bottom"/>
            <w:gridSpan w:val="2"/>
          </w:tcPr>
          <w:p>
            <w:pPr>
              <w:spacing w:after="0"/>
              <w:rPr>
                <w:sz w:val="12"/>
                <w:szCs w:val="12"/>
                <w:color w:val="auto"/>
              </w:rPr>
            </w:pPr>
          </w:p>
        </w:tc>
      </w:tr>
      <w:tr>
        <w:trPr>
          <w:trHeight w:val="338"/>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The Delta Rubber Company</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40" w:type="dxa"/>
            <w:vAlign w:val="bottom"/>
            <w:gridSpan w:val="4"/>
          </w:tcPr>
          <w:p>
            <w:pPr>
              <w:jc w:val="center"/>
              <w:ind w:right="760"/>
              <w:spacing w:after="0"/>
              <w:rPr>
                <w:sz w:val="20"/>
                <w:szCs w:val="20"/>
                <w:color w:val="auto"/>
              </w:rPr>
            </w:pPr>
            <w:r>
              <w:rPr>
                <w:rFonts w:ascii="Courier New" w:cs="Courier New" w:eastAsia="Courier New" w:hAnsi="Courier New"/>
                <w:sz w:val="14"/>
                <w:szCs w:val="14"/>
                <w:color w:val="auto"/>
                <w:w w:val="99"/>
              </w:rPr>
              <w:t>Connecticut</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Industrial Molding GP, LLC</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Delaware</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Industrial Molding LP, LLC</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jc w:val="center"/>
              <w:ind w:right="1020"/>
              <w:spacing w:after="0"/>
              <w:rPr>
                <w:sz w:val="20"/>
                <w:szCs w:val="20"/>
                <w:color w:val="auto"/>
              </w:rPr>
            </w:pPr>
            <w:r>
              <w:rPr>
                <w:rFonts w:ascii="Courier New" w:cs="Courier New" w:eastAsia="Courier New" w:hAnsi="Courier New"/>
                <w:sz w:val="14"/>
                <w:szCs w:val="14"/>
                <w:color w:val="auto"/>
              </w:rPr>
              <w:t>Tennessee</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Industrial Molding Group, L.P.</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jc w:val="center"/>
              <w:ind w:right="1020"/>
              <w:spacing w:after="0"/>
              <w:rPr>
                <w:sz w:val="20"/>
                <w:szCs w:val="20"/>
                <w:color w:val="auto"/>
              </w:rPr>
            </w:pPr>
            <w:r>
              <w:rPr>
                <w:rFonts w:ascii="Courier New" w:cs="Courier New" w:eastAsia="Courier New" w:hAnsi="Courier New"/>
                <w:sz w:val="14"/>
                <w:szCs w:val="14"/>
                <w:color w:val="auto"/>
              </w:rPr>
              <w:t>Tennessee</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NN Euroball ApS</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jc w:val="center"/>
              <w:ind w:right="1020"/>
              <w:spacing w:after="0"/>
              <w:rPr>
                <w:sz w:val="20"/>
                <w:szCs w:val="20"/>
                <w:color w:val="auto"/>
              </w:rPr>
            </w:pPr>
            <w:r>
              <w:rPr>
                <w:rFonts w:ascii="Courier New" w:cs="Courier New" w:eastAsia="Courier New" w:hAnsi="Courier New"/>
                <w:sz w:val="14"/>
                <w:szCs w:val="14"/>
                <w:color w:val="auto"/>
              </w:rPr>
              <w:t>Denmark</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Kugelfertigung Eltmann GmbH</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jc w:val="center"/>
              <w:ind w:right="1020"/>
              <w:spacing w:after="0"/>
              <w:rPr>
                <w:sz w:val="20"/>
                <w:szCs w:val="20"/>
                <w:color w:val="auto"/>
              </w:rPr>
            </w:pPr>
            <w:r>
              <w:rPr>
                <w:rFonts w:ascii="Courier New" w:cs="Courier New" w:eastAsia="Courier New" w:hAnsi="Courier New"/>
                <w:sz w:val="14"/>
                <w:szCs w:val="14"/>
                <w:color w:val="auto"/>
              </w:rPr>
              <w:t>Germany</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Euroball S.p.A.</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jc w:val="center"/>
              <w:ind w:right="1020"/>
              <w:spacing w:after="0"/>
              <w:rPr>
                <w:sz w:val="20"/>
                <w:szCs w:val="20"/>
                <w:color w:val="auto"/>
              </w:rPr>
            </w:pPr>
            <w:r>
              <w:rPr>
                <w:rFonts w:ascii="Courier New" w:cs="Courier New" w:eastAsia="Courier New" w:hAnsi="Courier New"/>
                <w:sz w:val="14"/>
                <w:szCs w:val="14"/>
                <w:color w:val="auto"/>
              </w:rPr>
              <w:t>Italy</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NN Euroball Ireland, Ltd.</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jc w:val="center"/>
              <w:ind w:right="1020"/>
              <w:spacing w:after="0"/>
              <w:rPr>
                <w:sz w:val="20"/>
                <w:szCs w:val="20"/>
                <w:color w:val="auto"/>
              </w:rPr>
            </w:pPr>
            <w:r>
              <w:rPr>
                <w:rFonts w:ascii="Courier New" w:cs="Courier New" w:eastAsia="Courier New" w:hAnsi="Courier New"/>
                <w:sz w:val="14"/>
                <w:szCs w:val="14"/>
                <w:color w:val="auto"/>
              </w:rPr>
              <w:t>Ireland</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NN Mexico, LLC</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Delaware</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NN Arte S. De R.L. De D.V.</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Mexico</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NN Netherlands B.V.</w:t>
            </w:r>
          </w:p>
        </w:tc>
        <w:tc>
          <w:tcPr>
            <w:tcW w:w="14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w:t>
            </w:r>
          </w:p>
        </w:tc>
        <w:tc>
          <w:tcPr>
            <w:tcW w:w="1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Netherlands</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NN Holdings B.V.</w:t>
            </w:r>
          </w:p>
        </w:tc>
        <w:tc>
          <w:tcPr>
            <w:tcW w:w="14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w:t>
            </w:r>
          </w:p>
        </w:tc>
        <w:tc>
          <w:tcPr>
            <w:tcW w:w="1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Netherlands</w:t>
            </w:r>
          </w:p>
        </w:tc>
      </w:tr>
      <w:tr>
        <w:trPr>
          <w:trHeight w:val="327"/>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NN Slovakia</w:t>
            </w:r>
          </w:p>
        </w:tc>
        <w:tc>
          <w:tcPr>
            <w:tcW w:w="14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Zilina,</w:t>
            </w:r>
          </w:p>
        </w:tc>
        <w:tc>
          <w:tcPr>
            <w:tcW w:w="1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Slovak Republic</w:t>
            </w:r>
          </w:p>
        </w:tc>
      </w:tr>
    </w:tbl>
    <w:p>
      <w:pPr>
        <w:sectPr>
          <w:pgSz w:w="11900" w:h="16838" w:orient="portrait"/>
          <w:cols w:equalWidth="0" w:num="1">
            <w:col w:w="10239"/>
          </w:cols>
          <w:pgMar w:left="220" w:top="468" w:right="1440" w:bottom="1440" w:gutter="0" w:footer="0" w:header="0"/>
        </w:sectPr>
      </w:pPr>
    </w:p>
    <w:bookmarkStart w:id="58" w:name="page59"/>
    <w:bookmarkEnd w:id="58"/>
    <w:p>
      <w:pPr>
        <w:jc w:val="right"/>
        <w:ind w:right="3439"/>
        <w:spacing w:after="0"/>
        <w:rPr>
          <w:sz w:val="20"/>
          <w:szCs w:val="20"/>
          <w:color w:val="auto"/>
        </w:rPr>
      </w:pPr>
      <w:r>
        <w:rPr>
          <w:rFonts w:ascii="Courier New" w:cs="Courier New" w:eastAsia="Courier New" w:hAnsi="Courier New"/>
          <w:sz w:val="14"/>
          <w:szCs w:val="14"/>
          <w:b w:val="1"/>
          <w:bCs w:val="1"/>
          <w:color w:val="auto"/>
        </w:rPr>
        <w:t>Exhibit 23.1</w:t>
      </w:r>
    </w:p>
    <w:p>
      <w:pPr>
        <w:spacing w:after="0" w:line="168"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u w:val="single" w:color="auto"/>
          <w:color w:val="auto"/>
        </w:rPr>
        <w:t>CONSENT OF INDEPENDENT ACCOUNTANTS</w:t>
      </w:r>
    </w:p>
    <w:p>
      <w:pPr>
        <w:spacing w:after="0" w:line="331" w:lineRule="exact"/>
        <w:rPr>
          <w:sz w:val="20"/>
          <w:szCs w:val="20"/>
          <w:color w:val="auto"/>
        </w:rPr>
      </w:pPr>
    </w:p>
    <w:p>
      <w:pPr>
        <w:jc w:val="both"/>
        <w:ind w:right="3439"/>
        <w:spacing w:after="0" w:line="247"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Forms S-8 (No. 33-87572, No. 333-50934, No. 333-69588) and S-3 (No. 333-100119) of NN, Inc. of our report dated February 26, 2004 relating to the financial statements as of December 31, 2003 and the year then ended, which appears in this Form 10-K. We also consent to the references to us under the heading "Selected Financial Data" in such Registration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/s/PricewaterhouseCoopers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Greensboro,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15, 2004</w:t>
      </w:r>
    </w:p>
    <w:p>
      <w:pPr>
        <w:sectPr>
          <w:pgSz w:w="11900" w:h="16838" w:orient="portrait"/>
          <w:cols w:equalWidth="0" w:num="1">
            <w:col w:w="10239"/>
          </w:cols>
          <w:pgMar w:left="220" w:top="468" w:right="1440" w:bottom="1440" w:gutter="0" w:footer="0" w:header="0"/>
        </w:sectPr>
      </w:pPr>
    </w:p>
    <w:bookmarkStart w:id="59" w:name="page60"/>
    <w:bookmarkEnd w:id="59"/>
    <w:p>
      <w:pPr>
        <w:jc w:val="right"/>
        <w:ind w:right="3439"/>
        <w:spacing w:after="0"/>
        <w:rPr>
          <w:sz w:val="20"/>
          <w:szCs w:val="20"/>
          <w:color w:val="auto"/>
        </w:rPr>
      </w:pPr>
      <w:r>
        <w:rPr>
          <w:rFonts w:ascii="Courier New" w:cs="Courier New" w:eastAsia="Courier New" w:hAnsi="Courier New"/>
          <w:sz w:val="14"/>
          <w:szCs w:val="14"/>
          <w:u w:val="single" w:color="auto"/>
          <w:color w:val="auto"/>
        </w:rPr>
        <w:t>Exhibit 23.2</w:t>
      </w:r>
    </w:p>
    <w:p>
      <w:pPr>
        <w:spacing w:after="0" w:line="168"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u w:val="single" w:color="auto"/>
          <w:color w:val="auto"/>
        </w:rPr>
        <w:t>Independent Auditors' Consent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NN, Inc.:</w:t>
      </w:r>
    </w:p>
    <w:p>
      <w:pPr>
        <w:spacing w:after="0" w:line="168" w:lineRule="exact"/>
        <w:rPr>
          <w:sz w:val="20"/>
          <w:szCs w:val="20"/>
          <w:color w:val="auto"/>
        </w:rPr>
      </w:pPr>
    </w:p>
    <w:p>
      <w:pPr>
        <w:jc w:val="both"/>
        <w:ind w:right="3439"/>
        <w:spacing w:after="0" w:line="247"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(No. 33-87572, No. 333-50934, No. 333-69588) on Form S-8 and the registration statement (No. 333-100119) on Form S-3 of NN, Inc. of our report dated February 24, 2003 with respect to the consolidated balance sheet of NN, Inc. and Subsidiaries as of December 31, 2002 and the related consolidated statements of income and comprehensive income, consolidated statements of changes in stockholders' equity, and consolidated statements of cash flows for each of the years in the two year period ended December 31, 2002, which report appears in the December 31, 2003 annual report on Form 10-K of NN, Inc. and Subsidiaries. Our report refers to a change in the Company's method of accounting for goodwill and other intangible assets in 2002 and a change in the Company's method of accounting for derivative instruments and hedging activities in 2001.</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Charlotte, North Carolina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12, 2004</w:t>
      </w:r>
    </w:p>
    <w:p>
      <w:pPr>
        <w:sectPr>
          <w:pgSz w:w="11900" w:h="16838" w:orient="portrait"/>
          <w:cols w:equalWidth="0" w:num="1">
            <w:col w:w="10239"/>
          </w:cols>
          <w:pgMar w:left="220" w:top="468" w:right="1440" w:bottom="1440" w:gutter="0" w:footer="0" w:header="0"/>
        </w:sectPr>
      </w:pPr>
    </w:p>
    <w:bookmarkStart w:id="60" w:name="page61"/>
    <w:bookmarkEnd w:id="60"/>
    <w:p>
      <w:pPr>
        <w:jc w:val="right"/>
        <w:ind w:right="3439"/>
        <w:spacing w:after="0"/>
        <w:rPr>
          <w:sz w:val="20"/>
          <w:szCs w:val="20"/>
          <w:color w:val="auto"/>
        </w:rPr>
      </w:pPr>
      <w:r>
        <w:rPr>
          <w:rFonts w:ascii="Courier New" w:cs="Courier New" w:eastAsia="Courier New" w:hAnsi="Courier New"/>
          <w:sz w:val="14"/>
          <w:szCs w:val="14"/>
          <w:color w:val="auto"/>
        </w:rPr>
        <w:t>Exhibit 31.1</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CERTIFICATIONS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Roderick R. Baty, certify that:</w:t>
      </w:r>
    </w:p>
    <w:p>
      <w:pPr>
        <w:spacing w:after="0" w:line="5" w:lineRule="exact"/>
        <w:rPr>
          <w:sz w:val="20"/>
          <w:szCs w:val="20"/>
          <w:color w:val="auto"/>
        </w:rPr>
      </w:pPr>
    </w:p>
    <w:p>
      <w:pPr>
        <w:ind w:left="440" w:hanging="433"/>
        <w:spacing w:after="0"/>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NN, Inc.;</w:t>
      </w:r>
    </w:p>
    <w:p>
      <w:pPr>
        <w:spacing w:after="0" w:line="4" w:lineRule="exact"/>
        <w:rPr>
          <w:rFonts w:ascii="Courier New" w:cs="Courier New" w:eastAsia="Courier New" w:hAnsi="Courier New"/>
          <w:sz w:val="14"/>
          <w:szCs w:val="14"/>
          <w:color w:val="auto"/>
        </w:rPr>
      </w:pPr>
    </w:p>
    <w:p>
      <w:pPr>
        <w:ind w:left="440" w:right="3439" w:hanging="433"/>
        <w:spacing w:after="0" w:line="247" w:lineRule="auto"/>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40" w:right="3599" w:hanging="433"/>
        <w:spacing w:after="0" w:line="247" w:lineRule="auto"/>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40" w:right="3439" w:hanging="433"/>
        <w:spacing w:after="0" w:line="247" w:lineRule="auto"/>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ind w:left="860" w:right="3519" w:hanging="428"/>
        <w:spacing w:after="0" w:line="247" w:lineRule="auto"/>
        <w:tabs>
          <w:tab w:leader="none" w:pos="86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60" w:right="3519" w:hanging="428"/>
        <w:spacing w:after="0" w:line="247" w:lineRule="auto"/>
        <w:tabs>
          <w:tab w:leader="none" w:pos="86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ind w:left="860" w:right="3439" w:hanging="428"/>
        <w:spacing w:after="0" w:line="247" w:lineRule="auto"/>
        <w:tabs>
          <w:tab w:leader="none" w:pos="86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affect, the registrant's internal control over financial reporting; and</w:t>
      </w:r>
    </w:p>
    <w:p>
      <w:pPr>
        <w:ind w:left="440" w:right="3439" w:hanging="433"/>
        <w:spacing w:after="0" w:line="247" w:lineRule="auto"/>
        <w:tabs>
          <w:tab w:leader="none" w:pos="4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60" w:right="3519" w:hanging="428"/>
        <w:spacing w:after="0" w:line="247" w:lineRule="auto"/>
        <w:tabs>
          <w:tab w:leader="none" w:pos="86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60" w:right="3519" w:hanging="428"/>
        <w:spacing w:after="0" w:line="248" w:lineRule="auto"/>
        <w:tabs>
          <w:tab w:leader="none" w:pos="86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468" w:right="1440" w:bottom="1440" w:gutter="0" w:footer="0" w:header="0"/>
        </w:sect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March 15,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/s/ Roderick R. Baty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Roderick R. Baty</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Chairman, President and Chief</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Executive Officer</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(principal executive officer)</w:t>
      </w:r>
    </w:p>
    <w:p>
      <w:pPr>
        <w:sectPr>
          <w:pgSz w:w="11900" w:h="16838" w:orient="portrait"/>
          <w:cols w:equalWidth="0" w:num="4">
            <w:col w:w="440" w:space="0"/>
            <w:col w:w="2160" w:space="720"/>
            <w:col w:w="260" w:space="0"/>
            <w:col w:w="6659"/>
          </w:cols>
          <w:pgMar w:left="220" w:top="468" w:right="1440" w:bottom="1440" w:gutter="0" w:footer="0" w:header="0"/>
          <w:type w:val="continuous"/>
        </w:sectPr>
      </w:pPr>
    </w:p>
    <w:bookmarkStart w:id="61" w:name="page62"/>
    <w:bookmarkEnd w:id="61"/>
    <w:p>
      <w:pPr>
        <w:jc w:val="right"/>
        <w:ind w:right="3439"/>
        <w:spacing w:after="0"/>
        <w:rPr>
          <w:sz w:val="20"/>
          <w:szCs w:val="20"/>
          <w:color w:val="auto"/>
        </w:rPr>
      </w:pPr>
      <w:r>
        <w:rPr>
          <w:rFonts w:ascii="Courier New" w:cs="Courier New" w:eastAsia="Courier New" w:hAnsi="Courier New"/>
          <w:sz w:val="14"/>
          <w:szCs w:val="14"/>
          <w:color w:val="auto"/>
        </w:rPr>
        <w:t>Exhibit 31.2</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David L. Dyckman, certify that:</w:t>
      </w:r>
    </w:p>
    <w:p>
      <w:pPr>
        <w:spacing w:after="0" w:line="5" w:lineRule="exact"/>
        <w:rPr>
          <w:sz w:val="20"/>
          <w:szCs w:val="20"/>
          <w:color w:val="auto"/>
        </w:rPr>
      </w:pPr>
    </w:p>
    <w:p>
      <w:pPr>
        <w:ind w:left="440" w:hanging="433"/>
        <w:spacing w:after="0"/>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NN, Inc.;</w:t>
      </w:r>
    </w:p>
    <w:p>
      <w:pPr>
        <w:spacing w:after="0" w:line="4" w:lineRule="exact"/>
        <w:rPr>
          <w:rFonts w:ascii="Courier New" w:cs="Courier New" w:eastAsia="Courier New" w:hAnsi="Courier New"/>
          <w:sz w:val="14"/>
          <w:szCs w:val="14"/>
          <w:color w:val="auto"/>
        </w:rPr>
      </w:pPr>
    </w:p>
    <w:p>
      <w:pPr>
        <w:ind w:left="440" w:right="3439" w:hanging="433"/>
        <w:spacing w:after="0" w:line="247" w:lineRule="auto"/>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40" w:right="3599" w:hanging="433"/>
        <w:spacing w:after="0" w:line="247" w:lineRule="auto"/>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440" w:right="3439" w:hanging="433"/>
        <w:spacing w:after="0" w:line="247" w:lineRule="auto"/>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ind w:left="860" w:right="3519" w:hanging="428"/>
        <w:spacing w:after="0" w:line="247" w:lineRule="auto"/>
        <w:tabs>
          <w:tab w:leader="none" w:pos="86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60" w:right="3519" w:hanging="428"/>
        <w:spacing w:after="0" w:line="247" w:lineRule="auto"/>
        <w:tabs>
          <w:tab w:leader="none" w:pos="86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ind w:left="860" w:right="3439" w:hanging="428"/>
        <w:spacing w:after="0" w:line="247" w:lineRule="auto"/>
        <w:tabs>
          <w:tab w:leader="none" w:pos="86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affect, the registrant's internal control over financial reporting; and</w:t>
      </w:r>
    </w:p>
    <w:p>
      <w:pPr>
        <w:ind w:left="440" w:right="3439" w:hanging="433"/>
        <w:spacing w:after="0" w:line="247" w:lineRule="auto"/>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60" w:right="3519" w:hanging="428"/>
        <w:spacing w:after="0" w:line="247" w:lineRule="auto"/>
        <w:tabs>
          <w:tab w:leader="none" w:pos="86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60" w:right="3519" w:hanging="428"/>
        <w:spacing w:after="0" w:line="248" w:lineRule="auto"/>
        <w:tabs>
          <w:tab w:leader="none" w:pos="86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468" w:right="1440" w:bottom="1440" w:gutter="0" w:footer="0" w:header="0"/>
        </w:sectPr>
      </w:pP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March 15,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/s/ 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David L. Dyckman</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Chief Financial Officer</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(principal financial officer)</w:t>
      </w:r>
    </w:p>
    <w:p>
      <w:pPr>
        <w:sectPr>
          <w:pgSz w:w="11900" w:h="16838" w:orient="portrait"/>
          <w:cols w:equalWidth="0" w:num="4">
            <w:col w:w="440" w:space="0"/>
            <w:col w:w="2160" w:space="720"/>
            <w:col w:w="260" w:space="0"/>
            <w:col w:w="6659"/>
          </w:cols>
          <w:pgMar w:left="220" w:top="468" w:right="1440" w:bottom="1440" w:gutter="0" w:footer="0" w:header="0"/>
          <w:type w:val="continuous"/>
        </w:sectPr>
      </w:pPr>
    </w:p>
    <w:bookmarkStart w:id="62" w:name="page63"/>
    <w:bookmarkEnd w:id="62"/>
    <w:p>
      <w:pPr>
        <w:jc w:val="right"/>
        <w:ind w:right="3439"/>
        <w:spacing w:after="0"/>
        <w:rPr>
          <w:sz w:val="20"/>
          <w:szCs w:val="20"/>
          <w:color w:val="auto"/>
        </w:rPr>
      </w:pPr>
      <w:r>
        <w:rPr>
          <w:rFonts w:ascii="Courier New" w:cs="Courier New" w:eastAsia="Courier New" w:hAnsi="Courier New"/>
          <w:sz w:val="14"/>
          <w:szCs w:val="14"/>
          <w:color w:val="auto"/>
        </w:rPr>
        <w:t>Exhibit 32.1</w:t>
      </w:r>
    </w:p>
    <w:p>
      <w:pPr>
        <w:spacing w:after="0" w:line="331"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CERTIFICATION OF CHIEF EXECUTIVE OFFICER PURSUANT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TO SECTION 906 OF THE SARBANES-OXLEY ACT OF 2002</w:t>
      </w:r>
    </w:p>
    <w:p>
      <w:pPr>
        <w:spacing w:after="0" w:line="168" w:lineRule="exact"/>
        <w:rPr>
          <w:sz w:val="20"/>
          <w:szCs w:val="20"/>
          <w:color w:val="auto"/>
        </w:rPr>
      </w:pPr>
    </w:p>
    <w:p>
      <w:pPr>
        <w:jc w:val="both"/>
        <w:ind w:right="3439" w:firstLine="425"/>
        <w:spacing w:after="0" w:line="247" w:lineRule="auto"/>
        <w:rPr>
          <w:sz w:val="20"/>
          <w:szCs w:val="20"/>
          <w:color w:val="auto"/>
        </w:rPr>
      </w:pPr>
      <w:r>
        <w:rPr>
          <w:rFonts w:ascii="Courier New" w:cs="Courier New" w:eastAsia="Courier New" w:hAnsi="Courier New"/>
          <w:sz w:val="14"/>
          <w:szCs w:val="14"/>
          <w:color w:val="auto"/>
        </w:rPr>
        <w:t>In connection with the Annual Report of NN, Inc. (the "Company") on Form 10-K for the annual period ended December 31,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468" w:right="1440" w:bottom="1440" w:gutter="0" w:footer="0" w:header="0"/>
        </w:sect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March 15,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Roderick R. Baty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Roderick R. Baty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w:t>
      </w:r>
    </w:p>
    <w:p>
      <w:pPr>
        <w:spacing w:after="0" w:line="200" w:lineRule="exact"/>
        <w:rPr>
          <w:sz w:val="20"/>
          <w:szCs w:val="20"/>
          <w:color w:val="auto"/>
        </w:rPr>
      </w:pPr>
    </w:p>
    <w:p>
      <w:pPr>
        <w:sectPr>
          <w:pgSz w:w="11900" w:h="16838" w:orient="portrait"/>
          <w:cols w:equalWidth="0" w:num="3">
            <w:col w:w="440" w:space="0"/>
            <w:col w:w="2160" w:space="720"/>
            <w:col w:w="6919"/>
          </w:cols>
          <w:pgMar w:left="220" w:top="468" w:right="1440" w:bottom="1440" w:gutter="0" w:footer="0" w:header="0"/>
          <w:type w:val="continuous"/>
        </w:sectPr>
      </w:pPr>
    </w:p>
    <w:p>
      <w:pPr>
        <w:spacing w:after="0" w:line="131" w:lineRule="exact"/>
        <w:rPr>
          <w:sz w:val="20"/>
          <w:szCs w:val="20"/>
          <w:color w:val="auto"/>
        </w:rPr>
      </w:pPr>
    </w:p>
    <w:p>
      <w:pPr>
        <w:jc w:val="both"/>
        <w:ind w:right="3439"/>
        <w:spacing w:after="0" w:line="248"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0239"/>
          </w:cols>
          <w:pgMar w:left="220" w:top="468" w:right="1440" w:bottom="1440" w:gutter="0" w:footer="0" w:header="0"/>
          <w:type w:val="continuous"/>
        </w:sectPr>
      </w:pPr>
    </w:p>
    <w:bookmarkStart w:id="63" w:name="page64"/>
    <w:bookmarkEnd w:id="63"/>
    <w:p>
      <w:pPr>
        <w:jc w:val="right"/>
        <w:ind w:right="3439"/>
        <w:spacing w:after="0"/>
        <w:rPr>
          <w:sz w:val="20"/>
          <w:szCs w:val="20"/>
          <w:color w:val="auto"/>
        </w:rPr>
      </w:pPr>
      <w:r>
        <w:rPr>
          <w:rFonts w:ascii="Courier New" w:cs="Courier New" w:eastAsia="Courier New" w:hAnsi="Courier New"/>
          <w:sz w:val="14"/>
          <w:szCs w:val="14"/>
          <w:color w:val="auto"/>
        </w:rPr>
        <w:t>Exhibit 32.2</w:t>
      </w:r>
    </w:p>
    <w:p>
      <w:pPr>
        <w:spacing w:after="0" w:line="168"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CERTIFICATION OF CHIEF FINANCIAL OFFICER PURSUANT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TO SECTION 906 OF THE SARBANES-OXLEY ACT OF 2002</w:t>
      </w:r>
    </w:p>
    <w:p>
      <w:pPr>
        <w:spacing w:after="0" w:line="168" w:lineRule="exact"/>
        <w:rPr>
          <w:sz w:val="20"/>
          <w:szCs w:val="20"/>
          <w:color w:val="auto"/>
        </w:rPr>
      </w:pPr>
    </w:p>
    <w:p>
      <w:pPr>
        <w:jc w:val="both"/>
        <w:ind w:right="3439" w:firstLine="425"/>
        <w:spacing w:after="0" w:line="247" w:lineRule="auto"/>
        <w:rPr>
          <w:sz w:val="20"/>
          <w:szCs w:val="20"/>
          <w:color w:val="auto"/>
        </w:rPr>
      </w:pPr>
      <w:r>
        <w:rPr>
          <w:rFonts w:ascii="Courier New" w:cs="Courier New" w:eastAsia="Courier New" w:hAnsi="Courier New"/>
          <w:sz w:val="14"/>
          <w:szCs w:val="14"/>
          <w:color w:val="auto"/>
        </w:rPr>
        <w:t>In connection with the Annual Report of NN, Inc. (the "Company") on Form 10-K for the annual period ended December 31, 2003, as filed with the Securities and Exchange Commission on the date hereof (the "Report"), the undersigned, in the capacity and date indicated below, hereby certifies pursuant to 18 U.S.C. ss.1350, as adopted pursuant to ss.906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ectPr>
          <w:pgSz w:w="11900" w:h="16838" w:orient="portrait"/>
          <w:cols w:equalWidth="0" w:num="1">
            <w:col w:w="10239"/>
          </w:cols>
          <w:pgMar w:left="220" w:top="468" w:right="1440" w:bottom="1440" w:gutter="0" w:footer="0" w:header="0"/>
        </w:sect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March 15, 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L. Dyckman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68" w:lineRule="exact"/>
        <w:rPr>
          <w:sz w:val="20"/>
          <w:szCs w:val="20"/>
          <w:color w:val="auto"/>
        </w:rPr>
      </w:pPr>
    </w:p>
    <w:p>
      <w:pPr>
        <w:sectPr>
          <w:pgSz w:w="11900" w:h="16838" w:orient="portrait"/>
          <w:cols w:equalWidth="0" w:num="3">
            <w:col w:w="440" w:space="0"/>
            <w:col w:w="2160" w:space="720"/>
            <w:col w:w="6919"/>
          </w:cols>
          <w:pgMar w:left="220" w:top="468" w:right="1440" w:bottom="1440" w:gutter="0" w:footer="0" w:header="0"/>
          <w:type w:val="continuous"/>
        </w:sectPr>
      </w:pPr>
    </w:p>
    <w:p>
      <w:pPr>
        <w:jc w:val="both"/>
        <w:ind w:right="3439"/>
        <w:spacing w:after="0" w:line="248"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0239"/>
      </w:cols>
      <w:pgMar w:left="220" w:top="46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upperLetter"/>
      <w:start w:val="40"/>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upperLetter"/>
      <w:start w:val="40"/>
    </w:lvl>
  </w:abstractNum>
  <w:abstractNum w:abstractNumId="8">
    <w:nsid w:val="2D517796"/>
    <w:multiLevelType w:val="hybridMultilevel"/>
    <w:lvl w:ilvl="0">
      <w:lvlJc w:val="left"/>
      <w:lvlText w:val="%1"/>
      <w:numFmt w:val="upperLetter"/>
      <w:start w:val="40"/>
    </w:lvl>
  </w:abstractNum>
  <w:abstractNum w:abstractNumId="9">
    <w:nsid w:val="580BD78F"/>
    <w:multiLevelType w:val="hybridMultilevel"/>
    <w:lvl w:ilvl="0">
      <w:lvlJc w:val="left"/>
      <w:lvlText w:val="%1)"/>
      <w:numFmt w:val="decimal"/>
      <w:start w:val="1"/>
    </w:lvl>
    <w:lvl w:ilvl="1">
      <w:lvlJc w:val="left"/>
      <w:lvlText w:val="(%2)"/>
      <w:numFmt w:val="lowerLetter"/>
      <w:start w:val="1"/>
    </w:lvl>
  </w:abstractNum>
  <w:abstractNum w:abstractNumId="10">
    <w:nsid w:val="153EA438"/>
    <w:multiLevelType w:val="hybridMultilevel"/>
    <w:lvl w:ilvl="0">
      <w:lvlJc w:val="left"/>
      <w:lvlText w:val="(%1)"/>
      <w:numFmt w:val="lowerLetter"/>
      <w:start w:val="3"/>
    </w:lvl>
  </w:abstractNum>
  <w:abstractNum w:abstractNumId="11">
    <w:nsid w:val="3855585C"/>
    <w:multiLevelType w:val="hybridMultilevel"/>
    <w:lvl w:ilvl="0">
      <w:lvlJc w:val="left"/>
      <w:lvlText w:val="(%1)"/>
      <w:numFmt w:val="lowerLetter"/>
      <w:start w:val="6"/>
    </w:lvl>
  </w:abstractNum>
  <w:abstractNum w:abstractNumId="12">
    <w:nsid w:val="70A64E2A"/>
    <w:multiLevelType w:val="hybridMultilevel"/>
    <w:lvl w:ilvl="0">
      <w:lvlJc w:val="left"/>
      <w:lvlText w:val="(%1)"/>
      <w:numFmt w:val="lowerRoman"/>
      <w:start w:val="1"/>
    </w:lvl>
  </w:abstractNum>
  <w:abstractNum w:abstractNumId="13">
    <w:nsid w:val="6A2342EC"/>
    <w:multiLevelType w:val="hybridMultilevel"/>
    <w:lvl w:ilvl="0">
      <w:lvlJc w:val="left"/>
      <w:lvlText w:val="(%1)"/>
      <w:numFmt w:val="lowerLetter"/>
      <w:start w:val="10"/>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lowerLetter"/>
      <w:start w:val="12"/>
    </w:lvl>
  </w:abstractNum>
  <w:abstractNum w:abstractNumId="16">
    <w:nsid w:val="725A06FB"/>
    <w:multiLevelType w:val="hybridMultilevel"/>
    <w:lvl w:ilvl="0">
      <w:lvlJc w:val="left"/>
      <w:lvlText w:val="(%1)"/>
      <w:numFmt w:val="lowerLetter"/>
      <w:start w:val="13"/>
    </w:lvl>
  </w:abstractNum>
  <w:abstractNum w:abstractNumId="17">
    <w:nsid w:val="2CD89A32"/>
    <w:multiLevelType w:val="hybridMultilevel"/>
    <w:lvl w:ilvl="0">
      <w:lvlJc w:val="left"/>
      <w:lvlText w:val="(%1)"/>
      <w:numFmt w:val="lowerLetter"/>
      <w:start w:val="16"/>
    </w:lvl>
  </w:abstractNum>
  <w:abstractNum w:abstractNumId="18">
    <w:nsid w:val="57E4CCAF"/>
    <w:multiLevelType w:val="hybridMultilevel"/>
    <w:lvl w:ilvl="0">
      <w:lvlJc w:val="left"/>
      <w:lvlText w:val="%1)"/>
      <w:numFmt w:val="decimal"/>
      <w:start w:val="2"/>
    </w:lvl>
  </w:abstractNum>
  <w:abstractNum w:abstractNumId="19">
    <w:nsid w:val="7A6D8D3C"/>
    <w:multiLevelType w:val="hybridMultilevel"/>
    <w:lvl w:ilvl="0">
      <w:lvlJc w:val="left"/>
      <w:lvlText w:val="%1"/>
      <w:numFmt w:val="upperLetter"/>
      <w:start w:val="40"/>
    </w:lvl>
  </w:abstractNum>
  <w:abstractNum w:abstractNumId="20">
    <w:nsid w:val="4B588F54"/>
    <w:multiLevelType w:val="hybridMultilevel"/>
    <w:lvl w:ilvl="0">
      <w:lvlJc w:val="left"/>
      <w:lvlText w:val="%1)"/>
      <w:numFmt w:val="decimal"/>
      <w:start w:val="3"/>
    </w:lvl>
  </w:abstractNum>
  <w:abstractNum w:abstractNumId="21">
    <w:nsid w:val="542289EC"/>
    <w:multiLevelType w:val="hybridMultilevel"/>
    <w:lvl w:ilvl="0">
      <w:lvlJc w:val="left"/>
      <w:lvlText w:val="%1)"/>
      <w:numFmt w:val="decimal"/>
      <w:start w:val="4"/>
    </w:lvl>
  </w:abstractNum>
  <w:abstractNum w:abstractNumId="22">
    <w:nsid w:val="6DE91B18"/>
    <w:multiLevelType w:val="hybridMultilevel"/>
    <w:lvl w:ilvl="0">
      <w:lvlJc w:val="left"/>
      <w:lvlText w:val="%1)"/>
      <w:numFmt w:val="decimal"/>
      <w:start w:val="6"/>
    </w:lvl>
  </w:abstractNum>
  <w:abstractNum w:abstractNumId="23">
    <w:nsid w:val="38437FDB"/>
    <w:multiLevelType w:val="hybridMultilevel"/>
    <w:lvl w:ilvl="0">
      <w:lvlJc w:val="left"/>
      <w:lvlText w:val="%1)"/>
      <w:numFmt w:val="decimal"/>
      <w:start w:val="8"/>
    </w:lvl>
    <w:lvl w:ilvl="1">
      <w:lvlJc w:val="left"/>
      <w:lvlText w:val="%2)"/>
      <w:numFmt w:val="lowerLetter"/>
      <w:start w:val="1"/>
    </w:lvl>
  </w:abstractNum>
  <w:abstractNum w:abstractNumId="24">
    <w:nsid w:val="7644A45C"/>
    <w:multiLevelType w:val="hybridMultilevel"/>
    <w:lvl w:ilvl="0">
      <w:lvlJc w:val="left"/>
      <w:lvlText w:val="%1)"/>
      <w:numFmt w:val="lowerLetter"/>
      <w:start w:val="2"/>
    </w:lvl>
  </w:abstractNum>
  <w:abstractNum w:abstractNumId="25">
    <w:nsid w:val="32FFF902"/>
    <w:multiLevelType w:val="hybridMultilevel"/>
    <w:lvl w:ilvl="0">
      <w:lvlJc w:val="left"/>
      <w:lvlText w:val="%1)"/>
      <w:numFmt w:val="decimal"/>
      <w:start w:val="9"/>
    </w:lvl>
  </w:abstractNum>
  <w:abstractNum w:abstractNumId="26">
    <w:nsid w:val="684A481A"/>
    <w:multiLevelType w:val="hybridMultilevel"/>
    <w:lvl w:ilvl="0">
      <w:lvlJc w:val="left"/>
      <w:lvlText w:val="%1)"/>
      <w:numFmt w:val="decimal"/>
      <w:start w:val="10"/>
    </w:lvl>
  </w:abstractNum>
  <w:abstractNum w:abstractNumId="27">
    <w:nsid w:val="579478FE"/>
    <w:multiLevelType w:val="hybridMultilevel"/>
    <w:lvl w:ilvl="0">
      <w:lvlJc w:val="left"/>
      <w:lvlText w:val="%1)"/>
      <w:numFmt w:val="decimal"/>
      <w:start w:val="11"/>
    </w:lvl>
  </w:abstractNum>
  <w:abstractNum w:abstractNumId="28">
    <w:nsid w:val="749ABB43"/>
    <w:multiLevelType w:val="hybridMultilevel"/>
    <w:lvl w:ilvl="0">
      <w:lvlJc w:val="left"/>
      <w:lvlText w:val="%1)"/>
      <w:numFmt w:val="decimal"/>
      <w:start w:val="12"/>
    </w:lvl>
  </w:abstractNum>
  <w:abstractNum w:abstractNumId="29">
    <w:nsid w:val="3DC240FB"/>
    <w:multiLevelType w:val="hybridMultilevel"/>
    <w:lvl w:ilvl="0">
      <w:lvlJc w:val="left"/>
      <w:lvlText w:val="%1)"/>
      <w:numFmt w:val="decimal"/>
      <w:start w:val="14"/>
    </w:lvl>
  </w:abstractNum>
  <w:abstractNum w:abstractNumId="30">
    <w:nsid w:val="1BA026FA"/>
    <w:multiLevelType w:val="hybridMultilevel"/>
    <w:lvl w:ilvl="0">
      <w:lvlJc w:val="left"/>
      <w:lvlText w:val="%1)"/>
      <w:numFmt w:val="decimal"/>
      <w:start w:val="15"/>
    </w:lvl>
  </w:abstractNum>
  <w:abstractNum w:abstractNumId="31">
    <w:nsid w:val="79A1DEAA"/>
    <w:multiLevelType w:val="hybridMultilevel"/>
    <w:lvl w:ilvl="0">
      <w:lvlJc w:val="left"/>
      <w:lvlText w:val="%1)"/>
      <w:numFmt w:val="decimal"/>
      <w:start w:val="16"/>
    </w:lvl>
  </w:abstractNum>
  <w:abstractNum w:abstractNumId="32">
    <w:nsid w:val="75C6C33A"/>
    <w:multiLevelType w:val="hybridMultilevel"/>
    <w:lvl w:ilvl="0">
      <w:lvlJc w:val="left"/>
      <w:lvlText w:val="%1)"/>
      <w:numFmt w:val="decimal"/>
      <w:start w:val="18"/>
    </w:lvl>
  </w:abstractNum>
  <w:abstractNum w:abstractNumId="33">
    <w:nsid w:val="12E685FB"/>
    <w:multiLevelType w:val="hybridMultilevel"/>
    <w:lvl w:ilvl="0">
      <w:lvlJc w:val="left"/>
      <w:lvlText w:val="%1)"/>
      <w:numFmt w:val="lowerLetter"/>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lowerLetter"/>
      <w:start w:val="1"/>
    </w:lvl>
  </w:abstractNum>
  <w:abstractNum w:abstractNumId="37">
    <w:nsid w:val="4F4EF005"/>
    <w:multiLevelType w:val="hybridMultilevel"/>
    <w:lvl w:ilvl="0">
      <w:lvlJc w:val="left"/>
      <w:lvlText w:val="%1"/>
      <w:numFmt w:val="lowerLetter"/>
      <w:start w:val="1"/>
    </w:lvl>
    <w:lvl w:ilvl="1">
      <w:lvlJc w:val="left"/>
      <w:lvlText w:val="%2."/>
      <w:numFmt w:val="decimal"/>
      <w:start w:val="2"/>
    </w:lvl>
  </w:abstractNum>
  <w:abstractNum w:abstractNumId="38">
    <w:nsid w:val="23F9C13C"/>
    <w:multiLevelType w:val="hybridMultilevel"/>
    <w:lvl w:ilvl="0">
      <w:lvlJc w:val="left"/>
      <w:lvlText w:val="(%1)"/>
      <w:numFmt w:val="lowerLetter"/>
      <w:start w:val="2"/>
    </w:lvl>
    <w:lvl w:ilvl="1">
      <w:lvlJc w:val="left"/>
      <w:lvlText w:val="%2"/>
      <w:numFmt w:val="decimal"/>
      <w:start w:val="1"/>
    </w:lvl>
  </w:abstractNum>
  <w:abstractNum w:abstractNumId="39">
    <w:nsid w:val="649BB77C"/>
    <w:multiLevelType w:val="hybridMultilevel"/>
    <w:lvl w:ilvl="0">
      <w:lvlJc w:val="left"/>
      <w:lvlText w:val="(%1)"/>
      <w:numFmt w:val="lowerLetter"/>
      <w:start w:val="3"/>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6"/>
    </w:lvl>
    <w:lvl w:ilvl="1">
      <w:lvlJc w:val="left"/>
      <w:lvlText w:val="(%2)"/>
      <w:numFmt w:val="lowerLetter"/>
      <w:start w:val="1"/>
    </w:lvl>
  </w:abstractNum>
  <w:abstractNum w:abstractNumId="49">
    <w:nsid w:val="D34B6A8"/>
    <w:multiLevelType w:val="hybridMultilevel"/>
    <w:lvl w:ilvl="0">
      <w:lvlJc w:val="left"/>
      <w:lvlText w:val="%1."/>
      <w:numFmt w:val="decimal"/>
      <w:start w:val="7"/>
    </w:lvl>
    <w:lvl w:ilvl="1">
      <w:lvlJc w:val="left"/>
      <w:lvlText w:val="(%2)"/>
      <w:numFmt w:val="lowerLetter"/>
      <w:start w:val="1"/>
    </w:lvl>
  </w:abstractNum>
  <w:abstractNum w:abstractNumId="50">
    <w:nsid w:val="10233C99"/>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51">
    <w:nsid w:val="3F6AB60F"/>
    <w:multiLevelType w:val="hybridMultilevel"/>
    <w:lvl w:ilvl="0">
      <w:lvlJc w:val="left"/>
      <w:lvlText w:val="%1."/>
      <w:numFmt w:val="decimal"/>
      <w:start w:val="8"/>
    </w:lvl>
    <w:lvl w:ilvl="1">
      <w:lvlJc w:val="left"/>
      <w:lvlText w:val="(%2)"/>
      <w:numFmt w:val="lowerLetter"/>
      <w:start w:val="1"/>
    </w:lvl>
    <w:lvl w:ilvl="2">
      <w:lvlJc w:val="left"/>
      <w:lvlText w:val="%3."/>
      <w:numFmt w:val="upperLetter"/>
      <w:start w:val="1"/>
    </w:lvl>
  </w:abstractNum>
  <w:abstractNum w:abstractNumId="52">
    <w:nsid w:val="61574095"/>
    <w:multiLevelType w:val="hybridMultilevel"/>
    <w:lvl w:ilvl="0">
      <w:lvlJc w:val="left"/>
      <w:lvlText w:val="%1"/>
      <w:numFmt w:val="decimal"/>
      <w:start w:val="1"/>
    </w:lvl>
    <w:lvl w:ilvl="1">
      <w:lvlJc w:val="left"/>
      <w:lvlText w:val="(%2)"/>
      <w:numFmt w:val="lowerLetter"/>
      <w:start w:val="4"/>
    </w:lvl>
  </w:abstractNum>
  <w:abstractNum w:abstractNumId="53">
    <w:nsid w:val="7E0C57B1"/>
    <w:multiLevelType w:val="hybridMultilevel"/>
    <w:lvl w:ilvl="0">
      <w:lvlJc w:val="left"/>
      <w:lvlText w:val="%1."/>
      <w:numFmt w:val="decimal"/>
      <w:start w:val="9"/>
    </w:lvl>
    <w:lvl w:ilvl="1">
      <w:lvlJc w:val="left"/>
      <w:lvlText w:val="%2"/>
      <w:numFmt w:val="lowerLetter"/>
      <w:start w:val="1"/>
    </w:lvl>
  </w:abstractNum>
  <w:abstractNum w:abstractNumId="54">
    <w:nsid w:val="77AE35E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5">
    <w:nsid w:val="579BE4F1"/>
    <w:multiLevelType w:val="hybridMultilevel"/>
    <w:lvl w:ilvl="0">
      <w:lvlJc w:val="left"/>
      <w:lvlText w:val="%1"/>
      <w:numFmt w:val="upperLetter"/>
      <w:start w:val="1"/>
    </w:lvl>
    <w:lvl w:ilvl="1">
      <w:lvlJc w:val="left"/>
      <w:lvlText w:val="%2."/>
      <w:numFmt w:val="decimal"/>
      <w:start w:val="10"/>
    </w:lvl>
    <w:lvl w:ilvl="2">
      <w:lvlJc w:val="left"/>
      <w:lvlText w:val="(%3)"/>
      <w:numFmt w:val="lowerLetter"/>
      <w:start w:val="1"/>
    </w:lvl>
  </w:abstractNum>
  <w:abstractNum w:abstractNumId="56">
    <w:nsid w:val="310C50B3"/>
    <w:multiLevelType w:val="hybridMultilevel"/>
    <w:lvl w:ilvl="0">
      <w:lvlJc w:val="left"/>
      <w:lvlText w:val="%1."/>
      <w:numFmt w:val="decimal"/>
      <w:start w:val="11"/>
    </w:lvl>
    <w:lvl w:ilvl="1">
      <w:lvlJc w:val="left"/>
      <w:lvlText w:val="(%2)"/>
      <w:numFmt w:val="lowerLetter"/>
      <w:start w:val="1"/>
    </w:lvl>
    <w:lvl w:ilvl="2">
      <w:lvlJc w:val="left"/>
      <w:lvlText w:val="%3."/>
      <w:numFmt w:val="upperLetter"/>
      <w:start w:val="1"/>
    </w:lvl>
  </w:abstractNum>
  <w:abstractNum w:abstractNumId="57">
    <w:nsid w:val="5FF87E05"/>
    <w:multiLevelType w:val="hybridMultilevel"/>
    <w:lvl w:ilvl="0">
      <w:lvlJc w:val="left"/>
      <w:lvlText w:val="(%1)"/>
      <w:numFmt w:val="lowerLetter"/>
      <w:start w:val="4"/>
    </w:lvl>
  </w:abstractNum>
  <w:abstractNum w:abstractNumId="58">
    <w:nsid w:val="2F305DEF"/>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59">
    <w:nsid w:val="25A70BF7"/>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lvl w:ilvl="3">
      <w:lvlJc w:val="left"/>
      <w:lvlText w:val="%4"/>
      <w:numFmt w:val="lowerRoman"/>
      <w:start w:val="1"/>
    </w:lvl>
  </w:abstractNum>
  <w:abstractNum w:abstractNumId="60">
    <w:nsid w:val="1DBABF00"/>
    <w:multiLevelType w:val="hybridMultilevel"/>
    <w:lvl w:ilvl="0">
      <w:lvlJc w:val="left"/>
      <w:lvlText w:val="%1."/>
      <w:numFmt w:val="decimal"/>
      <w:start w:val="13"/>
    </w:lvl>
    <w:lvl w:ilvl="1">
      <w:lvlJc w:val="left"/>
      <w:lvlText w:val="(%2)"/>
      <w:numFmt w:val="lowerLetter"/>
      <w:start w:val="1"/>
    </w:lvl>
    <w:lvl w:ilvl="2">
      <w:lvlJc w:val="left"/>
      <w:lvlText w:val="%3"/>
      <w:numFmt w:val="upperLetter"/>
      <w:start w:val="1"/>
    </w:lvl>
    <w:lvl w:ilvl="3">
      <w:lvlJc w:val="left"/>
      <w:lvlText w:val="(%4)"/>
      <w:numFmt w:val="lowerRoman"/>
      <w:start w:val="1"/>
    </w:lvl>
  </w:abstractNum>
  <w:abstractNum w:abstractNumId="61">
    <w:nsid w:val="4AD084E9"/>
    <w:multiLevelType w:val="hybridMultilevel"/>
    <w:lvl w:ilvl="0">
      <w:lvlJc w:val="left"/>
      <w:lvlText w:val="(%1)"/>
      <w:numFmt w:val="lowerLetter"/>
      <w:start w:val="2"/>
    </w:lvl>
  </w:abstractNum>
  <w:abstractNum w:abstractNumId="62">
    <w:nsid w:val="1F48EAA1"/>
    <w:multiLevelType w:val="hybridMultilevel"/>
    <w:lvl w:ilvl="0">
      <w:lvlJc w:val="left"/>
      <w:lvlText w:val="(%1)"/>
      <w:numFmt w:val="lowerRoman"/>
      <w:start w:val="1"/>
    </w:lvl>
  </w:abstractNum>
  <w:abstractNum w:abstractNumId="63">
    <w:nsid w:val="1381823A"/>
    <w:multiLevelType w:val="hybridMultilevel"/>
    <w:lvl w:ilvl="0">
      <w:lvlJc w:val="left"/>
      <w:lvlText w:val="(%1)"/>
      <w:numFmt w:val="lowerRoman"/>
      <w:start w:val="4"/>
    </w:lvl>
  </w:abstractNum>
  <w:abstractNum w:abstractNumId="64">
    <w:nsid w:val="5DB70AE5"/>
    <w:multiLevelType w:val="hybridMultilevel"/>
    <w:lvl w:ilvl="0">
      <w:lvlJc w:val="left"/>
      <w:lvlText w:val="%1"/>
      <w:numFmt w:val="decimal"/>
      <w:start w:val="1"/>
    </w:lvl>
    <w:lvl w:ilvl="1">
      <w:lvlJc w:val="left"/>
      <w:lvlText w:val="(%2)"/>
      <w:numFmt w:val="lowerLetter"/>
      <w:start w:val="3"/>
    </w:lvl>
  </w:abstractNum>
  <w:abstractNum w:abstractNumId="65">
    <w:nsid w:val="100F8FCA"/>
    <w:multiLevelType w:val="hybridMultilevel"/>
    <w:lvl w:ilvl="0">
      <w:lvlJc w:val="left"/>
      <w:lvlText w:val="%1."/>
      <w:numFmt w:val="decimal"/>
      <w:start w:val="14"/>
    </w:lvl>
    <w:lvl w:ilvl="1">
      <w:lvlJc w:val="left"/>
      <w:lvlText w:val="(%2)"/>
      <w:numFmt w:val="lowerLetter"/>
      <w:start w:val="1"/>
    </w:lvl>
  </w:abstractNum>
  <w:abstractNum w:abstractNumId="66">
    <w:nsid w:val="6590700B"/>
    <w:multiLevelType w:val="hybridMultilevel"/>
    <w:lvl w:ilvl="0">
      <w:lvlJc w:val="left"/>
      <w:lvlText w:val="%1"/>
      <w:numFmt w:val="decimal"/>
      <w:start w:val="1"/>
    </w:lvl>
    <w:lvl w:ilvl="1">
      <w:lvlJc w:val="left"/>
      <w:lvlText w:val="(%2)"/>
      <w:numFmt w:val="lowerLetter"/>
      <w:start w:val="2"/>
    </w:lvl>
  </w:abstractNum>
  <w:abstractNum w:abstractNumId="67">
    <w:nsid w:val="15014ACB"/>
    <w:multiLevelType w:val="hybridMultilevel"/>
    <w:lvl w:ilvl="0">
      <w:lvlJc w:val="left"/>
      <w:lvlText w:val="%1."/>
      <w:numFmt w:val="decimal"/>
      <w:start w:val="15"/>
    </w:lvl>
    <w:lvl w:ilvl="1">
      <w:lvlJc w:val="left"/>
      <w:lvlText w:val="%2"/>
      <w:numFmt w:val="lowerLetter"/>
      <w:start w:val="1"/>
    </w:lvl>
  </w:abstractNum>
  <w:abstractNum w:abstractNumId="68">
    <w:nsid w:val="5F5E7FD0"/>
    <w:multiLevelType w:val="hybridMultilevel"/>
    <w:lvl w:ilvl="0">
      <w:lvlJc w:val="left"/>
      <w:lvlText w:val="%1."/>
      <w:numFmt w:val="decimal"/>
      <w:start w:val="2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2019-12-14T02:43:53Z</dcterms:created>
  <dcterms:modified xsi:type="dcterms:W3CDTF">2019-12-14T02:43:53Z</dcterms:modified>
</cp:coreProperties>
</file>