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NN,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629337106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John C. Kennedy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4152 East Paris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Kentwood, Michigan 49512</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Copy to:</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Maxwell Barnes,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Miller Johnson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 Monroe Avenue, Suite 800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Grand Rapids, Michigan 49503</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29, 2014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120" w:firstLine="456"/>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4"/>
          <w:szCs w:val="24"/>
          <w:color w:val="auto"/>
        </w:rPr>
      </w:pPr>
    </w:p>
    <w:p>
      <w:pPr>
        <w:ind w:left="460" w:right="1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20" w:firstLine="456"/>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w:t>
      </w:r>
    </w:p>
    <w:p>
      <w:pPr>
        <w:spacing w:after="0" w:line="131" w:lineRule="exact"/>
        <w:rPr>
          <w:sz w:val="20"/>
          <w:szCs w:val="20"/>
          <w:color w:val="auto"/>
        </w:rPr>
      </w:pPr>
    </w:p>
    <w:p>
      <w:pPr>
        <w:spacing w:after="0"/>
        <w:tabs>
          <w:tab w:leader="none" w:pos="10120" w:val="left"/>
        </w:tabs>
        <w:rPr>
          <w:sz w:val="20"/>
          <w:szCs w:val="20"/>
          <w:color w:val="auto"/>
        </w:rPr>
      </w:pPr>
      <w:r>
        <w:rPr>
          <w:rFonts w:ascii="Arial" w:cs="Arial" w:eastAsia="Arial" w:hAnsi="Arial"/>
          <w:sz w:val="18"/>
          <w:szCs w:val="18"/>
          <w:color w:val="auto"/>
        </w:rPr>
        <w:t>CUSIP No. 629337106</w:t>
      </w:r>
      <w:r>
        <w:rPr>
          <w:sz w:val="20"/>
          <w:szCs w:val="20"/>
          <w:color w:val="auto"/>
        </w:rPr>
        <w:tab/>
      </w:r>
      <w:r>
        <w:rPr>
          <w:rFonts w:ascii="Arial" w:cs="Arial" w:eastAsia="Arial" w:hAnsi="Arial"/>
          <w:sz w:val="15"/>
          <w:szCs w:val="15"/>
          <w:color w:val="auto"/>
        </w:rPr>
        <w:t>Page 2 of 5 Pages</w:t>
      </w:r>
    </w:p>
    <w:p>
      <w:pPr>
        <w:spacing w:after="0" w:line="144" w:lineRule="exact"/>
        <w:rPr>
          <w:sz w:val="20"/>
          <w:szCs w:val="20"/>
          <w:color w:val="auto"/>
        </w:rPr>
      </w:pPr>
    </w:p>
    <w:p>
      <w:pPr>
        <w:ind w:left="620" w:right="4700" w:hanging="365"/>
        <w:spacing w:after="0" w:line="407"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 John Conway Kennedy</w:t>
      </w:r>
    </w:p>
    <w:p>
      <w:pPr>
        <w:ind w:left="620" w:hanging="365"/>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254875" cy="5840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840095"/>
                    </a:xfrm>
                    <a:prstGeom prst="rect">
                      <a:avLst/>
                    </a:prstGeom>
                    <a:noFill/>
                  </pic:spPr>
                </pic:pic>
              </a:graphicData>
            </a:graphic>
          </wp:anchor>
        </w:drawing>
      </w:r>
    </w:p>
    <w:p>
      <w:pPr>
        <w:ind w:left="620"/>
        <w:spacing w:after="0" w:line="205" w:lineRule="exact"/>
        <w:tabs>
          <w:tab w:leader="none" w:pos="14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6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20" w:hanging="36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3" w:lineRule="exact"/>
        <w:rPr>
          <w:rFonts w:ascii="Arial" w:cs="Arial" w:eastAsia="Arial" w:hAnsi="Arial"/>
          <w:sz w:val="18"/>
          <w:szCs w:val="18"/>
          <w:color w:val="auto"/>
        </w:rPr>
      </w:pPr>
    </w:p>
    <w:p>
      <w:pPr>
        <w:ind w:left="620" w:hanging="365"/>
        <w:spacing w:after="0" w:line="207" w:lineRule="exact"/>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p>
      <w:pPr>
        <w:spacing w:after="0" w:line="291" w:lineRule="exact"/>
        <w:rPr>
          <w:rFonts w:ascii="Arial" w:cs="Arial" w:eastAsia="Arial" w:hAnsi="Arial"/>
          <w:sz w:val="18"/>
          <w:szCs w:val="18"/>
          <w:color w:val="auto"/>
        </w:rPr>
      </w:pPr>
    </w:p>
    <w:p>
      <w:pPr>
        <w:ind w:left="620" w:hanging="36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1380"/>
        <w:spacing w:after="0"/>
        <w:tabs>
          <w:tab w:leader="none" w:pos="174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voting power</w:t>
      </w:r>
    </w:p>
    <w:p>
      <w:pPr>
        <w:spacing w:after="0" w:line="212" w:lineRule="exact"/>
        <w:rPr>
          <w:sz w:val="20"/>
          <w:szCs w:val="20"/>
          <w:color w:val="auto"/>
        </w:rPr>
      </w:pPr>
    </w:p>
    <w:tbl>
      <w:tblPr>
        <w:tblLayout w:type="fixed"/>
        <w:tblInd w:w="240" w:type="dxa"/>
        <w:tblCellMar>
          <w:top w:w="0" w:type="dxa"/>
          <w:left w:w="0" w:type="dxa"/>
          <w:bottom w:w="0" w:type="dxa"/>
          <w:right w:w="0" w:type="dxa"/>
        </w:tblCellMar>
      </w:tblPr>
      <w:tr>
        <w:trPr>
          <w:trHeight w:val="217"/>
        </w:trPr>
        <w:tc>
          <w:tcPr>
            <w:tcW w:w="9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500" w:type="dxa"/>
            <w:vAlign w:val="bottom"/>
          </w:tcPr>
          <w:p>
            <w:pPr>
              <w:spacing w:after="0"/>
              <w:rPr>
                <w:sz w:val="18"/>
                <w:szCs w:val="18"/>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auto"/>
              </w:rPr>
              <w:t>1,088,956</w:t>
            </w:r>
          </w:p>
        </w:tc>
        <w:tc>
          <w:tcPr>
            <w:tcW w:w="0" w:type="dxa"/>
            <w:vAlign w:val="bottom"/>
          </w:tcPr>
          <w:p>
            <w:pPr>
              <w:spacing w:after="0"/>
              <w:rPr>
                <w:sz w:val="1"/>
                <w:szCs w:val="1"/>
                <w:color w:val="auto"/>
              </w:rPr>
            </w:pPr>
          </w:p>
        </w:tc>
      </w:tr>
      <w:tr>
        <w:trPr>
          <w:trHeight w:val="68"/>
        </w:trPr>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85"/>
              </w:rPr>
              <w:t>shares</w:t>
            </w:r>
          </w:p>
        </w:tc>
        <w:tc>
          <w:tcPr>
            <w:tcW w:w="500" w:type="dxa"/>
            <w:vAlign w:val="bottom"/>
            <w:tcBorders>
              <w:bottom w:val="single" w:sz="8" w:color="auto"/>
            </w:tcBorders>
          </w:tcPr>
          <w:p>
            <w:pPr>
              <w:spacing w:after="0"/>
              <w:rPr>
                <w:sz w:val="5"/>
                <w:szCs w:val="5"/>
                <w:color w:val="auto"/>
              </w:rPr>
            </w:pPr>
          </w:p>
        </w:tc>
        <w:tc>
          <w:tcPr>
            <w:tcW w:w="9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40" w:type="dxa"/>
            <w:vAlign w:val="bottom"/>
            <w:vMerge w:val="continue"/>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500" w:type="dxa"/>
            <w:vAlign w:val="bottom"/>
            <w:vMerge w:val="continue"/>
          </w:tcPr>
          <w:p>
            <w:pPr>
              <w:spacing w:after="0"/>
              <w:rPr>
                <w:sz w:val="8"/>
                <w:szCs w:val="8"/>
                <w:color w:val="auto"/>
              </w:rPr>
            </w:pPr>
          </w:p>
        </w:tc>
        <w:tc>
          <w:tcPr>
            <w:tcW w:w="9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9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Arial" w:cs="Arial" w:eastAsia="Arial" w:hAnsi="Arial"/>
                <w:sz w:val="18"/>
                <w:szCs w:val="18"/>
                <w:color w:val="auto"/>
                <w:w w:val="90"/>
              </w:rPr>
              <w:t>owned by</w:t>
            </w:r>
          </w:p>
        </w:tc>
        <w:tc>
          <w:tcPr>
            <w:tcW w:w="500" w:type="dxa"/>
            <w:vAlign w:val="bottom"/>
          </w:tcPr>
          <w:p>
            <w:pPr>
              <w:spacing w:after="0"/>
              <w:rPr>
                <w:sz w:val="18"/>
                <w:szCs w:val="18"/>
                <w:color w:val="auto"/>
              </w:rPr>
            </w:pP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120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16"/>
        </w:trPr>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86"/>
              </w:rPr>
              <w:t>each</w:t>
            </w:r>
          </w:p>
        </w:tc>
        <w:tc>
          <w:tcPr>
            <w:tcW w:w="500" w:type="dxa"/>
            <w:vAlign w:val="bottom"/>
            <w:tcBorders>
              <w:bottom w:val="single" w:sz="8" w:color="auto"/>
            </w:tcBorders>
          </w:tcPr>
          <w:p>
            <w:pPr>
              <w:spacing w:after="0"/>
              <w:rPr>
                <w:sz w:val="10"/>
                <w:szCs w:val="10"/>
                <w:color w:val="auto"/>
              </w:rPr>
            </w:pPr>
          </w:p>
        </w:tc>
        <w:tc>
          <w:tcPr>
            <w:tcW w:w="97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40" w:type="dxa"/>
            <w:vAlign w:val="bottom"/>
            <w:vMerge w:val="continue"/>
          </w:tcPr>
          <w:p>
            <w:pPr>
              <w:spacing w:after="0"/>
              <w:rPr>
                <w:sz w:val="6"/>
                <w:szCs w:val="6"/>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500" w:type="dxa"/>
            <w:vAlign w:val="bottom"/>
            <w:vMerge w:val="continue"/>
          </w:tcPr>
          <w:p>
            <w:pPr>
              <w:spacing w:after="0"/>
              <w:rPr>
                <w:sz w:val="13"/>
                <w:szCs w:val="13"/>
                <w:color w:val="auto"/>
              </w:rPr>
            </w:pPr>
          </w:p>
        </w:tc>
        <w:tc>
          <w:tcPr>
            <w:tcW w:w="9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9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500" w:type="dxa"/>
            <w:vAlign w:val="bottom"/>
          </w:tcPr>
          <w:p>
            <w:pPr>
              <w:spacing w:after="0"/>
              <w:rPr>
                <w:sz w:val="18"/>
                <w:szCs w:val="18"/>
                <w:color w:val="auto"/>
              </w:rPr>
            </w:pP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1,088,956</w:t>
            </w:r>
          </w:p>
        </w:tc>
        <w:tc>
          <w:tcPr>
            <w:tcW w:w="0" w:type="dxa"/>
            <w:vAlign w:val="bottom"/>
          </w:tcPr>
          <w:p>
            <w:pPr>
              <w:spacing w:after="0"/>
              <w:rPr>
                <w:sz w:val="1"/>
                <w:szCs w:val="1"/>
                <w:color w:val="auto"/>
              </w:rPr>
            </w:pPr>
          </w:p>
        </w:tc>
      </w:tr>
      <w:tr>
        <w:trPr>
          <w:trHeight w:val="163"/>
        </w:trPr>
        <w:tc>
          <w:tcPr>
            <w:tcW w:w="94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rPr>
              <w:t>with:</w:t>
            </w:r>
          </w:p>
        </w:tc>
        <w:tc>
          <w:tcPr>
            <w:tcW w:w="500" w:type="dxa"/>
            <w:vAlign w:val="bottom"/>
          </w:tcPr>
          <w:p>
            <w:pPr>
              <w:spacing w:after="0"/>
              <w:rPr>
                <w:sz w:val="14"/>
                <w:szCs w:val="14"/>
                <w:color w:val="auto"/>
              </w:rPr>
            </w:pPr>
          </w:p>
        </w:tc>
        <w:tc>
          <w:tcPr>
            <w:tcW w:w="9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4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9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60" w:right="7860" w:hanging="469"/>
        <w:spacing w:after="0" w:line="397" w:lineRule="auto"/>
        <w:tabs>
          <w:tab w:leader="none" w:pos="1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120</w:t>
      </w:r>
      <w:r>
        <w:rPr>
          <w:rFonts w:ascii="Arial" w:cs="Arial" w:eastAsia="Arial" w:hAnsi="Arial"/>
          <w:sz w:val="15"/>
          <w:szCs w:val="15"/>
          <w:color w:val="auto"/>
        </w:rPr>
        <w:t>1</w:t>
      </w:r>
    </w:p>
    <w:p>
      <w:pPr>
        <w:spacing w:after="0" w:line="1" w:lineRule="exact"/>
        <w:rPr>
          <w:rFonts w:ascii="Arial" w:cs="Arial" w:eastAsia="Arial" w:hAnsi="Arial"/>
          <w:sz w:val="18"/>
          <w:szCs w:val="18"/>
          <w:color w:val="auto"/>
        </w:rPr>
      </w:pPr>
    </w:p>
    <w:p>
      <w:pPr>
        <w:ind w:left="620" w:right="6220" w:hanging="455"/>
        <w:spacing w:after="0" w:line="399"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1,089,076</w:t>
      </w:r>
    </w:p>
    <w:p>
      <w:pPr>
        <w:spacing w:after="0" w:line="1" w:lineRule="exact"/>
        <w:rPr>
          <w:rFonts w:ascii="Arial" w:cs="Arial" w:eastAsia="Arial" w:hAnsi="Arial"/>
          <w:sz w:val="18"/>
          <w:szCs w:val="18"/>
          <w:color w:val="auto"/>
        </w:rPr>
      </w:pPr>
    </w:p>
    <w:p>
      <w:pPr>
        <w:ind w:left="620" w:hanging="455"/>
        <w:spacing w:after="0" w:line="207" w:lineRule="exact"/>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91" w:lineRule="exact"/>
        <w:rPr>
          <w:rFonts w:ascii="Arial" w:cs="Arial" w:eastAsia="Arial" w:hAnsi="Arial"/>
          <w:sz w:val="18"/>
          <w:szCs w:val="18"/>
          <w:color w:val="auto"/>
        </w:rPr>
      </w:pPr>
    </w:p>
    <w:p>
      <w:pPr>
        <w:ind w:left="620" w:right="7080" w:hanging="455"/>
        <w:spacing w:after="0" w:line="40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5.8%</w:t>
      </w:r>
    </w:p>
    <w:p>
      <w:pPr>
        <w:ind w:left="620" w:hanging="45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6"/>
          <w:szCs w:val="16"/>
          <w:color w:val="auto"/>
        </w:rPr>
        <w:t>Mr. Kennedy is deemed to beneficially own 100 shares owned directly by Mr. Kennedy’s spouse and 20 shares directly owned by Mr. Kennedy’s son.</w:t>
      </w:r>
    </w:p>
    <w:p>
      <w:pPr>
        <w:sectPr>
          <w:pgSz w:w="11900" w:h="16838" w:orient="portrait"/>
          <w:cols w:equalWidth="0" w:num="1">
            <w:col w:w="11440"/>
          </w:cols>
          <w:pgMar w:left="240" w:top="274"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w:t>
      </w:r>
    </w:p>
    <w:p>
      <w:pPr>
        <w:spacing w:after="0" w:line="131" w:lineRule="exact"/>
        <w:rPr>
          <w:sz w:val="20"/>
          <w:szCs w:val="20"/>
          <w:color w:val="auto"/>
        </w:rPr>
      </w:pPr>
    </w:p>
    <w:p>
      <w:pPr>
        <w:spacing w:after="0"/>
        <w:tabs>
          <w:tab w:leader="none" w:pos="10120" w:val="left"/>
        </w:tabs>
        <w:rPr>
          <w:sz w:val="20"/>
          <w:szCs w:val="20"/>
          <w:color w:val="auto"/>
        </w:rPr>
      </w:pPr>
      <w:r>
        <w:rPr>
          <w:rFonts w:ascii="Arial" w:cs="Arial" w:eastAsia="Arial" w:hAnsi="Arial"/>
          <w:sz w:val="18"/>
          <w:szCs w:val="18"/>
          <w:color w:val="auto"/>
        </w:rPr>
        <w:t>CUSIP No. 629337106</w:t>
      </w:r>
      <w:r>
        <w:rPr>
          <w:sz w:val="20"/>
          <w:szCs w:val="20"/>
          <w:color w:val="auto"/>
        </w:rPr>
        <w:tab/>
      </w:r>
      <w:r>
        <w:rPr>
          <w:rFonts w:ascii="Arial" w:cs="Arial" w:eastAsia="Arial" w:hAnsi="Arial"/>
          <w:sz w:val="15"/>
          <w:szCs w:val="15"/>
          <w:color w:val="auto"/>
        </w:rPr>
        <w:t>Page 3 of 5 Pages</w:t>
      </w:r>
    </w:p>
    <w:p>
      <w:pPr>
        <w:spacing w:after="0" w:line="1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This statement on Schedule 13D relates to the common stock, par value $0.01 per share (the “Common Stock”), of NN, Inc., a Delaware corporation (the “Issuer”). The principal executive offices of the Issuer are located at 2000 Waters Edge Drive, Buildings C, Suite 12, Johnson City, Tennessee 37604</w:t>
      </w: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35"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John Conway Kennedy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Residence or Business Address: 4152 East Paris Avenue, Kentwood, Michigan 49512</w:t>
      </w:r>
    </w:p>
    <w:p>
      <w:pPr>
        <w:spacing w:after="0" w:line="130" w:lineRule="exact"/>
        <w:rPr>
          <w:rFonts w:ascii="Arial" w:cs="Arial" w:eastAsia="Arial" w:hAnsi="Arial"/>
          <w:sz w:val="18"/>
          <w:szCs w:val="18"/>
          <w:color w:val="auto"/>
        </w:rPr>
      </w:pPr>
    </w:p>
    <w:p>
      <w:pPr>
        <w:ind w:left="900" w:right="22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Present Principal Occupation: Mr. Kennedy (i) serves on the Board of Directors of the Issuer and (ii) serves as a director, President and Chief Executive Officer of Autocam Medical Devices, LLC, a contract medical device manufacturer, whose principal executive offices are located at 4152 East Paris Avenue, Kentwood, Michigan 49512.</w:t>
      </w:r>
    </w:p>
    <w:p>
      <w:pPr>
        <w:spacing w:after="0" w:line="86" w:lineRule="exact"/>
        <w:rPr>
          <w:rFonts w:ascii="Arial" w:cs="Arial" w:eastAsia="Arial" w:hAnsi="Arial"/>
          <w:sz w:val="18"/>
          <w:szCs w:val="18"/>
          <w:color w:val="auto"/>
        </w:rPr>
      </w:pPr>
    </w:p>
    <w:p>
      <w:pPr>
        <w:ind w:left="900" w:right="116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past five years, Mr. Kennedy has not been convicted in any criminal proceeding (excluding traffic violations or similar misdemeanors).</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past five years, Mr. Kennedy has not been a party to any civil proceeding of a judicial or administrative body of competent jurisdiction resulting in any judgment, decree or final order against him, enjoining him from engaging in future violations of, or prohibiting or mandating activities subject to, federal or state securities laws or finding any violation with respect to such laws.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Kennedy is a citizen of the United States of America.</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or Amount of Funds or Other Consideration.</w:t>
      </w:r>
    </w:p>
    <w:p>
      <w:pPr>
        <w:spacing w:after="0" w:line="12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Mr. Kennedy acquired 1,086,956 shares of Common Stock (the “Shares”) in partial exchange for Mr. Kennedy’s equity interest in Autocam Corporation, a Michigan corporation (“Autocam”), which merged into a subsidiary of the Issuer pursuant to the terms of that certain Agreement and Plan of Merger (the “Merger Agreement”) among the Issuer, PMC Global Acquisition Corporation, a Michigan corporation, Autocam, Newport Global Advisors, L.P., a Delaware limited partnership (“Newport”), and Mr. Kennedy. The Shares were issued at a fixed value of $23 per share.</w:t>
      </w:r>
    </w:p>
    <w:p>
      <w:pPr>
        <w:spacing w:after="0" w:line="17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Mr. Kennedy also owns 2,000 shares of Common Stock in an IRA account which were acquired with personal funds. The 120 shares of Common Stock held by Mr. Kennedy’s spouse and son, and which are deemed to be beneficially owned by Mr. Kennedy, were acquired with personal funds.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121" w:lineRule="exact"/>
        <w:rPr>
          <w:sz w:val="20"/>
          <w:szCs w:val="20"/>
          <w:color w:val="auto"/>
        </w:rPr>
      </w:pPr>
    </w:p>
    <w:p>
      <w:pPr>
        <w:jc w:val="both"/>
        <w:ind w:right="580" w:firstLine="456"/>
        <w:spacing w:after="0" w:line="342" w:lineRule="auto"/>
        <w:rPr>
          <w:sz w:val="20"/>
          <w:szCs w:val="20"/>
          <w:color w:val="auto"/>
        </w:rPr>
      </w:pPr>
      <w:r>
        <w:rPr>
          <w:rFonts w:ascii="Arial" w:cs="Arial" w:eastAsia="Arial" w:hAnsi="Arial"/>
          <w:sz w:val="16"/>
          <w:szCs w:val="16"/>
          <w:color w:val="auto"/>
        </w:rPr>
        <w:t>Mr. Kennedy acquired the Shares in partial exchange for Mr. Kennedy’s equity interest in Autocam which merged into a subsidiary of the Issuer pursuant to the terms of the Merger Agreement. As part of the transaction, Mr. Kennedy was also appointed as a director to Issuer’s board of directors.</w:t>
      </w:r>
    </w:p>
    <w:p>
      <w:pPr>
        <w:spacing w:after="0" w:line="124"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Mr. Kennedy has no present plans or proposals which relate to or would result in any of the actions specified in clauses (a) through (j) of Item 4. Mr. Kennedy may, from time to time, determine to acquire additional Common Stock, to dispose of some or all of his Common Stock, discuss the Issuer’s business, operations or other affairs with the Issuer’s management, board of directors, shareholders, or others or take such other action as he deems appropriate. Mr. Kennedy reserves the right to change his intentions and adopt plans or proposals in the future that could result in any of the transactions specified in clauses (a) through (j) of Item 4, or any other transaction which Mr. Kennedy believes could enhance shareholder value.</w:t>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135" w:lineRule="exact"/>
        <w:rPr>
          <w:sz w:val="20"/>
          <w:szCs w:val="20"/>
          <w:color w:val="auto"/>
        </w:rPr>
      </w:pPr>
    </w:p>
    <w:p>
      <w:pPr>
        <w:ind w:left="900" w:right="4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August 29, 2014, Mr. Kennedy was deemed to beneficially own 1,089,076 shares of Common Stock. Mr. Kennedy’s beneficial ownership represents 5.8% of the outstanding Common Stock, based upon a total of 17,785,621 shares of Common Stock outstanding on August 5, 2014 (as reported in the Quarterly Report on Form 10-Q filed by the Issuer on August 8, 2014) and after giving effect to Mr. Kennedy’s acquisition of the Shares.</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w:t>
      </w:r>
    </w:p>
    <w:p>
      <w:pPr>
        <w:spacing w:after="0" w:line="131" w:lineRule="exact"/>
        <w:rPr>
          <w:sz w:val="20"/>
          <w:szCs w:val="20"/>
          <w:color w:val="auto"/>
        </w:rPr>
      </w:pPr>
    </w:p>
    <w:p>
      <w:pPr>
        <w:spacing w:after="0"/>
        <w:tabs>
          <w:tab w:leader="none" w:pos="10120" w:val="left"/>
        </w:tabs>
        <w:rPr>
          <w:sz w:val="20"/>
          <w:szCs w:val="20"/>
          <w:color w:val="auto"/>
        </w:rPr>
      </w:pPr>
      <w:r>
        <w:rPr>
          <w:rFonts w:ascii="Arial" w:cs="Arial" w:eastAsia="Arial" w:hAnsi="Arial"/>
          <w:sz w:val="18"/>
          <w:szCs w:val="18"/>
          <w:color w:val="auto"/>
        </w:rPr>
        <w:t>CUSIP No. 629337106</w:t>
      </w:r>
      <w:r>
        <w:rPr>
          <w:sz w:val="20"/>
          <w:szCs w:val="20"/>
          <w:color w:val="auto"/>
        </w:rPr>
        <w:tab/>
      </w:r>
      <w:r>
        <w:rPr>
          <w:rFonts w:ascii="Arial" w:cs="Arial" w:eastAsia="Arial" w:hAnsi="Arial"/>
          <w:sz w:val="15"/>
          <w:szCs w:val="15"/>
          <w:color w:val="auto"/>
        </w:rPr>
        <w:t>Page 4 of 5 Pages</w:t>
      </w:r>
    </w:p>
    <w:p>
      <w:pPr>
        <w:spacing w:after="0" w:line="158" w:lineRule="exact"/>
        <w:rPr>
          <w:sz w:val="20"/>
          <w:szCs w:val="20"/>
          <w:color w:val="auto"/>
        </w:rPr>
      </w:pPr>
    </w:p>
    <w:p>
      <w:pPr>
        <w:ind w:left="900" w:right="22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Kennedy has sole voting and dispositive power over 1,088,956 shares of Common Stock and shares voting and dispositive power over 120 shares of Common Stock with his spouse and son.</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for the acquisition of the Shares described in Item 4 of this Schedule 13D, within the past 60 days, no transactions in the Common Stock have been effected by Mr. Kennedy.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121" w:lineRule="exact"/>
        <w:rPr>
          <w:sz w:val="20"/>
          <w:szCs w:val="20"/>
          <w:color w:val="auto"/>
        </w:rPr>
      </w:pPr>
    </w:p>
    <w:p>
      <w:pPr>
        <w:jc w:val="both"/>
        <w:ind w:right="60" w:firstLine="456"/>
        <w:spacing w:after="0" w:line="257" w:lineRule="auto"/>
        <w:rPr>
          <w:sz w:val="20"/>
          <w:szCs w:val="20"/>
          <w:color w:val="auto"/>
        </w:rPr>
      </w:pPr>
      <w:r>
        <w:rPr>
          <w:rFonts w:ascii="Arial" w:cs="Arial" w:eastAsia="Arial" w:hAnsi="Arial"/>
          <w:sz w:val="18"/>
          <w:szCs w:val="18"/>
          <w:color w:val="auto"/>
        </w:rPr>
        <w:t>In connection with the Merger, each of Issuer, Mr. Kennedy, Newport and Computershare Trust Company N.A. (the “Escrow Agent”) entered into an escrow agreement. Pursuant to the escrow agreement, Issuer deposited 652,174 shares of Common Stock (at a fixed value of $23 per share) with the Escrow Agent to be held in book-entry position for the benefit of Mr. Kennedy. The escrowed shares are subject to forfeiture to satisfy claims arising due to any post-closing purchase price adjustment made pursuant to the Merger Agreement or due to Autocam’s breach of any of its representations, warranties or covenants in the Merger Agreement.</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connection with the Merger, the Issuer, Mr. Kennedy and each of the other pre-merger shareholders of Autocam entered into an indemnity agreement. Pursuant to the indemnity agreement, Mr. Kennedy has the right to forfeit to the Issuer the number of shares of Common Stock (at a fixed price of $23 per share) equal to his pro rata share of the indemnification obligations thereunder.</w:t>
      </w:r>
    </w:p>
    <w:p>
      <w:pPr>
        <w:spacing w:after="0" w:line="18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 connection with the Merger, the Issuer and Mr. Kennedy entered into a stockholders’ agreement. Pursuant to the stockholders’ agreement, Mr. Kennedy agreed to not directly or indirectly sell, pledge, assign, encumber or otherwise transfer any of the shares of Common Stock received in connection with the Merger for 180 days from the closing of the Merger (the “Restricted Period”), unless otherwise permitted by the Issuer. During the Restricted Period, Mr. Kennedy agreed, among other things, not to: (i) deposit any shares of Common Stock acquired by him before or after the closing of the Merger into a voting trust or enter into a voting agreement; (ii) grant a proxy, consent or power of attorney with respect to such shares, make any solicitation of proxies to vote, solicit any consent or seek to advise or influence any person with respect to the voting of Issuer Common Stock or become a participant in any solicitation of proxies that is not approved by the board of directors of the Issuer, or (iii) acquire any additional shares of Common Stock, except by way of stock dividends or other distributions by Issuer to its stockholders.</w:t>
      </w:r>
    </w:p>
    <w:p>
      <w:pPr>
        <w:spacing w:after="0" w:line="3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Exhibit A — Agreement and Plan of Merger, dated as of July 18, 2014, by and among NN, Inc., PMC Global Acquisition Corporation, Autocam Corporation, Newport Global Advisors, L.P., and John C. Kennedy (incorporated by reference to Exhibit 2.1 to NN, Inc.’s Current Report on Form 8-K filed July 22, 2014).</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Exhibit B — Stockholders’ Agreement, effective as of August 29, 2014, by and between NN, Inc. and John C. Kennedy (incorporated by reference to Exhibit 4.1 to NN, Inc.’s Current Report on Form 8-K filed September 2, 2014).</w:t>
      </w:r>
    </w:p>
    <w:p>
      <w:pPr>
        <w:spacing w:after="0" w:line="170"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Exhibit C — Escrow Agreement, effective as of August 29, 2014, by and among NN, Inc., Newport Global Advisors, L.P., John C. Kennedy and Computershare Trust Company, N.A. (incorporated by reference to Exhibit 10.3 to NN, Inc.’s Current Report on Form 8-K filed September 2, 2014).</w:t>
      </w:r>
    </w:p>
    <w:p>
      <w:pPr>
        <w:spacing w:after="0" w:line="124"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Exhibit D — Indemnity Agreement, effective as of August 29, 2014, by and among NN, Inc. and each of the shareholders of Autocam Corporation identified therein (incorporated by reference to Exhibit 10.4 to NN, Inc.’s Current Report on Form 8-K filed September 2, 2014).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w:t>
      </w:r>
    </w:p>
    <w:p>
      <w:pPr>
        <w:spacing w:after="0" w:line="131" w:lineRule="exact"/>
        <w:rPr>
          <w:sz w:val="20"/>
          <w:szCs w:val="20"/>
          <w:color w:val="auto"/>
        </w:rPr>
      </w:pPr>
    </w:p>
    <w:p>
      <w:pPr>
        <w:spacing w:after="0"/>
        <w:tabs>
          <w:tab w:leader="none" w:pos="10120" w:val="left"/>
        </w:tabs>
        <w:rPr>
          <w:sz w:val="20"/>
          <w:szCs w:val="20"/>
          <w:color w:val="auto"/>
        </w:rPr>
      </w:pPr>
      <w:r>
        <w:rPr>
          <w:rFonts w:ascii="Arial" w:cs="Arial" w:eastAsia="Arial" w:hAnsi="Arial"/>
          <w:sz w:val="18"/>
          <w:szCs w:val="18"/>
          <w:color w:val="auto"/>
        </w:rPr>
        <w:t>CUSIP No. 629337106</w:t>
      </w:r>
      <w:r>
        <w:rPr>
          <w:sz w:val="20"/>
          <w:szCs w:val="20"/>
          <w:color w:val="auto"/>
        </w:rPr>
        <w:tab/>
      </w:r>
      <w:r>
        <w:rPr>
          <w:rFonts w:ascii="Arial" w:cs="Arial" w:eastAsia="Arial" w:hAnsi="Arial"/>
          <w:sz w:val="15"/>
          <w:szCs w:val="15"/>
          <w:color w:val="auto"/>
        </w:rPr>
        <w:t>Page 5 of 5 Pages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35"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September 5, 2014</w:t>
            </w:r>
          </w:p>
        </w:tc>
        <w:tc>
          <w:tcPr>
            <w:tcW w:w="53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/s/ John Conway Kennedy</w:t>
            </w:r>
          </w:p>
        </w:tc>
      </w:tr>
      <w:tr>
        <w:trPr>
          <w:trHeight w:val="224"/>
        </w:trPr>
        <w:tc>
          <w:tcPr>
            <w:tcW w:w="5720" w:type="dxa"/>
            <w:vAlign w:val="bottom"/>
          </w:tcPr>
          <w:p>
            <w:pPr>
              <w:spacing w:after="0"/>
              <w:rPr>
                <w:sz w:val="19"/>
                <w:szCs w:val="19"/>
                <w:color w:val="auto"/>
              </w:rPr>
            </w:pPr>
          </w:p>
        </w:tc>
        <w:tc>
          <w:tcPr>
            <w:tcW w:w="5340" w:type="dxa"/>
            <w:vAlign w:val="bottom"/>
          </w:tcPr>
          <w:p>
            <w:pPr>
              <w:jc w:val="center"/>
              <w:ind w:left="10"/>
              <w:spacing w:after="0"/>
              <w:rPr>
                <w:sz w:val="20"/>
                <w:szCs w:val="20"/>
                <w:color w:val="auto"/>
              </w:rPr>
            </w:pPr>
            <w:r>
              <w:rPr>
                <w:rFonts w:ascii="Arial" w:cs="Arial" w:eastAsia="Arial" w:hAnsi="Arial"/>
                <w:sz w:val="18"/>
                <w:szCs w:val="18"/>
                <w:color w:val="auto"/>
                <w:w w:val="90"/>
              </w:rPr>
              <w:t>John Conway Kennedy</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1"/>
    </w:lvl>
    <w:lvl w:ilvl="1">
      <w:lvlJc w:val="left"/>
      <w:lvlText w:val="(%2)"/>
      <w:numFmt w:val="decimal"/>
      <w:start w:val="10"/>
    </w:lvl>
  </w:abstractNum>
  <w:abstractNum w:abstractNumId="4">
    <w:nsid w:val="41B71EFB"/>
    <w:multiLevelType w:val="hybridMultilevel"/>
    <w:lvl w:ilvl="0">
      <w:lvlJc w:val="left"/>
      <w:lvlText w:val="(%1)"/>
      <w:numFmt w:val="decimal"/>
      <w:start w:val="11"/>
    </w:lvl>
    <w:lvl w:ilvl="1">
      <w:lvlJc w:val="left"/>
      <w:lvlText w:val="%2"/>
      <w:numFmt w:val="decimal"/>
      <w:start w:val="1"/>
    </w:lvl>
  </w:abstractNum>
  <w:abstractNum w:abstractNumId="5">
    <w:nsid w:val="79E2A9E3"/>
    <w:multiLevelType w:val="hybridMultilevel"/>
    <w:lvl w:ilvl="0">
      <w:lvlJc w:val="left"/>
      <w:lvlText w:val="1"/>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2019-12-06T10:20:31Z</dcterms:created>
  <dcterms:modified xsi:type="dcterms:W3CDTF">2019-12-06T10:20:31Z</dcterms:modified>
</cp:coreProperties>
</file>