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March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9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10"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235"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21"/>
          <w:szCs w:val="21"/>
          <w:color w:val="auto"/>
          <w:vertAlign w:val="subscript"/>
        </w:rPr>
        <w:t>☐</w:t>
      </w:r>
    </w:p>
    <w:p>
      <w:pPr>
        <w:spacing w:after="0" w:line="1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46"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On March 5, 2025, NN, Inc. (the “Company”) issued a press release announcing the Company’s financial results for the quarter and year ended December 31, 2024. The full text of the press release is furnished as Exhibit 99.1 to this Current Report on Form 8-K (the "Current Report").</w:t>
      </w:r>
    </w:p>
    <w:p>
      <w:pPr>
        <w:spacing w:after="0" w:line="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280" w:firstLine="432"/>
        <w:spacing w:after="0" w:line="279" w:lineRule="auto"/>
        <w:rPr>
          <w:sz w:val="20"/>
          <w:szCs w:val="20"/>
          <w:color w:val="auto"/>
        </w:rPr>
      </w:pPr>
      <w:r>
        <w:rPr>
          <w:rFonts w:ascii="Times New Roman" w:cs="Times New Roman" w:eastAsia="Times New Roman" w:hAnsi="Times New Roman"/>
          <w:sz w:val="12"/>
          <w:szCs w:val="12"/>
          <w:color w:val="auto"/>
        </w:rPr>
        <w:t>On March 5, 2025, the Company posted a supplemental presentation to its website, https://investors.nninc.com/, which will be presented during its quarterly investor conference call on March 6, 2025, at 9:00 a.m. ET. The supplemental presentation is included as Exhibit 99.2 to this Current Report.</w:t>
      </w:r>
    </w:p>
    <w:p>
      <w:pPr>
        <w:spacing w:after="0" w:line="39"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Description of Exhibit</w:t>
            </w:r>
          </w:p>
        </w:tc>
        <w:tc>
          <w:tcPr>
            <w:tcW w:w="98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13"/>
                <w:szCs w:val="13"/>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issued by NN, Inc., dated March 5, 2025</w:t>
            </w:r>
          </w:p>
        </w:tc>
        <w:tc>
          <w:tcPr>
            <w:tcW w:w="0" w:type="dxa"/>
            <w:vAlign w:val="bottom"/>
          </w:tcPr>
          <w:p>
            <w:pPr>
              <w:spacing w:after="0"/>
              <w:rPr>
                <w:sz w:val="1"/>
                <w:szCs w:val="1"/>
                <w:color w:val="auto"/>
              </w:rPr>
            </w:pPr>
          </w:p>
        </w:tc>
      </w:tr>
      <w:tr>
        <w:trPr>
          <w:trHeight w:val="133"/>
        </w:trPr>
        <w:tc>
          <w:tcPr>
            <w:tcW w:w="3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1"/>
                <w:szCs w:val="11"/>
                <w:color w:val="auto"/>
              </w:rPr>
            </w:pPr>
          </w:p>
        </w:tc>
        <w:tc>
          <w:tcPr>
            <w:tcW w:w="2100" w:type="dxa"/>
            <w:vAlign w:val="bottom"/>
            <w:tcBorders>
              <w:top w:val="single" w:sz="8" w:color="0000FF"/>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8"/>
              </w:rPr>
              <w:t>Earnings Presentation, dated March 6, 2025</w:t>
            </w:r>
          </w:p>
        </w:tc>
        <w:tc>
          <w:tcPr>
            <w:tcW w:w="520" w:type="dxa"/>
            <w:vAlign w:val="bottom"/>
            <w:tcBorders>
              <w:top w:val="single" w:sz="8" w:color="0000FF"/>
            </w:tcBorders>
          </w:tcPr>
          <w:p>
            <w:pPr>
              <w:spacing w:after="0"/>
              <w:rPr>
                <w:sz w:val="11"/>
                <w:szCs w:val="11"/>
                <w:color w:val="auto"/>
              </w:rPr>
            </w:pPr>
          </w:p>
        </w:tc>
        <w:tc>
          <w:tcPr>
            <w:tcW w:w="8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360" w:type="dxa"/>
            <w:vAlign w:val="bottom"/>
            <w:gridSpan w:val="4"/>
          </w:tcPr>
          <w:p>
            <w:pPr>
              <w:jc w:val="center"/>
              <w:ind w:left="3"/>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5"/>
                <w:szCs w:val="15"/>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080"/>
        </w:trPr>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March 5, 2025</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Christopher H. Bohnert</w:t>
            </w:r>
          </w:p>
        </w:tc>
      </w:tr>
      <w:tr>
        <w:trPr>
          <w:trHeight w:val="144"/>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Christopher H. Bohnert</w:t>
            </w:r>
          </w:p>
        </w:tc>
      </w:tr>
      <w:tr>
        <w:trPr>
          <w:trHeight w:val="178"/>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464820</wp:posOffset>
            </wp:positionV>
            <wp:extent cx="109728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1724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664845</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2"/>
          <w:szCs w:val="12"/>
          <w:color w:val="auto"/>
        </w:rPr>
        <w:t>NN, Inc.</w:t>
      </w:r>
    </w:p>
    <w:p>
      <w:pPr>
        <w:spacing w:after="0" w:line="235" w:lineRule="auto"/>
        <w:rPr>
          <w:sz w:val="20"/>
          <w:szCs w:val="20"/>
          <w:color w:val="auto"/>
        </w:rPr>
      </w:pPr>
      <w:r>
        <w:rPr>
          <w:rFonts w:ascii="Calibri" w:cs="Calibri" w:eastAsia="Calibri" w:hAnsi="Calibri"/>
          <w:sz w:val="12"/>
          <w:szCs w:val="12"/>
          <w:color w:val="auto"/>
        </w:rPr>
        <w:t>6210 Ardrey Kell Road, Suite 120</w:t>
      </w:r>
    </w:p>
    <w:p>
      <w:pPr>
        <w:spacing w:after="0" w:line="236" w:lineRule="auto"/>
        <w:rPr>
          <w:sz w:val="20"/>
          <w:szCs w:val="20"/>
          <w:color w:val="auto"/>
        </w:rPr>
      </w:pPr>
      <w:r>
        <w:rPr>
          <w:rFonts w:ascii="Calibri" w:cs="Calibri" w:eastAsia="Calibri" w:hAnsi="Calibri"/>
          <w:sz w:val="12"/>
          <w:szCs w:val="12"/>
          <w:color w:val="auto"/>
        </w:rPr>
        <w:t>Charlote, NC 28277</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 IMMEDIATE RELEASE</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b w:val="1"/>
          <w:bCs w:val="1"/>
          <w:color w:val="auto"/>
        </w:rPr>
        <w:t>NN, INC. REPORTS FOURTH QUARTER AND FULL YEAR 2024 RESULTS</w:t>
      </w:r>
    </w:p>
    <w:p>
      <w:pPr>
        <w:spacing w:after="0" w:line="156" w:lineRule="exact"/>
        <w:rPr>
          <w:sz w:val="20"/>
          <w:szCs w:val="20"/>
          <w:color w:val="auto"/>
        </w:rPr>
      </w:pPr>
    </w:p>
    <w:p>
      <w:pPr>
        <w:ind w:left="3920" w:right="3840" w:hanging="84"/>
        <w:spacing w:after="0" w:line="503" w:lineRule="auto"/>
        <w:tabs>
          <w:tab w:leader="none" w:pos="4033" w:val="left"/>
        </w:tabs>
        <w:numPr>
          <w:ilvl w:val="0"/>
          <w:numId w:val="3"/>
        </w:numPr>
        <w:rPr>
          <w:rFonts w:ascii="Calibri" w:cs="Calibri" w:eastAsia="Calibri" w:hAnsi="Calibri"/>
          <w:sz w:val="12"/>
          <w:szCs w:val="12"/>
          <w:i w:val="1"/>
          <w:iCs w:val="1"/>
          <w:color w:val="auto"/>
        </w:rPr>
      </w:pPr>
      <w:r>
        <w:rPr>
          <w:rFonts w:ascii="Calibri" w:cs="Calibri" w:eastAsia="Calibri" w:hAnsi="Calibri"/>
          <w:sz w:val="12"/>
          <w:szCs w:val="12"/>
          <w:i w:val="1"/>
          <w:iCs w:val="1"/>
          <w:color w:val="auto"/>
        </w:rPr>
        <w:t>delivers performance as expected in frst full year of transformaton NN is acceleratng and further refning transformaton plans in 2025</w:t>
      </w:r>
    </w:p>
    <w:p>
      <w:pPr>
        <w:spacing w:after="0" w:line="1" w:lineRule="exact"/>
        <w:rPr>
          <w:sz w:val="20"/>
          <w:szCs w:val="20"/>
          <w:color w:val="auto"/>
        </w:rPr>
      </w:pPr>
    </w:p>
    <w:p>
      <w:pPr>
        <w:jc w:val="both"/>
        <w:spacing w:after="0" w:line="253" w:lineRule="auto"/>
        <w:rPr>
          <w:sz w:val="20"/>
          <w:szCs w:val="20"/>
          <w:color w:val="auto"/>
        </w:rPr>
      </w:pPr>
      <w:r>
        <w:rPr>
          <w:rFonts w:ascii="Calibri" w:cs="Calibri" w:eastAsia="Calibri" w:hAnsi="Calibri"/>
          <w:sz w:val="13"/>
          <w:szCs w:val="13"/>
          <w:b w:val="1"/>
          <w:bCs w:val="1"/>
          <w:color w:val="auto"/>
        </w:rPr>
        <w:t xml:space="preserve">CHARLOTTE, N.C., March 5, 2025 </w:t>
      </w:r>
      <w:r>
        <w:rPr>
          <w:rFonts w:ascii="Calibri" w:cs="Calibri" w:eastAsia="Calibri" w:hAnsi="Calibri"/>
          <w:sz w:val="13"/>
          <w:szCs w:val="13"/>
          <w:color w:val="auto"/>
        </w:rPr>
        <w:t>– NN, Inc. (NASDAQ: NNBR) (“NN” or the “Company”), a global diversifed industrial company that engineers and manufactures high-precision components and assemblies,</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 xml:space="preserve">today reported its fnancial results for the fourth quarter and full-year ended December 31, 2024. </w:t>
      </w:r>
      <w:r>
        <w:rPr>
          <w:rFonts w:ascii="Calibri" w:cs="Calibri" w:eastAsia="Calibri" w:hAnsi="Calibri"/>
          <w:sz w:val="13"/>
          <w:szCs w:val="13"/>
          <w:color w:val="101820"/>
        </w:rPr>
        <w:t>Key results for the quarter and full-year ended 2024 include (compared with the fourth quarter and full-year</w:t>
      </w:r>
      <w:r>
        <w:rPr>
          <w:rFonts w:ascii="Calibri" w:cs="Calibri" w:eastAsia="Calibri" w:hAnsi="Calibri"/>
          <w:sz w:val="13"/>
          <w:szCs w:val="13"/>
          <w:color w:val="auto"/>
        </w:rPr>
        <w:t xml:space="preserve"> </w:t>
      </w:r>
      <w:r>
        <w:rPr>
          <w:rFonts w:ascii="Calibri" w:cs="Calibri" w:eastAsia="Calibri" w:hAnsi="Calibri"/>
          <w:sz w:val="13"/>
          <w:szCs w:val="13"/>
          <w:color w:val="101820"/>
        </w:rPr>
        <w:t>of 2023):</w:t>
      </w:r>
    </w:p>
    <w:p>
      <w:pPr>
        <w:spacing w:after="0" w:line="344" w:lineRule="exact"/>
        <w:rPr>
          <w:sz w:val="20"/>
          <w:szCs w:val="20"/>
          <w:color w:val="auto"/>
        </w:rPr>
      </w:pPr>
    </w:p>
    <w:p>
      <w:pPr>
        <w:ind w:left="420" w:hanging="212"/>
        <w:spacing w:after="0"/>
        <w:tabs>
          <w:tab w:leader="none" w:pos="420" w:val="left"/>
        </w:tabs>
        <w:numPr>
          <w:ilvl w:val="0"/>
          <w:numId w:val="4"/>
        </w:numPr>
        <w:rPr>
          <w:rFonts w:ascii="Calibri" w:cs="Calibri" w:eastAsia="Calibri" w:hAnsi="Calibri"/>
          <w:sz w:val="14"/>
          <w:szCs w:val="14"/>
          <w:color w:val="auto"/>
        </w:rPr>
      </w:pPr>
      <w:r>
        <w:rPr>
          <w:rFonts w:ascii="Calibri" w:cs="Calibri" w:eastAsia="Calibri" w:hAnsi="Calibri"/>
          <w:sz w:val="13"/>
          <w:szCs w:val="13"/>
          <w:color w:val="auto"/>
        </w:rPr>
        <w:t>Net sales of $106.5 million and $464.3 million, decreased by 5.3% and 5.1%, respectvely.</w:t>
      </w:r>
    </w:p>
    <w:p>
      <w:pPr>
        <w:spacing w:after="0" w:line="39" w:lineRule="exact"/>
        <w:rPr>
          <w:rFonts w:ascii="Calibri" w:cs="Calibri" w:eastAsia="Calibri" w:hAnsi="Calibri"/>
          <w:sz w:val="14"/>
          <w:szCs w:val="14"/>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Pro forma net sales, adjusted for sale of Lubbock, ratonalized business, and other pro forma adjustments, increased by 2.0% and declined by 0.2%, respectvely.</w:t>
      </w:r>
    </w:p>
    <w:p>
      <w:pPr>
        <w:spacing w:after="0" w:line="39" w:lineRule="exact"/>
        <w:rPr>
          <w:rFonts w:ascii="Calibri" w:cs="Calibri" w:eastAsia="Calibri" w:hAnsi="Calibri"/>
          <w:sz w:val="13"/>
          <w:szCs w:val="13"/>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GAAP earnings per share of $(0.51) and $(1.11), respectvely.</w:t>
      </w:r>
    </w:p>
    <w:p>
      <w:pPr>
        <w:spacing w:after="0" w:line="39" w:lineRule="exact"/>
        <w:rPr>
          <w:rFonts w:ascii="Calibri" w:cs="Calibri" w:eastAsia="Calibri" w:hAnsi="Calibri"/>
          <w:sz w:val="13"/>
          <w:szCs w:val="13"/>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Adjusted earnings per share of $(0.02) and $(0.17), respectvely.</w:t>
      </w:r>
    </w:p>
    <w:p>
      <w:pPr>
        <w:spacing w:after="0" w:line="39" w:lineRule="exact"/>
        <w:rPr>
          <w:rFonts w:ascii="Calibri" w:cs="Calibri" w:eastAsia="Calibri" w:hAnsi="Calibri"/>
          <w:sz w:val="13"/>
          <w:szCs w:val="13"/>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Adjusted EBITDA of $12.1 million and $48.3 million, an increase of $2.1 million and $5.2 million, respectvely.</w:t>
      </w:r>
    </w:p>
    <w:p>
      <w:pPr>
        <w:spacing w:after="0" w:line="59" w:lineRule="exact"/>
        <w:rPr>
          <w:rFonts w:ascii="Calibri" w:cs="Calibri" w:eastAsia="Calibri" w:hAnsi="Calibri"/>
          <w:sz w:val="13"/>
          <w:szCs w:val="13"/>
          <w:color w:val="auto"/>
        </w:rPr>
      </w:pPr>
    </w:p>
    <w:p>
      <w:pPr>
        <w:ind w:left="420" w:right="20" w:hanging="212"/>
        <w:spacing w:after="0" w:line="278" w:lineRule="auto"/>
        <w:tabs>
          <w:tab w:leader="none" w:pos="420" w:val="left"/>
        </w:tabs>
        <w:numPr>
          <w:ilvl w:val="0"/>
          <w:numId w:val="4"/>
        </w:numPr>
        <w:rPr>
          <w:rFonts w:ascii="Calibri" w:cs="Calibri" w:eastAsia="Calibri" w:hAnsi="Calibri"/>
          <w:sz w:val="14"/>
          <w:szCs w:val="14"/>
          <w:color w:val="auto"/>
        </w:rPr>
      </w:pPr>
      <w:r>
        <w:rPr>
          <w:rFonts w:ascii="Calibri" w:cs="Calibri" w:eastAsia="Calibri" w:hAnsi="Calibri"/>
          <w:sz w:val="13"/>
          <w:szCs w:val="13"/>
          <w:color w:val="auto"/>
        </w:rPr>
        <w:t>NN’s frst full year of transformaton plan was a success – upgraded its leadership team, ratonalized money-losing legacy business, secured new program awards to ofset ratonalized business and create a path to year-over-year growth, increased gross proft margins, decreased borrowing rates, and decreased leverage.</w:t>
      </w:r>
    </w:p>
    <w:p>
      <w:pPr>
        <w:spacing w:after="0" w:line="12" w:lineRule="exact"/>
        <w:rPr>
          <w:rFonts w:ascii="Calibri" w:cs="Calibri" w:eastAsia="Calibri" w:hAnsi="Calibri"/>
          <w:sz w:val="14"/>
          <w:szCs w:val="14"/>
          <w:color w:val="auto"/>
        </w:rPr>
      </w:pPr>
    </w:p>
    <w:p>
      <w:pPr>
        <w:ind w:left="420" w:hanging="212"/>
        <w:spacing w:after="0"/>
        <w:tabs>
          <w:tab w:leader="none" w:pos="420" w:val="left"/>
        </w:tabs>
        <w:numPr>
          <w:ilvl w:val="0"/>
          <w:numId w:val="4"/>
        </w:numPr>
        <w:rPr>
          <w:rFonts w:ascii="Calibri" w:cs="Calibri" w:eastAsia="Calibri" w:hAnsi="Calibri"/>
          <w:sz w:val="13"/>
          <w:szCs w:val="13"/>
          <w:color w:val="auto"/>
        </w:rPr>
      </w:pPr>
      <w:r>
        <w:rPr>
          <w:rFonts w:ascii="Calibri" w:cs="Calibri" w:eastAsia="Calibri" w:hAnsi="Calibri"/>
          <w:sz w:val="13"/>
          <w:szCs w:val="13"/>
          <w:color w:val="auto"/>
        </w:rPr>
        <w:t>$73 million of new business wins in 2024, topping the previous record of $63 million in 2023.</w:t>
      </w:r>
    </w:p>
    <w:p>
      <w:pPr>
        <w:spacing w:after="0" w:line="41" w:lineRule="exact"/>
        <w:rPr>
          <w:rFonts w:ascii="Calibri" w:cs="Calibri" w:eastAsia="Calibri" w:hAnsi="Calibri"/>
          <w:sz w:val="13"/>
          <w:szCs w:val="13"/>
          <w:color w:val="auto"/>
        </w:rPr>
      </w:pPr>
    </w:p>
    <w:p>
      <w:pPr>
        <w:ind w:left="860" w:right="20" w:hanging="220"/>
        <w:spacing w:after="0" w:line="296" w:lineRule="auto"/>
        <w:tabs>
          <w:tab w:leader="none" w:pos="855" w:val="left"/>
        </w:tabs>
        <w:numPr>
          <w:ilvl w:val="1"/>
          <w:numId w:val="4"/>
        </w:numPr>
        <w:rPr>
          <w:rFonts w:ascii="Calibri" w:cs="Calibri" w:eastAsia="Calibri" w:hAnsi="Calibri"/>
          <w:sz w:val="13"/>
          <w:szCs w:val="13"/>
          <w:color w:val="auto"/>
        </w:rPr>
      </w:pPr>
      <w:r>
        <w:rPr>
          <w:rFonts w:ascii="Calibri" w:cs="Calibri" w:eastAsia="Calibri" w:hAnsi="Calibri"/>
          <w:sz w:val="13"/>
          <w:szCs w:val="13"/>
          <w:color w:val="auto"/>
        </w:rPr>
        <w:t>NN is tracking on pace with its 5-year sales growth and diversifcaton goals and has delivered a 2-year new business wins total of $136 million. The Company has won $13 million in new wins in 2025 YTD and remains on pace with its business development eforts.</w:t>
      </w:r>
    </w:p>
    <w:p>
      <w:pPr>
        <w:spacing w:after="0" w:line="2" w:lineRule="exact"/>
        <w:rPr>
          <w:rFonts w:ascii="Calibri" w:cs="Calibri" w:eastAsia="Calibri" w:hAnsi="Calibri"/>
          <w:sz w:val="13"/>
          <w:szCs w:val="13"/>
          <w:color w:val="auto"/>
        </w:rPr>
      </w:pPr>
    </w:p>
    <w:p>
      <w:pPr>
        <w:ind w:left="860" w:hanging="220"/>
        <w:spacing w:after="0"/>
        <w:tabs>
          <w:tab w:leader="none" w:pos="860" w:val="left"/>
        </w:tabs>
        <w:numPr>
          <w:ilvl w:val="1"/>
          <w:numId w:val="4"/>
        </w:numPr>
        <w:rPr>
          <w:rFonts w:ascii="Calibri" w:cs="Calibri" w:eastAsia="Calibri" w:hAnsi="Calibri"/>
          <w:sz w:val="13"/>
          <w:szCs w:val="13"/>
          <w:color w:val="auto"/>
        </w:rPr>
      </w:pPr>
      <w:r>
        <w:rPr>
          <w:rFonts w:ascii="Calibri" w:cs="Calibri" w:eastAsia="Calibri" w:hAnsi="Calibri"/>
          <w:sz w:val="13"/>
          <w:szCs w:val="13"/>
          <w:color w:val="auto"/>
        </w:rPr>
        <w:t>The Company is on pace to achieve its organic growth goal of reaching $600 million in sales.</w:t>
      </w:r>
    </w:p>
    <w:p>
      <w:pPr>
        <w:spacing w:after="0" w:line="41" w:lineRule="exact"/>
        <w:rPr>
          <w:rFonts w:ascii="Calibri" w:cs="Calibri" w:eastAsia="Calibri" w:hAnsi="Calibri"/>
          <w:sz w:val="13"/>
          <w:szCs w:val="13"/>
          <w:color w:val="auto"/>
        </w:rPr>
      </w:pPr>
    </w:p>
    <w:p>
      <w:pPr>
        <w:ind w:left="860" w:right="20" w:hanging="220"/>
        <w:spacing w:after="0" w:line="296" w:lineRule="auto"/>
        <w:tabs>
          <w:tab w:leader="none" w:pos="855" w:val="left"/>
        </w:tabs>
        <w:numPr>
          <w:ilvl w:val="1"/>
          <w:numId w:val="4"/>
        </w:numPr>
        <w:rPr>
          <w:rFonts w:ascii="Calibri" w:cs="Calibri" w:eastAsia="Calibri" w:hAnsi="Calibri"/>
          <w:sz w:val="13"/>
          <w:szCs w:val="13"/>
          <w:color w:val="auto"/>
        </w:rPr>
      </w:pPr>
      <w:r>
        <w:rPr>
          <w:rFonts w:ascii="Calibri" w:cs="Calibri" w:eastAsia="Calibri" w:hAnsi="Calibri"/>
          <w:sz w:val="13"/>
          <w:szCs w:val="13"/>
          <w:color w:val="auto"/>
        </w:rPr>
        <w:t>New wins have begun launching and ramping into the Company’s sales run-rates with over 70 programs scheduled for start-of-producton during 2025; approximately $21 million of new business is being launched in Q1 2025 across multple plants and countries.</w:t>
      </w:r>
    </w:p>
    <w:p>
      <w:pPr>
        <w:spacing w:after="0" w:line="138"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1</w:t>
      </w:r>
    </w:p>
    <w:p>
      <w:pPr>
        <w:sectPr>
          <w:pgSz w:w="11900" w:h="16838" w:orient="portrait"/>
          <w:cols w:equalWidth="0" w:num="1">
            <w:col w:w="11300"/>
          </w:cols>
          <w:pgMar w:left="300" w:top="128" w:right="299" w:bottom="1440" w:gutter="0" w:footer="0" w:header="0"/>
        </w:sectPr>
      </w:pPr>
    </w:p>
    <w:bookmarkStart w:id="4" w:name="page5"/>
    <w:bookmarkEnd w:id="4"/>
    <w:p>
      <w:pPr>
        <w:ind w:left="420" w:hanging="212"/>
        <w:spacing w:after="0" w:line="278" w:lineRule="auto"/>
        <w:tabs>
          <w:tab w:leader="none" w:pos="420" w:val="left"/>
        </w:tabs>
        <w:numPr>
          <w:ilvl w:val="0"/>
          <w:numId w:val="5"/>
        </w:numPr>
        <w:rPr>
          <w:rFonts w:ascii="Calibri" w:cs="Calibri" w:eastAsia="Calibri" w:hAnsi="Calibri"/>
          <w:sz w:val="14"/>
          <w:szCs w:val="14"/>
          <w:color w:val="auto"/>
        </w:rPr>
      </w:pPr>
      <w:r>
        <w:rPr>
          <w:rFonts w:ascii="Calibri" w:cs="Calibri" w:eastAsia="Calibri" w:hAnsi="Calibri"/>
          <w:sz w:val="13"/>
          <w:szCs w:val="13"/>
          <w:color w:val="auto"/>
        </w:rPr>
        <w:t>NN’s China operatons sales growth contnues at a measured pace, up by 15.6% and 20.6%, versus the prior year fourth quarter and full-year, respectvely. NN’s China operatons contnue to fund their own growth through local cash fow generaton.</w:t>
      </w:r>
    </w:p>
    <w:p>
      <w:pPr>
        <w:spacing w:after="0" w:line="12" w:lineRule="exact"/>
        <w:rPr>
          <w:rFonts w:ascii="Calibri" w:cs="Calibri" w:eastAsia="Calibri" w:hAnsi="Calibri"/>
          <w:sz w:val="14"/>
          <w:szCs w:val="14"/>
          <w:color w:val="auto"/>
        </w:rPr>
      </w:pPr>
    </w:p>
    <w:p>
      <w:pPr>
        <w:ind w:left="420" w:hanging="212"/>
        <w:spacing w:after="0"/>
        <w:tabs>
          <w:tab w:leader="none" w:pos="420"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NN’s Term Loan refnancing process contnues, and the transacton will enable the Company to contnue its 5-year transformaton plans.</w:t>
      </w:r>
    </w:p>
    <w:p>
      <w:pPr>
        <w:spacing w:after="0" w:line="201" w:lineRule="exact"/>
        <w:rPr>
          <w:sz w:val="20"/>
          <w:szCs w:val="20"/>
          <w:color w:val="auto"/>
        </w:rPr>
      </w:pPr>
    </w:p>
    <w:p>
      <w:pPr>
        <w:spacing w:after="0"/>
        <w:rPr>
          <w:sz w:val="20"/>
          <w:szCs w:val="20"/>
          <w:color w:val="auto"/>
        </w:rPr>
      </w:pPr>
      <w:r>
        <w:rPr>
          <w:rFonts w:ascii="Calibri" w:cs="Calibri" w:eastAsia="Calibri" w:hAnsi="Calibri"/>
          <w:sz w:val="13"/>
          <w:szCs w:val="13"/>
          <w:color w:val="auto"/>
        </w:rPr>
        <w:t>“We are pleased overall with the results of our frst full year of our transformaton plan, during which we made immediate and signifcant progress.” said Harold Bevis, President and Chief Executve Ofcer of</w:t>
      </w:r>
    </w:p>
    <w:p>
      <w:pPr>
        <w:spacing w:after="0" w:line="39" w:lineRule="exact"/>
        <w:rPr>
          <w:sz w:val="20"/>
          <w:szCs w:val="20"/>
          <w:color w:val="auto"/>
        </w:rPr>
      </w:pPr>
    </w:p>
    <w:p>
      <w:pPr>
        <w:spacing w:after="0"/>
        <w:rPr>
          <w:sz w:val="20"/>
          <w:szCs w:val="20"/>
          <w:color w:val="auto"/>
        </w:rPr>
      </w:pPr>
      <w:r>
        <w:rPr>
          <w:rFonts w:ascii="Calibri" w:cs="Calibri" w:eastAsia="Calibri" w:hAnsi="Calibri"/>
          <w:sz w:val="13"/>
          <w:szCs w:val="13"/>
          <w:color w:val="auto"/>
        </w:rPr>
        <w:t>NN, Inc. “We also gained the confdence to accelerate our pace. A few highlights are as follows:</w:t>
      </w:r>
    </w:p>
    <w:p>
      <w:pPr>
        <w:spacing w:after="0" w:line="203" w:lineRule="exact"/>
        <w:rPr>
          <w:sz w:val="20"/>
          <w:szCs w:val="20"/>
          <w:color w:val="auto"/>
        </w:rPr>
      </w:pPr>
    </w:p>
    <w:p>
      <w:pPr>
        <w:ind w:left="420" w:hanging="212"/>
        <w:spacing w:after="0" w:line="232" w:lineRule="auto"/>
        <w:tabs>
          <w:tab w:leader="none" w:pos="420" w:val="left"/>
        </w:tabs>
        <w:numPr>
          <w:ilvl w:val="0"/>
          <w:numId w:val="6"/>
        </w:numPr>
        <w:rPr>
          <w:rFonts w:ascii="Calibri" w:cs="Calibri" w:eastAsia="Calibri" w:hAnsi="Calibri"/>
          <w:sz w:val="14"/>
          <w:szCs w:val="14"/>
          <w:color w:val="auto"/>
        </w:rPr>
      </w:pPr>
      <w:r>
        <w:rPr>
          <w:rFonts w:ascii="Calibri" w:cs="Calibri" w:eastAsia="Calibri" w:hAnsi="Calibri"/>
          <w:sz w:val="13"/>
          <w:szCs w:val="13"/>
          <w:color w:val="auto"/>
        </w:rPr>
        <w:t>Upgraded a signifcant number of leadership positons, including upgrades across our C-suite, and among our operatonal leaders, commercial leaders, and fnance team. NN is adding to and creatng the most compettve engineering and business development team in the history of the Company, adding to our Stamped Products, Electrical, and Medical teams.</w:t>
      </w:r>
    </w:p>
    <w:p>
      <w:pPr>
        <w:spacing w:after="0" w:line="32" w:lineRule="exact"/>
        <w:rPr>
          <w:rFonts w:ascii="Calibri" w:cs="Calibri" w:eastAsia="Calibri" w:hAnsi="Calibri"/>
          <w:sz w:val="14"/>
          <w:szCs w:val="14"/>
          <w:color w:val="auto"/>
        </w:rPr>
      </w:pPr>
    </w:p>
    <w:p>
      <w:pPr>
        <w:ind w:left="420" w:right="20" w:hanging="212"/>
        <w:spacing w:after="0" w:line="232" w:lineRule="auto"/>
        <w:tabs>
          <w:tab w:leader="none" w:pos="420" w:val="left"/>
        </w:tabs>
        <w:numPr>
          <w:ilvl w:val="0"/>
          <w:numId w:val="6"/>
        </w:numPr>
        <w:rPr>
          <w:rFonts w:ascii="Calibri" w:cs="Calibri" w:eastAsia="Calibri" w:hAnsi="Calibri"/>
          <w:sz w:val="14"/>
          <w:szCs w:val="14"/>
          <w:color w:val="auto"/>
        </w:rPr>
      </w:pPr>
      <w:r>
        <w:rPr>
          <w:rFonts w:ascii="Calibri" w:cs="Calibri" w:eastAsia="Calibri" w:hAnsi="Calibri"/>
          <w:sz w:val="13"/>
          <w:szCs w:val="13"/>
          <w:color w:val="auto"/>
        </w:rPr>
        <w:t>In 2025, we are launching the highest number of new products in recent history. By being careful and selectve, we have been able to keep our cash capex spending to normal levels by leveraging our $340 million installed base of machinery and equipment and $56 million of land and buildings.</w:t>
      </w:r>
    </w:p>
    <w:p>
      <w:pPr>
        <w:spacing w:after="0" w:line="23" w:lineRule="exact"/>
        <w:rPr>
          <w:rFonts w:ascii="Calibri" w:cs="Calibri" w:eastAsia="Calibri" w:hAnsi="Calibri"/>
          <w:sz w:val="14"/>
          <w:szCs w:val="14"/>
          <w:color w:val="auto"/>
        </w:rPr>
      </w:pPr>
    </w:p>
    <w:p>
      <w:pPr>
        <w:ind w:left="420" w:hanging="212"/>
        <w:spacing w:after="0" w:line="238" w:lineRule="auto"/>
        <w:tabs>
          <w:tab w:leader="none" w:pos="420" w:val="left"/>
        </w:tabs>
        <w:numPr>
          <w:ilvl w:val="0"/>
          <w:numId w:val="6"/>
        </w:numPr>
        <w:rPr>
          <w:rFonts w:ascii="Calibri" w:cs="Calibri" w:eastAsia="Calibri" w:hAnsi="Calibri"/>
          <w:sz w:val="14"/>
          <w:szCs w:val="14"/>
          <w:color w:val="auto"/>
        </w:rPr>
      </w:pPr>
      <w:r>
        <w:rPr>
          <w:rFonts w:ascii="Calibri" w:cs="Calibri" w:eastAsia="Calibri" w:hAnsi="Calibri"/>
          <w:sz w:val="13"/>
          <w:szCs w:val="13"/>
          <w:color w:val="auto"/>
        </w:rPr>
        <w:t>We have signifcantly improved the underperforming performance at the ‘Group of 7’ plants that had previously generated $112.6 million of net sales and negatve $11.5 million of adjusted EBITDA in 2023; we have fxed four plants and we are closing three. In 2025, we expect this same set of plants to generate $5 million of adjusted EBITDA.</w:t>
      </w:r>
    </w:p>
    <w:p>
      <w:pPr>
        <w:spacing w:after="0" w:line="10" w:lineRule="exact"/>
        <w:rPr>
          <w:rFonts w:ascii="Calibri" w:cs="Calibri" w:eastAsia="Calibri" w:hAnsi="Calibri"/>
          <w:sz w:val="14"/>
          <w:szCs w:val="14"/>
          <w:color w:val="auto"/>
        </w:rPr>
      </w:pPr>
    </w:p>
    <w:p>
      <w:pPr>
        <w:ind w:left="420" w:hanging="212"/>
        <w:spacing w:after="0"/>
        <w:tabs>
          <w:tab w:leader="none" w:pos="420" w:val="left"/>
        </w:tabs>
        <w:numPr>
          <w:ilvl w:val="0"/>
          <w:numId w:val="6"/>
        </w:numPr>
        <w:rPr>
          <w:rFonts w:ascii="Calibri" w:cs="Calibri" w:eastAsia="Calibri" w:hAnsi="Calibri"/>
          <w:sz w:val="14"/>
          <w:szCs w:val="14"/>
          <w:color w:val="auto"/>
        </w:rPr>
      </w:pPr>
      <w:r>
        <w:rPr>
          <w:rFonts w:ascii="Calibri" w:cs="Calibri" w:eastAsia="Calibri" w:hAnsi="Calibri"/>
          <w:sz w:val="13"/>
          <w:szCs w:val="13"/>
          <w:color w:val="auto"/>
        </w:rPr>
        <w:t>Growth of the US electrical grid power business is expected to contnue in 2025 as electrical demand increases due to data centers, electric, and hybrid vehicles.”</w:t>
      </w:r>
    </w:p>
    <w:p>
      <w:pPr>
        <w:spacing w:after="0" w:line="167" w:lineRule="exact"/>
        <w:rPr>
          <w:sz w:val="20"/>
          <w:szCs w:val="20"/>
          <w:color w:val="auto"/>
        </w:rPr>
      </w:pPr>
    </w:p>
    <w:p>
      <w:pPr>
        <w:spacing w:after="0" w:line="255" w:lineRule="auto"/>
        <w:rPr>
          <w:sz w:val="20"/>
          <w:szCs w:val="20"/>
          <w:color w:val="auto"/>
        </w:rPr>
      </w:pPr>
      <w:r>
        <w:rPr>
          <w:rFonts w:ascii="Calibri" w:cs="Calibri" w:eastAsia="Calibri" w:hAnsi="Calibri"/>
          <w:sz w:val="13"/>
          <w:szCs w:val="13"/>
          <w:color w:val="auto"/>
        </w:rPr>
        <w:t>Mr. Bevis concluded, “Looking ahead to 2025, as we contnue along our transformaton path, we are focused on creatng a refreshed and extended balance sheet, stronger free cash fow, a powerful new business acquisiton program, and a further strengthening of our management team. I would like to thank the NN team and our partners who are working together to create sustainable value.”</w:t>
      </w:r>
    </w:p>
    <w:p>
      <w:pPr>
        <w:spacing w:after="0" w:line="273"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Fourth Quarter Results</w:t>
      </w:r>
    </w:p>
    <w:p>
      <w:pPr>
        <w:spacing w:after="0" w:line="41" w:lineRule="exact"/>
        <w:rPr>
          <w:sz w:val="20"/>
          <w:szCs w:val="20"/>
          <w:color w:val="auto"/>
        </w:rPr>
      </w:pPr>
    </w:p>
    <w:p>
      <w:pPr>
        <w:ind w:right="320"/>
        <w:spacing w:after="0" w:line="227" w:lineRule="auto"/>
        <w:rPr>
          <w:sz w:val="20"/>
          <w:szCs w:val="20"/>
          <w:color w:val="auto"/>
        </w:rPr>
      </w:pPr>
      <w:r>
        <w:rPr>
          <w:rFonts w:ascii="Calibri" w:cs="Calibri" w:eastAsia="Calibri" w:hAnsi="Calibri"/>
          <w:sz w:val="13"/>
          <w:szCs w:val="13"/>
          <w:color w:val="auto"/>
        </w:rPr>
        <w:t>Net sales were $106.5 million, a decrease of 5.3% compared to the fourth quarter of 2023 net sales of $112.5 million, which was primarily due to the sale of our Lubbock operatons, lower volumes, and unfavorable foreign exchange efects of $1.6 million. As a result, on a pro forma basis, sales increased 2% over the same period of prior year.</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color w:val="auto"/>
        </w:rPr>
        <w:t>Loss from operatons was $16.9 million compared to a loss from operatons of $7.9 million in the fourth quarter of 2023. The increased loss from operatons was primarily due to lower sales volume.</w:t>
      </w:r>
    </w:p>
    <w:p>
      <w:pPr>
        <w:spacing w:after="0" w:line="131" w:lineRule="exact"/>
        <w:rPr>
          <w:sz w:val="20"/>
          <w:szCs w:val="20"/>
          <w:color w:val="auto"/>
        </w:rPr>
      </w:pPr>
    </w:p>
    <w:p>
      <w:pPr>
        <w:spacing w:after="0" w:line="242" w:lineRule="auto"/>
        <w:rPr>
          <w:sz w:val="20"/>
          <w:szCs w:val="20"/>
          <w:color w:val="auto"/>
        </w:rPr>
      </w:pPr>
      <w:r>
        <w:rPr>
          <w:rFonts w:ascii="Calibri" w:cs="Calibri" w:eastAsia="Calibri" w:hAnsi="Calibri"/>
          <w:sz w:val="13"/>
          <w:szCs w:val="13"/>
          <w:color w:val="auto"/>
        </w:rPr>
        <w:t>Income from operatons for Power Solutons was $1.3 million compared to income from operatons of $2.8 million for the same period in 2023. Loss from operatons for Mobile Solutons was $12.9 million compared to loss from operatons of $5.7 million for the same period in 2023.</w:t>
      </w:r>
    </w:p>
    <w:p>
      <w:pPr>
        <w:spacing w:after="0" w:line="128" w:lineRule="exact"/>
        <w:rPr>
          <w:sz w:val="20"/>
          <w:szCs w:val="20"/>
          <w:color w:val="auto"/>
        </w:rPr>
      </w:pPr>
    </w:p>
    <w:p>
      <w:pPr>
        <w:spacing w:after="0"/>
        <w:rPr>
          <w:sz w:val="20"/>
          <w:szCs w:val="20"/>
          <w:color w:val="auto"/>
        </w:rPr>
      </w:pPr>
      <w:r>
        <w:rPr>
          <w:rFonts w:ascii="Calibri" w:cs="Calibri" w:eastAsia="Calibri" w:hAnsi="Calibri"/>
          <w:sz w:val="13"/>
          <w:szCs w:val="13"/>
          <w:color w:val="auto"/>
        </w:rPr>
        <w:t>Net loss was $21.0 million compared to net loss of $20.5 million for the same period in 2023.</w:t>
      </w:r>
    </w:p>
    <w:p>
      <w:pPr>
        <w:spacing w:after="0" w:line="120"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Full-Year Results</w:t>
      </w:r>
    </w:p>
    <w:p>
      <w:pPr>
        <w:spacing w:after="0" w:line="41" w:lineRule="exact"/>
        <w:rPr>
          <w:sz w:val="20"/>
          <w:szCs w:val="20"/>
          <w:color w:val="auto"/>
        </w:rPr>
      </w:pPr>
    </w:p>
    <w:p>
      <w:pPr>
        <w:ind w:right="280"/>
        <w:spacing w:after="0" w:line="243" w:lineRule="auto"/>
        <w:rPr>
          <w:sz w:val="20"/>
          <w:szCs w:val="20"/>
          <w:color w:val="auto"/>
        </w:rPr>
      </w:pPr>
      <w:r>
        <w:rPr>
          <w:rFonts w:ascii="Calibri" w:cs="Calibri" w:eastAsia="Calibri" w:hAnsi="Calibri"/>
          <w:sz w:val="13"/>
          <w:szCs w:val="13"/>
          <w:color w:val="auto"/>
        </w:rPr>
        <w:t>Net sales decreased by $25.0 million, or 5.1%, during the year ended December 31, 2024, compared to the year ended December 31, 2023, primarily due to the sale of our Lubbock operatons, customer setlements received in 2023, ratonalized volume at plants undergoing turnarounds and unfavorable foreign exchange efects of $3.5 million. These decreases were partally ofset by the net impact of contractual pass-through material pricing provisions. As a result, on a pro forma basis, sales decreased 0.2%.</w:t>
      </w:r>
    </w:p>
    <w:p>
      <w:pPr>
        <w:spacing w:after="0" w:line="137"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2</w:t>
      </w:r>
    </w:p>
    <w:p>
      <w:pPr>
        <w:sectPr>
          <w:pgSz w:w="11900" w:h="16838" w:orient="portrait"/>
          <w:cols w:equalWidth="0" w:num="1">
            <w:col w:w="11300"/>
          </w:cols>
          <w:pgMar w:left="300" w:top="1005" w:right="299" w:bottom="1440" w:gutter="0" w:footer="0" w:header="0"/>
        </w:sectPr>
      </w:pPr>
    </w:p>
    <w:bookmarkStart w:id="5" w:name="page6"/>
    <w:bookmarkEnd w:id="5"/>
    <w:p>
      <w:pPr>
        <w:ind w:right="120"/>
        <w:spacing w:after="0" w:line="242" w:lineRule="auto"/>
        <w:rPr>
          <w:sz w:val="20"/>
          <w:szCs w:val="20"/>
          <w:color w:val="auto"/>
        </w:rPr>
      </w:pPr>
      <w:r>
        <w:rPr>
          <w:rFonts w:ascii="Calibri" w:cs="Calibri" w:eastAsia="Calibri" w:hAnsi="Calibri"/>
          <w:sz w:val="13"/>
          <w:szCs w:val="13"/>
          <w:color w:val="auto"/>
        </w:rPr>
        <w:t>Loss from operatons was $27.5 million in the year ended December 31, 2024 compared to a loss from operatons of $21.8 million in the year ended December 31, 2023, primarily due to lower revenue, the impairment of machinery and equipment at a plant that will close in 2025, higher travel, stock compensaton and severance expense, partally ofset by lower salaries due to a reducton in headcount.</w:t>
      </w:r>
    </w:p>
    <w:p>
      <w:pPr>
        <w:spacing w:after="0" w:line="166" w:lineRule="exact"/>
        <w:rPr>
          <w:sz w:val="20"/>
          <w:szCs w:val="20"/>
          <w:color w:val="auto"/>
        </w:rPr>
      </w:pPr>
    </w:p>
    <w:p>
      <w:pPr>
        <w:ind w:right="200"/>
        <w:spacing w:after="0" w:line="234" w:lineRule="auto"/>
        <w:rPr>
          <w:sz w:val="20"/>
          <w:szCs w:val="20"/>
          <w:color w:val="auto"/>
        </w:rPr>
      </w:pPr>
      <w:r>
        <w:rPr>
          <w:rFonts w:ascii="Calibri" w:cs="Calibri" w:eastAsia="Calibri" w:hAnsi="Calibri"/>
          <w:sz w:val="13"/>
          <w:szCs w:val="13"/>
          <w:color w:val="auto"/>
        </w:rPr>
        <w:t>Net loss was $38.3 million compared to net loss of $50.2 million for the same period in 2023. The improvement is primarily due to the $7.2 million gain on sale of the Lubbock operatons and a decrease in noncash derivatve mark-to-market losses, as well as increased share of net income from joint venture.</w:t>
      </w:r>
    </w:p>
    <w:p>
      <w:pPr>
        <w:spacing w:after="0" w:line="121"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Fourth Quarter Adjusted Results</w:t>
      </w:r>
    </w:p>
    <w:p>
      <w:pPr>
        <w:spacing w:after="0" w:line="41" w:lineRule="exact"/>
        <w:rPr>
          <w:sz w:val="20"/>
          <w:szCs w:val="20"/>
          <w:color w:val="auto"/>
        </w:rPr>
      </w:pPr>
    </w:p>
    <w:p>
      <w:pPr>
        <w:spacing w:after="0" w:line="255" w:lineRule="auto"/>
        <w:rPr>
          <w:sz w:val="20"/>
          <w:szCs w:val="20"/>
          <w:color w:val="auto"/>
        </w:rPr>
      </w:pPr>
      <w:r>
        <w:rPr>
          <w:rFonts w:ascii="Calibri" w:cs="Calibri" w:eastAsia="Calibri" w:hAnsi="Calibri"/>
          <w:sz w:val="13"/>
          <w:szCs w:val="13"/>
          <w:color w:val="auto"/>
        </w:rPr>
        <w:t>Adjusted income from operatons for the fourth quarter of 2024 was $2.4 million compared to adjusted loss from operatons of $1.4 million for the same period in 2023. Adjusted EBITDA was $12.1 million, or 11.3% of sales, compared to $10.0 million, or 8.9% of sales, for the same period in 2023.</w:t>
      </w:r>
    </w:p>
    <w:p>
      <w:pPr>
        <w:spacing w:after="0" w:line="113" w:lineRule="exact"/>
        <w:rPr>
          <w:sz w:val="20"/>
          <w:szCs w:val="20"/>
          <w:color w:val="auto"/>
        </w:rPr>
      </w:pPr>
    </w:p>
    <w:p>
      <w:pPr>
        <w:ind w:right="20"/>
        <w:spacing w:after="0" w:line="255" w:lineRule="auto"/>
        <w:rPr>
          <w:sz w:val="20"/>
          <w:szCs w:val="20"/>
          <w:color w:val="auto"/>
        </w:rPr>
      </w:pPr>
      <w:r>
        <w:rPr>
          <w:rFonts w:ascii="Calibri" w:cs="Calibri" w:eastAsia="Calibri" w:hAnsi="Calibri"/>
          <w:sz w:val="13"/>
          <w:szCs w:val="13"/>
          <w:color w:val="auto"/>
        </w:rPr>
        <w:t>Adjusted net loss was $0.9 million, or $0.02 per diluted share, compared to adjusted net loss of $4.9 million, or $0.10 per diluted share, for the same period in 2023. Free cash fow was a generaton of cash of $3.8 million compared to a generaton of cash of $1.3 million for the same period in 2023.</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Power Solutons</w:t>
      </w:r>
    </w:p>
    <w:p>
      <w:pPr>
        <w:spacing w:after="0" w:line="231" w:lineRule="auto"/>
        <w:rPr>
          <w:sz w:val="20"/>
          <w:szCs w:val="20"/>
          <w:color w:val="auto"/>
        </w:rPr>
      </w:pPr>
      <w:r>
        <w:rPr>
          <w:rFonts w:ascii="Calibri" w:cs="Calibri" w:eastAsia="Calibri" w:hAnsi="Calibri"/>
          <w:sz w:val="13"/>
          <w:szCs w:val="13"/>
          <w:color w:val="auto"/>
        </w:rPr>
        <w:t>Net sales for the fourth quarter of 2024 were $39.2 million compared to $43.3 million in the same period in 2023.</w:t>
      </w:r>
    </w:p>
    <w:p>
      <w:pPr>
        <w:spacing w:after="0" w:line="231" w:lineRule="auto"/>
        <w:rPr>
          <w:sz w:val="20"/>
          <w:szCs w:val="20"/>
          <w:color w:val="auto"/>
        </w:rPr>
      </w:pPr>
      <w:r>
        <w:rPr>
          <w:rFonts w:ascii="Calibri" w:cs="Calibri" w:eastAsia="Calibri" w:hAnsi="Calibri"/>
          <w:sz w:val="13"/>
          <w:szCs w:val="13"/>
          <w:color w:val="auto"/>
        </w:rPr>
        <w:t>The decrease is primarily due to lower volumes, including from the sale of the Lubbock operatons, ofset partally by pricing.</w:t>
      </w:r>
    </w:p>
    <w:p>
      <w:pPr>
        <w:spacing w:after="0" w:line="159" w:lineRule="exact"/>
        <w:rPr>
          <w:sz w:val="20"/>
          <w:szCs w:val="20"/>
          <w:color w:val="auto"/>
        </w:rPr>
      </w:pPr>
    </w:p>
    <w:p>
      <w:pPr>
        <w:ind w:right="100"/>
        <w:spacing w:after="0"/>
        <w:rPr>
          <w:sz w:val="20"/>
          <w:szCs w:val="20"/>
          <w:color w:val="auto"/>
        </w:rPr>
      </w:pPr>
      <w:r>
        <w:rPr>
          <w:rFonts w:ascii="Calibri" w:cs="Calibri" w:eastAsia="Calibri" w:hAnsi="Calibri"/>
          <w:sz w:val="13"/>
          <w:szCs w:val="13"/>
          <w:color w:val="auto"/>
        </w:rPr>
        <w:t>Net sales decreased by $5.4 million, or 2.9%, during the year ended December 31, 2024, compared to the year ended December 31, 2023, primarily due to the sale of our Lubbock operatons, premium pricing received on a certain customer project during the frst quarter of 2023, and unfavorable foreign exchange efects of $0.2 million. These decreases were partally ofset by higher precious metals pass-through pricing.</w:t>
      </w:r>
    </w:p>
    <w:p>
      <w:pPr>
        <w:spacing w:after="0" w:line="295" w:lineRule="exact"/>
        <w:rPr>
          <w:sz w:val="20"/>
          <w:szCs w:val="20"/>
          <w:color w:val="auto"/>
        </w:rPr>
      </w:pPr>
    </w:p>
    <w:p>
      <w:pPr>
        <w:ind w:right="20"/>
        <w:spacing w:after="0" w:line="234" w:lineRule="auto"/>
        <w:rPr>
          <w:sz w:val="20"/>
          <w:szCs w:val="20"/>
          <w:color w:val="auto"/>
        </w:rPr>
      </w:pPr>
      <w:r>
        <w:rPr>
          <w:rFonts w:ascii="Calibri" w:cs="Calibri" w:eastAsia="Calibri" w:hAnsi="Calibri"/>
          <w:sz w:val="13"/>
          <w:szCs w:val="13"/>
          <w:color w:val="auto"/>
        </w:rPr>
        <w:t>Adjusted income from operatons was $4.6 million compared to adjusted income from operatons of $5.8 million in the fourth quarter of 2023. The decrease in adjusted income from operatons was primarily due to the lower revenue, including from the sale of the Lubbock operatons, partally ofset by cost reducton initatves.</w:t>
      </w:r>
    </w:p>
    <w:p>
      <w:pPr>
        <w:spacing w:after="0" w:line="159" w:lineRule="exact"/>
        <w:rPr>
          <w:sz w:val="20"/>
          <w:szCs w:val="20"/>
          <w:color w:val="auto"/>
        </w:rPr>
      </w:pPr>
    </w:p>
    <w:p>
      <w:pPr>
        <w:ind w:right="40"/>
        <w:spacing w:after="0" w:line="234" w:lineRule="auto"/>
        <w:rPr>
          <w:sz w:val="20"/>
          <w:szCs w:val="20"/>
          <w:color w:val="auto"/>
        </w:rPr>
      </w:pPr>
      <w:r>
        <w:rPr>
          <w:rFonts w:ascii="Calibri" w:cs="Calibri" w:eastAsia="Calibri" w:hAnsi="Calibri"/>
          <w:sz w:val="13"/>
          <w:szCs w:val="13"/>
          <w:color w:val="auto"/>
        </w:rPr>
        <w:t>Income from operatons increased by $2.0 million during the year ended December 31, 2024 compared to the same period in the prior year, primarily due to an increase in sublease income earned on closed facilites and lower depreciaton and amortzaton expense due to sold or fully utlized assets.</w:t>
      </w:r>
    </w:p>
    <w:p>
      <w:pPr>
        <w:spacing w:after="0" w:line="166"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Mobile Solutons</w:t>
      </w:r>
    </w:p>
    <w:p>
      <w:pPr>
        <w:spacing w:after="0" w:line="32" w:lineRule="exact"/>
        <w:rPr>
          <w:sz w:val="20"/>
          <w:szCs w:val="20"/>
          <w:color w:val="auto"/>
        </w:rPr>
      </w:pPr>
    </w:p>
    <w:p>
      <w:pPr>
        <w:ind w:right="300"/>
        <w:spacing w:after="0" w:line="234" w:lineRule="auto"/>
        <w:rPr>
          <w:sz w:val="20"/>
          <w:szCs w:val="20"/>
          <w:color w:val="auto"/>
        </w:rPr>
      </w:pPr>
      <w:r>
        <w:rPr>
          <w:rFonts w:ascii="Calibri" w:cs="Calibri" w:eastAsia="Calibri" w:hAnsi="Calibri"/>
          <w:sz w:val="13"/>
          <w:szCs w:val="13"/>
          <w:color w:val="auto"/>
        </w:rPr>
        <w:t>Net sales for the fourth quarter of 2024 were $67.4 million compared to $69.2 million in the fourth quarter of 2023, a decrease of 2.7%. The decrease in sales was primarily due to ratonalized volume at plants undergoing turnarounds, contractual reducton in customer pass-through material pricing, and unfavorable foreign exchange efects of $1.6 million.</w:t>
      </w:r>
    </w:p>
    <w:p>
      <w:pPr>
        <w:spacing w:after="0" w:line="150" w:lineRule="exact"/>
        <w:rPr>
          <w:sz w:val="20"/>
          <w:szCs w:val="20"/>
          <w:color w:val="auto"/>
        </w:rPr>
      </w:pPr>
    </w:p>
    <w:p>
      <w:pPr>
        <w:ind w:right="660"/>
        <w:spacing w:after="0" w:line="234" w:lineRule="auto"/>
        <w:rPr>
          <w:sz w:val="20"/>
          <w:szCs w:val="20"/>
          <w:color w:val="auto"/>
        </w:rPr>
      </w:pPr>
      <w:r>
        <w:rPr>
          <w:rFonts w:ascii="Calibri" w:cs="Calibri" w:eastAsia="Calibri" w:hAnsi="Calibri"/>
          <w:sz w:val="13"/>
          <w:szCs w:val="13"/>
          <w:color w:val="auto"/>
        </w:rPr>
        <w:t>Net sales decreased by $19.4 million, or 6.4%, during the year ended December 31, 2024, compared to the year ended December 31, 2023, primarily due ratonalized volume at plants undergoing turnarounds, contractual reducton in customer pass-through material pricing, a customer setlement received in 2023 and unfavorable foreign exchange efects of $3.3 million.</w:t>
      </w:r>
    </w:p>
    <w:p>
      <w:pPr>
        <w:spacing w:after="0" w:line="150" w:lineRule="exact"/>
        <w:rPr>
          <w:sz w:val="20"/>
          <w:szCs w:val="20"/>
          <w:color w:val="auto"/>
        </w:rPr>
      </w:pPr>
    </w:p>
    <w:p>
      <w:pPr>
        <w:ind w:right="100"/>
        <w:spacing w:after="0" w:line="227" w:lineRule="auto"/>
        <w:rPr>
          <w:sz w:val="20"/>
          <w:szCs w:val="20"/>
          <w:color w:val="auto"/>
        </w:rPr>
      </w:pPr>
      <w:r>
        <w:rPr>
          <w:rFonts w:ascii="Calibri" w:cs="Calibri" w:eastAsia="Calibri" w:hAnsi="Calibri"/>
          <w:sz w:val="13"/>
          <w:szCs w:val="13"/>
          <w:color w:val="auto"/>
        </w:rPr>
        <w:t>Adjusted income from operatons was $2.5 million compared to adjusted loss from operatons of $2.3 million in the fourth quarter of 2023. The increase in adjustment income from operatons was primarily due to the ratonalizaton of underperforming business.</w:t>
      </w:r>
    </w:p>
    <w:p>
      <w:pPr>
        <w:spacing w:after="0" w:line="159" w:lineRule="exact"/>
        <w:rPr>
          <w:sz w:val="20"/>
          <w:szCs w:val="20"/>
          <w:color w:val="auto"/>
        </w:rPr>
      </w:pPr>
    </w:p>
    <w:p>
      <w:pPr>
        <w:ind w:right="20"/>
        <w:spacing w:after="0" w:line="227" w:lineRule="auto"/>
        <w:rPr>
          <w:sz w:val="20"/>
          <w:szCs w:val="20"/>
          <w:color w:val="auto"/>
        </w:rPr>
      </w:pPr>
      <w:r>
        <w:rPr>
          <w:rFonts w:ascii="Calibri" w:cs="Calibri" w:eastAsia="Calibri" w:hAnsi="Calibri"/>
          <w:sz w:val="13"/>
          <w:szCs w:val="13"/>
          <w:color w:val="auto"/>
        </w:rPr>
        <w:t>Loss from operatons changed unfavorably by $6.3 million during the year ended December 31, 2024, compared to the prior year, primarily due to the impairment of machinery and equipment at a plant that will close in 2025. The change was also impacted by higher depreciaton expense and selling, general and administratve costs.</w:t>
      </w:r>
    </w:p>
    <w:p>
      <w:pPr>
        <w:spacing w:after="0" w:line="14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3</w:t>
      </w:r>
    </w:p>
    <w:p>
      <w:pPr>
        <w:sectPr>
          <w:pgSz w:w="11900" w:h="16838" w:orient="portrait"/>
          <w:cols w:equalWidth="0" w:num="1">
            <w:col w:w="11300"/>
          </w:cols>
          <w:pgMar w:left="300" w:top="834" w:right="299" w:bottom="1440" w:gutter="0" w:footer="0" w:header="0"/>
        </w:sectPr>
      </w:pPr>
    </w:p>
    <w:bookmarkStart w:id="6" w:name="page7"/>
    <w:bookmarkEnd w:id="6"/>
    <w:p>
      <w:pPr>
        <w:spacing w:after="0"/>
        <w:rPr>
          <w:sz w:val="20"/>
          <w:szCs w:val="20"/>
          <w:color w:val="auto"/>
        </w:rPr>
      </w:pPr>
      <w:r>
        <w:rPr>
          <w:rFonts w:ascii="Calibri" w:cs="Calibri" w:eastAsia="Calibri" w:hAnsi="Calibri"/>
          <w:sz w:val="13"/>
          <w:szCs w:val="13"/>
          <w:b w:val="1"/>
          <w:bCs w:val="1"/>
          <w:u w:val="single" w:color="auto"/>
          <w:color w:val="auto"/>
        </w:rPr>
        <w:t>2025 Outlook</w:t>
      </w:r>
    </w:p>
    <w:p>
      <w:pPr>
        <w:spacing w:after="0" w:line="48" w:lineRule="exact"/>
        <w:rPr>
          <w:sz w:val="20"/>
          <w:szCs w:val="20"/>
          <w:color w:val="auto"/>
        </w:rPr>
      </w:pPr>
    </w:p>
    <w:p>
      <w:pPr>
        <w:spacing w:after="0"/>
        <w:rPr>
          <w:sz w:val="20"/>
          <w:szCs w:val="20"/>
          <w:color w:val="auto"/>
        </w:rPr>
      </w:pPr>
      <w:r>
        <w:rPr>
          <w:rFonts w:ascii="Calibri" w:cs="Calibri" w:eastAsia="Calibri" w:hAnsi="Calibri"/>
          <w:sz w:val="13"/>
          <w:szCs w:val="13"/>
          <w:color w:val="auto"/>
        </w:rPr>
        <w:t>Guidance assumes a similar FX, trade policy, and metal industry environment as in 2024.</w:t>
      </w:r>
    </w:p>
    <w:p>
      <w:pPr>
        <w:spacing w:after="0" w:line="156" w:lineRule="exact"/>
        <w:rPr>
          <w:sz w:val="20"/>
          <w:szCs w:val="20"/>
          <w:color w:val="auto"/>
        </w:rPr>
      </w:pPr>
    </w:p>
    <w:p>
      <w:pPr>
        <w:spacing w:after="0"/>
        <w:rPr>
          <w:sz w:val="20"/>
          <w:szCs w:val="20"/>
          <w:color w:val="auto"/>
        </w:rPr>
      </w:pPr>
      <w:r>
        <w:rPr>
          <w:rFonts w:ascii="Calibri" w:cs="Calibri" w:eastAsia="Calibri" w:hAnsi="Calibri"/>
          <w:sz w:val="13"/>
          <w:szCs w:val="13"/>
          <w:color w:val="auto"/>
        </w:rPr>
        <w:t>Revenues should be between $450 to $480 million, depending on FX and tarif impacts</w:t>
      </w:r>
    </w:p>
    <w:p>
      <w:pPr>
        <w:ind w:left="420" w:hanging="212"/>
        <w:spacing w:after="0" w:line="231" w:lineRule="auto"/>
        <w:tabs>
          <w:tab w:leader="none" w:pos="4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At midpoint, slight growth over 2024 on a proforma basis</w:t>
      </w:r>
    </w:p>
    <w:p>
      <w:pPr>
        <w:spacing w:after="0" w:line="3" w:lineRule="exact"/>
        <w:rPr>
          <w:rFonts w:ascii="Calibri" w:cs="Calibri" w:eastAsia="Calibri" w:hAnsi="Calibri"/>
          <w:sz w:val="13"/>
          <w:szCs w:val="13"/>
          <w:color w:val="auto"/>
        </w:rPr>
      </w:pPr>
    </w:p>
    <w:p>
      <w:pPr>
        <w:ind w:left="420" w:hanging="212"/>
        <w:spacing w:after="0"/>
        <w:tabs>
          <w:tab w:leader="none" w:pos="420" w:val="left"/>
        </w:tabs>
        <w:numPr>
          <w:ilvl w:val="0"/>
          <w:numId w:val="7"/>
        </w:numPr>
        <w:rPr>
          <w:rFonts w:ascii="Calibri" w:cs="Calibri" w:eastAsia="Calibri" w:hAnsi="Calibri"/>
          <w:sz w:val="13"/>
          <w:szCs w:val="13"/>
          <w:color w:val="auto"/>
        </w:rPr>
      </w:pPr>
      <w:r>
        <w:rPr>
          <w:rFonts w:ascii="Calibri" w:cs="Calibri" w:eastAsia="Calibri" w:hAnsi="Calibri"/>
          <w:sz w:val="13"/>
          <w:szCs w:val="13"/>
          <w:color w:val="auto"/>
        </w:rPr>
        <w:t>Core performance metrics normalized for sale of Lubbock and ratonalized business during 2024</w:t>
      </w:r>
    </w:p>
    <w:p>
      <w:pPr>
        <w:spacing w:after="0" w:line="156" w:lineRule="exact"/>
        <w:rPr>
          <w:sz w:val="20"/>
          <w:szCs w:val="20"/>
          <w:color w:val="auto"/>
        </w:rPr>
      </w:pPr>
    </w:p>
    <w:p>
      <w:pPr>
        <w:spacing w:after="0"/>
        <w:rPr>
          <w:sz w:val="20"/>
          <w:szCs w:val="20"/>
          <w:color w:val="auto"/>
        </w:rPr>
      </w:pPr>
      <w:r>
        <w:rPr>
          <w:rFonts w:ascii="Calibri" w:cs="Calibri" w:eastAsia="Calibri" w:hAnsi="Calibri"/>
          <w:sz w:val="13"/>
          <w:szCs w:val="13"/>
          <w:color w:val="auto"/>
        </w:rPr>
        <w:t>Adjusted EBITDA should be between $53 and $63 million, depending on FX and tarif impacts</w:t>
      </w:r>
    </w:p>
    <w:p>
      <w:pPr>
        <w:ind w:left="420" w:hanging="212"/>
        <w:spacing w:after="0" w:line="231" w:lineRule="auto"/>
        <w:tabs>
          <w:tab w:leader="none" w:pos="420" w:val="left"/>
        </w:tabs>
        <w:numPr>
          <w:ilvl w:val="0"/>
          <w:numId w:val="8"/>
        </w:numPr>
        <w:rPr>
          <w:rFonts w:ascii="Calibri" w:cs="Calibri" w:eastAsia="Calibri" w:hAnsi="Calibri"/>
          <w:sz w:val="13"/>
          <w:szCs w:val="13"/>
          <w:color w:val="auto"/>
        </w:rPr>
      </w:pPr>
      <w:r>
        <w:rPr>
          <w:rFonts w:ascii="Calibri" w:cs="Calibri" w:eastAsia="Calibri" w:hAnsi="Calibri"/>
          <w:sz w:val="13"/>
          <w:szCs w:val="13"/>
          <w:color w:val="auto"/>
        </w:rPr>
        <w:t>At midpoint, up ~15% over 2024 on a proforma basis</w:t>
      </w:r>
    </w:p>
    <w:p>
      <w:pPr>
        <w:spacing w:after="0" w:line="3" w:lineRule="exact"/>
        <w:rPr>
          <w:rFonts w:ascii="Calibri" w:cs="Calibri" w:eastAsia="Calibri" w:hAnsi="Calibri"/>
          <w:sz w:val="13"/>
          <w:szCs w:val="13"/>
          <w:color w:val="auto"/>
        </w:rPr>
      </w:pPr>
    </w:p>
    <w:p>
      <w:pPr>
        <w:ind w:left="420" w:hanging="212"/>
        <w:spacing w:after="0"/>
        <w:tabs>
          <w:tab w:leader="none" w:pos="420" w:val="left"/>
        </w:tabs>
        <w:numPr>
          <w:ilvl w:val="0"/>
          <w:numId w:val="8"/>
        </w:numPr>
        <w:rPr>
          <w:rFonts w:ascii="Calibri" w:cs="Calibri" w:eastAsia="Calibri" w:hAnsi="Calibri"/>
          <w:sz w:val="13"/>
          <w:szCs w:val="13"/>
          <w:color w:val="auto"/>
        </w:rPr>
      </w:pPr>
      <w:r>
        <w:rPr>
          <w:rFonts w:ascii="Calibri" w:cs="Calibri" w:eastAsia="Calibri" w:hAnsi="Calibri"/>
          <w:sz w:val="13"/>
          <w:szCs w:val="13"/>
          <w:color w:val="auto"/>
        </w:rPr>
        <w:t>Core performance metrics normalized for sale of Lubbock and ratonalized business during 2024</w:t>
      </w:r>
    </w:p>
    <w:p>
      <w:pPr>
        <w:spacing w:after="0" w:line="165" w:lineRule="exact"/>
        <w:rPr>
          <w:sz w:val="20"/>
          <w:szCs w:val="20"/>
          <w:color w:val="auto"/>
        </w:rPr>
      </w:pPr>
    </w:p>
    <w:p>
      <w:pPr>
        <w:spacing w:after="0"/>
        <w:rPr>
          <w:sz w:val="20"/>
          <w:szCs w:val="20"/>
          <w:color w:val="auto"/>
        </w:rPr>
      </w:pPr>
      <w:r>
        <w:rPr>
          <w:rFonts w:ascii="Calibri" w:cs="Calibri" w:eastAsia="Calibri" w:hAnsi="Calibri"/>
          <w:sz w:val="13"/>
          <w:szCs w:val="13"/>
          <w:color w:val="auto"/>
        </w:rPr>
        <w:t>New business wins between $60 to $70 million</w:t>
      </w:r>
    </w:p>
    <w:p>
      <w:pPr>
        <w:ind w:left="420" w:hanging="212"/>
        <w:spacing w:after="0" w:line="217" w:lineRule="auto"/>
        <w:tabs>
          <w:tab w:leader="none" w:pos="420" w:val="left"/>
        </w:tabs>
        <w:numPr>
          <w:ilvl w:val="0"/>
          <w:numId w:val="9"/>
        </w:numPr>
        <w:rPr>
          <w:rFonts w:ascii="Calibri" w:cs="Calibri" w:eastAsia="Calibri" w:hAnsi="Calibri"/>
          <w:sz w:val="13"/>
          <w:szCs w:val="13"/>
          <w:color w:val="auto"/>
        </w:rPr>
      </w:pPr>
      <w:r>
        <w:rPr>
          <w:rFonts w:ascii="Calibri" w:cs="Calibri" w:eastAsia="Calibri" w:hAnsi="Calibri"/>
          <w:sz w:val="13"/>
          <w:szCs w:val="13"/>
          <w:color w:val="auto"/>
        </w:rPr>
        <w:t>Targetng larger amounts from stamped products, electrical products and medical products</w:t>
      </w:r>
    </w:p>
    <w:p>
      <w:pPr>
        <w:spacing w:after="0" w:line="12" w:lineRule="exact"/>
        <w:rPr>
          <w:rFonts w:ascii="Calibri" w:cs="Calibri" w:eastAsia="Calibri" w:hAnsi="Calibri"/>
          <w:sz w:val="13"/>
          <w:szCs w:val="13"/>
          <w:color w:val="auto"/>
        </w:rPr>
      </w:pPr>
    </w:p>
    <w:p>
      <w:pPr>
        <w:ind w:left="420" w:hanging="212"/>
        <w:spacing w:after="0"/>
        <w:tabs>
          <w:tab w:leader="none" w:pos="420" w:val="left"/>
        </w:tabs>
        <w:numPr>
          <w:ilvl w:val="0"/>
          <w:numId w:val="9"/>
        </w:numPr>
        <w:rPr>
          <w:rFonts w:ascii="Calibri" w:cs="Calibri" w:eastAsia="Calibri" w:hAnsi="Calibri"/>
          <w:sz w:val="13"/>
          <w:szCs w:val="13"/>
          <w:color w:val="auto"/>
        </w:rPr>
      </w:pPr>
      <w:r>
        <w:rPr>
          <w:rFonts w:ascii="Calibri" w:cs="Calibri" w:eastAsia="Calibri" w:hAnsi="Calibri"/>
          <w:sz w:val="13"/>
          <w:szCs w:val="13"/>
          <w:color w:val="auto"/>
        </w:rPr>
        <w:t>China will fund its own new wins program</w:t>
      </w:r>
    </w:p>
    <w:p>
      <w:pPr>
        <w:spacing w:after="0" w:line="3" w:lineRule="exact"/>
        <w:rPr>
          <w:rFonts w:ascii="Calibri" w:cs="Calibri" w:eastAsia="Calibri" w:hAnsi="Calibri"/>
          <w:sz w:val="13"/>
          <w:szCs w:val="13"/>
          <w:color w:val="auto"/>
        </w:rPr>
      </w:pPr>
    </w:p>
    <w:p>
      <w:pPr>
        <w:ind w:left="420" w:hanging="212"/>
        <w:spacing w:after="0"/>
        <w:tabs>
          <w:tab w:leader="none" w:pos="420" w:val="left"/>
        </w:tabs>
        <w:numPr>
          <w:ilvl w:val="0"/>
          <w:numId w:val="9"/>
        </w:numPr>
        <w:rPr>
          <w:rFonts w:ascii="Calibri" w:cs="Calibri" w:eastAsia="Calibri" w:hAnsi="Calibri"/>
          <w:sz w:val="13"/>
          <w:szCs w:val="13"/>
          <w:color w:val="auto"/>
        </w:rPr>
      </w:pPr>
      <w:r>
        <w:rPr>
          <w:rFonts w:ascii="Calibri" w:cs="Calibri" w:eastAsia="Calibri" w:hAnsi="Calibri"/>
          <w:sz w:val="13"/>
          <w:szCs w:val="13"/>
          <w:color w:val="auto"/>
        </w:rPr>
        <w:t>Contnue to leverage $340 million of machinery and equipment to minimize cash capex spend</w:t>
      </w:r>
    </w:p>
    <w:p>
      <w:pPr>
        <w:spacing w:after="0" w:line="167" w:lineRule="exact"/>
        <w:rPr>
          <w:sz w:val="20"/>
          <w:szCs w:val="20"/>
          <w:color w:val="auto"/>
        </w:rPr>
      </w:pPr>
    </w:p>
    <w:p>
      <w:pPr>
        <w:jc w:val="both"/>
        <w:spacing w:after="0" w:line="248" w:lineRule="auto"/>
        <w:rPr>
          <w:sz w:val="20"/>
          <w:szCs w:val="20"/>
          <w:color w:val="auto"/>
        </w:rPr>
      </w:pPr>
      <w:r>
        <w:rPr>
          <w:rFonts w:ascii="Calibri" w:cs="Calibri" w:eastAsia="Calibri" w:hAnsi="Calibri"/>
          <w:sz w:val="13"/>
          <w:szCs w:val="13"/>
          <w:color w:val="auto"/>
        </w:rPr>
        <w:t>Chris Bohnert, Senior Vice President and Chief Financial Ofcer, commented, “The key end markets NN serves remain solid on balance, subject to potental impacts of foreign exchange rate fuctuatons, volume uncertainty and tarif impacts. These uncertaintes are initally moving us to the low half of the Revenue and adjusted EBITDA ranges for the full-year. We expect our proftability results to be supported by stronger margins as a result of cost-out actons and operatonal efciencies, as well as the launching of new business wins. Our adjusted EBITDA forecast calls for solid year-over-year improvement driven by a combinaton of a stronger gross margin profle, and the beneft of our consistent actons to improve our fxed and variable cost structure.”</w:t>
      </w:r>
    </w:p>
    <w:p>
      <w:pPr>
        <w:spacing w:after="0" w:line="172" w:lineRule="exact"/>
        <w:rPr>
          <w:sz w:val="20"/>
          <w:szCs w:val="20"/>
          <w:color w:val="auto"/>
        </w:rPr>
      </w:pPr>
    </w:p>
    <w:p>
      <w:pPr>
        <w:jc w:val="both"/>
        <w:ind w:right="20"/>
        <w:spacing w:after="0" w:line="243" w:lineRule="auto"/>
        <w:rPr>
          <w:sz w:val="20"/>
          <w:szCs w:val="20"/>
          <w:color w:val="auto"/>
        </w:rPr>
      </w:pPr>
      <w:r>
        <w:rPr>
          <w:rFonts w:ascii="Calibri" w:cs="Calibri" w:eastAsia="Calibri" w:hAnsi="Calibri"/>
          <w:sz w:val="13"/>
          <w:szCs w:val="13"/>
          <w:color w:val="auto"/>
        </w:rPr>
        <w:t>Mr. Bohnert concluded, “The refnancing of our Term Loan is in process and our focus remains on improving our fnancial fexibility and supportng our proftable growth strategy. While this process is infuenced by NN’s positvely evolving growth capital and capacity expansion needs, as well as the Company's changing cost structure, we expect this process to conclude in the frst half of the year, which will provide us the runway needed to contnue our mult-year transformaton.”</w:t>
      </w:r>
    </w:p>
    <w:p>
      <w:pPr>
        <w:spacing w:after="0" w:line="200" w:lineRule="exact"/>
        <w:rPr>
          <w:sz w:val="20"/>
          <w:szCs w:val="20"/>
          <w:color w:val="auto"/>
        </w:rPr>
      </w:pPr>
    </w:p>
    <w:p>
      <w:pPr>
        <w:spacing w:after="0" w:line="279"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4</w:t>
      </w:r>
    </w:p>
    <w:p>
      <w:pPr>
        <w:sectPr>
          <w:pgSz w:w="11900" w:h="16838" w:orient="portrait"/>
          <w:cols w:equalWidth="0" w:num="1">
            <w:col w:w="11300"/>
          </w:cols>
          <w:pgMar w:left="300" w:top="670" w:right="299" w:bottom="1440" w:gutter="0" w:footer="0" w:header="0"/>
        </w:sectPr>
      </w:pPr>
    </w:p>
    <w:bookmarkStart w:id="7" w:name="page8"/>
    <w:bookmarkEnd w:id="7"/>
    <w:p>
      <w:pPr>
        <w:ind w:left="8"/>
        <w:spacing w:after="0"/>
        <w:rPr>
          <w:sz w:val="20"/>
          <w:szCs w:val="20"/>
          <w:color w:val="auto"/>
        </w:rPr>
      </w:pPr>
      <w:r>
        <w:rPr>
          <w:rFonts w:ascii="Calibri" w:cs="Calibri" w:eastAsia="Calibri" w:hAnsi="Calibri"/>
          <w:sz w:val="13"/>
          <w:szCs w:val="13"/>
          <w:b w:val="1"/>
          <w:bCs w:val="1"/>
          <w:u w:val="single" w:color="auto"/>
          <w:color w:val="auto"/>
        </w:rPr>
        <w:t>Conference Call</w:t>
      </w:r>
    </w:p>
    <w:p>
      <w:pPr>
        <w:spacing w:after="0" w:line="50" w:lineRule="exact"/>
        <w:rPr>
          <w:sz w:val="20"/>
          <w:szCs w:val="20"/>
          <w:color w:val="auto"/>
        </w:rPr>
      </w:pPr>
    </w:p>
    <w:p>
      <w:pPr>
        <w:jc w:val="both"/>
        <w:ind w:left="8" w:right="20" w:hanging="8"/>
        <w:spacing w:after="0" w:line="244" w:lineRule="auto"/>
        <w:tabs>
          <w:tab w:leader="none" w:pos="229" w:val="left"/>
        </w:tabs>
        <w:numPr>
          <w:ilvl w:val="0"/>
          <w:numId w:val="10"/>
        </w:numPr>
        <w:rPr>
          <w:rFonts w:ascii="Calibri" w:cs="Calibri" w:eastAsia="Calibri" w:hAnsi="Calibri"/>
          <w:sz w:val="13"/>
          <w:szCs w:val="13"/>
          <w:color w:val="auto"/>
        </w:rPr>
      </w:pPr>
      <w:r>
        <w:rPr>
          <w:rFonts w:ascii="Calibri" w:cs="Calibri" w:eastAsia="Calibri" w:hAnsi="Calibri"/>
          <w:sz w:val="13"/>
          <w:szCs w:val="13"/>
          <w:color w:val="auto"/>
        </w:rPr>
        <w:t>will discuss its results during its quarterly investor conference call on March 6, 2024, at 9 a.m. ET. The call and supplemental presentaton may be accessed via NN's website, www.nninc.com. The conference call can also be accessed by dialing 1-877-255-4315 or 1-412-317-6579. For those who are unavailable to listen to the live broadcast, a replay will be available shortly afer the call untl March 6, 2026.</w:t>
      </w:r>
    </w:p>
    <w:p>
      <w:pPr>
        <w:spacing w:after="0" w:line="289" w:lineRule="exact"/>
        <w:rPr>
          <w:sz w:val="20"/>
          <w:szCs w:val="20"/>
          <w:color w:val="auto"/>
        </w:rPr>
      </w:pPr>
    </w:p>
    <w:p>
      <w:pPr>
        <w:jc w:val="both"/>
        <w:ind w:left="8" w:hanging="8"/>
        <w:spacing w:after="0" w:line="250" w:lineRule="auto"/>
        <w:tabs>
          <w:tab w:leader="none" w:pos="220" w:val="left"/>
        </w:tabs>
        <w:numPr>
          <w:ilvl w:val="0"/>
          <w:numId w:val="11"/>
        </w:numPr>
        <w:rPr>
          <w:rFonts w:ascii="Calibri" w:cs="Calibri" w:eastAsia="Calibri" w:hAnsi="Calibri"/>
          <w:sz w:val="13"/>
          <w:szCs w:val="13"/>
          <w:color w:val="auto"/>
        </w:rPr>
      </w:pPr>
      <w:r>
        <w:rPr>
          <w:rFonts w:ascii="Calibri" w:cs="Calibri" w:eastAsia="Calibri" w:hAnsi="Calibri"/>
          <w:sz w:val="13"/>
          <w:szCs w:val="13"/>
          <w:color w:val="auto"/>
        </w:rPr>
        <w:t>discloses in this press release the non-GAAP fnancial measures of adjusted income (loss) from operatons, adjusted EBITDA, adjusted net income (loss), adjusted net income (loss) per diluted common share, and free cash fow. Each of these non-GAAP fnancial measures provides supplementary informaton about the impacts of restructuring and integraton expense, acquisiton and transiton expenses, foreign exchange impacts on inter-company loans, amortzaton of intangibles and deferred fnancing costs, and other non-operatng impacts on our business.</w:t>
      </w:r>
    </w:p>
    <w:p>
      <w:pPr>
        <w:spacing w:after="0" w:line="116" w:lineRule="exact"/>
        <w:rPr>
          <w:sz w:val="20"/>
          <w:szCs w:val="20"/>
          <w:color w:val="auto"/>
        </w:rPr>
      </w:pPr>
    </w:p>
    <w:p>
      <w:pPr>
        <w:jc w:val="both"/>
        <w:ind w:left="8"/>
        <w:spacing w:after="0" w:line="250" w:lineRule="auto"/>
        <w:rPr>
          <w:sz w:val="20"/>
          <w:szCs w:val="20"/>
          <w:color w:val="auto"/>
        </w:rPr>
      </w:pPr>
      <w:r>
        <w:rPr>
          <w:rFonts w:ascii="Calibri" w:cs="Calibri" w:eastAsia="Calibri" w:hAnsi="Calibri"/>
          <w:sz w:val="13"/>
          <w:szCs w:val="13"/>
          <w:color w:val="auto"/>
        </w:rPr>
        <w:t>The fnancial tables found later in this press release include a reconciliaton of adjusted income (loss) from operatons, adjusted operatng margin, adjusted EBITDA, adjusted EBITDA margin, adjusted net income (loss), adjusted net income (loss) per diluted share, free cash fow to the U.S. GAAP fnancial measures of income (loss) from operatons, net income (loss), net income (loss) per diluted common share, and cash provided (used) by operatng actvites.</w:t>
      </w:r>
    </w:p>
    <w:p>
      <w:pPr>
        <w:spacing w:after="0" w:line="267"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5</w:t>
      </w:r>
    </w:p>
    <w:p>
      <w:pPr>
        <w:sectPr>
          <w:pgSz w:w="11900" w:h="16838" w:orient="portrait"/>
          <w:cols w:equalWidth="0" w:num="1">
            <w:col w:w="11308"/>
          </w:cols>
          <w:pgMar w:left="292" w:top="670" w:right="299" w:bottom="1440" w:gutter="0" w:footer="0" w:header="0"/>
        </w:sectPr>
      </w:pPr>
    </w:p>
    <w:bookmarkStart w:id="8" w:name="page9"/>
    <w:bookmarkEnd w:id="8"/>
    <w:p>
      <w:pPr>
        <w:spacing w:after="0"/>
        <w:rPr>
          <w:sz w:val="20"/>
          <w:szCs w:val="20"/>
          <w:color w:val="auto"/>
        </w:rPr>
      </w:pPr>
      <w:r>
        <w:rPr>
          <w:rFonts w:ascii="Calibri" w:cs="Calibri" w:eastAsia="Calibri" w:hAnsi="Calibri"/>
          <w:sz w:val="13"/>
          <w:szCs w:val="13"/>
          <w:b w:val="1"/>
          <w:bCs w:val="1"/>
          <w:u w:val="single" w:color="auto"/>
          <w:color w:val="auto"/>
        </w:rPr>
        <w:t>About NN, Inc</w:t>
      </w:r>
      <w:r>
        <w:rPr>
          <w:rFonts w:ascii="Calibri" w:cs="Calibri" w:eastAsia="Calibri" w:hAnsi="Calibri"/>
          <w:sz w:val="13"/>
          <w:szCs w:val="13"/>
          <w:b w:val="1"/>
          <w:bCs w:val="1"/>
          <w:color w:val="auto"/>
          <w:highlight w:val="white"/>
        </w:rPr>
        <w:t>.</w:t>
      </w:r>
    </w:p>
    <w:p>
      <w:pPr>
        <w:spacing w:after="0" w:line="50" w:lineRule="exact"/>
        <w:rPr>
          <w:sz w:val="20"/>
          <w:szCs w:val="20"/>
          <w:color w:val="auto"/>
        </w:rPr>
      </w:pPr>
    </w:p>
    <w:p>
      <w:pPr>
        <w:jc w:val="both"/>
        <w:spacing w:after="0" w:line="243" w:lineRule="auto"/>
        <w:rPr>
          <w:sz w:val="20"/>
          <w:szCs w:val="20"/>
          <w:color w:val="auto"/>
        </w:rPr>
      </w:pPr>
      <w:r>
        <w:rPr>
          <w:rFonts w:ascii="Calibri" w:cs="Calibri" w:eastAsia="Calibri" w:hAnsi="Calibri"/>
          <w:sz w:val="13"/>
          <w:szCs w:val="13"/>
          <w:color w:val="auto"/>
        </w:rPr>
        <w:t>NN, Inc., a global diversifed industrial company, combines advanced engineering and producton capabilites with in-depth materials science expertse to design and manufacture high-precision components and assemblies for a variety of markets on a global basis. Headquartered in Charlote, North Carolina, NN has facilites in North America, Europe, South America, and Asia. For more informaton about the company and its products, please visit www.nninc.com.</w:t>
      </w:r>
    </w:p>
    <w:p>
      <w:pPr>
        <w:spacing w:after="0" w:line="138" w:lineRule="exact"/>
        <w:rPr>
          <w:sz w:val="20"/>
          <w:szCs w:val="20"/>
          <w:color w:val="auto"/>
        </w:rPr>
      </w:pPr>
    </w:p>
    <w:p>
      <w:pPr>
        <w:jc w:val="both"/>
        <w:spacing w:after="0" w:line="298" w:lineRule="auto"/>
        <w:rPr>
          <w:sz w:val="20"/>
          <w:szCs w:val="20"/>
          <w:color w:val="auto"/>
        </w:rPr>
      </w:pPr>
      <w:r>
        <w:rPr>
          <w:rFonts w:ascii="Calibri" w:cs="Calibri" w:eastAsia="Calibri" w:hAnsi="Calibri"/>
          <w:sz w:val="8"/>
          <w:szCs w:val="8"/>
          <w:i w:val="1"/>
          <w:iCs w:val="1"/>
          <w:color w:val="auto"/>
        </w:rPr>
        <w:t>Except for specifc historical informaton, many of the maters discussed in this press release may express or imply projectons of revenues or expenditures, statements of plans and objectves or future operatons or statements of future economic performance. These statements may discuss goals, intentons and expectatons as to future trends, plans, events, results of operatons or fnancial conditon, or state other informaton relatng to NN, Inc. (the “Company”) based on current beliefs of management as well as assumptons made by, and informaton currently available to, management. Forward-looking statements generally will be accompanied by words such as “antcipate,” “believe,” “could,” “estmate,” “expect,” “forecast,” “guidance,” “intend,” “may,” “possible,” “potental,” “predict,” “project”, “achieve”, “growth”, “enable”, “improve”, or other similar words, phrases or expressions. Forward-looking statements involve a number of risks and uncertaintes that are outside of management’s control and that may cause actual results to be materially diferent from such forward-looking statements. Such factors include, among others, general economic conditons and economic conditons in the industrial sector; the impacts of pandemics, epidemics, disease outbreaks and other public health crises on our fnancial conditon, business operatons and liquidity; compettve infuences; risks that current customers will commence or increase captve producton; risks of capacity underutlizaton; quality issues; material changes in the costs and availability of raw materials; economic, social, politcal and geopolitcal instability, military confict, currency fuctuaton, and other risks of doing business outside of the United States; infatonary pressures and changes in the cost or availability of materials, supply chain shortages and disruptons, the availability of labor and labor disruptons along the supply chain; our dependence on certain major customers, some of whom are not partes to long-term agreements (and/or are terminable on short notce); the impact of acquisitons and divesttures, as well as expansion of end markets and product oferings; our ability to hire or retain key personnel; the level of our indebtedness; the restrictons contained in our debt agreements; our ability to obtain fnancing at favorable rates, if at all, and to refnance existng debt as it matures; our ability to secure, maintain or enforce patents or other appropriate protectons for our intellectual property; new laws and governmental regulatons; the impact of climate change on our operatons; uncertainty of government policies and actons afer recent U.S. electons in respect to global trade, tarifs and internatonal trade agreements; and cyber liability or potental liability for breaches of our or our service providers’ informaton technology systems or business operatons disruptons. The foregoing factors should not be construed as exhaustve and should be read in conjuncton with the sectons enttled “Risk Factors” and “Management’s Discussion and Analysis of Financial Conditon and Results of Operatons” included in the Company’s flings made with the Securites and Exchange Commission. Any forward-looking statement speaks only as of the date of this press release, and the Company undertakes no obligaton to publicly update or review any forward-looking statement, whether as a result of new informaton, future developments or otherwise, except as required by law. New risks and uncertaintes may emerge from tme to tme, and it is not possible for the Company to predict their occurrence or how they will afect the Company. The Company qualifes all forward-looking statements by these cautonary statements.</w:t>
      </w:r>
    </w:p>
    <w:p>
      <w:pPr>
        <w:spacing w:after="0" w:line="385" w:lineRule="exact"/>
        <w:rPr>
          <w:sz w:val="20"/>
          <w:szCs w:val="20"/>
          <w:color w:val="auto"/>
        </w:rPr>
      </w:pPr>
    </w:p>
    <w:p>
      <w:pPr>
        <w:ind w:right="60"/>
        <w:spacing w:after="0" w:line="233" w:lineRule="auto"/>
        <w:rPr>
          <w:sz w:val="20"/>
          <w:szCs w:val="20"/>
          <w:color w:val="auto"/>
        </w:rPr>
      </w:pPr>
      <w:r>
        <w:rPr>
          <w:rFonts w:ascii="Calibri" w:cs="Calibri" w:eastAsia="Calibri" w:hAnsi="Calibri"/>
          <w:sz w:val="10"/>
          <w:szCs w:val="10"/>
          <w:i w:val="1"/>
          <w:iCs w:val="1"/>
          <w:color w:val="auto"/>
        </w:rPr>
        <w:t>With respect to any non-GAAP fnancial measures included in the following document, the accompanying informaton required by SEC Regulaton G can be found in the back of this document or in the “Investors” secton of the Company’s web site, www.nninc.com, under the heading “News &amp; Events” and subheading “Presentatons.”</w:t>
      </w:r>
    </w:p>
    <w:p>
      <w:pPr>
        <w:spacing w:after="0" w:line="149"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&amp; Media Contacts:</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Joe Caminit or Stephen Poe</w:t>
      </w:r>
    </w:p>
    <w:p>
      <w:pPr>
        <w:spacing w:after="0" w:line="231" w:lineRule="auto"/>
        <w:rPr>
          <w:sz w:val="20"/>
          <w:szCs w:val="20"/>
          <w:color w:val="auto"/>
        </w:rPr>
      </w:pPr>
      <w:r>
        <w:rPr>
          <w:rFonts w:ascii="Calibri" w:cs="Calibri" w:eastAsia="Calibri" w:hAnsi="Calibri"/>
          <w:sz w:val="13"/>
          <w:szCs w:val="13"/>
          <w:color w:val="auto"/>
        </w:rPr>
        <w:t>NNBR@alpha-ir.com</w:t>
      </w:r>
    </w:p>
    <w:p>
      <w:pPr>
        <w:spacing w:after="0" w:line="4" w:lineRule="exact"/>
        <w:rPr>
          <w:sz w:val="20"/>
          <w:szCs w:val="20"/>
          <w:color w:val="auto"/>
        </w:rPr>
      </w:pPr>
    </w:p>
    <w:p>
      <w:pPr>
        <w:spacing w:after="0"/>
        <w:rPr>
          <w:sz w:val="20"/>
          <w:szCs w:val="20"/>
          <w:color w:val="auto"/>
        </w:rPr>
      </w:pPr>
      <w:r>
        <w:rPr>
          <w:rFonts w:ascii="Calibri" w:cs="Calibri" w:eastAsia="Calibri" w:hAnsi="Calibri"/>
          <w:sz w:val="13"/>
          <w:szCs w:val="13"/>
          <w:color w:val="auto"/>
        </w:rPr>
        <w:t>312-445-2870</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Financial Tables Follow</w:t>
      </w:r>
    </w:p>
    <w:p>
      <w:pPr>
        <w:spacing w:after="0" w:line="138"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6</w:t>
      </w:r>
    </w:p>
    <w:p>
      <w:pPr>
        <w:sectPr>
          <w:pgSz w:w="11900" w:h="16838" w:orient="portrait"/>
          <w:cols w:equalWidth="0" w:num="1">
            <w:col w:w="11300"/>
          </w:cols>
          <w:pgMar w:left="300" w:top="670" w:right="29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880" w:type="dxa"/>
            <w:vAlign w:val="bottom"/>
          </w:tcPr>
          <w:p>
            <w:pPr>
              <w:spacing w:after="0"/>
              <w:rPr>
                <w:sz w:val="10"/>
                <w:szCs w:val="10"/>
                <w:color w:val="auto"/>
              </w:rPr>
            </w:pPr>
          </w:p>
        </w:tc>
      </w:tr>
      <w:tr>
        <w:trPr>
          <w:trHeight w:val="125"/>
        </w:trPr>
        <w:tc>
          <w:tcPr>
            <w:tcW w:w="60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80" w:type="dxa"/>
            <w:vAlign w:val="bottom"/>
            <w:tcBorders>
              <w:bottom w:val="single" w:sz="8" w:color="auto"/>
            </w:tcBorders>
          </w:tcPr>
          <w:p>
            <w:pPr>
              <w:spacing w:after="0"/>
              <w:rPr>
                <w:sz w:val="10"/>
                <w:szCs w:val="10"/>
                <w:color w:val="auto"/>
              </w:rPr>
            </w:pPr>
          </w:p>
        </w:tc>
      </w:tr>
      <w:tr>
        <w:trPr>
          <w:trHeight w:val="127"/>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106,513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112,533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464,290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489,270</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95,338</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98,527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394,812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419,175</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12,365</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11,603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49,481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47,436</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10,150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11,477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45,302</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46,120</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5,528</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2,243</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(1,657)</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(16,868)</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(27,548)</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(21,804)</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5,452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5,653</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22,095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21,137</w:t>
            </w:r>
          </w:p>
        </w:tc>
      </w:tr>
      <w:tr>
        <w:trPr>
          <w:trHeight w:val="153"/>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65</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8,760</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(4,558)</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10,730</w:t>
            </w:r>
          </w:p>
        </w:tc>
      </w:tr>
      <w:tr>
        <w:trPr>
          <w:trHeight w:val="142"/>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Loss before provision for income taxes and share of net income from joint venture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(22,734)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(22,356)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(45,434)</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(53,671)</w:t>
            </w: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(2,285)</w:t>
            </w:r>
          </w:p>
        </w:tc>
      </w:tr>
      <w:tr>
        <w:trPr>
          <w:trHeight w:val="153"/>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2,974</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2,719</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9,571</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5,806</w:t>
            </w:r>
          </w:p>
        </w:tc>
      </w:tr>
      <w:tr>
        <w:trPr>
          <w:trHeight w:val="162"/>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(20,976)</w:t>
            </w: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(20,541)</w:t>
            </w: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(38,273)</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(50,150)</w:t>
            </w:r>
          </w:p>
        </w:tc>
      </w:tr>
      <w:tr>
        <w:trPr>
          <w:trHeight w:val="131"/>
        </w:trPr>
        <w:tc>
          <w:tcPr>
            <w:tcW w:w="602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53"/>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Foreign currency transaction gain (loss)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5,016</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(9,405)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w:t>
            </w:r>
          </w:p>
        </w:tc>
      </w:tr>
      <w:tr>
        <w:trPr>
          <w:trHeight w:val="153"/>
        </w:trPr>
        <w:tc>
          <w:tcPr>
            <w:tcW w:w="60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6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Change in fair value, net of tax</w:t>
            </w: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w:t>
            </w:r>
          </w:p>
        </w:tc>
      </w:tr>
      <w:tr>
        <w:trPr>
          <w:trHeight w:val="153"/>
        </w:trPr>
        <w:tc>
          <w:tcPr>
            <w:tcW w:w="60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Reclassification adjustments included in net loss, net of tax</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(1,815)</w:t>
            </w:r>
          </w:p>
        </w:tc>
      </w:tr>
      <w:tr>
        <w:trPr>
          <w:trHeight w:val="142"/>
        </w:trPr>
        <w:tc>
          <w:tcPr>
            <w:tcW w:w="602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(7,642)</w:t>
            </w: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4,567</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(10,412)</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r>
      <w:tr>
        <w:trPr>
          <w:trHeight w:val="158"/>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(28,618)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(15,974)</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(48,685)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(50,785)</w:t>
            </w:r>
          </w:p>
        </w:tc>
      </w:tr>
      <w:tr>
        <w:trPr>
          <w:trHeight w:val="135"/>
        </w:trPr>
        <w:tc>
          <w:tcPr>
            <w:tcW w:w="6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Basic and diluted net loss per common share:</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71"/>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w:t>
            </w:r>
          </w:p>
        </w:tc>
      </w:tr>
      <w:tr>
        <w:trPr>
          <w:trHeight w:val="155"/>
        </w:trPr>
        <w:tc>
          <w:tcPr>
            <w:tcW w:w="6020" w:type="dxa"/>
            <w:vAlign w:val="bottom"/>
          </w:tcPr>
          <w:p>
            <w:pPr>
              <w:spacing w:after="0"/>
              <w:rPr>
                <w:sz w:val="20"/>
                <w:szCs w:val="20"/>
                <w:color w:val="auto"/>
              </w:rPr>
            </w:pPr>
            <w:r>
              <w:rPr>
                <w:rFonts w:ascii="Times New Roman" w:cs="Times New Roman" w:eastAsia="Times New Roman" w:hAnsi="Times New Roman"/>
                <w:sz w:val="12"/>
                <w:szCs w:val="12"/>
                <w:color w:val="auto"/>
              </w:rPr>
              <w:t>Shares used to calculate basic and diluted net loss per share</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49,039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47,709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48,653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46,738</w:t>
            </w:r>
          </w:p>
        </w:tc>
      </w:tr>
      <w:tr>
        <w:trPr>
          <w:trHeight w:val="372"/>
        </w:trPr>
        <w:tc>
          <w:tcPr>
            <w:tcW w:w="6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alibri" w:cs="Calibri" w:eastAsia="Calibri" w:hAnsi="Calibri"/>
                <w:sz w:val="13"/>
                <w:szCs w:val="13"/>
                <w:color w:val="auto"/>
              </w:rPr>
              <w:t>7</w:t>
            </w:r>
          </w:p>
        </w:tc>
      </w:tr>
    </w:tbl>
    <w:p>
      <w:pPr>
        <w:sectPr>
          <w:pgSz w:w="11900" w:h="16838" w:orient="portrait"/>
          <w:cols w:equalWidth="0" w:num="1">
            <w:col w:w="11300"/>
          </w:cols>
          <w:pgMar w:left="300" w:top="674" w:right="299" w:bottom="1440" w:gutter="0" w:footer="0" w:header="0"/>
        </w:sectPr>
      </w:pPr>
    </w:p>
    <w:bookmarkStart w:id="10" w:name="page11"/>
    <w:bookmarkEnd w:id="10"/>
    <w:p>
      <w:pPr>
        <w:ind w:left="54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220" w:type="dxa"/>
            <w:vAlign w:val="bottom"/>
          </w:tcPr>
          <w:p>
            <w:pPr>
              <w:spacing w:after="0"/>
              <w:rPr>
                <w:sz w:val="10"/>
                <w:szCs w:val="1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2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660" w:type="dxa"/>
            <w:vAlign w:val="bottom"/>
            <w:tcBorders>
              <w:bottom w:val="single" w:sz="8" w:color="BFE4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BFE4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7"/>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18,128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21,903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61,549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65,545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61,877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71,563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receivable</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12,634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11,885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2,855</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2,464</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10,519</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9,194</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167,562</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182,554</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162,034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185,812</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39,317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43,357</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44,410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58,724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34,971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32,701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7,270</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7,003</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r>
        <w:trPr>
          <w:trHeight w:val="135"/>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Preferred Stock, and Stockholders’ Equity</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38,879</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45,480</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salaries, wages and benefits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19,915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15,464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Income tax payable</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659</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524</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Short-term debt and current maturities of long-term debt</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5,039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3,910</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6,038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5,735</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13,382</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10,506</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83,912</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81,619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4,969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4,988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143,591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149,369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42,291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47,281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14,111</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24,827</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288,874</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308,084</w:t>
            </w:r>
          </w:p>
        </w:tc>
        <w:tc>
          <w:tcPr>
            <w:tcW w:w="0" w:type="dxa"/>
            <w:vAlign w:val="bottom"/>
          </w:tcPr>
          <w:p>
            <w:pPr>
              <w:spacing w:after="0"/>
              <w:rPr>
                <w:sz w:val="1"/>
                <w:szCs w:val="1"/>
                <w:color w:val="auto"/>
              </w:rPr>
            </w:pPr>
          </w:p>
        </w:tc>
      </w:tr>
      <w:tr>
        <w:trPr>
          <w:trHeight w:val="133"/>
        </w:trPr>
        <w:tc>
          <w:tcPr>
            <w:tcW w:w="8660" w:type="dxa"/>
            <w:vAlign w:val="bottom"/>
            <w:shd w:val="clear" w:color="auto" w:fill="BFE4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Series D perpetual preferred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93,497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77,799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455,811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457,632</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(333,621)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(295,348)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(48,167)</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(37,755)</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74,522</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125,002</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preferred stock, and stockholders’ equity</w:t>
            </w: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456,893</w:t>
            </w:r>
          </w:p>
        </w:tc>
        <w:tc>
          <w:tcPr>
            <w:tcW w:w="8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8</w:t>
      </w:r>
    </w:p>
    <w:p>
      <w:pPr>
        <w:sectPr>
          <w:pgSz w:w="11900" w:h="16838" w:orient="portrait"/>
          <w:cols w:equalWidth="0" w:num="1">
            <w:col w:w="11300"/>
          </w:cols>
          <w:pgMar w:left="300" w:top="674"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60" w:type="dxa"/>
            <w:vAlign w:val="bottom"/>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960" w:type="dxa"/>
            <w:vAlign w:val="bottom"/>
          </w:tcPr>
          <w:p>
            <w:pPr>
              <w:spacing w:after="0"/>
              <w:rPr>
                <w:sz w:val="10"/>
                <w:szCs w:val="10"/>
                <w:color w:val="auto"/>
              </w:rPr>
            </w:pPr>
          </w:p>
        </w:tc>
      </w:tr>
      <w:tr>
        <w:trPr>
          <w:trHeight w:val="125"/>
        </w:trPr>
        <w:tc>
          <w:tcPr>
            <w:tcW w:w="84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960" w:type="dxa"/>
            <w:vAlign w:val="bottom"/>
            <w:tcBorders>
              <w:bottom w:val="single" w:sz="8" w:color="auto"/>
            </w:tcBorders>
          </w:tcPr>
          <w:p>
            <w:pPr>
              <w:spacing w:after="0"/>
              <w:rPr>
                <w:sz w:val="10"/>
                <w:szCs w:val="10"/>
                <w:color w:val="auto"/>
              </w:rPr>
            </w:pPr>
          </w:p>
        </w:tc>
      </w:tr>
      <w:tr>
        <w:trPr>
          <w:trHeight w:val="12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(38,273)</w:t>
            </w:r>
          </w:p>
        </w:tc>
        <w:tc>
          <w:tcPr>
            <w:tcW w:w="120" w:type="dxa"/>
            <w:vAlign w:val="bottom"/>
          </w:tcPr>
          <w:p>
            <w:pPr>
              <w:spacing w:after="0"/>
              <w:rPr>
                <w:sz w:val="13"/>
                <w:szCs w:val="13"/>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(50,150)</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45,302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46,120</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2,288</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1,941</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Paid-in-kind interest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2,239</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Impairments of property, plant and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6,546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 on extinguishment of debt and write-off of debt issuance costs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derivative loss (gain), net of cash settlements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11,933</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 of net income from joint venture, net of cash dividends received</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(3,311)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(1,868)</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Gain on sale of business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(7,154)</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3,140</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2,821</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(1,273)</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9,087</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9,997</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Other operating assets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(5,041)</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Income taxes receivable and payable, net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(3,894)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 operating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7,049</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3,270</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11,070</w:t>
            </w:r>
          </w:p>
        </w:tc>
        <w:tc>
          <w:tcPr>
            <w:tcW w:w="1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29,344</w:t>
            </w:r>
          </w:p>
        </w:tc>
      </w:tr>
      <w:tr>
        <w:trPr>
          <w:trHeight w:val="133"/>
        </w:trPr>
        <w:tc>
          <w:tcPr>
            <w:tcW w:w="8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(20,496)</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2,898</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Proceeds received from sale of business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17,000</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1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(17,598)</w:t>
            </w:r>
          </w:p>
        </w:tc>
      </w:tr>
      <w:tr>
        <w:trPr>
          <w:trHeight w:val="133"/>
        </w:trPr>
        <w:tc>
          <w:tcPr>
            <w:tcW w:w="8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63,400</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61,000</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(96,031)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(65,395)</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(2,011)</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sale-leaseback of land and buildings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16,863</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Repayments of financing obligations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short-term debt</w:t>
            </w:r>
          </w:p>
        </w:tc>
        <w:tc>
          <w:tcPr>
            <w:tcW w:w="3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3,648</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(3,009)</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(1,967)</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3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(13,245)</w:t>
            </w:r>
          </w:p>
        </w:tc>
        <w:tc>
          <w:tcPr>
            <w:tcW w:w="12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(2,883)</w:t>
            </w:r>
          </w:p>
        </w:tc>
      </w:tr>
      <w:tr>
        <w:trPr>
          <w:trHeight w:val="142"/>
        </w:trPr>
        <w:tc>
          <w:tcPr>
            <w:tcW w:w="8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 flows</w:t>
            </w: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(3,775)</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9,095</w:t>
            </w:r>
          </w:p>
        </w:tc>
      </w:tr>
      <w:tr>
        <w:trPr>
          <w:trHeight w:val="153"/>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21,903</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12,808</w:t>
            </w:r>
          </w:p>
        </w:tc>
      </w:tr>
      <w:tr>
        <w:trPr>
          <w:trHeight w:val="158"/>
        </w:trPr>
        <w:tc>
          <w:tcPr>
            <w:tcW w:w="846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quarter</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18,128</w:t>
            </w:r>
          </w:p>
        </w:tc>
        <w:tc>
          <w:tcPr>
            <w:tcW w:w="1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21,903</w:t>
            </w: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9</w:t>
      </w:r>
    </w:p>
    <w:p>
      <w:pPr>
        <w:sectPr>
          <w:pgSz w:w="11900" w:h="16838" w:orient="portrait"/>
          <w:cols w:equalWidth="0" w:num="1">
            <w:col w:w="11300"/>
          </w:cols>
          <w:pgMar w:left="300" w:top="674" w:right="29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0"/>
          </w:cols>
          <w:pgMar w:left="300" w:top="674" w:right="2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34899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loss from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Fixed asset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334899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7"/>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(16,868)</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(7,943)</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568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225</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1,577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1,175</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7,199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1,617</w:t>
            </w:r>
          </w:p>
        </w:tc>
      </w:tr>
      <w:tr>
        <w:trPr>
          <w:trHeight w:val="180"/>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3,406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3,478</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6,546</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2,428</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(1,448)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106,513</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112,533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71"/>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Mobile Solutions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(12,864)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(5,686)</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140" w:type="dxa"/>
            <w:vAlign w:val="bottom"/>
          </w:tcPr>
          <w:p>
            <w:pPr>
              <w:spacing w:after="0"/>
              <w:rPr>
                <w:sz w:val="15"/>
                <w:szCs w:val="15"/>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1,091</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7,148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1,476</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40" w:type="dxa"/>
            <w:vAlign w:val="bottom"/>
          </w:tcPr>
          <w:p>
            <w:pPr>
              <w:spacing w:after="0"/>
              <w:rPr>
                <w:sz w:val="15"/>
                <w:szCs w:val="15"/>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Fixed asset impairments</w:t>
            </w: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6,546</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income (loss) from operations (a)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2,459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(2,281)</w:t>
            </w:r>
          </w:p>
        </w:tc>
      </w:tr>
      <w:tr>
        <w:trPr>
          <w:trHeight w:val="126"/>
        </w:trPr>
        <w:tc>
          <w:tcPr>
            <w:tcW w:w="3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53"/>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2,974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2,719</w:t>
            </w:r>
          </w:p>
        </w:tc>
      </w:tr>
      <w:tr>
        <w:trPr>
          <w:trHeight w:val="185"/>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income from operations with JV (a)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5,433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438</w:t>
            </w:r>
          </w:p>
        </w:tc>
      </w:tr>
      <w:tr>
        <w:trPr>
          <w:trHeight w:val="126"/>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0.6 %</w:t>
            </w:r>
          </w:p>
        </w:tc>
      </w:tr>
      <w:tr>
        <w:trPr>
          <w:trHeight w:val="155"/>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67,351</w:t>
            </w:r>
          </w:p>
        </w:tc>
        <w:tc>
          <w:tcPr>
            <w:tcW w:w="10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69,203</w:t>
            </w:r>
          </w:p>
        </w:tc>
      </w:tr>
    </w:tbl>
    <w:p>
      <w:pPr>
        <w:spacing w:after="0" w:line="200" w:lineRule="exact"/>
        <w:rPr>
          <w:sz w:val="20"/>
          <w:szCs w:val="20"/>
          <w:color w:val="auto"/>
        </w:rPr>
      </w:pPr>
    </w:p>
    <w:p>
      <w:pPr>
        <w:sectPr>
          <w:pgSz w:w="11900" w:h="16838" w:orient="portrait"/>
          <w:cols w:equalWidth="0" w:num="3">
            <w:col w:w="2640" w:space="460"/>
            <w:col w:w="2160" w:space="640"/>
            <w:col w:w="5400"/>
          </w:cols>
          <w:pgMar w:left="300" w:top="674" w:right="29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income from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34899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7"/>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1,307</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2,830</w:t>
            </w:r>
          </w:p>
        </w:tc>
      </w:tr>
      <w:tr>
        <w:trPr>
          <w:trHeight w:val="155"/>
        </w:trPr>
        <w:tc>
          <w:tcPr>
            <w:tcW w:w="24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63</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706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82</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141</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2,567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2,640</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4,631</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5,756</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0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13.3 %</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39,221</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43,330</w:t>
            </w: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w w:val="99"/>
              </w:rPr>
              <w:t>Three Months Ended December 31,</w:t>
            </w:r>
          </w:p>
        </w:tc>
      </w:tr>
      <w:tr>
        <w:trPr>
          <w:trHeight w:val="178"/>
        </w:trPr>
        <w:tc>
          <w:tcPr>
            <w:tcW w:w="32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Elimination</w:t>
            </w: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60"/>
        </w:trPr>
        <w:tc>
          <w:tcPr>
            <w:tcW w:w="3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334"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80" w:hanging="224"/>
        <w:spacing w:after="0"/>
        <w:tabs>
          <w:tab w:leader="none" w:pos="10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7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10</w:t>
      </w:r>
    </w:p>
    <w:p>
      <w:pPr>
        <w:sectPr>
          <w:pgSz w:w="11900" w:h="16838" w:orient="portrait"/>
          <w:cols w:equalWidth="0" w:num="1">
            <w:col w:w="11300"/>
          </w:cols>
          <w:pgMar w:left="300" w:top="674" w:right="299" w:bottom="1440" w:gutter="0" w:footer="0" w:header="0"/>
          <w:type w:val="continuous"/>
        </w:sectPr>
      </w:pPr>
    </w:p>
    <w:bookmarkStart w:id="13" w:name="page14"/>
    <w:bookmarkEnd w:id="13"/>
    <w:p>
      <w:pPr>
        <w:jc w:val="center"/>
        <w:ind w:right="12"/>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8"/>
          </w:cols>
          <w:pgMar w:left="292" w:top="674" w:right="299" w:bottom="1440" w:gutter="0" w:footer="0" w:header="0"/>
        </w:sectPr>
      </w:pPr>
    </w:p>
    <w:p>
      <w:pPr>
        <w:spacing w:after="0" w:line="246" w:lineRule="exact"/>
        <w:rPr>
          <w:sz w:val="20"/>
          <w:szCs w:val="20"/>
          <w:color w:val="auto"/>
        </w:rPr>
      </w:pPr>
    </w:p>
    <w:tbl>
      <w:tblPr>
        <w:tblLayout w:type="fixed"/>
        <w:tblInd w:w="8" w:type="dxa"/>
        <w:tblCellMar>
          <w:top w:w="0" w:type="dxa"/>
          <w:left w:w="0" w:type="dxa"/>
          <w:bottom w:w="0" w:type="dxa"/>
          <w:right w:w="0" w:type="dxa"/>
        </w:tblCellMar>
      </w:tblPr>
      <w:tr>
        <w:trPr>
          <w:trHeight w:val="149"/>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tcPr>
          <w:p>
            <w:pPr>
              <w:jc w:val="right"/>
              <w:ind w:right="5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1"/>
        </w:trPr>
        <w:tc>
          <w:tcPr>
            <w:tcW w:w="28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b w:val="1"/>
                <w:bCs w:val="1"/>
                <w:color w:val="auto"/>
              </w:rPr>
              <w:t>NN, Inc. Consolidated</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BFE4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8"/>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GAAP loss from operations</w:t>
            </w:r>
          </w:p>
        </w:tc>
        <w:tc>
          <w:tcPr>
            <w:tcW w:w="260" w:type="dxa"/>
            <w:vAlign w:val="bottom"/>
            <w:shd w:val="clear" w:color="auto" w:fill="BFE4FF"/>
          </w:tcPr>
          <w:p>
            <w:pPr>
              <w:spacing w:after="0"/>
              <w:rPr>
                <w:sz w:val="12"/>
                <w:szCs w:val="12"/>
                <w:color w:val="auto"/>
              </w:rPr>
            </w:pPr>
          </w:p>
        </w:tc>
        <w:tc>
          <w:tcPr>
            <w:tcW w:w="92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(27,548)</w:t>
            </w:r>
          </w:p>
        </w:tc>
        <w:tc>
          <w:tcPr>
            <w:tcW w:w="100" w:type="dxa"/>
            <w:vAlign w:val="bottom"/>
            <w:shd w:val="clear" w:color="auto" w:fill="BFE4FF"/>
          </w:tcPr>
          <w:p>
            <w:pPr>
              <w:spacing w:after="0"/>
              <w:rPr>
                <w:sz w:val="12"/>
                <w:szCs w:val="12"/>
                <w:color w:val="auto"/>
              </w:rPr>
            </w:pPr>
          </w:p>
        </w:tc>
        <w:tc>
          <w:tcPr>
            <w:tcW w:w="280" w:type="dxa"/>
            <w:vAlign w:val="bottom"/>
            <w:shd w:val="clear" w:color="auto" w:fill="BFE4FF"/>
          </w:tcPr>
          <w:p>
            <w:pPr>
              <w:spacing w:after="0"/>
              <w:rPr>
                <w:sz w:val="12"/>
                <w:szCs w:val="12"/>
                <w:color w:val="auto"/>
              </w:rPr>
            </w:pPr>
          </w:p>
        </w:tc>
        <w:tc>
          <w:tcPr>
            <w:tcW w:w="9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(21,804)</w:t>
            </w: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Professional fees</w:t>
            </w:r>
          </w:p>
        </w:tc>
        <w:tc>
          <w:tcPr>
            <w:tcW w:w="2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648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640</w:t>
            </w:r>
          </w:p>
        </w:tc>
      </w:tr>
      <w:tr>
        <w:trPr>
          <w:trHeight w:val="164"/>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Personnel costs (1)</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3,437</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2,857</w:t>
            </w: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Facility costs (2)</w:t>
            </w:r>
          </w:p>
        </w:tc>
        <w:tc>
          <w:tcPr>
            <w:tcW w:w="2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8,280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7,271</w:t>
            </w:r>
          </w:p>
        </w:tc>
      </w:tr>
      <w:tr>
        <w:trPr>
          <w:trHeight w:val="164"/>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Amortization of intangibles</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13,723</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14,167</w:t>
            </w:r>
          </w:p>
        </w:tc>
      </w:tr>
      <w:tr>
        <w:trPr>
          <w:trHeight w:val="160"/>
        </w:trPr>
        <w:tc>
          <w:tcPr>
            <w:tcW w:w="28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color w:val="auto"/>
              </w:rPr>
              <w:t>Fixed asset impairments</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6,546</w:t>
            </w:r>
          </w:p>
        </w:tc>
        <w:tc>
          <w:tcPr>
            <w:tcW w:w="100" w:type="dxa"/>
            <w:vAlign w:val="bottom"/>
            <w:tcBorders>
              <w:bottom w:val="single" w:sz="8" w:color="BFE4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69"/>
        </w:trPr>
        <w:tc>
          <w:tcPr>
            <w:tcW w:w="280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tc>
        <w:tc>
          <w:tcPr>
            <w:tcW w:w="260" w:type="dxa"/>
            <w:vAlign w:val="bottom"/>
            <w:tcBorders>
              <w:bottom w:val="single" w:sz="8" w:color="auto"/>
            </w:tcBorders>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5,086</w:t>
            </w:r>
          </w:p>
        </w:tc>
        <w:tc>
          <w:tcPr>
            <w:tcW w:w="100" w:type="dxa"/>
            <w:vAlign w:val="bottom"/>
            <w:tcBorders>
              <w:bottom w:val="single" w:sz="8" w:color="BFE4FF"/>
            </w:tcBorders>
            <w:shd w:val="clear" w:color="auto" w:fill="BFE4FF"/>
          </w:tcPr>
          <w:p>
            <w:pPr>
              <w:spacing w:after="0"/>
              <w:rPr>
                <w:sz w:val="14"/>
                <w:szCs w:val="14"/>
                <w:color w:val="auto"/>
              </w:rPr>
            </w:pPr>
          </w:p>
        </w:tc>
        <w:tc>
          <w:tcPr>
            <w:tcW w:w="280" w:type="dxa"/>
            <w:vAlign w:val="bottom"/>
            <w:tcBorders>
              <w:bottom w:val="single" w:sz="8" w:color="auto"/>
            </w:tcBorders>
            <w:shd w:val="clear" w:color="auto" w:fill="BFE4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3,131</w:t>
            </w:r>
          </w:p>
        </w:tc>
      </w:tr>
      <w:tr>
        <w:trPr>
          <w:trHeight w:val="126"/>
        </w:trPr>
        <w:tc>
          <w:tcPr>
            <w:tcW w:w="2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2"/>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operating margin (3)</w:t>
            </w:r>
          </w:p>
        </w:tc>
        <w:tc>
          <w:tcPr>
            <w:tcW w:w="260" w:type="dxa"/>
            <w:vAlign w:val="bottom"/>
            <w:shd w:val="clear" w:color="auto" w:fill="BFE4FF"/>
          </w:tcPr>
          <w:p>
            <w:pPr>
              <w:spacing w:after="0"/>
              <w:rPr>
                <w:sz w:val="14"/>
                <w:szCs w:val="14"/>
                <w:color w:val="auto"/>
              </w:rPr>
            </w:pPr>
          </w:p>
        </w:tc>
        <w:tc>
          <w:tcPr>
            <w:tcW w:w="9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0.6 %</w:t>
            </w:r>
          </w:p>
        </w:tc>
      </w:tr>
      <w:tr>
        <w:trPr>
          <w:trHeight w:val="158"/>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GAAP net sales</w:t>
            </w:r>
          </w:p>
        </w:tc>
        <w:tc>
          <w:tcPr>
            <w:tcW w:w="260" w:type="dxa"/>
            <w:vAlign w:val="bottom"/>
          </w:tcPr>
          <w:p>
            <w:pPr>
              <w:spacing w:after="0"/>
              <w:rPr>
                <w:sz w:val="13"/>
                <w:szCs w:val="13"/>
                <w:color w:val="auto"/>
              </w:rPr>
            </w:pPr>
          </w:p>
        </w:tc>
        <w:tc>
          <w:tcPr>
            <w:tcW w:w="9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464,290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489,270</w:t>
            </w: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jc w:val="right"/>
              <w:ind w:right="56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1"/>
        </w:trPr>
        <w:tc>
          <w:tcPr>
            <w:tcW w:w="25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Mobile Solutions</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BFE4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8"/>
        </w:trPr>
        <w:tc>
          <w:tcPr>
            <w:tcW w:w="2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loss from operations</w:t>
            </w:r>
          </w:p>
        </w:tc>
        <w:tc>
          <w:tcPr>
            <w:tcW w:w="280" w:type="dxa"/>
            <w:vAlign w:val="bottom"/>
            <w:shd w:val="clear" w:color="auto" w:fill="BFE4FF"/>
          </w:tcPr>
          <w:p>
            <w:pPr>
              <w:spacing w:after="0"/>
              <w:rPr>
                <w:sz w:val="12"/>
                <w:szCs w:val="12"/>
                <w:color w:val="auto"/>
              </w:rPr>
            </w:pPr>
          </w:p>
        </w:tc>
        <w:tc>
          <w:tcPr>
            <w:tcW w:w="9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(18,078)</w:t>
            </w:r>
          </w:p>
        </w:tc>
        <w:tc>
          <w:tcPr>
            <w:tcW w:w="100" w:type="dxa"/>
            <w:vAlign w:val="bottom"/>
            <w:shd w:val="clear" w:color="auto" w:fill="BFE4FF"/>
          </w:tcPr>
          <w:p>
            <w:pPr>
              <w:spacing w:after="0"/>
              <w:rPr>
                <w:sz w:val="12"/>
                <w:szCs w:val="12"/>
                <w:color w:val="auto"/>
              </w:rPr>
            </w:pPr>
          </w:p>
        </w:tc>
        <w:tc>
          <w:tcPr>
            <w:tcW w:w="280" w:type="dxa"/>
            <w:vAlign w:val="bottom"/>
            <w:shd w:val="clear" w:color="auto" w:fill="BFE4FF"/>
          </w:tcPr>
          <w:p>
            <w:pPr>
              <w:spacing w:after="0"/>
              <w:rPr>
                <w:sz w:val="12"/>
                <w:szCs w:val="12"/>
                <w:color w:val="auto"/>
              </w:rPr>
            </w:pPr>
          </w:p>
        </w:tc>
        <w:tc>
          <w:tcPr>
            <w:tcW w:w="9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(11,749)</w:t>
            </w:r>
          </w:p>
        </w:tc>
      </w:tr>
      <w:tr>
        <w:trPr>
          <w:trHeight w:val="160"/>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 (1)</w:t>
            </w:r>
          </w:p>
        </w:tc>
        <w:tc>
          <w:tcPr>
            <w:tcW w:w="280" w:type="dxa"/>
            <w:vAlign w:val="bottom"/>
          </w:tcPr>
          <w:p>
            <w:pPr>
              <w:spacing w:after="0"/>
              <w:rPr>
                <w:sz w:val="13"/>
                <w:szCs w:val="13"/>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1,593</w:t>
            </w:r>
          </w:p>
        </w:tc>
      </w:tr>
      <w:tr>
        <w:trPr>
          <w:trHeight w:val="164"/>
        </w:trPr>
        <w:tc>
          <w:tcPr>
            <w:tcW w:w="2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Facility costs (2)</w:t>
            </w: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7,930</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5,529</w:t>
            </w:r>
          </w:p>
        </w:tc>
      </w:tr>
      <w:tr>
        <w:trPr>
          <w:trHeight w:val="160"/>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intangibles</w:t>
            </w:r>
          </w:p>
        </w:tc>
        <w:tc>
          <w:tcPr>
            <w:tcW w:w="280" w:type="dxa"/>
            <w:vAlign w:val="bottom"/>
          </w:tcPr>
          <w:p>
            <w:pPr>
              <w:spacing w:after="0"/>
              <w:rPr>
                <w:sz w:val="13"/>
                <w:szCs w:val="13"/>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3,354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3,353</w:t>
            </w:r>
          </w:p>
        </w:tc>
      </w:tr>
      <w:tr>
        <w:trPr>
          <w:trHeight w:val="158"/>
        </w:trPr>
        <w:tc>
          <w:tcPr>
            <w:tcW w:w="2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Fixed asset impairments</w:t>
            </w:r>
          </w:p>
        </w:tc>
        <w:tc>
          <w:tcPr>
            <w:tcW w:w="280" w:type="dxa"/>
            <w:vAlign w:val="bottom"/>
            <w:tcBorders>
              <w:bottom w:val="single" w:sz="8" w:color="auto"/>
            </w:tcBorders>
            <w:shd w:val="clear" w:color="auto" w:fill="BFE4FF"/>
          </w:tcPr>
          <w:p>
            <w:pPr>
              <w:spacing w:after="0"/>
              <w:rPr>
                <w:sz w:val="13"/>
                <w:szCs w:val="13"/>
                <w:color w:val="auto"/>
              </w:rPr>
            </w:pPr>
          </w:p>
        </w:tc>
        <w:tc>
          <w:tcPr>
            <w:tcW w:w="900" w:type="dxa"/>
            <w:vAlign w:val="bottom"/>
            <w:tcBorders>
              <w:bottom w:val="single" w:sz="8" w:color="auto"/>
            </w:tcBorders>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6,546</w:t>
            </w:r>
          </w:p>
        </w:tc>
        <w:tc>
          <w:tcPr>
            <w:tcW w:w="100" w:type="dxa"/>
            <w:vAlign w:val="bottom"/>
            <w:shd w:val="clear" w:color="auto" w:fill="BFE4FF"/>
          </w:tcPr>
          <w:p>
            <w:pPr>
              <w:spacing w:after="0"/>
              <w:rPr>
                <w:sz w:val="13"/>
                <w:szCs w:val="13"/>
                <w:color w:val="auto"/>
              </w:rPr>
            </w:pPr>
          </w:p>
        </w:tc>
        <w:tc>
          <w:tcPr>
            <w:tcW w:w="280" w:type="dxa"/>
            <w:vAlign w:val="bottom"/>
            <w:tcBorders>
              <w:bottom w:val="single" w:sz="8" w:color="auto"/>
            </w:tcBorders>
            <w:shd w:val="clear" w:color="auto" w:fill="BFE4FF"/>
          </w:tcPr>
          <w:p>
            <w:pPr>
              <w:spacing w:after="0"/>
              <w:rPr>
                <w:sz w:val="13"/>
                <w:szCs w:val="13"/>
                <w:color w:val="auto"/>
              </w:rPr>
            </w:pPr>
          </w:p>
        </w:tc>
        <w:tc>
          <w:tcPr>
            <w:tcW w:w="900" w:type="dxa"/>
            <w:vAlign w:val="bottom"/>
            <w:tcBorders>
              <w:bottom w:val="single" w:sz="8" w:color="auto"/>
            </w:tcBorders>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r>
      <w:tr>
        <w:trPr>
          <w:trHeight w:val="173"/>
        </w:trPr>
        <w:tc>
          <w:tcPr>
            <w:tcW w:w="25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color w:val="auto"/>
              </w:rPr>
              <w:t>Non-GAAP adjusted income (loss) from operations (a)</w:t>
            </w:r>
          </w:p>
        </w:tc>
        <w:tc>
          <w:tcPr>
            <w:tcW w:w="2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1,491</w:t>
            </w:r>
          </w:p>
        </w:tc>
        <w:tc>
          <w:tcPr>
            <w:tcW w:w="100" w:type="dxa"/>
            <w:vAlign w:val="bottom"/>
            <w:tcBorders>
              <w:bottom w:val="single" w:sz="8" w:color="BFE4FF"/>
            </w:tcBorders>
          </w:tcPr>
          <w:p>
            <w:pPr>
              <w:spacing w:after="0"/>
              <w:rPr>
                <w:sz w:val="15"/>
                <w:szCs w:val="15"/>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(1,274)</w:t>
            </w:r>
          </w:p>
        </w:tc>
      </w:tr>
      <w:tr>
        <w:trPr>
          <w:trHeight w:val="126"/>
        </w:trPr>
        <w:tc>
          <w:tcPr>
            <w:tcW w:w="2540" w:type="dxa"/>
            <w:vAlign w:val="bottom"/>
            <w:shd w:val="clear" w:color="auto" w:fill="BFE4FF"/>
          </w:tcPr>
          <w:p>
            <w:pPr>
              <w:spacing w:after="0"/>
              <w:rPr>
                <w:sz w:val="10"/>
                <w:szCs w:val="10"/>
                <w:color w:val="auto"/>
              </w:rPr>
            </w:pPr>
          </w:p>
        </w:tc>
        <w:tc>
          <w:tcPr>
            <w:tcW w:w="280" w:type="dxa"/>
            <w:vAlign w:val="bottom"/>
            <w:shd w:val="clear" w:color="auto" w:fill="BFE4FF"/>
          </w:tcPr>
          <w:p>
            <w:pPr>
              <w:spacing w:after="0"/>
              <w:rPr>
                <w:sz w:val="10"/>
                <w:szCs w:val="10"/>
                <w:color w:val="auto"/>
              </w:rPr>
            </w:pPr>
          </w:p>
        </w:tc>
        <w:tc>
          <w:tcPr>
            <w:tcW w:w="900" w:type="dxa"/>
            <w:vAlign w:val="bottom"/>
            <w:shd w:val="clear" w:color="auto" w:fill="BFE4FF"/>
          </w:tcPr>
          <w:p>
            <w:pPr>
              <w:spacing w:after="0"/>
              <w:rPr>
                <w:sz w:val="10"/>
                <w:szCs w:val="10"/>
                <w:color w:val="auto"/>
              </w:rPr>
            </w:pPr>
          </w:p>
        </w:tc>
        <w:tc>
          <w:tcPr>
            <w:tcW w:w="100" w:type="dxa"/>
            <w:vAlign w:val="bottom"/>
            <w:shd w:val="clear" w:color="auto" w:fill="BFE4FF"/>
          </w:tcPr>
          <w:p>
            <w:pPr>
              <w:spacing w:after="0"/>
              <w:rPr>
                <w:sz w:val="10"/>
                <w:szCs w:val="10"/>
                <w:color w:val="auto"/>
              </w:rPr>
            </w:pPr>
          </w:p>
        </w:tc>
        <w:tc>
          <w:tcPr>
            <w:tcW w:w="280" w:type="dxa"/>
            <w:vAlign w:val="bottom"/>
            <w:shd w:val="clear" w:color="auto" w:fill="BFE4FF"/>
          </w:tcPr>
          <w:p>
            <w:pPr>
              <w:spacing w:after="0"/>
              <w:rPr>
                <w:sz w:val="10"/>
                <w:szCs w:val="10"/>
                <w:color w:val="auto"/>
              </w:rPr>
            </w:pPr>
          </w:p>
        </w:tc>
        <w:tc>
          <w:tcPr>
            <w:tcW w:w="900" w:type="dxa"/>
            <w:vAlign w:val="bottom"/>
            <w:shd w:val="clear" w:color="auto" w:fill="BFE4FF"/>
          </w:tcPr>
          <w:p>
            <w:pPr>
              <w:spacing w:after="0"/>
              <w:rPr>
                <w:sz w:val="10"/>
                <w:szCs w:val="10"/>
                <w:color w:val="auto"/>
              </w:rPr>
            </w:pPr>
          </w:p>
        </w:tc>
      </w:tr>
      <w:tr>
        <w:trPr>
          <w:trHeight w:val="155"/>
        </w:trPr>
        <w:tc>
          <w:tcPr>
            <w:tcW w:w="254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color w:val="auto"/>
              </w:rPr>
              <w:t>Share of net income from joint venture</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9,571</w:t>
            </w:r>
          </w:p>
        </w:tc>
        <w:tc>
          <w:tcPr>
            <w:tcW w:w="100" w:type="dxa"/>
            <w:vAlign w:val="bottom"/>
            <w:tcBorders>
              <w:bottom w:val="single" w:sz="8" w:color="BFE4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5,806</w:t>
            </w:r>
          </w:p>
        </w:tc>
      </w:tr>
      <w:tr>
        <w:trPr>
          <w:trHeight w:val="173"/>
        </w:trPr>
        <w:tc>
          <w:tcPr>
            <w:tcW w:w="254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w w:val="99"/>
              </w:rPr>
              <w:t>Non-GAAP adjusted income from operations with JV (a)</w:t>
            </w:r>
          </w:p>
        </w:tc>
        <w:tc>
          <w:tcPr>
            <w:tcW w:w="280" w:type="dxa"/>
            <w:vAlign w:val="bottom"/>
            <w:tcBorders>
              <w:bottom w:val="single" w:sz="8" w:color="auto"/>
            </w:tcBorders>
            <w:shd w:val="clear" w:color="auto" w:fill="BFE4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11,062</w:t>
            </w:r>
          </w:p>
        </w:tc>
        <w:tc>
          <w:tcPr>
            <w:tcW w:w="100" w:type="dxa"/>
            <w:vAlign w:val="bottom"/>
            <w:tcBorders>
              <w:bottom w:val="single" w:sz="8" w:color="BFE4FF"/>
            </w:tcBorders>
            <w:shd w:val="clear" w:color="auto" w:fill="BFE4FF"/>
          </w:tcPr>
          <w:p>
            <w:pPr>
              <w:spacing w:after="0"/>
              <w:rPr>
                <w:sz w:val="15"/>
                <w:szCs w:val="15"/>
                <w:color w:val="auto"/>
              </w:rPr>
            </w:pPr>
          </w:p>
        </w:tc>
        <w:tc>
          <w:tcPr>
            <w:tcW w:w="280" w:type="dxa"/>
            <w:vAlign w:val="bottom"/>
            <w:tcBorders>
              <w:bottom w:val="single" w:sz="8" w:color="auto"/>
            </w:tcBorders>
            <w:shd w:val="clear" w:color="auto" w:fill="BFE4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4,532</w:t>
            </w:r>
          </w:p>
        </w:tc>
      </w:tr>
      <w:tr>
        <w:trPr>
          <w:trHeight w:val="126"/>
        </w:trPr>
        <w:tc>
          <w:tcPr>
            <w:tcW w:w="2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2"/>
        </w:trPr>
        <w:tc>
          <w:tcPr>
            <w:tcW w:w="254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Non-GAAP adjusted operating margin (3)</w:t>
            </w: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3.9 %</w:t>
            </w:r>
          </w:p>
        </w:tc>
        <w:tc>
          <w:tcPr>
            <w:tcW w:w="100" w:type="dxa"/>
            <w:vAlign w:val="bottom"/>
            <w:shd w:val="clear" w:color="auto" w:fill="BFE4FF"/>
          </w:tcPr>
          <w:p>
            <w:pPr>
              <w:spacing w:after="0"/>
              <w:rPr>
                <w:sz w:val="14"/>
                <w:szCs w:val="14"/>
                <w:color w:val="auto"/>
              </w:rPr>
            </w:pP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1.5 %</w:t>
            </w:r>
          </w:p>
        </w:tc>
      </w:tr>
    </w:tbl>
    <w:p>
      <w:pPr>
        <w:spacing w:after="0" w:line="9" w:lineRule="exact"/>
        <w:rPr>
          <w:sz w:val="20"/>
          <w:szCs w:val="20"/>
          <w:color w:val="auto"/>
        </w:rPr>
      </w:pPr>
    </w:p>
    <w:p>
      <w:pPr>
        <w:sectPr>
          <w:pgSz w:w="11900" w:h="16838" w:orient="portrait"/>
          <w:cols w:equalWidth="0" w:num="2">
            <w:col w:w="5268" w:space="640"/>
            <w:col w:w="5400"/>
          </w:cols>
          <w:pgMar w:left="292" w:top="674" w:right="299" w:bottom="1440" w:gutter="0" w:footer="0" w:header="0"/>
          <w:type w:val="continuous"/>
        </w:sectPr>
      </w:pPr>
    </w:p>
    <w:tbl>
      <w:tblPr>
        <w:tblLayout w:type="fixed"/>
        <w:tblInd w:w="8"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GAAP net sales</w:t>
            </w:r>
          </w:p>
        </w:tc>
        <w:tc>
          <w:tcPr>
            <w:tcW w:w="10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283,944</w:t>
            </w: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303,335</w:t>
            </w:r>
          </w:p>
        </w:tc>
        <w:tc>
          <w:tcPr>
            <w:tcW w:w="0" w:type="dxa"/>
            <w:vAlign w:val="bottom"/>
          </w:tcPr>
          <w:p>
            <w:pPr>
              <w:spacing w:after="0"/>
              <w:rPr>
                <w:sz w:val="1"/>
                <w:szCs w:val="1"/>
                <w:color w:val="auto"/>
              </w:rPr>
            </w:pPr>
          </w:p>
        </w:tc>
      </w:tr>
      <w:tr>
        <w:trPr>
          <w:trHeight w:val="331"/>
        </w:trPr>
        <w:tc>
          <w:tcPr>
            <w:tcW w:w="280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b w:val="1"/>
                <w:bCs w:val="1"/>
                <w:color w:val="auto"/>
              </w:rPr>
              <w:t>Power Solutions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BFE4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80" w:type="dxa"/>
            <w:vAlign w:val="bottom"/>
            <w:tcBorders>
              <w:bottom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2200" w:type="dxa"/>
            <w:vAlign w:val="bottom"/>
            <w:gridSpan w:val="3"/>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2"/>
        </w:trPr>
        <w:tc>
          <w:tcPr>
            <w:tcW w:w="2800" w:type="dxa"/>
            <w:vAlign w:val="bottom"/>
            <w:tcBorders>
              <w:top w:val="single" w:sz="8" w:color="BFE4FF"/>
            </w:tcBorders>
            <w:shd w:val="clear" w:color="auto" w:fill="BFE4FF"/>
          </w:tcPr>
          <w:p>
            <w:pPr>
              <w:spacing w:after="0" w:line="82" w:lineRule="exact"/>
              <w:rPr>
                <w:sz w:val="20"/>
                <w:szCs w:val="20"/>
                <w:color w:val="auto"/>
              </w:rPr>
            </w:pPr>
            <w:r>
              <w:rPr>
                <w:rFonts w:ascii="Times New Roman" w:cs="Times New Roman" w:eastAsia="Times New Roman" w:hAnsi="Times New Roman"/>
                <w:sz w:val="9"/>
                <w:szCs w:val="9"/>
                <w:color w:val="auto"/>
              </w:rPr>
              <w:t>GAAP income from operations</w:t>
            </w:r>
          </w:p>
        </w:tc>
        <w:tc>
          <w:tcPr>
            <w:tcW w:w="280" w:type="dxa"/>
            <w:vAlign w:val="bottom"/>
            <w:tcBorders>
              <w:top w:val="single" w:sz="8" w:color="BFE4FF"/>
            </w:tcBorders>
            <w:shd w:val="clear" w:color="auto" w:fill="BFE4FF"/>
          </w:tcPr>
          <w:p>
            <w:pPr>
              <w:spacing w:after="0"/>
              <w:rPr>
                <w:sz w:val="8"/>
                <w:szCs w:val="8"/>
                <w:color w:val="auto"/>
              </w:rPr>
            </w:pPr>
          </w:p>
        </w:tc>
        <w:tc>
          <w:tcPr>
            <w:tcW w:w="900" w:type="dxa"/>
            <w:vAlign w:val="bottom"/>
            <w:tcBorders>
              <w:top w:val="single" w:sz="8" w:color="BFE4FF"/>
            </w:tcBorders>
            <w:shd w:val="clear" w:color="auto" w:fill="BFE4FF"/>
          </w:tcPr>
          <w:p>
            <w:pPr>
              <w:jc w:val="right"/>
              <w:ind w:right="86"/>
              <w:spacing w:after="0" w:line="93" w:lineRule="exact"/>
              <w:rPr>
                <w:sz w:val="20"/>
                <w:szCs w:val="20"/>
                <w:color w:val="auto"/>
              </w:rPr>
            </w:pPr>
            <w:r>
              <w:rPr>
                <w:rFonts w:ascii="Times New Roman" w:cs="Times New Roman" w:eastAsia="Times New Roman" w:hAnsi="Times New Roman"/>
                <w:sz w:val="10"/>
                <w:szCs w:val="10"/>
                <w:color w:val="auto"/>
              </w:rPr>
              <w:t>13,111</w:t>
            </w:r>
          </w:p>
        </w:tc>
        <w:tc>
          <w:tcPr>
            <w:tcW w:w="100" w:type="dxa"/>
            <w:vAlign w:val="bottom"/>
            <w:tcBorders>
              <w:top w:val="single" w:sz="8" w:color="BFE4FF"/>
            </w:tcBorders>
            <w:shd w:val="clear" w:color="auto" w:fill="BFE4FF"/>
          </w:tcPr>
          <w:p>
            <w:pPr>
              <w:spacing w:after="0"/>
              <w:rPr>
                <w:sz w:val="8"/>
                <w:szCs w:val="8"/>
                <w:color w:val="auto"/>
              </w:rPr>
            </w:pPr>
          </w:p>
        </w:tc>
        <w:tc>
          <w:tcPr>
            <w:tcW w:w="700" w:type="dxa"/>
            <w:vAlign w:val="bottom"/>
            <w:tcBorders>
              <w:top w:val="single" w:sz="8" w:color="BFE4FF"/>
            </w:tcBorders>
            <w:shd w:val="clear" w:color="auto" w:fill="BFE4FF"/>
          </w:tcPr>
          <w:p>
            <w:pPr>
              <w:spacing w:after="0"/>
              <w:rPr>
                <w:sz w:val="8"/>
                <w:szCs w:val="8"/>
                <w:color w:val="auto"/>
              </w:rPr>
            </w:pPr>
          </w:p>
        </w:tc>
        <w:tc>
          <w:tcPr>
            <w:tcW w:w="480" w:type="dxa"/>
            <w:vAlign w:val="bottom"/>
            <w:tcBorders>
              <w:top w:val="single" w:sz="8" w:color="BFE4FF"/>
            </w:tcBorders>
            <w:shd w:val="clear" w:color="auto" w:fill="BFE4FF"/>
          </w:tcPr>
          <w:p>
            <w:pPr>
              <w:jc w:val="right"/>
              <w:ind w:right="67"/>
              <w:spacing w:after="0" w:line="93" w:lineRule="exact"/>
              <w:rPr>
                <w:sz w:val="20"/>
                <w:szCs w:val="20"/>
                <w:color w:val="auto"/>
              </w:rPr>
            </w:pPr>
            <w:r>
              <w:rPr>
                <w:rFonts w:ascii="Times New Roman" w:cs="Times New Roman" w:eastAsia="Times New Roman" w:hAnsi="Times New Roman"/>
                <w:sz w:val="10"/>
                <w:szCs w:val="10"/>
                <w:color w:val="auto"/>
              </w:rPr>
              <w:t>11,096</w:t>
            </w:r>
          </w:p>
        </w:tc>
        <w:tc>
          <w:tcPr>
            <w:tcW w:w="640" w:type="dxa"/>
            <w:vAlign w:val="bottom"/>
          </w:tcPr>
          <w:p>
            <w:pPr>
              <w:spacing w:after="0"/>
              <w:rPr>
                <w:sz w:val="8"/>
                <w:szCs w:val="8"/>
                <w:color w:val="auto"/>
              </w:rPr>
            </w:pPr>
          </w:p>
        </w:tc>
        <w:tc>
          <w:tcPr>
            <w:tcW w:w="270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Elimination</w:t>
            </w:r>
          </w:p>
        </w:tc>
        <w:tc>
          <w:tcPr>
            <w:tcW w:w="1080" w:type="dxa"/>
            <w:vAlign w:val="bottom"/>
            <w:tcBorders>
              <w:top w:val="single" w:sz="8" w:color="auto"/>
            </w:tcBorders>
          </w:tcPr>
          <w:p>
            <w:pPr>
              <w:jc w:val="right"/>
              <w:ind w:right="386"/>
              <w:spacing w:after="0" w:line="102"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tcPr>
          <w:p>
            <w:pPr>
              <w:jc w:val="right"/>
              <w:ind w:right="346"/>
              <w:spacing w:after="0" w:line="102"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6"/>
        </w:trPr>
        <w:tc>
          <w:tcPr>
            <w:tcW w:w="28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Professional fees</w:t>
            </w:r>
          </w:p>
        </w:tc>
        <w:tc>
          <w:tcPr>
            <w:tcW w:w="280" w:type="dxa"/>
            <w:vAlign w:val="bottom"/>
          </w:tcPr>
          <w:p>
            <w:pPr>
              <w:spacing w:after="0"/>
              <w:rPr>
                <w:sz w:val="3"/>
                <w:szCs w:val="3"/>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3"/>
                <w:szCs w:val="3"/>
                <w:color w:val="auto"/>
              </w:rPr>
            </w:pPr>
          </w:p>
        </w:tc>
        <w:tc>
          <w:tcPr>
            <w:tcW w:w="480" w:type="dxa"/>
            <w:vAlign w:val="bottom"/>
            <w:vMerge w:val="restart"/>
          </w:tcPr>
          <w:p>
            <w:pPr>
              <w:jc w:val="right"/>
              <w:ind w:right="67"/>
              <w:spacing w:after="0"/>
              <w:rPr>
                <w:sz w:val="20"/>
                <w:szCs w:val="20"/>
                <w:color w:val="auto"/>
              </w:rPr>
            </w:pPr>
            <w:r>
              <w:rPr>
                <w:rFonts w:ascii="Times New Roman" w:cs="Times New Roman" w:eastAsia="Times New Roman" w:hAnsi="Times New Roman"/>
                <w:sz w:val="11"/>
                <w:szCs w:val="11"/>
                <w:color w:val="auto"/>
              </w:rPr>
              <w:t>63</w:t>
            </w:r>
          </w:p>
        </w:tc>
        <w:tc>
          <w:tcPr>
            <w:tcW w:w="640" w:type="dxa"/>
            <w:vAlign w:val="bottom"/>
          </w:tcPr>
          <w:p>
            <w:pPr>
              <w:spacing w:after="0"/>
              <w:rPr>
                <w:sz w:val="3"/>
                <w:szCs w:val="3"/>
                <w:color w:val="auto"/>
              </w:rPr>
            </w:pPr>
          </w:p>
        </w:tc>
        <w:tc>
          <w:tcPr>
            <w:tcW w:w="2700" w:type="dxa"/>
            <w:vAlign w:val="bottom"/>
            <w:tcBorders>
              <w:bottom w:val="single" w:sz="8" w:color="BFE4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BFE4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800" w:type="dxa"/>
            <w:vAlign w:val="bottom"/>
            <w:tcBorders>
              <w:bottom w:val="single" w:sz="8" w:color="BFE4FF"/>
            </w:tcBorders>
            <w:vMerge w:val="continue"/>
          </w:tcPr>
          <w:p>
            <w:pPr>
              <w:spacing w:after="0"/>
              <w:rPr>
                <w:sz w:val="11"/>
                <w:szCs w:val="11"/>
                <w:color w:val="auto"/>
              </w:rPr>
            </w:pPr>
          </w:p>
        </w:tc>
        <w:tc>
          <w:tcPr>
            <w:tcW w:w="280" w:type="dxa"/>
            <w:vAlign w:val="bottom"/>
            <w:tcBorders>
              <w:bottom w:val="single" w:sz="8" w:color="BFE4FF"/>
            </w:tcBorders>
          </w:tcPr>
          <w:p>
            <w:pPr>
              <w:spacing w:after="0"/>
              <w:rPr>
                <w:sz w:val="11"/>
                <w:szCs w:val="11"/>
                <w:color w:val="auto"/>
              </w:rPr>
            </w:pPr>
          </w:p>
        </w:tc>
        <w:tc>
          <w:tcPr>
            <w:tcW w:w="1000" w:type="dxa"/>
            <w:vAlign w:val="bottom"/>
            <w:tcBorders>
              <w:bottom w:val="single" w:sz="8" w:color="BFE4FF"/>
            </w:tcBorders>
            <w:gridSpan w:val="2"/>
            <w:vMerge w:val="continue"/>
          </w:tcPr>
          <w:p>
            <w:pPr>
              <w:spacing w:after="0"/>
              <w:rPr>
                <w:sz w:val="11"/>
                <w:szCs w:val="11"/>
                <w:color w:val="auto"/>
              </w:rPr>
            </w:pPr>
          </w:p>
        </w:tc>
        <w:tc>
          <w:tcPr>
            <w:tcW w:w="700" w:type="dxa"/>
            <w:vAlign w:val="bottom"/>
            <w:tcBorders>
              <w:bottom w:val="single" w:sz="8" w:color="BFE4FF"/>
            </w:tcBorders>
          </w:tcPr>
          <w:p>
            <w:pPr>
              <w:spacing w:after="0"/>
              <w:rPr>
                <w:sz w:val="11"/>
                <w:szCs w:val="11"/>
                <w:color w:val="auto"/>
              </w:rPr>
            </w:pPr>
          </w:p>
        </w:tc>
        <w:tc>
          <w:tcPr>
            <w:tcW w:w="480" w:type="dxa"/>
            <w:vAlign w:val="bottom"/>
            <w:tcBorders>
              <w:bottom w:val="single" w:sz="8" w:color="BFE4FF"/>
            </w:tcBorders>
            <w:vMerge w:val="continue"/>
          </w:tcPr>
          <w:p>
            <w:pPr>
              <w:spacing w:after="0"/>
              <w:rPr>
                <w:sz w:val="11"/>
                <w:szCs w:val="11"/>
                <w:color w:val="auto"/>
              </w:rPr>
            </w:pPr>
          </w:p>
        </w:tc>
        <w:tc>
          <w:tcPr>
            <w:tcW w:w="640" w:type="dxa"/>
            <w:vAlign w:val="bottom"/>
          </w:tcPr>
          <w:p>
            <w:pPr>
              <w:spacing w:after="0"/>
              <w:rPr>
                <w:sz w:val="11"/>
                <w:szCs w:val="11"/>
                <w:color w:val="auto"/>
              </w:rPr>
            </w:pPr>
          </w:p>
        </w:tc>
        <w:tc>
          <w:tcPr>
            <w:tcW w:w="27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net sales</w:t>
            </w:r>
          </w:p>
        </w:tc>
        <w:tc>
          <w:tcPr>
            <w:tcW w:w="10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tcBorders>
              <w:bottom w:val="single" w:sz="8" w:color="BFE4FF"/>
            </w:tcBorders>
            <w:shd w:val="clear" w:color="auto" w:fill="BFE4FF"/>
          </w:tcPr>
          <w:p>
            <w:pPr>
              <w:spacing w:after="0"/>
              <w:rPr>
                <w:sz w:val="11"/>
                <w:szCs w:val="1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17"/>
        </w:trPr>
        <w:tc>
          <w:tcPr>
            <w:tcW w:w="2800" w:type="dxa"/>
            <w:vAlign w:val="bottom"/>
            <w:shd w:val="clear" w:color="auto" w:fill="BFE4FF"/>
          </w:tcPr>
          <w:p>
            <w:pPr>
              <w:spacing w:after="0" w:line="104" w:lineRule="exact"/>
              <w:rPr>
                <w:sz w:val="20"/>
                <w:szCs w:val="20"/>
                <w:color w:val="auto"/>
              </w:rPr>
            </w:pPr>
            <w:r>
              <w:rPr>
                <w:rFonts w:ascii="Times New Roman" w:cs="Times New Roman" w:eastAsia="Times New Roman" w:hAnsi="Times New Roman"/>
                <w:sz w:val="11"/>
                <w:szCs w:val="11"/>
                <w:color w:val="auto"/>
              </w:rPr>
              <w:t>Personnel costs (1)</w:t>
            </w:r>
          </w:p>
        </w:tc>
        <w:tc>
          <w:tcPr>
            <w:tcW w:w="280" w:type="dxa"/>
            <w:vAlign w:val="bottom"/>
            <w:shd w:val="clear" w:color="auto" w:fill="BFE4FF"/>
          </w:tcPr>
          <w:p>
            <w:pPr>
              <w:spacing w:after="0"/>
              <w:rPr>
                <w:sz w:val="10"/>
                <w:szCs w:val="10"/>
                <w:color w:val="auto"/>
              </w:rPr>
            </w:pPr>
          </w:p>
        </w:tc>
        <w:tc>
          <w:tcPr>
            <w:tcW w:w="900" w:type="dxa"/>
            <w:vAlign w:val="bottom"/>
            <w:shd w:val="clear" w:color="auto" w:fill="BFE4FF"/>
          </w:tcPr>
          <w:p>
            <w:pPr>
              <w:jc w:val="right"/>
              <w:ind w:right="86"/>
              <w:spacing w:after="0" w:line="113" w:lineRule="exact"/>
              <w:rPr>
                <w:sz w:val="20"/>
                <w:szCs w:val="20"/>
                <w:color w:val="auto"/>
              </w:rPr>
            </w:pPr>
            <w:r>
              <w:rPr>
                <w:rFonts w:ascii="Times New Roman" w:cs="Times New Roman" w:eastAsia="Times New Roman" w:hAnsi="Times New Roman"/>
                <w:sz w:val="11"/>
                <w:szCs w:val="11"/>
                <w:color w:val="auto"/>
              </w:rPr>
              <w:t>887</w:t>
            </w:r>
          </w:p>
        </w:tc>
        <w:tc>
          <w:tcPr>
            <w:tcW w:w="100" w:type="dxa"/>
            <w:vAlign w:val="bottom"/>
            <w:shd w:val="clear" w:color="auto" w:fill="BFE4FF"/>
          </w:tcPr>
          <w:p>
            <w:pPr>
              <w:spacing w:after="0"/>
              <w:rPr>
                <w:sz w:val="10"/>
                <w:szCs w:val="10"/>
                <w:color w:val="auto"/>
              </w:rPr>
            </w:pPr>
          </w:p>
        </w:tc>
        <w:tc>
          <w:tcPr>
            <w:tcW w:w="700" w:type="dxa"/>
            <w:vAlign w:val="bottom"/>
            <w:shd w:val="clear" w:color="auto" w:fill="BFE4FF"/>
          </w:tcPr>
          <w:p>
            <w:pPr>
              <w:spacing w:after="0"/>
              <w:rPr>
                <w:sz w:val="10"/>
                <w:szCs w:val="10"/>
                <w:color w:val="auto"/>
              </w:rPr>
            </w:pPr>
          </w:p>
        </w:tc>
        <w:tc>
          <w:tcPr>
            <w:tcW w:w="480" w:type="dxa"/>
            <w:vAlign w:val="bottom"/>
            <w:shd w:val="clear" w:color="auto" w:fill="BFE4FF"/>
          </w:tcPr>
          <w:p>
            <w:pPr>
              <w:jc w:val="right"/>
              <w:ind w:right="67"/>
              <w:spacing w:after="0" w:line="113" w:lineRule="exact"/>
              <w:rPr>
                <w:sz w:val="20"/>
                <w:szCs w:val="20"/>
                <w:color w:val="auto"/>
              </w:rPr>
            </w:pPr>
            <w:r>
              <w:rPr>
                <w:rFonts w:ascii="Times New Roman" w:cs="Times New Roman" w:eastAsia="Times New Roman" w:hAnsi="Times New Roman"/>
                <w:sz w:val="11"/>
                <w:szCs w:val="11"/>
                <w:color w:val="auto"/>
              </w:rPr>
              <w:t>204</w:t>
            </w:r>
          </w:p>
        </w:tc>
        <w:tc>
          <w:tcPr>
            <w:tcW w:w="6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Facility costs (2)</w:t>
            </w:r>
          </w:p>
        </w:tc>
        <w:tc>
          <w:tcPr>
            <w:tcW w:w="280" w:type="dxa"/>
            <w:vAlign w:val="bottom"/>
          </w:tcPr>
          <w:p>
            <w:pPr>
              <w:spacing w:after="0"/>
              <w:rPr>
                <w:sz w:val="13"/>
                <w:szCs w:val="13"/>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1,742</w:t>
            </w:r>
          </w:p>
        </w:tc>
        <w:tc>
          <w:tcPr>
            <w:tcW w:w="6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Amortization of intangibles</w:t>
            </w: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10,369</w:t>
            </w:r>
          </w:p>
        </w:tc>
        <w:tc>
          <w:tcPr>
            <w:tcW w:w="100" w:type="dxa"/>
            <w:vAlign w:val="bottom"/>
            <w:shd w:val="clear" w:color="auto" w:fill="BFE4FF"/>
          </w:tcPr>
          <w:p>
            <w:pPr>
              <w:spacing w:after="0"/>
              <w:rPr>
                <w:sz w:val="14"/>
                <w:szCs w:val="14"/>
                <w:color w:val="auto"/>
              </w:rPr>
            </w:pPr>
          </w:p>
        </w:tc>
        <w:tc>
          <w:tcPr>
            <w:tcW w:w="700" w:type="dxa"/>
            <w:vAlign w:val="bottom"/>
            <w:shd w:val="clear" w:color="auto" w:fill="BFE4FF"/>
          </w:tcPr>
          <w:p>
            <w:pPr>
              <w:spacing w:after="0"/>
              <w:rPr>
                <w:sz w:val="14"/>
                <w:szCs w:val="14"/>
                <w:color w:val="auto"/>
              </w:rPr>
            </w:pPr>
          </w:p>
        </w:tc>
        <w:tc>
          <w:tcPr>
            <w:tcW w:w="480" w:type="dxa"/>
            <w:vAlign w:val="bottom"/>
            <w:shd w:val="clear" w:color="auto" w:fill="BFE4FF"/>
          </w:tcPr>
          <w:p>
            <w:pPr>
              <w:jc w:val="right"/>
              <w:ind w:right="67"/>
              <w:spacing w:after="0"/>
              <w:rPr>
                <w:sz w:val="20"/>
                <w:szCs w:val="20"/>
                <w:color w:val="auto"/>
              </w:rPr>
            </w:pPr>
            <w:r>
              <w:rPr>
                <w:rFonts w:ascii="Times New Roman" w:cs="Times New Roman" w:eastAsia="Times New Roman" w:hAnsi="Times New Roman"/>
                <w:sz w:val="11"/>
                <w:szCs w:val="11"/>
                <w:color w:val="auto"/>
              </w:rPr>
              <w:t>10,814</w:t>
            </w:r>
          </w:p>
        </w:tc>
        <w:tc>
          <w:tcPr>
            <w:tcW w:w="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Fixed asset impairments</w:t>
            </w:r>
          </w:p>
        </w:tc>
        <w:tc>
          <w:tcPr>
            <w:tcW w:w="28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4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800" w:type="dxa"/>
            <w:vAlign w:val="bottom"/>
            <w:tcBorders>
              <w:top w:val="single" w:sz="8" w:color="BFE4FF"/>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tc>
        <w:tc>
          <w:tcPr>
            <w:tcW w:w="280" w:type="dxa"/>
            <w:vAlign w:val="bottom"/>
            <w:tcBorders>
              <w:top w:val="single" w:sz="8" w:color="auto"/>
              <w:bottom w:val="single" w:sz="8" w:color="auto"/>
            </w:tcBorders>
            <w:shd w:val="clear" w:color="auto" w:fill="BFE4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24,724</w:t>
            </w:r>
          </w:p>
        </w:tc>
        <w:tc>
          <w:tcPr>
            <w:tcW w:w="100" w:type="dxa"/>
            <w:vAlign w:val="bottom"/>
            <w:tcBorders>
              <w:top w:val="single" w:sz="8" w:color="BFE4FF"/>
              <w:bottom w:val="single" w:sz="8" w:color="BFE4FF"/>
            </w:tcBorders>
            <w:shd w:val="clear" w:color="auto" w:fill="BFE4FF"/>
          </w:tcPr>
          <w:p>
            <w:pPr>
              <w:spacing w:after="0"/>
              <w:rPr>
                <w:sz w:val="14"/>
                <w:szCs w:val="14"/>
                <w:color w:val="auto"/>
              </w:rPr>
            </w:pPr>
          </w:p>
        </w:tc>
        <w:tc>
          <w:tcPr>
            <w:tcW w:w="700" w:type="dxa"/>
            <w:vAlign w:val="bottom"/>
            <w:tcBorders>
              <w:top w:val="single" w:sz="8" w:color="auto"/>
              <w:bottom w:val="single" w:sz="8" w:color="auto"/>
            </w:tcBorders>
            <w:shd w:val="clear" w:color="auto" w:fill="BFE4FF"/>
          </w:tcPr>
          <w:p>
            <w:pPr>
              <w:jc w:val="right"/>
              <w:ind w:right="58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BFE4FF"/>
          </w:tcPr>
          <w:p>
            <w:pPr>
              <w:jc w:val="right"/>
              <w:ind w:right="67"/>
              <w:spacing w:after="0"/>
              <w:rPr>
                <w:sz w:val="20"/>
                <w:szCs w:val="20"/>
                <w:color w:val="auto"/>
              </w:rPr>
            </w:pPr>
            <w:r>
              <w:rPr>
                <w:rFonts w:ascii="Times New Roman" w:cs="Times New Roman" w:eastAsia="Times New Roman" w:hAnsi="Times New Roman"/>
                <w:sz w:val="11"/>
                <w:szCs w:val="11"/>
                <w:color w:val="auto"/>
              </w:rPr>
              <w:t>23,919</w:t>
            </w:r>
          </w:p>
        </w:tc>
        <w:tc>
          <w:tcPr>
            <w:tcW w:w="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operating margin (3)</w:t>
            </w:r>
          </w:p>
        </w:tc>
        <w:tc>
          <w:tcPr>
            <w:tcW w:w="280" w:type="dxa"/>
            <w:vAlign w:val="bottom"/>
            <w:shd w:val="clear" w:color="auto" w:fill="BFE4FF"/>
          </w:tcPr>
          <w:p>
            <w:pPr>
              <w:spacing w:after="0"/>
              <w:rPr>
                <w:sz w:val="14"/>
                <w:szCs w:val="14"/>
                <w:color w:val="auto"/>
              </w:rPr>
            </w:pPr>
          </w:p>
        </w:tc>
        <w:tc>
          <w:tcPr>
            <w:tcW w:w="9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13.7 %</w:t>
            </w:r>
          </w:p>
        </w:tc>
        <w:tc>
          <w:tcPr>
            <w:tcW w:w="100" w:type="dxa"/>
            <w:vAlign w:val="bottom"/>
            <w:shd w:val="clear" w:color="auto" w:fill="BFE4FF"/>
          </w:tcPr>
          <w:p>
            <w:pPr>
              <w:spacing w:after="0"/>
              <w:rPr>
                <w:sz w:val="14"/>
                <w:szCs w:val="14"/>
                <w:color w:val="auto"/>
              </w:rPr>
            </w:pPr>
          </w:p>
        </w:tc>
        <w:tc>
          <w:tcPr>
            <w:tcW w:w="700" w:type="dxa"/>
            <w:vAlign w:val="bottom"/>
            <w:shd w:val="clear" w:color="auto" w:fill="BFE4FF"/>
          </w:tcPr>
          <w:p>
            <w:pPr>
              <w:spacing w:after="0"/>
              <w:rPr>
                <w:sz w:val="14"/>
                <w:szCs w:val="14"/>
                <w:color w:val="auto"/>
              </w:rPr>
            </w:pPr>
          </w:p>
        </w:tc>
        <w:tc>
          <w:tcPr>
            <w:tcW w:w="4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12.9 %</w:t>
            </w:r>
          </w:p>
        </w:tc>
        <w:tc>
          <w:tcPr>
            <w:tcW w:w="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GAAP net sales</w:t>
            </w:r>
          </w:p>
        </w:tc>
        <w:tc>
          <w:tcPr>
            <w:tcW w:w="280" w:type="dxa"/>
            <w:vAlign w:val="bottom"/>
          </w:tcPr>
          <w:p>
            <w:pPr>
              <w:spacing w:after="0"/>
              <w:rPr>
                <w:sz w:val="12"/>
                <w:szCs w:val="12"/>
                <w:color w:val="auto"/>
              </w:rPr>
            </w:pPr>
          </w:p>
        </w:tc>
        <w:tc>
          <w:tcPr>
            <w:tcW w:w="9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180,545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w w:val="94"/>
              </w:rPr>
              <w:t>185,948</w:t>
            </w:r>
          </w:p>
        </w:tc>
        <w:tc>
          <w:tcPr>
            <w:tcW w:w="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208" w:hanging="208"/>
        <w:spacing w:after="0"/>
        <w:tabs>
          <w:tab w:leader="none" w:pos="208"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208" w:hanging="208"/>
        <w:spacing w:after="0"/>
        <w:tabs>
          <w:tab w:leader="none" w:pos="208"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7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11</w:t>
      </w:r>
    </w:p>
    <w:p>
      <w:pPr>
        <w:sectPr>
          <w:pgSz w:w="11900" w:h="16838" w:orient="portrait"/>
          <w:cols w:equalWidth="0" w:num="1">
            <w:col w:w="11308"/>
          </w:cols>
          <w:pgMar w:left="292" w:top="674" w:right="299" w:bottom="1440" w:gutter="0" w:footer="0" w:header="0"/>
          <w:type w:val="continuous"/>
        </w:sectPr>
      </w:pPr>
    </w:p>
    <w:bookmarkStart w:id="14" w:name="page15"/>
    <w:bookmarkEnd w:id="14"/>
    <w:tbl>
      <w:tblPr>
        <w:tblLayout w:type="fixed"/>
        <w:tblInd w:w="420" w:type="dxa"/>
        <w:tblCellMar>
          <w:top w:w="0" w:type="dxa"/>
          <w:left w:w="0" w:type="dxa"/>
          <w:bottom w:w="0" w:type="dxa"/>
          <w:right w:w="0" w:type="dxa"/>
        </w:tblCellMar>
      </w:tblPr>
      <w:tr>
        <w:trPr>
          <w:trHeight w:val="159"/>
        </w:trPr>
        <w:tc>
          <w:tcPr>
            <w:tcW w:w="6820" w:type="dxa"/>
            <w:vAlign w:val="bottom"/>
            <w:gridSpan w:val="4"/>
          </w:tcPr>
          <w:p>
            <w:pPr>
              <w:ind w:left="21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42"/>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28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(20,976)</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(20,541)</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1,216</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904</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5,452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5,653</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Write-off of unamortized debt issuance cost</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349</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Change in fair value of preferred stock derivatives and warrants</w:t>
            </w:r>
          </w:p>
        </w:tc>
        <w:tc>
          <w:tcPr>
            <w:tcW w:w="28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9,172</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9,292</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11,477</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Professional fees</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568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225</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1,577</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1,175</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280" w:type="dxa"/>
            <w:vAlign w:val="bottom"/>
          </w:tcPr>
          <w:p>
            <w:pPr>
              <w:spacing w:after="0"/>
              <w:rPr>
                <w:sz w:val="13"/>
                <w:szCs w:val="13"/>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7,199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1,617</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Mexico VAT</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632</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stock compensation</w:t>
            </w:r>
          </w:p>
        </w:tc>
        <w:tc>
          <w:tcPr>
            <w:tcW w:w="280" w:type="dxa"/>
            <w:vAlign w:val="bottom"/>
          </w:tcPr>
          <w:p>
            <w:pPr>
              <w:spacing w:after="0"/>
              <w:rPr>
                <w:sz w:val="15"/>
                <w:szCs w:val="15"/>
                <w:color w:val="auto"/>
              </w:rPr>
            </w:pP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763</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Non-cash foreign exchange (gain) loss on inter-company loans</w:t>
            </w:r>
          </w:p>
        </w:tc>
        <w:tc>
          <w:tcPr>
            <w:tcW w:w="280" w:type="dxa"/>
            <w:vAlign w:val="bottom"/>
            <w:shd w:val="clear" w:color="auto" w:fill="BFE4FF"/>
          </w:tcPr>
          <w:p>
            <w:pPr>
              <w:spacing w:after="0"/>
              <w:rPr>
                <w:sz w:val="15"/>
                <w:szCs w:val="15"/>
                <w:color w:val="auto"/>
              </w:rPr>
            </w:pPr>
          </w:p>
        </w:tc>
        <w:tc>
          <w:tcPr>
            <w:tcW w:w="106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1,031</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(422)</w:t>
            </w:r>
          </w:p>
        </w:tc>
      </w:tr>
      <w:tr>
        <w:trPr>
          <w:trHeight w:val="153"/>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Fixed asset impairments</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6,546</w:t>
            </w:r>
          </w:p>
        </w:tc>
        <w:tc>
          <w:tcPr>
            <w:tcW w:w="8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54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(b)</w:t>
            </w:r>
          </w:p>
        </w:tc>
        <w:tc>
          <w:tcPr>
            <w:tcW w:w="280" w:type="dxa"/>
            <w:vAlign w:val="bottom"/>
            <w:tcBorders>
              <w:bottom w:val="single" w:sz="8" w:color="auto"/>
            </w:tcBorders>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12,060</w:t>
            </w:r>
          </w:p>
        </w:tc>
        <w:tc>
          <w:tcPr>
            <w:tcW w:w="80" w:type="dxa"/>
            <w:vAlign w:val="bottom"/>
            <w:tcBorders>
              <w:bottom w:val="single" w:sz="8" w:color="BFE4FF"/>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10,023</w:t>
            </w:r>
          </w:p>
        </w:tc>
      </w:tr>
      <w:tr>
        <w:trPr>
          <w:trHeight w:val="153"/>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EBITDA margin (3)</w:t>
            </w:r>
          </w:p>
        </w:tc>
        <w:tc>
          <w:tcPr>
            <w:tcW w:w="28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11.3 %</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8.9 %</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106,513</w:t>
            </w:r>
          </w:p>
        </w:tc>
        <w:tc>
          <w:tcPr>
            <w:tcW w:w="8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112,533</w:t>
            </w:r>
          </w:p>
        </w:tc>
      </w:tr>
    </w:tbl>
    <w:p>
      <w:pPr>
        <w:spacing w:after="0" w:line="252" w:lineRule="exact"/>
        <w:rPr>
          <w:sz w:val="20"/>
          <w:szCs w:val="20"/>
          <w:color w:val="auto"/>
        </w:rPr>
      </w:pPr>
    </w:p>
    <w:p>
      <w:pPr>
        <w:ind w:left="860" w:hanging="151"/>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12</w:t>
      </w:r>
    </w:p>
    <w:p>
      <w:pPr>
        <w:sectPr>
          <w:pgSz w:w="11900" w:h="16838" w:orient="portrait"/>
          <w:cols w:equalWidth="0" w:num="1">
            <w:col w:w="10160"/>
          </w:cols>
          <w:pgMar w:left="1440" w:top="674" w:right="299" w:bottom="1440" w:gutter="0" w:footer="0" w:header="0"/>
        </w:sectPr>
      </w:pPr>
    </w:p>
    <w:bookmarkStart w:id="15" w:name="page16"/>
    <w:bookmarkEnd w:id="15"/>
    <w:p>
      <w:pPr>
        <w:ind w:left="254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p>
      <w:pPr>
        <w:spacing w:after="0" w:line="200" w:lineRule="exact"/>
        <w:rPr>
          <w:sz w:val="20"/>
          <w:szCs w:val="20"/>
          <w:color w:val="auto"/>
        </w:rPr>
      </w:pPr>
    </w:p>
    <w:p>
      <w:pPr>
        <w:spacing w:after="0" w:line="242" w:lineRule="exact"/>
        <w:rPr>
          <w:sz w:val="20"/>
          <w:szCs w:val="20"/>
          <w:color w:val="auto"/>
        </w:rPr>
      </w:pPr>
    </w:p>
    <w:tbl>
      <w:tblPr>
        <w:tblLayout w:type="fixed"/>
        <w:tblInd w:w="700" w:type="dxa"/>
        <w:tblCellMar>
          <w:top w:w="0" w:type="dxa"/>
          <w:left w:w="0" w:type="dxa"/>
          <w:bottom w:w="0" w:type="dxa"/>
          <w:right w:w="0" w:type="dxa"/>
        </w:tblCellMar>
      </w:tblPr>
      <w:tr>
        <w:trPr>
          <w:trHeight w:val="144"/>
        </w:trPr>
        <w:tc>
          <w:tcPr>
            <w:tcW w:w="48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80" w:type="dxa"/>
            <w:vAlign w:val="bottom"/>
            <w:tcBorders>
              <w:bottom w:val="single" w:sz="8" w:color="auto"/>
            </w:tcBorders>
          </w:tcPr>
          <w:p>
            <w:pPr>
              <w:spacing w:after="0"/>
              <w:rPr>
                <w:sz w:val="12"/>
                <w:szCs w:val="12"/>
                <w:color w:val="auto"/>
              </w:rPr>
            </w:pPr>
          </w:p>
        </w:tc>
      </w:tr>
      <w:tr>
        <w:trPr>
          <w:trHeight w:val="143"/>
        </w:trPr>
        <w:tc>
          <w:tcPr>
            <w:tcW w:w="48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BFE4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1"/>
                <w:szCs w:val="11"/>
                <w:b w:val="1"/>
                <w:bCs w:val="1"/>
                <w:color w:val="auto"/>
                <w:w w:val="90"/>
              </w:rPr>
              <w:t>2023</w:t>
            </w:r>
          </w:p>
        </w:tc>
      </w:tr>
      <w:tr>
        <w:trPr>
          <w:trHeight w:val="143"/>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GAAP net loss</w:t>
            </w:r>
          </w:p>
        </w:tc>
        <w:tc>
          <w:tcPr>
            <w:tcW w:w="32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1"/>
                <w:szCs w:val="11"/>
                <w:color w:val="auto"/>
              </w:rPr>
              <w:t>(38,273)</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(50,150)</w:t>
            </w:r>
          </w:p>
        </w:tc>
      </w:tr>
      <w:tr>
        <w:trPr>
          <w:trHeight w:val="171"/>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4"/>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2,410</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2,285</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Interest expense</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22,095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21,137</w:t>
            </w:r>
          </w:p>
        </w:tc>
      </w:tr>
      <w:tr>
        <w:trPr>
          <w:trHeight w:val="146"/>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Write-off of unamortized debt issuance cost</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Change in fair value of preferred stock derivatives and warrants</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72</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10,814</w:t>
            </w:r>
          </w:p>
        </w:tc>
      </w:tr>
      <w:tr>
        <w:trPr>
          <w:trHeight w:val="155"/>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Gain on sale of business</w:t>
            </w:r>
          </w:p>
        </w:tc>
        <w:tc>
          <w:tcPr>
            <w:tcW w:w="320" w:type="dxa"/>
            <w:vAlign w:val="bottom"/>
            <w:shd w:val="clear" w:color="auto" w:fill="BFE4FF"/>
          </w:tcPr>
          <w:p>
            <w:pPr>
              <w:spacing w:after="0"/>
              <w:rPr>
                <w:sz w:val="13"/>
                <w:szCs w:val="13"/>
                <w:color w:val="auto"/>
              </w:rPr>
            </w:pPr>
          </w:p>
        </w:tc>
        <w:tc>
          <w:tcPr>
            <w:tcW w:w="1000" w:type="dxa"/>
            <w:vAlign w:val="bottom"/>
            <w:shd w:val="clear" w:color="auto" w:fill="BFE4FF"/>
          </w:tcPr>
          <w:p>
            <w:pPr>
              <w:jc w:val="right"/>
              <w:ind w:right="46"/>
              <w:spacing w:after="0"/>
              <w:rPr>
                <w:sz w:val="20"/>
                <w:szCs w:val="20"/>
                <w:color w:val="auto"/>
              </w:rPr>
            </w:pPr>
            <w:r>
              <w:rPr>
                <w:rFonts w:ascii="Times New Roman" w:cs="Times New Roman" w:eastAsia="Times New Roman" w:hAnsi="Times New Roman"/>
                <w:sz w:val="12"/>
                <w:szCs w:val="12"/>
                <w:color w:val="auto"/>
              </w:rPr>
              <w:t>(7,154)</w:t>
            </w:r>
          </w:p>
        </w:tc>
        <w:tc>
          <w:tcPr>
            <w:tcW w:w="100" w:type="dxa"/>
            <w:vAlign w:val="bottom"/>
            <w:shd w:val="clear" w:color="auto" w:fill="BFE4FF"/>
          </w:tcPr>
          <w:p>
            <w:pPr>
              <w:spacing w:after="0"/>
              <w:rPr>
                <w:sz w:val="13"/>
                <w:szCs w:val="13"/>
                <w:color w:val="auto"/>
              </w:rPr>
            </w:pPr>
          </w:p>
        </w:tc>
        <w:tc>
          <w:tcPr>
            <w:tcW w:w="560" w:type="dxa"/>
            <w:vAlign w:val="bottom"/>
            <w:shd w:val="clear" w:color="auto" w:fill="BFE4FF"/>
          </w:tcPr>
          <w:p>
            <w:pPr>
              <w:spacing w:after="0"/>
              <w:rPr>
                <w:sz w:val="13"/>
                <w:szCs w:val="13"/>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44,444</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46,120</w:t>
            </w:r>
          </w:p>
        </w:tc>
      </w:tr>
      <w:tr>
        <w:trPr>
          <w:trHeight w:val="164"/>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Litigation / settlement costs</w:t>
            </w:r>
          </w:p>
        </w:tc>
        <w:tc>
          <w:tcPr>
            <w:tcW w:w="320" w:type="dxa"/>
            <w:vAlign w:val="bottom"/>
            <w:shd w:val="clear" w:color="auto" w:fill="BFE4FF"/>
          </w:tcPr>
          <w:p>
            <w:pPr>
              <w:spacing w:after="0"/>
              <w:rPr>
                <w:sz w:val="14"/>
                <w:szCs w:val="14"/>
                <w:color w:val="auto"/>
              </w:rPr>
            </w:pPr>
          </w:p>
        </w:tc>
        <w:tc>
          <w:tcPr>
            <w:tcW w:w="1100" w:type="dxa"/>
            <w:vAlign w:val="bottom"/>
            <w:gridSpan w:val="2"/>
            <w:shd w:val="clear" w:color="auto" w:fill="BFE4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BFE4FF"/>
          </w:tcPr>
          <w:p>
            <w:pPr>
              <w:spacing w:after="0"/>
              <w:rPr>
                <w:sz w:val="14"/>
                <w:szCs w:val="14"/>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Professional fees</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648</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640</w:t>
            </w:r>
          </w:p>
        </w:tc>
      </w:tr>
      <w:tr>
        <w:trPr>
          <w:trHeight w:val="146"/>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Personnel costs (1)</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3,437</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2,857</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Facility costs (2)</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8,280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7,271</w:t>
            </w:r>
          </w:p>
        </w:tc>
      </w:tr>
      <w:tr>
        <w:trPr>
          <w:trHeight w:val="164"/>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Mexico VAT</w:t>
            </w:r>
          </w:p>
        </w:tc>
        <w:tc>
          <w:tcPr>
            <w:tcW w:w="320" w:type="dxa"/>
            <w:vAlign w:val="bottom"/>
            <w:shd w:val="clear" w:color="auto" w:fill="BFE4FF"/>
          </w:tcPr>
          <w:p>
            <w:pPr>
              <w:spacing w:after="0"/>
              <w:rPr>
                <w:sz w:val="14"/>
                <w:szCs w:val="14"/>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632</w:t>
            </w:r>
          </w:p>
        </w:tc>
        <w:tc>
          <w:tcPr>
            <w:tcW w:w="100" w:type="dxa"/>
            <w:vAlign w:val="bottom"/>
            <w:shd w:val="clear" w:color="auto" w:fill="BFE4FF"/>
          </w:tcPr>
          <w:p>
            <w:pPr>
              <w:spacing w:after="0"/>
              <w:rPr>
                <w:sz w:val="14"/>
                <w:szCs w:val="14"/>
                <w:color w:val="auto"/>
              </w:rPr>
            </w:pPr>
          </w:p>
        </w:tc>
        <w:tc>
          <w:tcPr>
            <w:tcW w:w="560" w:type="dxa"/>
            <w:vAlign w:val="bottom"/>
            <w:shd w:val="clear" w:color="auto" w:fill="BFE4FF"/>
          </w:tcPr>
          <w:p>
            <w:pPr>
              <w:spacing w:after="0"/>
              <w:rPr>
                <w:sz w:val="14"/>
                <w:szCs w:val="14"/>
                <w:color w:val="auto"/>
              </w:rPr>
            </w:pPr>
          </w:p>
        </w:tc>
        <w:tc>
          <w:tcPr>
            <w:tcW w:w="780" w:type="dxa"/>
            <w:vAlign w:val="bottom"/>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Non-cash stock compensation</w:t>
            </w:r>
          </w:p>
        </w:tc>
        <w:tc>
          <w:tcPr>
            <w:tcW w:w="32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3,140</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2,823</w:t>
            </w:r>
          </w:p>
        </w:tc>
      </w:tr>
      <w:tr>
        <w:trPr>
          <w:trHeight w:val="146"/>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Non-cash foreign exchange (gain) loss on inter-company loans</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1,712</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(676)</w:t>
            </w:r>
          </w:p>
        </w:tc>
      </w:tr>
      <w:tr>
        <w:trPr>
          <w:trHeight w:val="142"/>
        </w:trPr>
        <w:tc>
          <w:tcPr>
            <w:tcW w:w="48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1"/>
                <w:szCs w:val="11"/>
                <w:color w:val="auto"/>
              </w:rPr>
              <w:t>Fixed asset and goodwill impairments</w:t>
            </w: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rPr>
              <w:t>6,546</w:t>
            </w:r>
          </w:p>
        </w:tc>
        <w:tc>
          <w:tcPr>
            <w:tcW w:w="100" w:type="dxa"/>
            <w:vAlign w:val="bottom"/>
            <w:tcBorders>
              <w:bottom w:val="single" w:sz="8" w:color="BFE4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486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EBITDA (b)</w:t>
            </w:r>
          </w:p>
        </w:tc>
        <w:tc>
          <w:tcPr>
            <w:tcW w:w="320" w:type="dxa"/>
            <w:vAlign w:val="bottom"/>
            <w:tcBorders>
              <w:bottom w:val="single" w:sz="8" w:color="auto"/>
            </w:tcBorders>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BFE4FF"/>
          </w:tcPr>
          <w:p>
            <w:pPr>
              <w:jc w:val="right"/>
              <w:ind w:right="66"/>
              <w:spacing w:after="0"/>
              <w:rPr>
                <w:sz w:val="20"/>
                <w:szCs w:val="20"/>
                <w:color w:val="auto"/>
              </w:rPr>
            </w:pPr>
            <w:r>
              <w:rPr>
                <w:rFonts w:ascii="Times New Roman" w:cs="Times New Roman" w:eastAsia="Times New Roman" w:hAnsi="Times New Roman"/>
                <w:sz w:val="11"/>
                <w:szCs w:val="11"/>
                <w:color w:val="auto"/>
              </w:rPr>
              <w:t>48,338</w:t>
            </w:r>
          </w:p>
        </w:tc>
        <w:tc>
          <w:tcPr>
            <w:tcW w:w="100" w:type="dxa"/>
            <w:vAlign w:val="bottom"/>
            <w:tcBorders>
              <w:bottom w:val="single" w:sz="8" w:color="BFE4FF"/>
            </w:tcBorders>
            <w:shd w:val="clear" w:color="auto" w:fill="BFE4FF"/>
          </w:tcPr>
          <w:p>
            <w:pPr>
              <w:spacing w:after="0"/>
              <w:rPr>
                <w:sz w:val="13"/>
                <w:szCs w:val="13"/>
                <w:color w:val="auto"/>
              </w:rPr>
            </w:pPr>
          </w:p>
        </w:tc>
        <w:tc>
          <w:tcPr>
            <w:tcW w:w="560" w:type="dxa"/>
            <w:vAlign w:val="bottom"/>
            <w:tcBorders>
              <w:bottom w:val="single" w:sz="8" w:color="auto"/>
            </w:tcBorders>
            <w:shd w:val="clear" w:color="auto" w:fill="BFE4FF"/>
          </w:tcPr>
          <w:p>
            <w:pPr>
              <w:jc w:val="right"/>
              <w:ind w:right="4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BFE4FF"/>
          </w:tcPr>
          <w:p>
            <w:pPr>
              <w:jc w:val="right"/>
              <w:ind w:right="86"/>
              <w:spacing w:after="0"/>
              <w:rPr>
                <w:sz w:val="20"/>
                <w:szCs w:val="20"/>
                <w:color w:val="auto"/>
              </w:rPr>
            </w:pPr>
            <w:r>
              <w:rPr>
                <w:rFonts w:ascii="Times New Roman" w:cs="Times New Roman" w:eastAsia="Times New Roman" w:hAnsi="Times New Roman"/>
                <w:sz w:val="11"/>
                <w:szCs w:val="11"/>
                <w:color w:val="auto"/>
              </w:rPr>
              <w:t>43,121</w:t>
            </w:r>
          </w:p>
        </w:tc>
      </w:tr>
      <w:tr>
        <w:trPr>
          <w:trHeight w:val="153"/>
        </w:trPr>
        <w:tc>
          <w:tcPr>
            <w:tcW w:w="4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4"/>
        </w:trPr>
        <w:tc>
          <w:tcPr>
            <w:tcW w:w="4860" w:type="dxa"/>
            <w:vAlign w:val="bottom"/>
            <w:shd w:val="clear" w:color="auto" w:fill="BFE4FF"/>
          </w:tcPr>
          <w:p>
            <w:pPr>
              <w:spacing w:after="0"/>
              <w:rPr>
                <w:sz w:val="20"/>
                <w:szCs w:val="20"/>
                <w:color w:val="auto"/>
              </w:rPr>
            </w:pPr>
            <w:r>
              <w:rPr>
                <w:rFonts w:ascii="Times New Roman" w:cs="Times New Roman" w:eastAsia="Times New Roman" w:hAnsi="Times New Roman"/>
                <w:sz w:val="11"/>
                <w:szCs w:val="11"/>
                <w:color w:val="auto"/>
              </w:rPr>
              <w:t>Non-GAAP adjusted EBITDA margin (3)</w:t>
            </w:r>
          </w:p>
        </w:tc>
        <w:tc>
          <w:tcPr>
            <w:tcW w:w="320" w:type="dxa"/>
            <w:vAlign w:val="bottom"/>
            <w:shd w:val="clear" w:color="auto" w:fill="BFE4FF"/>
          </w:tcPr>
          <w:p>
            <w:pPr>
              <w:spacing w:after="0"/>
              <w:rPr>
                <w:sz w:val="12"/>
                <w:szCs w:val="12"/>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10.4 %</w:t>
            </w:r>
          </w:p>
        </w:tc>
        <w:tc>
          <w:tcPr>
            <w:tcW w:w="100" w:type="dxa"/>
            <w:vAlign w:val="bottom"/>
            <w:shd w:val="clear" w:color="auto" w:fill="BFE4FF"/>
          </w:tcPr>
          <w:p>
            <w:pPr>
              <w:spacing w:after="0"/>
              <w:rPr>
                <w:sz w:val="12"/>
                <w:szCs w:val="12"/>
                <w:color w:val="auto"/>
              </w:rPr>
            </w:pPr>
          </w:p>
        </w:tc>
        <w:tc>
          <w:tcPr>
            <w:tcW w:w="560" w:type="dxa"/>
            <w:vAlign w:val="bottom"/>
            <w:shd w:val="clear" w:color="auto" w:fill="BFE4FF"/>
          </w:tcPr>
          <w:p>
            <w:pPr>
              <w:spacing w:after="0"/>
              <w:rPr>
                <w:sz w:val="12"/>
                <w:szCs w:val="12"/>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8.8 %</w:t>
            </w:r>
          </w:p>
        </w:tc>
      </w:tr>
      <w:tr>
        <w:trPr>
          <w:trHeight w:val="158"/>
        </w:trPr>
        <w:tc>
          <w:tcPr>
            <w:tcW w:w="4860" w:type="dxa"/>
            <w:vAlign w:val="bottom"/>
          </w:tcPr>
          <w:p>
            <w:pPr>
              <w:spacing w:after="0"/>
              <w:rPr>
                <w:sz w:val="20"/>
                <w:szCs w:val="20"/>
                <w:color w:val="auto"/>
              </w:rPr>
            </w:pPr>
            <w:r>
              <w:rPr>
                <w:rFonts w:ascii="Times New Roman" w:cs="Times New Roman" w:eastAsia="Times New Roman" w:hAnsi="Times New Roman"/>
                <w:sz w:val="11"/>
                <w:szCs w:val="11"/>
                <w:color w:val="auto"/>
              </w:rPr>
              <w:t>GAAP net sales</w:t>
            </w:r>
          </w:p>
        </w:tc>
        <w:tc>
          <w:tcPr>
            <w:tcW w:w="320" w:type="dxa"/>
            <w:vAlign w:val="bottom"/>
          </w:tcPr>
          <w:p>
            <w:pPr>
              <w:spacing w:after="0"/>
              <w:rPr>
                <w:sz w:val="13"/>
                <w:szCs w:val="13"/>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464,290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489,270</w:t>
            </w:r>
          </w:p>
        </w:tc>
      </w:tr>
    </w:tbl>
    <w:p>
      <w:pPr>
        <w:spacing w:after="0" w:line="247" w:lineRule="exact"/>
        <w:rPr>
          <w:sz w:val="20"/>
          <w:szCs w:val="20"/>
          <w:color w:val="auto"/>
        </w:rPr>
      </w:pPr>
    </w:p>
    <w:p>
      <w:pPr>
        <w:ind w:left="860" w:hanging="151"/>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17"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98"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36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13</w:t>
      </w:r>
    </w:p>
    <w:p>
      <w:pPr>
        <w:sectPr>
          <w:pgSz w:w="11900" w:h="16838" w:orient="portrait"/>
          <w:cols w:equalWidth="0" w:num="1">
            <w:col w:w="10160"/>
          </w:cols>
          <w:pgMar w:left="1440" w:top="674"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Net Income and GAAP Net Income (Loss) per Diluted Common Share to Non-GAAP Adjusted Net Income (Loss) per Diluted Common Share</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30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(20,976)</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(20,541)</w:t>
            </w:r>
          </w:p>
        </w:tc>
      </w:tr>
      <w:tr>
        <w:trPr>
          <w:trHeight w:val="180"/>
        </w:trPr>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225</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1,577</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7,199</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1,617</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1,031</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(422)</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write-off of unamortized debt issuance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9,172</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3,976</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4,009</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impairments of fixed asset costs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6,546</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Mexico VAT</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632</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Tax effect of adjustments reflected above (c)</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(107)</w:t>
            </w:r>
          </w:p>
        </w:tc>
      </w:tr>
      <w:tr>
        <w:trPr>
          <w:trHeight w:val="158"/>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(d)</w:t>
            </w:r>
          </w:p>
        </w:tc>
        <w:tc>
          <w:tcPr>
            <w:tcW w:w="300" w:type="dxa"/>
            <w:vAlign w:val="bottom"/>
            <w:tcBorders>
              <w:bottom w:val="single" w:sz="8" w:color="auto"/>
            </w:tcBorders>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140" w:type="dxa"/>
            <w:vAlign w:val="bottom"/>
            <w:tcBorders>
              <w:bottom w:val="single" w:sz="8" w:color="auto"/>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(4,872)</w:t>
            </w:r>
          </w:p>
        </w:tc>
      </w:tr>
      <w:tr>
        <w:trPr>
          <w:trHeight w:val="315"/>
        </w:trPr>
        <w:tc>
          <w:tcPr>
            <w:tcW w:w="6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(per diluted common share)</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 per diluted common share</w:t>
            </w:r>
          </w:p>
        </w:tc>
        <w:tc>
          <w:tcPr>
            <w:tcW w:w="30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(0.51)</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(0.50)</w:t>
            </w:r>
          </w:p>
        </w:tc>
      </w:tr>
      <w:tr>
        <w:trPr>
          <w:trHeight w:val="180"/>
        </w:trPr>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r>
      <w:tr>
        <w:trPr>
          <w:trHeight w:val="18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300" w:type="dxa"/>
            <w:vAlign w:val="bottom"/>
            <w:shd w:val="clear" w:color="auto" w:fill="BFE4FF"/>
          </w:tcPr>
          <w:p>
            <w:pPr>
              <w:spacing w:after="0"/>
              <w:rPr>
                <w:sz w:val="15"/>
                <w:szCs w:val="15"/>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0.03</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write-off of unamortized debt issuance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0.19</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impairments of fixed asset costs</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Mexico VAT</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Preferred stock cumulative dividends and deemed dividends</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0.09</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0.09</w:t>
            </w:r>
          </w:p>
        </w:tc>
      </w:tr>
      <w:tr>
        <w:trPr>
          <w:trHeight w:val="162"/>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per diluted common share (d)</w:t>
            </w:r>
          </w:p>
        </w:tc>
        <w:tc>
          <w:tcPr>
            <w:tcW w:w="300" w:type="dxa"/>
            <w:vAlign w:val="bottom"/>
            <w:tcBorders>
              <w:bottom w:val="single" w:sz="8" w:color="auto"/>
            </w:tcBorders>
            <w:shd w:val="clear" w:color="auto" w:fill="BFE4FF"/>
          </w:tcPr>
          <w:p>
            <w:pPr>
              <w:spacing w:after="0"/>
              <w:rPr>
                <w:sz w:val="14"/>
                <w:szCs w:val="14"/>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140" w:type="dxa"/>
            <w:vAlign w:val="bottom"/>
            <w:tcBorders>
              <w:bottom w:val="single" w:sz="8" w:color="BFE4FF"/>
            </w:tcBorders>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$(0.10)</w:t>
            </w:r>
          </w:p>
        </w:tc>
      </w:tr>
      <w:tr>
        <w:trPr>
          <w:trHeight w:val="151"/>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used to calculate net earnings (loss) per share</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49,039</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14</w:t>
      </w:r>
    </w:p>
    <w:p>
      <w:pPr>
        <w:sectPr>
          <w:pgSz w:w="11900" w:h="16838" w:orient="portrait"/>
          <w:cols w:equalWidth="0" w:num="1">
            <w:col w:w="11020"/>
          </w:cols>
          <w:pgMar w:left="580" w:top="674"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Net Income and GAAP Net Income (Loss) per Diluted Common Share to Non-GAAP Adjusted Net Income (Loss) per Diluted Common Share</w:t>
      </w:r>
    </w:p>
    <w:p>
      <w:pPr>
        <w:spacing w:after="0" w:line="118" w:lineRule="exact"/>
        <w:rPr>
          <w:sz w:val="20"/>
          <w:szCs w:val="20"/>
          <w:color w:val="auto"/>
        </w:rPr>
      </w:pPr>
    </w:p>
    <w:tbl>
      <w:tblPr>
        <w:tblLayout w:type="fixed"/>
        <w:tblInd w:w="1060" w:type="dxa"/>
        <w:tblCellMar>
          <w:top w:w="0" w:type="dxa"/>
          <w:left w:w="0" w:type="dxa"/>
          <w:bottom w:w="0" w:type="dxa"/>
          <w:right w:w="0" w:type="dxa"/>
        </w:tblCellMar>
      </w:tblPr>
      <w:tr>
        <w:trPr>
          <w:trHeight w:val="144"/>
        </w:trPr>
        <w:tc>
          <w:tcPr>
            <w:tcW w:w="59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4"/>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3"/>
        </w:trPr>
        <w:tc>
          <w:tcPr>
            <w:tcW w:w="59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(in thousands)</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net income (loss)</w:t>
            </w:r>
          </w:p>
        </w:tc>
        <w:tc>
          <w:tcPr>
            <w:tcW w:w="30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(38,273)</w:t>
            </w:r>
          </w:p>
        </w:tc>
        <w:tc>
          <w:tcPr>
            <w:tcW w:w="80" w:type="dxa"/>
            <w:vAlign w:val="bottom"/>
            <w:shd w:val="clear" w:color="auto" w:fill="BFE4FF"/>
          </w:tcPr>
          <w:p>
            <w:pPr>
              <w:spacing w:after="0"/>
              <w:rPr>
                <w:sz w:val="11"/>
                <w:szCs w:val="11"/>
                <w:color w:val="auto"/>
              </w:rPr>
            </w:pPr>
          </w:p>
        </w:tc>
        <w:tc>
          <w:tcPr>
            <w:tcW w:w="32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(50,150)</w:t>
            </w:r>
          </w:p>
        </w:tc>
      </w:tr>
      <w:tr>
        <w:trPr>
          <w:trHeight w:val="17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foreign exchange (gain) loss on inter-company loans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1,712</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(676)</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professional fees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personnel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3,437</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2,857</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facility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8,280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7,271</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write-off of unamortized debt issuance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349</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change in fair value of preferred stock derivatives and warrants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10,814</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change in gain on sale of business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(7,154)</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amortization of intangibles and deferred financing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16,012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16,108</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impairments of fixed asset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6,546</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Mexico VAT</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Tax effect of adjustments reflected above (c)</w:t>
            </w:r>
          </w:p>
        </w:tc>
        <w:tc>
          <w:tcPr>
            <w:tcW w:w="300" w:type="dxa"/>
            <w:vAlign w:val="bottom"/>
            <w:tcBorders>
              <w:bottom w:val="single" w:sz="8" w:color="auto"/>
            </w:tcBorders>
            <w:shd w:val="clear" w:color="auto" w:fill="BFE4FF"/>
          </w:tcPr>
          <w:p>
            <w:pPr>
              <w:spacing w:after="0"/>
              <w:rPr>
                <w:sz w:val="12"/>
                <w:szCs w:val="12"/>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80" w:type="dxa"/>
            <w:vAlign w:val="bottom"/>
            <w:shd w:val="clear" w:color="auto" w:fill="BFE4FF"/>
          </w:tcPr>
          <w:p>
            <w:pPr>
              <w:spacing w:after="0"/>
              <w:rPr>
                <w:sz w:val="12"/>
                <w:szCs w:val="12"/>
                <w:color w:val="auto"/>
              </w:rPr>
            </w:pPr>
          </w:p>
        </w:tc>
        <w:tc>
          <w:tcPr>
            <w:tcW w:w="320" w:type="dxa"/>
            <w:vAlign w:val="bottom"/>
            <w:tcBorders>
              <w:bottom w:val="single" w:sz="8" w:color="auto"/>
            </w:tcBorders>
            <w:shd w:val="clear" w:color="auto" w:fill="BFE4FF"/>
          </w:tcPr>
          <w:p>
            <w:pPr>
              <w:spacing w:after="0"/>
              <w:rPr>
                <w:sz w:val="12"/>
                <w:szCs w:val="12"/>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(592)</w:t>
            </w:r>
          </w:p>
        </w:tc>
      </w:tr>
      <w:tr>
        <w:trPr>
          <w:trHeight w:val="135"/>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Non-GAAP adjusted net income (loss) (d)</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(8,151)</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(13,728)</w:t>
            </w:r>
          </w:p>
        </w:tc>
      </w:tr>
      <w:tr>
        <w:trPr>
          <w:trHeight w:val="20"/>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r>
      <w:tr>
        <w:trPr>
          <w:trHeight w:val="253"/>
        </w:trPr>
        <w:tc>
          <w:tcPr>
            <w:tcW w:w="5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8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3"/>
        </w:trPr>
        <w:tc>
          <w:tcPr>
            <w:tcW w:w="59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(per diluted common share)</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GAAP net income (loss) per diluted common share</w:t>
            </w:r>
          </w:p>
        </w:tc>
        <w:tc>
          <w:tcPr>
            <w:tcW w:w="30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80" w:type="dxa"/>
            <w:vAlign w:val="bottom"/>
            <w:shd w:val="clear" w:color="auto" w:fill="BFE4FF"/>
          </w:tcPr>
          <w:p>
            <w:pPr>
              <w:spacing w:after="0"/>
              <w:rPr>
                <w:sz w:val="11"/>
                <w:szCs w:val="11"/>
                <w:color w:val="auto"/>
              </w:rPr>
            </w:pPr>
          </w:p>
        </w:tc>
        <w:tc>
          <w:tcPr>
            <w:tcW w:w="32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71"/>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44"/>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foreign exchange (gain) loss on inter-company loans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0.04</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professional fees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personnel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0.07</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0.06</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facility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0.17</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0.16</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write-off of unamortized debt issuance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change in fair value of preferred stock derivatives and warrants</w:t>
            </w:r>
          </w:p>
        </w:tc>
        <w:tc>
          <w:tcPr>
            <w:tcW w:w="30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0.23</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change in gain on sale of business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(0.15)</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Pre-tax amortization of intangibles and deferred financing costs</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0.28</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0.30</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Pre-tax impairments of fixed asset costs</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rPr>
              <w:t>0.13</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2"/>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Mexico VAT</w:t>
            </w:r>
          </w:p>
        </w:tc>
        <w:tc>
          <w:tcPr>
            <w:tcW w:w="300" w:type="dxa"/>
            <w:vAlign w:val="bottom"/>
          </w:tcPr>
          <w:p>
            <w:pPr>
              <w:spacing w:after="0"/>
              <w:rPr>
                <w:sz w:val="12"/>
                <w:szCs w:val="12"/>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6"/>
        </w:trPr>
        <w:tc>
          <w:tcPr>
            <w:tcW w:w="59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Tax effect of adjustments reflected above (c)</w:t>
            </w:r>
          </w:p>
        </w:tc>
        <w:tc>
          <w:tcPr>
            <w:tcW w:w="300" w:type="dxa"/>
            <w:vAlign w:val="bottom"/>
            <w:shd w:val="clear" w:color="auto" w:fill="BFE4FF"/>
          </w:tcPr>
          <w:p>
            <w:pPr>
              <w:spacing w:after="0"/>
              <w:rPr>
                <w:sz w:val="12"/>
                <w:szCs w:val="12"/>
                <w:color w:val="auto"/>
              </w:rPr>
            </w:pPr>
          </w:p>
        </w:tc>
        <w:tc>
          <w:tcPr>
            <w:tcW w:w="100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80" w:type="dxa"/>
            <w:vAlign w:val="bottom"/>
            <w:shd w:val="clear" w:color="auto" w:fill="BFE4FF"/>
          </w:tcPr>
          <w:p>
            <w:pPr>
              <w:spacing w:after="0"/>
              <w:rPr>
                <w:sz w:val="12"/>
                <w:szCs w:val="12"/>
                <w:color w:val="auto"/>
              </w:rPr>
            </w:pPr>
          </w:p>
        </w:tc>
        <w:tc>
          <w:tcPr>
            <w:tcW w:w="320" w:type="dxa"/>
            <w:vAlign w:val="bottom"/>
            <w:shd w:val="clear" w:color="auto" w:fill="BFE4FF"/>
          </w:tcPr>
          <w:p>
            <w:pPr>
              <w:spacing w:after="0"/>
              <w:rPr>
                <w:sz w:val="12"/>
                <w:szCs w:val="12"/>
                <w:color w:val="auto"/>
              </w:rPr>
            </w:pPr>
          </w:p>
        </w:tc>
        <w:tc>
          <w:tcPr>
            <w:tcW w:w="9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(0.01)</w:t>
            </w:r>
          </w:p>
        </w:tc>
      </w:tr>
      <w:tr>
        <w:trPr>
          <w:trHeight w:val="142"/>
        </w:trPr>
        <w:tc>
          <w:tcPr>
            <w:tcW w:w="59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1"/>
                <w:szCs w:val="11"/>
                <w:color w:val="auto"/>
              </w:rPr>
              <w:t>Preferred stock cumulative dividends and deemed dividends</w:t>
            </w: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0.32</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0.28</w:t>
            </w:r>
          </w:p>
        </w:tc>
      </w:tr>
      <w:tr>
        <w:trPr>
          <w:trHeight w:val="155"/>
        </w:trPr>
        <w:tc>
          <w:tcPr>
            <w:tcW w:w="59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1"/>
                <w:szCs w:val="11"/>
                <w:color w:val="auto"/>
              </w:rPr>
              <w:t>Non-GAAP adjusted net income (loss) per diluted common share (d)</w:t>
            </w:r>
          </w:p>
        </w:tc>
        <w:tc>
          <w:tcPr>
            <w:tcW w:w="300" w:type="dxa"/>
            <w:vAlign w:val="bottom"/>
            <w:tcBorders>
              <w:bottom w:val="single" w:sz="8" w:color="auto"/>
            </w:tcBorders>
            <w:shd w:val="clear" w:color="auto" w:fill="BFE4FF"/>
          </w:tcPr>
          <w:p>
            <w:pPr>
              <w:spacing w:after="0"/>
              <w:rPr>
                <w:sz w:val="13"/>
                <w:szCs w:val="13"/>
                <w:color w:val="auto"/>
              </w:rPr>
            </w:pPr>
          </w:p>
        </w:tc>
        <w:tc>
          <w:tcPr>
            <w:tcW w:w="100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80" w:type="dxa"/>
            <w:vAlign w:val="bottom"/>
            <w:tcBorders>
              <w:bottom w:val="single" w:sz="8" w:color="BFE4FF"/>
            </w:tcBorders>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spacing w:after="0"/>
              <w:rPr>
                <w:sz w:val="13"/>
                <w:szCs w:val="13"/>
                <w:color w:val="auto"/>
              </w:rPr>
            </w:pPr>
          </w:p>
        </w:tc>
        <w:tc>
          <w:tcPr>
            <w:tcW w:w="9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1"/>
                <w:szCs w:val="11"/>
                <w:color w:val="auto"/>
              </w:rPr>
              <w:t>$(0.29)</w:t>
            </w:r>
          </w:p>
        </w:tc>
      </w:tr>
      <w:tr>
        <w:trPr>
          <w:trHeight w:val="136"/>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300" w:type="dxa"/>
            <w:vAlign w:val="bottom"/>
          </w:tcPr>
          <w:p>
            <w:pPr>
              <w:spacing w:after="0"/>
              <w:rPr>
                <w:sz w:val="11"/>
                <w:szCs w:val="11"/>
                <w:color w:val="auto"/>
              </w:rPr>
            </w:pPr>
          </w:p>
        </w:tc>
        <w:tc>
          <w:tcPr>
            <w:tcW w:w="10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48,653</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46,738</w:t>
            </w:r>
          </w:p>
        </w:tc>
      </w:tr>
    </w:tbl>
    <w:p>
      <w:pPr>
        <w:spacing w:after="0" w:line="354"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15</w:t>
      </w:r>
    </w:p>
    <w:p>
      <w:pPr>
        <w:sectPr>
          <w:pgSz w:w="11900" w:h="16838" w:orient="portrait"/>
          <w:cols w:equalWidth="0" w:num="1">
            <w:col w:w="11020"/>
          </w:cols>
          <w:pgMar w:left="580" w:top="674"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9"/>
        </w:trPr>
        <w:tc>
          <w:tcPr>
            <w:tcW w:w="3160" w:type="dxa"/>
            <w:vAlign w:val="bottom"/>
          </w:tcPr>
          <w:p>
            <w:pPr>
              <w:spacing w:after="0"/>
              <w:rPr>
                <w:sz w:val="13"/>
                <w:szCs w:val="13"/>
                <w:color w:val="auto"/>
              </w:rPr>
            </w:pPr>
          </w:p>
        </w:tc>
        <w:tc>
          <w:tcPr>
            <w:tcW w:w="3680" w:type="dxa"/>
            <w:vAlign w:val="bottom"/>
            <w:gridSpan w:val="5"/>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Reconciliation of Operating Cash Flow to Free Cash Flow</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3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940" w:type="dxa"/>
            <w:vAlign w:val="bottom"/>
          </w:tcPr>
          <w:p>
            <w:pPr>
              <w:spacing w:after="0"/>
              <w:rPr>
                <w:sz w:val="12"/>
                <w:szCs w:val="12"/>
                <w:color w:val="auto"/>
              </w:rPr>
            </w:pPr>
          </w:p>
        </w:tc>
      </w:tr>
      <w:tr>
        <w:trPr>
          <w:trHeight w:val="159"/>
        </w:trPr>
        <w:tc>
          <w:tcPr>
            <w:tcW w:w="3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40" w:type="dxa"/>
            <w:vAlign w:val="bottom"/>
            <w:tcBorders>
              <w:bottom w:val="single" w:sz="8" w:color="auto"/>
            </w:tcBorders>
          </w:tcPr>
          <w:p>
            <w:pPr>
              <w:spacing w:after="0"/>
              <w:rPr>
                <w:sz w:val="13"/>
                <w:szCs w:val="13"/>
                <w:color w:val="auto"/>
              </w:rPr>
            </w:pPr>
          </w:p>
        </w:tc>
      </w:tr>
      <w:tr>
        <w:trPr>
          <w:trHeight w:val="145"/>
        </w:trPr>
        <w:tc>
          <w:tcPr>
            <w:tcW w:w="31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840" w:type="dxa"/>
            <w:vAlign w:val="bottom"/>
            <w:tcBorders>
              <w:bottom w:val="single" w:sz="8" w:color="BFE4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00" w:type="dxa"/>
            <w:vAlign w:val="bottom"/>
            <w:tcBorders>
              <w:bottom w:val="single" w:sz="8" w:color="BFE4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BFE4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42"/>
        </w:trPr>
        <w:tc>
          <w:tcPr>
            <w:tcW w:w="31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840" w:type="dxa"/>
            <w:vAlign w:val="bottom"/>
            <w:shd w:val="clear" w:color="auto" w:fill="BFE4FF"/>
          </w:tcPr>
          <w:p>
            <w:pPr>
              <w:spacing w:after="0"/>
              <w:rPr>
                <w:sz w:val="12"/>
                <w:szCs w:val="12"/>
                <w:color w:val="auto"/>
              </w:rPr>
            </w:pPr>
          </w:p>
        </w:tc>
        <w:tc>
          <w:tcPr>
            <w:tcW w:w="30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6,681</w:t>
            </w:r>
          </w:p>
        </w:tc>
        <w:tc>
          <w:tcPr>
            <w:tcW w:w="100" w:type="dxa"/>
            <w:vAlign w:val="bottom"/>
            <w:shd w:val="clear" w:color="auto" w:fill="BFE4FF"/>
          </w:tcPr>
          <w:p>
            <w:pPr>
              <w:spacing w:after="0"/>
              <w:rPr>
                <w:sz w:val="12"/>
                <w:szCs w:val="12"/>
                <w:color w:val="auto"/>
              </w:rPr>
            </w:pPr>
          </w:p>
        </w:tc>
        <w:tc>
          <w:tcPr>
            <w:tcW w:w="480" w:type="dxa"/>
            <w:vAlign w:val="bottom"/>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5,454</w:t>
            </w:r>
          </w:p>
        </w:tc>
        <w:tc>
          <w:tcPr>
            <w:tcW w:w="100" w:type="dxa"/>
            <w:vAlign w:val="bottom"/>
            <w:shd w:val="clear" w:color="auto" w:fill="BFE4FF"/>
          </w:tcPr>
          <w:p>
            <w:pPr>
              <w:spacing w:after="0"/>
              <w:rPr>
                <w:sz w:val="12"/>
                <w:szCs w:val="12"/>
                <w:color w:val="auto"/>
              </w:rPr>
            </w:pPr>
          </w:p>
        </w:tc>
        <w:tc>
          <w:tcPr>
            <w:tcW w:w="300" w:type="dxa"/>
            <w:vAlign w:val="bottom"/>
            <w:shd w:val="clear" w:color="auto" w:fill="BFE4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11,070</w:t>
            </w:r>
          </w:p>
        </w:tc>
        <w:tc>
          <w:tcPr>
            <w:tcW w:w="80" w:type="dxa"/>
            <w:vAlign w:val="bottom"/>
            <w:shd w:val="clear" w:color="auto" w:fill="BFE4FF"/>
          </w:tcPr>
          <w:p>
            <w:pPr>
              <w:spacing w:after="0"/>
              <w:rPr>
                <w:sz w:val="12"/>
                <w:szCs w:val="12"/>
                <w:color w:val="auto"/>
              </w:rPr>
            </w:pPr>
          </w:p>
        </w:tc>
        <w:tc>
          <w:tcPr>
            <w:tcW w:w="420" w:type="dxa"/>
            <w:vAlign w:val="bottom"/>
            <w:shd w:val="clear" w:color="auto" w:fill="BFE4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29,344</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(4,204)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(18,314)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(20,496)</w:t>
            </w:r>
          </w:p>
        </w:tc>
      </w:tr>
      <w:tr>
        <w:trPr>
          <w:trHeight w:val="153"/>
        </w:trPr>
        <w:tc>
          <w:tcPr>
            <w:tcW w:w="31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1840" w:type="dxa"/>
            <w:vAlign w:val="bottom"/>
            <w:shd w:val="clear" w:color="auto" w:fill="BFE4FF"/>
          </w:tcPr>
          <w:p>
            <w:pPr>
              <w:spacing w:after="0"/>
              <w:rPr>
                <w:sz w:val="13"/>
                <w:szCs w:val="13"/>
                <w:color w:val="auto"/>
              </w:rPr>
            </w:pPr>
          </w:p>
        </w:tc>
        <w:tc>
          <w:tcPr>
            <w:tcW w:w="300" w:type="dxa"/>
            <w:vAlign w:val="bottom"/>
            <w:shd w:val="clear" w:color="auto" w:fill="BFE4FF"/>
          </w:tcPr>
          <w:p>
            <w:pPr>
              <w:spacing w:after="0"/>
              <w:rPr>
                <w:sz w:val="13"/>
                <w:szCs w:val="13"/>
                <w:color w:val="auto"/>
              </w:rPr>
            </w:pPr>
          </w:p>
        </w:tc>
        <w:tc>
          <w:tcPr>
            <w:tcW w:w="9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7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BFE4FF"/>
          </w:tcPr>
          <w:p>
            <w:pPr>
              <w:spacing w:after="0"/>
              <w:rPr>
                <w:sz w:val="13"/>
                <w:szCs w:val="13"/>
                <w:color w:val="auto"/>
              </w:rPr>
            </w:pP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306</w:t>
            </w:r>
          </w:p>
        </w:tc>
        <w:tc>
          <w:tcPr>
            <w:tcW w:w="80" w:type="dxa"/>
            <w:vAlign w:val="bottom"/>
            <w:shd w:val="clear" w:color="auto" w:fill="BFE4FF"/>
          </w:tcPr>
          <w:p>
            <w:pPr>
              <w:spacing w:after="0"/>
              <w:rPr>
                <w:sz w:val="13"/>
                <w:szCs w:val="13"/>
                <w:color w:val="auto"/>
              </w:rPr>
            </w:pPr>
          </w:p>
        </w:tc>
        <w:tc>
          <w:tcPr>
            <w:tcW w:w="420" w:type="dxa"/>
            <w:vAlign w:val="bottom"/>
            <w:shd w:val="clear" w:color="auto" w:fill="BFE4FF"/>
          </w:tcPr>
          <w:p>
            <w:pPr>
              <w:spacing w:after="0"/>
              <w:rPr>
                <w:sz w:val="13"/>
                <w:szCs w:val="13"/>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2,898</w:t>
            </w:r>
          </w:p>
        </w:tc>
      </w:tr>
      <w:tr>
        <w:trPr>
          <w:trHeight w:val="153"/>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8,324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1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Transaction costs incurred from sale of business</w:t>
            </w:r>
          </w:p>
        </w:tc>
        <w:tc>
          <w:tcPr>
            <w:tcW w:w="1840" w:type="dxa"/>
            <w:vAlign w:val="bottom"/>
            <w:shd w:val="clear" w:color="auto" w:fill="BFE4FF"/>
          </w:tcPr>
          <w:p>
            <w:pPr>
              <w:spacing w:after="0"/>
              <w:rPr>
                <w:sz w:val="13"/>
                <w:szCs w:val="13"/>
                <w:color w:val="auto"/>
              </w:rPr>
            </w:pPr>
          </w:p>
        </w:tc>
        <w:tc>
          <w:tcPr>
            <w:tcW w:w="300" w:type="dxa"/>
            <w:vAlign w:val="bottom"/>
            <w:shd w:val="clear" w:color="auto" w:fill="BFE4FF"/>
          </w:tcPr>
          <w:p>
            <w:pPr>
              <w:spacing w:after="0"/>
              <w:rPr>
                <w:sz w:val="13"/>
                <w:szCs w:val="13"/>
                <w:color w:val="auto"/>
              </w:rPr>
            </w:pPr>
          </w:p>
        </w:tc>
        <w:tc>
          <w:tcPr>
            <w:tcW w:w="10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BFE4FF"/>
          </w:tcPr>
          <w:p>
            <w:pPr>
              <w:spacing w:after="0"/>
              <w:rPr>
                <w:sz w:val="13"/>
                <w:szCs w:val="13"/>
                <w:color w:val="auto"/>
              </w:rPr>
            </w:pPr>
          </w:p>
        </w:tc>
        <w:tc>
          <w:tcPr>
            <w:tcW w:w="860" w:type="dxa"/>
            <w:vAlign w:val="bottom"/>
            <w:gridSpan w:val="2"/>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BFE4FF"/>
          </w:tcPr>
          <w:p>
            <w:pPr>
              <w:spacing w:after="0"/>
              <w:rPr>
                <w:sz w:val="13"/>
                <w:szCs w:val="13"/>
                <w:color w:val="auto"/>
              </w:rPr>
            </w:pP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1,566</w:t>
            </w:r>
          </w:p>
        </w:tc>
        <w:tc>
          <w:tcPr>
            <w:tcW w:w="80" w:type="dxa"/>
            <w:vAlign w:val="bottom"/>
            <w:shd w:val="clear" w:color="auto" w:fill="BFE4FF"/>
          </w:tcPr>
          <w:p>
            <w:pPr>
              <w:spacing w:after="0"/>
              <w:rPr>
                <w:sz w:val="13"/>
                <w:szCs w:val="13"/>
                <w:color w:val="auto"/>
              </w:rPr>
            </w:pPr>
          </w:p>
        </w:tc>
        <w:tc>
          <w:tcPr>
            <w:tcW w:w="420" w:type="dxa"/>
            <w:vAlign w:val="bottom"/>
            <w:shd w:val="clear" w:color="auto" w:fill="BFE4FF"/>
          </w:tcPr>
          <w:p>
            <w:pPr>
              <w:spacing w:after="0"/>
              <w:rPr>
                <w:sz w:val="13"/>
                <w:szCs w:val="13"/>
                <w:color w:val="auto"/>
              </w:rPr>
            </w:pPr>
          </w:p>
        </w:tc>
        <w:tc>
          <w:tcPr>
            <w:tcW w:w="9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18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3,759</w:t>
            </w:r>
          </w:p>
        </w:tc>
        <w:tc>
          <w:tcPr>
            <w:tcW w:w="1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1,272</w:t>
            </w: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2,952</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11,746</w:t>
            </w:r>
          </w:p>
        </w:tc>
      </w:tr>
      <w:tr>
        <w:trPr>
          <w:trHeight w:val="20"/>
        </w:trPr>
        <w:tc>
          <w:tcPr>
            <w:tcW w:w="3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16</w:t>
      </w:r>
    </w:p>
    <w:p>
      <w:pPr>
        <w:sectPr>
          <w:pgSz w:w="11900" w:h="16838" w:orient="portrait"/>
          <w:cols w:equalWidth="0" w:num="1">
            <w:col w:w="10900"/>
          </w:cols>
          <w:pgMar w:left="700" w:top="872" w:right="299" w:bottom="1440" w:gutter="0" w:footer="0" w:header="0"/>
        </w:sectPr>
      </w:pPr>
    </w:p>
    <w:bookmarkStart w:id="19" w:name="page20"/>
    <w:bookmarkEnd w:id="19"/>
    <w:p>
      <w:pPr>
        <w:ind w:left="8" w:right="100"/>
        <w:spacing w:after="0" w:line="238" w:lineRule="auto"/>
        <w:rPr>
          <w:sz w:val="20"/>
          <w:szCs w:val="20"/>
          <w:color w:val="auto"/>
        </w:rPr>
      </w:pPr>
      <w:r>
        <w:rPr>
          <w:rFonts w:ascii="Calibri" w:cs="Calibri" w:eastAsia="Calibri" w:hAnsi="Calibri"/>
          <w:sz w:val="11"/>
          <w:szCs w:val="11"/>
          <w:i w:val="1"/>
          <w:iCs w:val="1"/>
          <w:color w:val="auto"/>
        </w:rPr>
        <w:t>The Company discloses in this presentaton the non-GAAP fnancial measures of adjusted income (loss) from operatons, adjusted EBITDA, adjusted net income (loss), adjusted net income (loss) per diluted common share, and free cash fow. Each of these non-GAAP fnancial measures provides supplementary informaton about the impacts of acquisiton, divestture and integraton related expenses, foreign-exchange impacts on inter-company loans, reorganizatonal and impairment charges. The costs we incur in completng acquisitons, including the amortzaton of intangibles and deferred fnancing costs, and divesttures are excluded from these measures because their size and inconsistent frequency are unrelated to our commercial performance during the period, and we believe are not indicatve of our ongoing operatng costs. We exclude the impact of currency translaton from these measures because foreign exchange rates are not under management’s control and are subject to volatlity. Other non-operatng charges are excluded as the charges are not indicatve of our ongoing operatng cost. We believe the presentaton of adjusted income (loss) from operatons, adjusted EBITDA, adjusted net income (loss), adjusted net income (loss) per diluted common share, and free cash fow provides useful informaton in assessing our underlying business trends and facilitates comparison of our long-term performance over given periods.</w:t>
      </w:r>
    </w:p>
    <w:p>
      <w:pPr>
        <w:spacing w:after="0" w:line="137" w:lineRule="exact"/>
        <w:rPr>
          <w:sz w:val="20"/>
          <w:szCs w:val="20"/>
          <w:color w:val="auto"/>
        </w:rPr>
      </w:pPr>
    </w:p>
    <w:p>
      <w:pPr>
        <w:ind w:left="8" w:right="20"/>
        <w:spacing w:after="0" w:line="236" w:lineRule="auto"/>
        <w:rPr>
          <w:sz w:val="20"/>
          <w:szCs w:val="20"/>
          <w:color w:val="auto"/>
        </w:rPr>
      </w:pPr>
      <w:r>
        <w:rPr>
          <w:rFonts w:ascii="Calibri" w:cs="Calibri" w:eastAsia="Calibri" w:hAnsi="Calibri"/>
          <w:sz w:val="11"/>
          <w:szCs w:val="11"/>
          <w:i w:val="1"/>
          <w:iCs w:val="1"/>
          <w:color w:val="auto"/>
        </w:rPr>
        <w:t>The non-GAAP fnancial measures provided herein may not provide informaton that is directly comparable to that provided by other companies in the Company's industry, as other companies may calculate such fnancial results diferently. The Company's non-GAAP fnancial measures are not measurements of fnancial performance under GAAP and should not be considered as alternatves to actual income growth derived from income amounts presented in accordance with GAAP. The Company does not consider these non-GAAP fnancial measures to be a substtute for, or superior to, the informaton provided by GAAP fnancial results.</w:t>
      </w:r>
    </w:p>
    <w:p>
      <w:pPr>
        <w:spacing w:after="0" w:line="126" w:lineRule="exact"/>
        <w:rPr>
          <w:sz w:val="20"/>
          <w:szCs w:val="20"/>
          <w:color w:val="auto"/>
        </w:rPr>
      </w:pPr>
    </w:p>
    <w:p>
      <w:pPr>
        <w:ind w:left="8" w:right="80" w:hanging="8"/>
        <w:spacing w:after="0" w:line="237" w:lineRule="auto"/>
        <w:tabs>
          <w:tab w:leader="none" w:pos="153" w:val="left"/>
        </w:tabs>
        <w:numPr>
          <w:ilvl w:val="0"/>
          <w:numId w:val="16"/>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income (loss) from operatons represents GAAP income (loss) from operatons, adjusted to exclude the efects of restructuring and integraton expense; non-operatonal charges related to acquisiton and transiton expense, intangible amortzaton costs for fair value step-up in values related to acquisitons, non-cash impairment charges, and when applicable, our share of income from joint venture operatons.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income (loss) from operatons is not a measure of fnancial performance under GAAP and should not be considered as a measure of liquidity or as an alternatve to GAAP income (loss) from operatons.</w:t>
      </w:r>
    </w:p>
    <w:p>
      <w:pPr>
        <w:spacing w:after="0" w:line="126" w:lineRule="exact"/>
        <w:rPr>
          <w:rFonts w:ascii="Calibri" w:cs="Calibri" w:eastAsia="Calibri" w:hAnsi="Calibri"/>
          <w:sz w:val="11"/>
          <w:szCs w:val="11"/>
          <w:i w:val="1"/>
          <w:iCs w:val="1"/>
          <w:color w:val="auto"/>
        </w:rPr>
      </w:pPr>
    </w:p>
    <w:p>
      <w:pPr>
        <w:ind w:left="8" w:right="40" w:hanging="8"/>
        <w:spacing w:after="0" w:line="238" w:lineRule="auto"/>
        <w:tabs>
          <w:tab w:leader="none" w:pos="153" w:val="left"/>
        </w:tabs>
        <w:numPr>
          <w:ilvl w:val="0"/>
          <w:numId w:val="16"/>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EBITDA represents GAAP net income (loss), adjusted to include income taxes, interest expense, write-of of unamortzed debt issuance costs, interest rate swap payments and change in fair value that was recognized in earnings, change in fair value of preferred stock derivatves and warrants, depreciaton and amortzaton, charges related to acquisiton and transiton costs, non-cash stock compensaton expense, foreign exchange gain (loss) on inter-company loans, restructuring and integraton expense, costs related to divested businesses and litgaton setlements, income from discontnued operatons, and non-cash impairment charges, to the extent applicable.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EBITDA is not a measure of fnancial performance under GAAP and should not be considered as a measure of liquidity or as an alternatve to GAAP income (loss) from contnuing operatons.</w:t>
      </w:r>
    </w:p>
    <w:p>
      <w:pPr>
        <w:spacing w:after="0" w:line="135" w:lineRule="exact"/>
        <w:rPr>
          <w:rFonts w:ascii="Calibri" w:cs="Calibri" w:eastAsia="Calibri" w:hAnsi="Calibri"/>
          <w:sz w:val="11"/>
          <w:szCs w:val="11"/>
          <w:i w:val="1"/>
          <w:iCs w:val="1"/>
          <w:color w:val="auto"/>
        </w:rPr>
      </w:pPr>
    </w:p>
    <w:p>
      <w:pPr>
        <w:ind w:left="8" w:right="120" w:hanging="8"/>
        <w:spacing w:after="0" w:line="234" w:lineRule="auto"/>
        <w:tabs>
          <w:tab w:leader="none" w:pos="143" w:val="left"/>
        </w:tabs>
        <w:numPr>
          <w:ilvl w:val="0"/>
          <w:numId w:val="16"/>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This line item refects the aggregate tax efect of all non-tax adjustments refected in the respectve table. NN, Inc. estmates the tax efect of the adjustment items identfed in the reconciliaton schedule above by applying the applicable statutory rates by tax jurisdicton unless the nature of the item and/or the tax jurisdicton in which the item has been recorded requires applicaton of a specifc tax rate or tax treatment.</w:t>
      </w:r>
    </w:p>
    <w:p>
      <w:pPr>
        <w:spacing w:after="0" w:line="125" w:lineRule="exact"/>
        <w:rPr>
          <w:rFonts w:ascii="Calibri" w:cs="Calibri" w:eastAsia="Calibri" w:hAnsi="Calibri"/>
          <w:sz w:val="11"/>
          <w:szCs w:val="11"/>
          <w:i w:val="1"/>
          <w:iCs w:val="1"/>
          <w:color w:val="auto"/>
        </w:rPr>
      </w:pPr>
    </w:p>
    <w:p>
      <w:pPr>
        <w:ind w:left="8" w:right="20" w:hanging="8"/>
        <w:spacing w:after="0" w:line="238" w:lineRule="auto"/>
        <w:tabs>
          <w:tab w:leader="none" w:pos="153" w:val="left"/>
        </w:tabs>
        <w:numPr>
          <w:ilvl w:val="0"/>
          <w:numId w:val="16"/>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net income (loss) represents GAAP net income (loss) adjusted to exclude the tax-afected efects of charges related to acquisiton and transiton costs, foreign exchange gain (loss) on inter-company loans, restructuring and integraton charges, amortzaton of intangibles costs for fair value step-up in values related to acquisitons and amortzaton of deferred fnancing costs, non-cash impairment charges, write-of of unamortzed debt issuance costs, interest rate swap payments and change in fair value, change in fair value of preferred stock derivatves and warrants, costs related to divested businesses and litgaton setlements, income (loss) from discontnued operatons, and preferred stock cumulatve dividends and deemed dividends. We believe this presentaton is commonly used by investors and professional research analysts in the valuaton, comparison, ratng, and investment recommendatons of companies in the industrial industry. We use this informaton for comparatve purposes within the industry.</w:t>
      </w:r>
    </w:p>
    <w:p>
      <w:pPr>
        <w:spacing w:after="0" w:line="272"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17</w:t>
      </w:r>
    </w:p>
    <w:p>
      <w:pPr>
        <w:sectPr>
          <w:pgSz w:w="11900" w:h="16838" w:orient="portrait"/>
          <w:cols w:equalWidth="0" w:num="1">
            <w:col w:w="11308"/>
          </w:cols>
          <w:pgMar w:left="292" w:top="678" w:right="299" w:bottom="1440"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1"/>
      <w:numFmt w:val="upperLetter"/>
      <w:start w:val="40"/>
    </w:lvl>
    <w:lvl w:ilvl="1">
      <w:lvlJc w:val="left"/>
      <w:lvlText w:val="%2"/>
      <w:numFmt w:val="upperLetter"/>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upperLetter"/>
      <w:start w:val="40"/>
    </w:lvl>
  </w:abstractNum>
  <w:abstractNum w:abstractNumId="10">
    <w:nsid w:val="109CF92E"/>
    <w:multiLevelType w:val="hybridMultilevel"/>
    <w:lvl w:ilvl="0">
      <w:lvlJc w:val="left"/>
      <w:lvlText w:val="%1"/>
      <w:numFmt w:val="upperLetter"/>
      <w:start w:val="40"/>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2025-03-05T15:48:40Z</dcterms:created>
  <dcterms:modified xsi:type="dcterms:W3CDTF">2025-03-05T15:48:40Z</dcterms:modified>
</cp:coreProperties>
</file>