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8)</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7880" w:type="dxa"/>
            <w:vAlign w:val="bottom"/>
          </w:tcPr>
          <w:p>
            <w:pPr>
              <w:spacing w:after="0"/>
              <w:rPr>
                <w:sz w:val="20"/>
                <w:szCs w:val="20"/>
                <w:color w:val="auto"/>
              </w:rPr>
            </w:pPr>
            <w:r>
              <w:rPr>
                <w:rFonts w:ascii="Arial" w:cs="Arial" w:eastAsia="Arial" w:hAnsi="Arial"/>
                <w:sz w:val="22"/>
                <w:szCs w:val="22"/>
                <w:color w:val="auto"/>
              </w:rPr>
              <w:t>5. SOLE VOTING POWER</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88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8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w w:val="99"/>
              </w:rPr>
              <w:t>CHECK IF THE AGGREGATE AMOUNT IN ROW (9) EXCLUDES CERTAIN SHARES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right="73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Building C, Suite 12 Johnson City, TN 37604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80"/>
        <w:spacing w:after="0" w:line="251" w:lineRule="auto"/>
        <w:rPr>
          <w:rFonts w:ascii="Arial" w:cs="Arial" w:eastAsia="Arial" w:hAnsi="Arial"/>
          <w:sz w:val="22"/>
          <w:szCs w:val="22"/>
          <w:color w:val="auto"/>
        </w:rPr>
      </w:pPr>
      <w:r>
        <w:rPr>
          <w:rFonts w:ascii="Arial" w:cs="Arial" w:eastAsia="Arial" w:hAnsi="Arial"/>
          <w:sz w:val="22"/>
          <w:szCs w:val="22"/>
          <w:color w:val="auto"/>
        </w:rPr>
        <w:t>Wellington Management, in its capacity as investment adviser, may be deemed to beneficially own 0 shares of the Issuer which are held of record by clients of Wellington Management.</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17,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2019-12-10T11:37:12Z</dcterms:created>
  <dcterms:modified xsi:type="dcterms:W3CDTF">2019-12-10T11:37:12Z</dcterms:modified>
</cp:coreProperties>
</file>