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Security and Exchange Commission</w:t>
      </w:r>
    </w:p>
    <w:p>
      <w:pPr>
        <w:spacing w:after="0" w:line="39"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Under the Securities Act of 1934</w:t>
      </w:r>
    </w:p>
    <w:p>
      <w:pPr>
        <w:spacing w:after="0" w:line="14" w:lineRule="exact"/>
        <w:rPr>
          <w:sz w:val="24"/>
          <w:szCs w:val="24"/>
          <w:color w:val="auto"/>
        </w:rPr>
      </w:pPr>
    </w:p>
    <w:p>
      <w:pPr>
        <w:jc w:val="center"/>
        <w:ind w:right="-1220"/>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4022725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5340"/>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(Name of Issuer)</w:t>
      </w:r>
    </w:p>
    <w:p>
      <w:pPr>
        <w:spacing w:after="0" w:line="141"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(Title of Class of Securities)</w:t>
      </w:r>
    </w:p>
    <w:p>
      <w:pPr>
        <w:spacing w:after="0" w:line="384" w:lineRule="exact"/>
        <w:rPr>
          <w:sz w:val="24"/>
          <w:szCs w:val="24"/>
          <w:color w:val="auto"/>
        </w:rPr>
      </w:pPr>
    </w:p>
    <w:p>
      <w:pPr>
        <w:ind w:left="5220"/>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wp:posOffset>
            </wp:positionV>
            <wp:extent cx="2015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(CUSIP Number)</w:t>
      </w:r>
    </w:p>
    <w:p>
      <w:pPr>
        <w:spacing w:after="0" w:line="145" w:lineRule="exact"/>
        <w:rPr>
          <w:sz w:val="24"/>
          <w:szCs w:val="24"/>
          <w:color w:val="auto"/>
        </w:rPr>
      </w:pPr>
    </w:p>
    <w:p>
      <w:pPr>
        <w:ind w:left="5120"/>
        <w:spacing w:after="0"/>
        <w:rPr>
          <w:sz w:val="20"/>
          <w:szCs w:val="20"/>
          <w:color w:val="auto"/>
        </w:rPr>
      </w:pPr>
      <w:r>
        <w:rPr>
          <w:rFonts w:ascii="Arial" w:cs="Arial" w:eastAsia="Arial" w:hAnsi="Arial"/>
          <w:sz w:val="22"/>
          <w:szCs w:val="22"/>
          <w:color w:val="auto"/>
        </w:rPr>
        <w:t>June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40"/>
        <w:spacing w:after="0"/>
        <w:rPr>
          <w:sz w:val="20"/>
          <w:szCs w:val="20"/>
          <w:color w:val="auto"/>
        </w:rPr>
      </w:pPr>
      <w:r>
        <w:rPr>
          <w:rFonts w:ascii="Arial" w:cs="Arial" w:eastAsia="Arial" w:hAnsi="Arial"/>
          <w:sz w:val="12"/>
          <w:szCs w:val="12"/>
          <w:b w:val="1"/>
          <w:bCs w:val="1"/>
          <w:color w:val="auto"/>
        </w:rPr>
        <w:t>Date of Event Which Requires Filing of this Statement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0219"/>
          </w:cols>
          <w:pgMar w:left="240" w:top="58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CUSIP No. 629337106</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80" w:hanging="18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1"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DePrince, Race &amp; Zollo,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59-3299598</w:t>
      </w:r>
    </w:p>
    <w:p>
      <w:pPr>
        <w:spacing w:after="0" w:line="6"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Incorporated in the State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960" w:hanging="257"/>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116"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4"/>
              </w:rPr>
              <w:t>NUMBER OF</w:t>
            </w:r>
          </w:p>
        </w:tc>
        <w:tc>
          <w:tcPr>
            <w:tcW w:w="380" w:type="dxa"/>
            <w:vAlign w:val="bottom"/>
          </w:tcPr>
          <w:p>
            <w:pPr>
              <w:spacing w:after="0"/>
              <w:rPr>
                <w:sz w:val="21"/>
                <w:szCs w:val="21"/>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813,921</w:t>
            </w:r>
          </w:p>
        </w:tc>
        <w:tc>
          <w:tcPr>
            <w:tcW w:w="0" w:type="dxa"/>
            <w:vAlign w:val="bottom"/>
          </w:tcPr>
          <w:p>
            <w:pPr>
              <w:spacing w:after="0"/>
              <w:rPr>
                <w:sz w:val="1"/>
                <w:szCs w:val="1"/>
                <w:color w:val="auto"/>
              </w:rPr>
            </w:pPr>
          </w:p>
        </w:tc>
      </w:tr>
      <w:tr>
        <w:trPr>
          <w:trHeight w:val="35"/>
        </w:trPr>
        <w:tc>
          <w:tcPr>
            <w:tcW w:w="1360" w:type="dxa"/>
            <w:vAlign w:val="bottom"/>
            <w:vMerge w:val="restart"/>
          </w:tcPr>
          <w:p>
            <w:pPr>
              <w:jc w:val="center"/>
              <w:ind w:right="52"/>
              <w:spacing w:after="0"/>
              <w:rPr>
                <w:sz w:val="20"/>
                <w:szCs w:val="20"/>
                <w:color w:val="auto"/>
              </w:rPr>
            </w:pPr>
            <w:r>
              <w:rPr>
                <w:rFonts w:ascii="Arial" w:cs="Arial" w:eastAsia="Arial" w:hAnsi="Arial"/>
                <w:sz w:val="18"/>
                <w:szCs w:val="18"/>
                <w:color w:val="auto"/>
                <w:w w:val="89"/>
              </w:rPr>
              <w:t>SHARES</w:t>
            </w:r>
          </w:p>
        </w:tc>
        <w:tc>
          <w:tcPr>
            <w:tcW w:w="380" w:type="dxa"/>
            <w:vAlign w:val="bottom"/>
            <w:tcBorders>
              <w:bottom w:val="single" w:sz="8" w:color="auto"/>
            </w:tcBorders>
          </w:tcPr>
          <w:p>
            <w:pPr>
              <w:spacing w:after="0"/>
              <w:rPr>
                <w:sz w:val="3"/>
                <w:szCs w:val="3"/>
                <w:color w:val="auto"/>
              </w:rPr>
            </w:pPr>
          </w:p>
        </w:tc>
        <w:tc>
          <w:tcPr>
            <w:tcW w:w="9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360" w:type="dxa"/>
            <w:vAlign w:val="bottom"/>
            <w:vMerge w:val="continue"/>
          </w:tcPr>
          <w:p>
            <w:pPr>
              <w:spacing w:after="0"/>
              <w:rPr>
                <w:sz w:val="13"/>
                <w:szCs w:val="13"/>
                <w:color w:val="auto"/>
              </w:rPr>
            </w:pPr>
          </w:p>
        </w:tc>
        <w:tc>
          <w:tcPr>
            <w:tcW w:w="380" w:type="dxa"/>
            <w:vAlign w:val="bottom"/>
          </w:tcPr>
          <w:p>
            <w:pPr>
              <w:jc w:val="right"/>
              <w:spacing w:after="0" w:line="161" w:lineRule="exact"/>
              <w:rPr>
                <w:sz w:val="20"/>
                <w:szCs w:val="20"/>
                <w:color w:val="auto"/>
              </w:rPr>
            </w:pPr>
            <w:r>
              <w:rPr>
                <w:rFonts w:ascii="Arial" w:cs="Arial" w:eastAsia="Arial" w:hAnsi="Arial"/>
                <w:sz w:val="18"/>
                <w:szCs w:val="18"/>
                <w:color w:val="auto"/>
              </w:rPr>
              <w:t>6</w:t>
            </w:r>
          </w:p>
        </w:tc>
        <w:tc>
          <w:tcPr>
            <w:tcW w:w="9540" w:type="dxa"/>
            <w:vAlign w:val="bottom"/>
          </w:tcPr>
          <w:p>
            <w:pPr>
              <w:ind w:left="80"/>
              <w:spacing w:after="0" w:line="16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32"/>
              <w:spacing w:after="0"/>
              <w:rPr>
                <w:sz w:val="20"/>
                <w:szCs w:val="20"/>
                <w:color w:val="auto"/>
              </w:rPr>
            </w:pPr>
            <w:r>
              <w:rPr>
                <w:rFonts w:ascii="Arial" w:cs="Arial" w:eastAsia="Arial" w:hAnsi="Arial"/>
                <w:sz w:val="18"/>
                <w:szCs w:val="18"/>
                <w:color w:val="auto"/>
                <w:w w:val="97"/>
              </w:rPr>
              <w:t>BENEFICIALLY</w:t>
            </w:r>
          </w:p>
        </w:tc>
        <w:tc>
          <w:tcPr>
            <w:tcW w:w="38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24"/>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5"/>
              </w:rPr>
              <w:t>OWNED BY</w:t>
            </w:r>
          </w:p>
        </w:tc>
        <w:tc>
          <w:tcPr>
            <w:tcW w:w="38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60" w:type="dxa"/>
            <w:vAlign w:val="bottom"/>
          </w:tcPr>
          <w:p>
            <w:pPr>
              <w:jc w:val="center"/>
              <w:ind w:right="52"/>
              <w:spacing w:after="0" w:line="188" w:lineRule="exact"/>
              <w:rPr>
                <w:sz w:val="20"/>
                <w:szCs w:val="20"/>
                <w:color w:val="auto"/>
              </w:rPr>
            </w:pPr>
            <w:r>
              <w:rPr>
                <w:rFonts w:ascii="Arial" w:cs="Arial" w:eastAsia="Arial" w:hAnsi="Arial"/>
                <w:sz w:val="18"/>
                <w:szCs w:val="18"/>
                <w:color w:val="auto"/>
                <w:w w:val="91"/>
              </w:rPr>
              <w:t>EACH</w:t>
            </w:r>
          </w:p>
        </w:tc>
        <w:tc>
          <w:tcPr>
            <w:tcW w:w="380" w:type="dxa"/>
            <w:vAlign w:val="bottom"/>
          </w:tcPr>
          <w:p>
            <w:pPr>
              <w:jc w:val="right"/>
              <w:spacing w:after="0" w:line="188" w:lineRule="exact"/>
              <w:rPr>
                <w:sz w:val="20"/>
                <w:szCs w:val="20"/>
                <w:color w:val="auto"/>
              </w:rPr>
            </w:pPr>
            <w:r>
              <w:rPr>
                <w:rFonts w:ascii="Arial" w:cs="Arial" w:eastAsia="Arial" w:hAnsi="Arial"/>
                <w:sz w:val="18"/>
                <w:szCs w:val="18"/>
                <w:color w:val="auto"/>
              </w:rPr>
              <w:t>7</w:t>
            </w:r>
          </w:p>
        </w:tc>
        <w:tc>
          <w:tcPr>
            <w:tcW w:w="9540" w:type="dxa"/>
            <w:vAlign w:val="bottom"/>
          </w:tcPr>
          <w:p>
            <w:pPr>
              <w:ind w:left="80"/>
              <w:spacing w:after="0" w:line="18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1"/>
              </w:rPr>
              <w:t>REPORTING</w:t>
            </w:r>
          </w:p>
        </w:tc>
        <w:tc>
          <w:tcPr>
            <w:tcW w:w="38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813,921</w:t>
            </w:r>
          </w:p>
        </w:tc>
        <w:tc>
          <w:tcPr>
            <w:tcW w:w="0" w:type="dxa"/>
            <w:vAlign w:val="bottom"/>
          </w:tcPr>
          <w:p>
            <w:pPr>
              <w:spacing w:after="0"/>
              <w:rPr>
                <w:sz w:val="1"/>
                <w:szCs w:val="1"/>
                <w:color w:val="auto"/>
              </w:rPr>
            </w:pPr>
          </w:p>
        </w:tc>
      </w:tr>
      <w:tr>
        <w:trPr>
          <w:trHeight w:val="197"/>
        </w:trPr>
        <w:tc>
          <w:tcPr>
            <w:tcW w:w="1360" w:type="dxa"/>
            <w:vAlign w:val="bottom"/>
          </w:tcPr>
          <w:p>
            <w:pPr>
              <w:jc w:val="center"/>
              <w:ind w:right="52"/>
              <w:spacing w:after="0" w:line="197" w:lineRule="exact"/>
              <w:rPr>
                <w:sz w:val="20"/>
                <w:szCs w:val="20"/>
                <w:color w:val="auto"/>
              </w:rPr>
            </w:pPr>
            <w:r>
              <w:rPr>
                <w:rFonts w:ascii="Arial" w:cs="Arial" w:eastAsia="Arial" w:hAnsi="Arial"/>
                <w:sz w:val="18"/>
                <w:szCs w:val="18"/>
                <w:color w:val="auto"/>
                <w:w w:val="86"/>
              </w:rPr>
              <w:t>PERSON</w:t>
            </w:r>
          </w:p>
        </w:tc>
        <w:tc>
          <w:tcPr>
            <w:tcW w:w="380" w:type="dxa"/>
            <w:vAlign w:val="bottom"/>
            <w:tcBorders>
              <w:bottom w:val="single" w:sz="8" w:color="auto"/>
            </w:tcBorders>
          </w:tcPr>
          <w:p>
            <w:pPr>
              <w:spacing w:after="0"/>
              <w:rPr>
                <w:sz w:val="17"/>
                <w:szCs w:val="17"/>
                <w:color w:val="auto"/>
              </w:rPr>
            </w:pPr>
          </w:p>
        </w:tc>
        <w:tc>
          <w:tcPr>
            <w:tcW w:w="9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9"/>
              </w:rPr>
              <w:t>WITH</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9540" w:type="dxa"/>
            <w:vAlign w:val="bottom"/>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184"/>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3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813,921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w:t>
      </w:r>
      <w:r>
        <w:rPr>
          <w:rFonts w:ascii="Arial" w:cs="Arial" w:eastAsia="Arial" w:hAnsi="Arial"/>
          <w:sz w:val="18"/>
          <w:szCs w:val="18"/>
          <w:color w:val="auto"/>
        </w:rPr>
        <w:t>*</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r>
        <w:rPr>
          <w:rFonts w:ascii="Arial" w:cs="Arial" w:eastAsia="Arial" w:hAnsi="Arial"/>
          <w:sz w:val="18"/>
          <w:szCs w:val="18"/>
          <w:color w:val="auto"/>
        </w:rPr>
        <w:t>*</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212"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NN, Inc.</w:t>
      </w:r>
    </w:p>
    <w:p>
      <w:pPr>
        <w:spacing w:after="0" w:line="123" w:lineRule="exact"/>
        <w:rPr>
          <w:sz w:val="20"/>
          <w:szCs w:val="20"/>
          <w:color w:val="auto"/>
        </w:rPr>
      </w:pPr>
    </w:p>
    <w:p>
      <w:pPr>
        <w:ind w:left="1420" w:right="7099" w:hanging="710"/>
        <w:spacing w:after="0" w:line="370" w:lineRule="auto"/>
        <w:tabs>
          <w:tab w:leader="none" w:pos="14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2000 Waters Edge Dr. Johnson City, TN 37604</w:t>
      </w:r>
    </w:p>
    <w:p>
      <w:pPr>
        <w:spacing w:after="0" w:line="16"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DePrince, Race &amp; Zollo, Inc.</w:t>
      </w:r>
    </w:p>
    <w:p>
      <w:pPr>
        <w:spacing w:after="0" w:line="123" w:lineRule="exact"/>
        <w:rPr>
          <w:sz w:val="20"/>
          <w:szCs w:val="20"/>
          <w:color w:val="auto"/>
        </w:rPr>
      </w:pPr>
    </w:p>
    <w:p>
      <w:pPr>
        <w:ind w:left="1420" w:right="6639" w:hanging="710"/>
        <w:spacing w:after="0" w:line="268"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250 Park Ave South, Suite 250 Winter Park, FL 32789</w:t>
      </w:r>
    </w:p>
    <w:p>
      <w:pPr>
        <w:spacing w:after="0" w:line="91"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629337106</w:t>
      </w:r>
    </w:p>
    <w:p>
      <w:pPr>
        <w:spacing w:after="0" w:line="85" w:lineRule="exact"/>
        <w:rPr>
          <w:sz w:val="20"/>
          <w:szCs w:val="20"/>
          <w:color w:val="auto"/>
        </w:rPr>
      </w:pPr>
    </w:p>
    <w:p>
      <w:pPr>
        <w:spacing w:after="0" w:line="207" w:lineRule="exact"/>
        <w:tabs>
          <w:tab w:leader="none" w:pos="700" w:val="left"/>
          <w:tab w:leader="none" w:pos="14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color w:val="auto"/>
        </w:rPr>
        <w:t>(e)</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020" w:hanging="31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813,921</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4.73%</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813,921 shares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(iii) 813,921 shares</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ind w:left="720" w:right="37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179"/>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274" w:right="1440"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07/05/2006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Victor A. Zollo,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Victor A. Zollo, Jr. - President</w:t>
      </w:r>
    </w:p>
    <w:sectPr>
      <w:pgSz w:w="11900" w:h="16838" w:orient="portrait"/>
      <w:cols w:equalWidth="0" w:num="1">
        <w:col w:w="10780"/>
      </w:cols>
      <w:pgMar w:left="2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lvl w:ilvl="1">
      <w:lvlJc w:val="left"/>
      <w:lvlText w:val="(%2)"/>
      <w:numFmt w:val="lowerLetter"/>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5"/>
      <w:numFmt w:val="bullet"/>
      <w:start w:val="1"/>
    </w:lvl>
  </w:abstractNum>
  <w:abstractNum w:abstractNumId="7">
    <w:nsid w:val="1F16E9E8"/>
    <w:multiLevelType w:val="hybridMultilevel"/>
    <w:lvl w:ilvl="0">
      <w:lvlJc w:val="left"/>
      <w:lvlText w:val="9"/>
      <w:numFmt w:val="bullet"/>
      <w:start w:val="1"/>
    </w:lvl>
  </w:abstractNum>
  <w:abstractNum w:abstractNumId="8">
    <w:nsid w:val="1190CDE7"/>
    <w:multiLevelType w:val="hybridMultilevel"/>
    <w:lvl w:ilvl="0">
      <w:lvlJc w:val="left"/>
      <w:lvlText w:val="%1"/>
      <w:numFmt w:val="decimal"/>
      <w:start w:val="10"/>
    </w:lvl>
  </w:abstractNum>
  <w:abstractNum w:abstractNumId="9">
    <w:nsid w:val="66EF438D"/>
    <w:multiLevelType w:val="hybridMultilevel"/>
    <w:lvl w:ilvl="0">
      <w:lvlJc w:val="left"/>
      <w:lvlText w:val="%1"/>
      <w:numFmt w:val="decimal"/>
      <w:start w:val="11"/>
    </w:lvl>
  </w:abstractNum>
  <w:abstractNum w:abstractNumId="10">
    <w:nsid w:val="140E0F76"/>
    <w:multiLevelType w:val="hybridMultilevel"/>
    <w:lvl w:ilvl="0">
      <w:lvlJc w:val="left"/>
      <w:lvlText w:val="%1"/>
      <w:numFmt w:val="decimal"/>
      <w:start w:val="12"/>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2019-12-14T03:09:18Z</dcterms:created>
  <dcterms:modified xsi:type="dcterms:W3CDTF">2019-12-14T03:09:18Z</dcterms:modified>
</cp:coreProperties>
</file>