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auto"/>
        <w:framePr w:w="1500" w:h="160" w:wrap="auto" w:vAnchor="page" w:hAnchor="page" w:x="5200" w:y="574"/>
        <w:rPr>
          <w:rFonts w:ascii="Arial" w:cs="Arial" w:eastAsia="Arial" w:hAnsi="Arial"/>
          <w:sz w:val="17"/>
          <w:szCs w:val="17"/>
          <w:b w:val="1"/>
          <w:bCs w:val="1"/>
          <w:color w:val="auto"/>
        </w:rPr>
      </w:pPr>
      <w:r>
        <w:rPr>
          <w:rFonts w:ascii="Arial" w:cs="Arial" w:eastAsia="Arial" w:hAnsi="Arial"/>
          <w:sz w:val="17"/>
          <w:szCs w:val="17"/>
          <w:b w:val="1"/>
          <w:bCs w:val="1"/>
          <w:color w:val="auto"/>
        </w:rPr>
        <w:t>UNITED STATES</w:t>
      </w:r>
    </w:p>
    <w:p>
      <w:pPr>
        <w:spacing w:after="0" w:line="185" w:lineRule="auto"/>
        <w:framePr w:w="3960" w:h="160" w:wrap="auto" w:vAnchor="page" w:hAnchor="page" w:x="3980" w:y="790"/>
        <w:rPr>
          <w:rFonts w:ascii="Arial" w:cs="Arial" w:eastAsia="Arial" w:hAnsi="Arial"/>
          <w:sz w:val="18"/>
          <w:szCs w:val="18"/>
          <w:b w:val="1"/>
          <w:bCs w:val="1"/>
          <w:color w:val="auto"/>
        </w:rPr>
      </w:pPr>
      <w:r>
        <w:rPr>
          <w:rFonts w:ascii="Arial" w:cs="Arial" w:eastAsia="Arial" w:hAnsi="Arial"/>
          <w:sz w:val="18"/>
          <w:szCs w:val="18"/>
          <w:b w:val="1"/>
          <w:bCs w:val="1"/>
          <w:color w:val="auto"/>
        </w:rPr>
        <w:t>SECURITIES AND EXCHANGE COMMISSION</w:t>
      </w:r>
    </w:p>
    <w:p>
      <w:pPr>
        <w:spacing w:after="0" w:line="196" w:lineRule="auto"/>
        <w:framePr w:w="2180" w:h="160" w:wrap="auto" w:vAnchor="page" w:hAnchor="page" w:x="4860" w:y="1006"/>
        <w:rPr>
          <w:rFonts w:ascii="Arial" w:cs="Arial" w:eastAsia="Arial" w:hAnsi="Arial"/>
          <w:sz w:val="17"/>
          <w:szCs w:val="17"/>
          <w:b w:val="1"/>
          <w:bCs w:val="1"/>
          <w:color w:val="auto"/>
        </w:rPr>
      </w:pPr>
      <w:r>
        <w:rPr>
          <w:rFonts w:ascii="Arial" w:cs="Arial" w:eastAsia="Arial" w:hAnsi="Arial"/>
          <w:sz w:val="17"/>
          <w:szCs w:val="17"/>
          <w:b w:val="1"/>
          <w:bCs w:val="1"/>
          <w:color w:val="auto"/>
        </w:rPr>
        <w:t>WASHINGTON, DC 20549</w:t>
      </w:r>
    </w:p>
    <w:p>
      <w:pPr>
        <w:spacing w:after="0" w:line="191" w:lineRule="auto"/>
        <w:framePr w:w="1140" w:h="193" w:wrap="auto" w:vAnchor="page" w:hAnchor="page" w:x="5380" w:y="1690"/>
        <w:rPr>
          <w:rFonts w:ascii="Arial" w:cs="Arial" w:eastAsia="Arial" w:hAnsi="Arial"/>
          <w:sz w:val="21"/>
          <w:szCs w:val="21"/>
          <w:b w:val="1"/>
          <w:bCs w:val="1"/>
          <w:color w:val="auto"/>
        </w:rPr>
      </w:pPr>
      <w:r>
        <w:rPr>
          <w:rFonts w:ascii="Arial" w:cs="Arial" w:eastAsia="Arial" w:hAnsi="Arial"/>
          <w:sz w:val="21"/>
          <w:szCs w:val="21"/>
          <w:b w:val="1"/>
          <w:bCs w:val="1"/>
          <w:color w:val="auto"/>
        </w:rPr>
        <w:t>FORM 8-K</w:t>
      </w:r>
    </w:p>
    <w:p>
      <w:pPr>
        <w:spacing w:after="0" w:line="196" w:lineRule="auto"/>
        <w:framePr w:w="3080" w:h="160" w:wrap="auto" w:vAnchor="page" w:hAnchor="page" w:x="4420" w:y="2181"/>
        <w:rPr>
          <w:rFonts w:ascii="Arial" w:cs="Arial" w:eastAsia="Arial" w:hAnsi="Arial"/>
          <w:sz w:val="17"/>
          <w:szCs w:val="17"/>
          <w:b w:val="1"/>
          <w:bCs w:val="1"/>
          <w:color w:val="auto"/>
        </w:rPr>
      </w:pPr>
      <w:r>
        <w:rPr>
          <w:rFonts w:ascii="Arial" w:cs="Arial" w:eastAsia="Arial" w:hAnsi="Arial"/>
          <w:sz w:val="17"/>
          <w:szCs w:val="17"/>
          <w:b w:val="1"/>
          <w:bCs w:val="1"/>
          <w:color w:val="auto"/>
        </w:rPr>
        <w:t>CURRENT REPORT PURSUANT TO</w:t>
      </w:r>
    </w:p>
    <w:p>
      <w:pPr>
        <w:spacing w:after="0" w:line="196" w:lineRule="auto"/>
        <w:framePr w:w="2600" w:h="160" w:wrap="auto" w:vAnchor="page" w:hAnchor="page" w:x="4660" w:y="2397"/>
        <w:rPr>
          <w:rFonts w:ascii="Arial" w:cs="Arial" w:eastAsia="Arial" w:hAnsi="Arial"/>
          <w:sz w:val="17"/>
          <w:szCs w:val="17"/>
          <w:b w:val="1"/>
          <w:bCs w:val="1"/>
          <w:color w:val="auto"/>
        </w:rPr>
      </w:pPr>
      <w:r>
        <w:rPr>
          <w:rFonts w:ascii="Arial" w:cs="Arial" w:eastAsia="Arial" w:hAnsi="Arial"/>
          <w:sz w:val="17"/>
          <w:szCs w:val="17"/>
          <w:b w:val="1"/>
          <w:bCs w:val="1"/>
          <w:color w:val="auto"/>
        </w:rPr>
        <w:t>SECTION 13 OR 15(d) OF THE</w:t>
      </w:r>
    </w:p>
    <w:p>
      <w:pPr>
        <w:spacing w:after="0" w:line="196" w:lineRule="auto"/>
        <w:framePr w:w="3380" w:h="160" w:wrap="auto" w:vAnchor="page" w:hAnchor="page" w:x="4260" w:y="2613"/>
        <w:rPr>
          <w:rFonts w:ascii="Arial" w:cs="Arial" w:eastAsia="Arial" w:hAnsi="Arial"/>
          <w:sz w:val="17"/>
          <w:szCs w:val="17"/>
          <w:b w:val="1"/>
          <w:bCs w:val="1"/>
          <w:color w:val="auto"/>
        </w:rPr>
      </w:pPr>
      <w:r>
        <w:rPr>
          <w:rFonts w:ascii="Arial" w:cs="Arial" w:eastAsia="Arial" w:hAnsi="Arial"/>
          <w:sz w:val="17"/>
          <w:szCs w:val="17"/>
          <w:b w:val="1"/>
          <w:bCs w:val="1"/>
          <w:color w:val="auto"/>
        </w:rPr>
        <w:t>SECURITIES EXCHANGE ACT OF 1934</w:t>
      </w:r>
    </w:p>
    <w:p>
      <w:pPr>
        <w:spacing w:after="0" w:line="209" w:lineRule="auto"/>
        <w:framePr w:w="4620" w:h="160" w:wrap="auto" w:vAnchor="page" w:hAnchor="page" w:x="3640" w:y="3315"/>
        <w:rPr>
          <w:rFonts w:ascii="Arial" w:cs="Arial" w:eastAsia="Arial" w:hAnsi="Arial"/>
          <w:sz w:val="16"/>
          <w:szCs w:val="16"/>
          <w:b w:val="1"/>
          <w:bCs w:val="1"/>
          <w:color w:val="auto"/>
        </w:rPr>
      </w:pPr>
      <w:r>
        <w:rPr>
          <w:rFonts w:ascii="Arial" w:cs="Arial" w:eastAsia="Arial" w:hAnsi="Arial"/>
          <w:sz w:val="16"/>
          <w:szCs w:val="16"/>
          <w:b w:val="1"/>
          <w:bCs w:val="1"/>
          <w:color w:val="auto"/>
        </w:rPr>
        <w:t>Date of Report (Date of earliest event reported): June 11, 2013</w:t>
      </w:r>
    </w:p>
    <w:p>
      <w:pPr>
        <w:spacing w:after="0" w:line="185" w:lineRule="auto"/>
        <w:framePr w:w="1540" w:h="321" w:wrap="auto" w:vAnchor="page" w:hAnchor="page" w:x="5180" w:y="5248"/>
        <w:rPr>
          <w:rFonts w:ascii="Arial" w:cs="Arial" w:eastAsia="Arial" w:hAnsi="Arial"/>
          <w:sz w:val="36"/>
          <w:szCs w:val="36"/>
          <w:b w:val="1"/>
          <w:bCs w:val="1"/>
          <w:u w:val="single" w:color="auto"/>
          <w:color w:val="auto"/>
        </w:rPr>
      </w:pPr>
      <w:r>
        <w:rPr>
          <w:rFonts w:ascii="Arial" w:cs="Arial" w:eastAsia="Arial" w:hAnsi="Arial"/>
          <w:sz w:val="36"/>
          <w:szCs w:val="36"/>
          <w:b w:val="1"/>
          <w:bCs w:val="1"/>
          <w:u w:val="single" w:color="auto"/>
          <w:color w:val="auto"/>
        </w:rPr>
        <w:t>NN, INC.</w:t>
      </w:r>
    </w:p>
    <w:p>
      <w:pPr>
        <w:spacing w:after="0" w:line="200" w:lineRule="exact"/>
        <w:rPr>
          <w:rFonts w:ascii="Arial" w:cs="Arial" w:eastAsia="Arial" w:hAnsi="Arial"/>
          <w:sz w:val="36"/>
          <w:szCs w:val="36"/>
          <w:b w:val="1"/>
          <w:bCs w:val="1"/>
          <w:u w:val="single" w:color="auto"/>
          <w:color w:val="auto"/>
        </w:rPr>
      </w:pPr>
      <w:r>
        <w:rPr>
          <w:rFonts w:ascii="Arial" w:cs="Arial" w:eastAsia="Arial" w:hAnsi="Arial"/>
          <w:sz w:val="36"/>
          <w:szCs w:val="3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3408045</wp:posOffset>
            </wp:positionH>
            <wp:positionV relativeFrom="page">
              <wp:posOffset>843280</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page">
              <wp:posOffset>3467735</wp:posOffset>
            </wp:positionH>
            <wp:positionV relativeFrom="page">
              <wp:posOffset>2395855</wp:posOffset>
            </wp:positionV>
            <wp:extent cx="62611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9" w:lineRule="exact"/>
        <w:rPr>
          <w:rFonts w:ascii="Arial" w:cs="Arial" w:eastAsia="Arial" w:hAnsi="Arial"/>
          <w:sz w:val="36"/>
          <w:szCs w:val="36"/>
          <w:b w:val="1"/>
          <w:bCs w:val="1"/>
          <w:u w:val="single" w:color="auto"/>
          <w:color w:val="auto"/>
        </w:rPr>
      </w:pPr>
    </w:p>
    <w:tbl>
      <w:tblPr>
        <w:tblLayout w:type="fixed"/>
        <w:tblInd w:w="26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40" w:type="dxa"/>
            <w:vAlign w:val="bottom"/>
            <w:gridSpan w:val="5"/>
          </w:tcPr>
          <w:p>
            <w:pPr>
              <w:jc w:val="center"/>
              <w:ind w:left="1170"/>
              <w:spacing w:after="0"/>
              <w:rPr>
                <w:sz w:val="20"/>
                <w:szCs w:val="20"/>
                <w:color w:val="auto"/>
              </w:rPr>
            </w:pPr>
            <w:r>
              <w:rPr>
                <w:rFonts w:ascii="Arial" w:cs="Arial" w:eastAsia="Arial" w:hAnsi="Arial"/>
                <w:sz w:val="18"/>
                <w:szCs w:val="18"/>
                <w:color w:val="auto"/>
                <w:w w:val="90"/>
              </w:rPr>
              <w:t>(Exact name of registrant as specified in its charter)</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9"/>
        </w:trPr>
        <w:tc>
          <w:tcPr>
            <w:tcW w:w="13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980" w:type="dxa"/>
            <w:vAlign w:val="bottom"/>
            <w:gridSpan w:val="2"/>
          </w:tcPr>
          <w:p>
            <w:pPr>
              <w:spacing w:after="0"/>
              <w:rPr>
                <w:sz w:val="24"/>
                <w:szCs w:val="24"/>
                <w:color w:val="auto"/>
              </w:rPr>
            </w:pPr>
          </w:p>
        </w:tc>
        <w:tc>
          <w:tcPr>
            <w:tcW w:w="356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0-23486</w:t>
            </w:r>
          </w:p>
        </w:tc>
        <w:tc>
          <w:tcPr>
            <w:tcW w:w="2900" w:type="dxa"/>
            <w:vAlign w:val="bottom"/>
            <w:gridSpan w:val="5"/>
          </w:tcPr>
          <w:p>
            <w:pPr>
              <w:jc w:val="right"/>
              <w:ind w:right="860"/>
              <w:spacing w:after="0"/>
              <w:rPr>
                <w:sz w:val="20"/>
                <w:szCs w:val="20"/>
                <w:color w:val="auto"/>
              </w:rPr>
            </w:pPr>
            <w:r>
              <w:rPr>
                <w:rFonts w:ascii="Arial" w:cs="Arial" w:eastAsia="Arial" w:hAnsi="Arial"/>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4060" w:type="dxa"/>
            <w:vAlign w:val="bottom"/>
            <w:gridSpan w:val="4"/>
          </w:tcPr>
          <w:p>
            <w:pPr>
              <w:jc w:val="center"/>
              <w:ind w:right="580"/>
              <w:spacing w:after="0"/>
              <w:rPr>
                <w:sz w:val="20"/>
                <w:szCs w:val="20"/>
                <w:color w:val="auto"/>
              </w:rPr>
            </w:pPr>
            <w:r>
              <w:rPr>
                <w:rFonts w:ascii="Arial" w:cs="Arial" w:eastAsia="Arial" w:hAnsi="Arial"/>
                <w:sz w:val="18"/>
                <w:szCs w:val="18"/>
                <w:color w:val="auto"/>
                <w:w w:val="92"/>
              </w:rPr>
              <w:t>(State or Other Jurisdiction of Incorporation)</w:t>
            </w:r>
          </w:p>
        </w:tc>
        <w:tc>
          <w:tcPr>
            <w:tcW w:w="3560" w:type="dxa"/>
            <w:vAlign w:val="bottom"/>
            <w:gridSpan w:val="3"/>
          </w:tcPr>
          <w:p>
            <w:pPr>
              <w:jc w:val="center"/>
              <w:ind w:right="700"/>
              <w:spacing w:after="0"/>
              <w:rPr>
                <w:sz w:val="20"/>
                <w:szCs w:val="20"/>
                <w:color w:val="auto"/>
              </w:rPr>
            </w:pPr>
            <w:r>
              <w:rPr>
                <w:rFonts w:ascii="Arial" w:cs="Arial" w:eastAsia="Arial" w:hAnsi="Arial"/>
                <w:sz w:val="18"/>
                <w:szCs w:val="18"/>
                <w:color w:val="auto"/>
                <w:w w:val="92"/>
              </w:rPr>
              <w:t>(Commission File Number)</w:t>
            </w:r>
          </w:p>
        </w:tc>
        <w:tc>
          <w:tcPr>
            <w:tcW w:w="2900" w:type="dxa"/>
            <w:vAlign w:val="bottom"/>
            <w:gridSpan w:val="5"/>
          </w:tcPr>
          <w:p>
            <w:pPr>
              <w:jc w:val="center"/>
              <w:ind w:left="19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06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2000 Waters Edge Drive, Johnson City, Tennessee</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gridSpan w:val="4"/>
          </w:tcPr>
          <w:p>
            <w:pPr>
              <w:jc w:val="right"/>
              <w:ind w:right="300"/>
              <w:spacing w:after="0"/>
              <w:rPr>
                <w:sz w:val="20"/>
                <w:szCs w:val="20"/>
                <w:color w:val="auto"/>
              </w:rPr>
            </w:pPr>
            <w:r>
              <w:rPr>
                <w:rFonts w:ascii="Arial" w:cs="Arial" w:eastAsia="Arial" w:hAnsi="Arial"/>
                <w:sz w:val="18"/>
                <w:szCs w:val="18"/>
                <w:color w:val="auto"/>
              </w:rPr>
              <w:t>37604</w:t>
            </w:r>
          </w:p>
        </w:tc>
        <w:tc>
          <w:tcPr>
            <w:tcW w:w="860" w:type="dxa"/>
            <w:vAlign w:val="bottom"/>
          </w:tcPr>
          <w:p>
            <w:pPr>
              <w:spacing w:after="0"/>
              <w:rPr>
                <w:sz w:val="24"/>
                <w:szCs w:val="24"/>
                <w:color w:val="auto"/>
              </w:rPr>
            </w:pPr>
          </w:p>
        </w:tc>
      </w:tr>
      <w:tr>
        <w:trPr>
          <w:trHeight w:val="20"/>
        </w:trPr>
        <w:tc>
          <w:tcPr>
            <w:tcW w:w="362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37"/>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00" w:type="dxa"/>
            <w:vAlign w:val="bottom"/>
            <w:gridSpan w:val="5"/>
          </w:tcPr>
          <w:p>
            <w:pPr>
              <w:jc w:val="center"/>
              <w:ind w:left="50"/>
              <w:spacing w:after="0"/>
              <w:rPr>
                <w:sz w:val="20"/>
                <w:szCs w:val="20"/>
                <w:color w:val="auto"/>
              </w:rPr>
            </w:pPr>
            <w:r>
              <w:rPr>
                <w:rFonts w:ascii="Arial" w:cs="Arial" w:eastAsia="Arial" w:hAnsi="Arial"/>
                <w:sz w:val="18"/>
                <w:szCs w:val="18"/>
                <w:color w:val="auto"/>
                <w:w w:val="94"/>
              </w:rPr>
              <w:t>(Zip Code)</w:t>
            </w:r>
          </w:p>
        </w:tc>
      </w:tr>
    </w:tbl>
    <w:p>
      <w:pPr>
        <w:spacing w:after="0" w:line="20" w:lineRule="exact"/>
        <w:rPr>
          <w:rFonts w:ascii="Arial" w:cs="Arial" w:eastAsia="Arial" w:hAnsi="Arial"/>
          <w:sz w:val="36"/>
          <w:szCs w:val="36"/>
          <w:b w:val="1"/>
          <w:bCs w:val="1"/>
          <w:u w:val="single" w:color="auto"/>
          <w:color w:val="auto"/>
        </w:rPr>
      </w:pPr>
      <w:r>
        <w:rPr>
          <w:rFonts w:ascii="Arial" w:cs="Arial" w:eastAsia="Arial" w:hAnsi="Arial"/>
          <w:sz w:val="36"/>
          <w:szCs w:val="36"/>
          <w:b w:val="1"/>
          <w:bCs w:val="1"/>
          <w:u w:val="single" w:color="auto"/>
          <w:color w:val="auto"/>
        </w:rPr>
        <w:drawing>
          <wp:anchor simplePos="0" relativeHeight="251657728" behindDoc="1" locked="0" layoutInCell="0" allowOverlap="1">
            <wp:simplePos x="0" y="0"/>
            <wp:positionH relativeFrom="column">
              <wp:posOffset>2526665</wp:posOffset>
            </wp:positionH>
            <wp:positionV relativeFrom="paragraph">
              <wp:posOffset>-299720</wp:posOffset>
            </wp:positionV>
            <wp:extent cx="28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-299720</wp:posOffset>
            </wp:positionV>
            <wp:extent cx="28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rFonts w:ascii="Arial" w:cs="Arial" w:eastAsia="Arial" w:hAnsi="Arial"/>
          <w:sz w:val="36"/>
          <w:szCs w:val="36"/>
          <w:b w:val="1"/>
          <w:bCs w:val="1"/>
          <w:u w:val="single" w:color="auto"/>
          <w:color w:val="auto"/>
        </w:rPr>
      </w:pPr>
    </w:p>
    <w:p>
      <w:pPr>
        <w:jc w:val="center"/>
        <w:ind w:right="-219"/>
        <w:spacing w:after="0"/>
        <w:rPr>
          <w:sz w:val="20"/>
          <w:szCs w:val="20"/>
          <w:color w:val="auto"/>
        </w:rPr>
      </w:pPr>
      <w:r>
        <w:rPr>
          <w:rFonts w:ascii="Arial" w:cs="Arial" w:eastAsia="Arial" w:hAnsi="Arial"/>
          <w:sz w:val="18"/>
          <w:szCs w:val="18"/>
          <w:u w:val="single" w:color="auto"/>
          <w:color w:val="auto"/>
        </w:rPr>
        <w:t>(423) 743-9151</w:t>
      </w:r>
    </w:p>
    <w:p>
      <w:pPr>
        <w:spacing w:after="0" w:line="23" w:lineRule="exact"/>
        <w:rPr>
          <w:rFonts w:ascii="Arial" w:cs="Arial" w:eastAsia="Arial" w:hAnsi="Arial"/>
          <w:sz w:val="36"/>
          <w:szCs w:val="36"/>
          <w:b w:val="1"/>
          <w:bCs w:val="1"/>
          <w:u w:val="single" w:color="auto"/>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rFonts w:ascii="Arial" w:cs="Arial" w:eastAsia="Arial" w:hAnsi="Arial"/>
          <w:sz w:val="36"/>
          <w:szCs w:val="36"/>
          <w:b w:val="1"/>
          <w:bCs w:val="1"/>
          <w:u w:val="single" w:color="auto"/>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rFonts w:ascii="Arial" w:cs="Arial" w:eastAsia="Arial" w:hAnsi="Arial"/>
          <w:sz w:val="36"/>
          <w:szCs w:val="36"/>
          <w:b w:val="1"/>
          <w:bCs w:val="1"/>
          <w:u w:val="single" w:color="auto"/>
          <w:color w:val="auto"/>
        </w:rPr>
      </w:pPr>
    </w:p>
    <w:p>
      <w:pPr>
        <w:spacing w:after="0" w:line="295" w:lineRule="exact"/>
        <w:rPr>
          <w:rFonts w:ascii="Arial" w:cs="Arial" w:eastAsia="Arial" w:hAnsi="Arial"/>
          <w:sz w:val="36"/>
          <w:szCs w:val="36"/>
          <w:b w:val="1"/>
          <w:bCs w:val="1"/>
          <w:u w:val="single" w:color="auto"/>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rFonts w:ascii="Arial" w:cs="Arial" w:eastAsia="Arial" w:hAnsi="Arial"/>
          <w:sz w:val="36"/>
          <w:szCs w:val="36"/>
          <w:b w:val="1"/>
          <w:bCs w:val="1"/>
          <w:u w:val="single" w:color="auto"/>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0" w:lineRule="exact"/>
        <w:rPr>
          <w:rFonts w:ascii="Arial" w:cs="Arial" w:eastAsia="Arial" w:hAnsi="Arial"/>
          <w:sz w:val="36"/>
          <w:szCs w:val="36"/>
          <w:b w:val="1"/>
          <w:bCs w:val="1"/>
          <w:u w:val="single" w:color="auto"/>
          <w:color w:val="auto"/>
        </w:rPr>
      </w:pPr>
    </w:p>
    <w:tbl>
      <w:tblPr>
        <w:tblLayout w:type="fixed"/>
        <w:tblInd w:w="0" w:type="dxa"/>
        <w:tblCellMar>
          <w:top w:w="0" w:type="dxa"/>
          <w:left w:w="0" w:type="dxa"/>
          <w:bottom w:w="0" w:type="dxa"/>
          <w:right w:w="0" w:type="dxa"/>
        </w:tblCellMar>
      </w:tblPr>
      <w:tr>
        <w:trPr>
          <w:trHeight w:val="283"/>
        </w:trPr>
        <w:tc>
          <w:tcPr>
            <w:tcW w:w="420" w:type="dxa"/>
            <w:vAlign w:val="bottom"/>
            <w:gridSpan w:val="2"/>
          </w:tcPr>
          <w:p>
            <w:pPr>
              <w:jc w:val="right"/>
              <w:ind w:right="175"/>
              <w:spacing w:after="0" w:line="181" w:lineRule="exact"/>
              <w:rPr>
                <w:sz w:val="20"/>
                <w:szCs w:val="20"/>
                <w:color w:val="auto"/>
              </w:rPr>
            </w:pPr>
            <w:r>
              <w:rPr>
                <w:rFonts w:ascii="MS PGothic" w:cs="MS PGothic" w:eastAsia="MS PGothic" w:hAnsi="MS PGothic"/>
                <w:sz w:val="18"/>
                <w:szCs w:val="18"/>
                <w:color w:val="auto"/>
                <w:w w:val="77"/>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14d-2(b) under the Exchange Act (17 CFR 240.14d-</w:t>
            </w:r>
          </w:p>
        </w:tc>
        <w:tc>
          <w:tcPr>
            <w:tcW w:w="2940" w:type="dxa"/>
            <w:vAlign w:val="bottom"/>
            <w:gridSpan w:val="2"/>
          </w:tcPr>
          <w:p>
            <w:pPr>
              <w:ind w:left="120"/>
              <w:spacing w:after="0"/>
              <w:rPr>
                <w:sz w:val="20"/>
                <w:szCs w:val="20"/>
                <w:color w:val="auto"/>
              </w:rPr>
            </w:pPr>
            <w:r>
              <w:rPr>
                <w:rFonts w:ascii="Arial" w:cs="Arial" w:eastAsia="Arial" w:hAnsi="Arial"/>
                <w:sz w:val="18"/>
                <w:szCs w:val="18"/>
                <w:color w:val="auto"/>
              </w:rPr>
              <w:t>2(b))</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00" w:type="dxa"/>
            <w:vAlign w:val="bottom"/>
            <w:vMerge w:val="restart"/>
          </w:tcPr>
          <w:p>
            <w:pPr>
              <w:jc w:val="right"/>
              <w:ind w:right="175"/>
              <w:spacing w:after="0" w:line="171" w:lineRule="exact"/>
              <w:rPr>
                <w:sz w:val="20"/>
                <w:szCs w:val="20"/>
                <w:color w:val="auto"/>
              </w:rPr>
            </w:pPr>
            <w:r>
              <w:rPr>
                <w:rFonts w:ascii="MS PGothic" w:cs="MS PGothic" w:eastAsia="MS PGothic" w:hAnsi="MS PGothic"/>
                <w:sz w:val="17"/>
                <w:szCs w:val="17"/>
                <w:color w:val="auto"/>
                <w:w w:val="70"/>
              </w:rPr>
              <w:t>☐</w:t>
            </w:r>
          </w:p>
        </w:tc>
        <w:tc>
          <w:tcPr>
            <w:tcW w:w="8060" w:type="dxa"/>
            <w:vAlign w:val="bottom"/>
            <w:vMerge w:val="restart"/>
          </w:tcPr>
          <w:p>
            <w:pPr>
              <w:ind w:left="240"/>
              <w:spacing w:after="0"/>
              <w:rPr>
                <w:sz w:val="20"/>
                <w:szCs w:val="20"/>
                <w:color w:val="auto"/>
              </w:rPr>
            </w:pPr>
            <w:r>
              <w:rPr>
                <w:rFonts w:ascii="Arial" w:cs="Arial" w:eastAsia="Arial" w:hAnsi="Arial"/>
                <w:sz w:val="18"/>
                <w:szCs w:val="18"/>
                <w:color w:val="auto"/>
                <w:w w:val="91"/>
              </w:rPr>
              <w:t>Pre-commencement communications pursuant to Rule 13e-4(c) under the Exchange Act (17 CFR 240.13e-</w:t>
            </w:r>
          </w:p>
        </w:tc>
        <w:tc>
          <w:tcPr>
            <w:tcW w:w="2920" w:type="dxa"/>
            <w:vAlign w:val="bottom"/>
            <w:vMerge w:val="restart"/>
          </w:tcPr>
          <w:p>
            <w:pPr>
              <w:ind w:left="100"/>
              <w:spacing w:after="0"/>
              <w:rPr>
                <w:sz w:val="20"/>
                <w:szCs w:val="20"/>
                <w:color w:val="auto"/>
              </w:rPr>
            </w:pPr>
            <w:r>
              <w:rPr>
                <w:rFonts w:ascii="Arial" w:cs="Arial" w:eastAsia="Arial" w:hAnsi="Arial"/>
                <w:sz w:val="18"/>
                <w:szCs w:val="18"/>
                <w:color w:val="auto"/>
              </w:rPr>
              <w:t>4(c))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0" w:type="dxa"/>
            <w:vAlign w:val="bottom"/>
            <w:shd w:val="clear" w:color="auto" w:fill="808080"/>
          </w:tcPr>
          <w:p>
            <w:pPr>
              <w:spacing w:after="0"/>
              <w:rPr>
                <w:sz w:val="6"/>
                <w:szCs w:val="6"/>
                <w:color w:val="auto"/>
              </w:rPr>
            </w:pPr>
          </w:p>
        </w:tc>
        <w:tc>
          <w:tcPr>
            <w:tcW w:w="400" w:type="dxa"/>
            <w:vAlign w:val="bottom"/>
            <w:vMerge w:val="continue"/>
          </w:tcPr>
          <w:p>
            <w:pPr>
              <w:spacing w:after="0"/>
              <w:rPr>
                <w:sz w:val="6"/>
                <w:szCs w:val="6"/>
                <w:color w:val="auto"/>
              </w:rPr>
            </w:pPr>
          </w:p>
        </w:tc>
        <w:tc>
          <w:tcPr>
            <w:tcW w:w="8060" w:type="dxa"/>
            <w:vAlign w:val="bottom"/>
            <w:vMerge w:val="continue"/>
          </w:tcPr>
          <w:p>
            <w:pPr>
              <w:spacing w:after="0"/>
              <w:rPr>
                <w:sz w:val="6"/>
                <w:szCs w:val="6"/>
                <w:color w:val="auto"/>
              </w:rPr>
            </w:pPr>
          </w:p>
        </w:tc>
        <w:tc>
          <w:tcPr>
            <w:tcW w:w="2920" w:type="dxa"/>
            <w:vAlign w:val="bottom"/>
            <w:vMerge w:val="continue"/>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753"/>
        </w:trPr>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36"/>
          <w:szCs w:val="36"/>
          <w:b w:val="1"/>
          <w:bCs w:val="1"/>
          <w:u w:val="single" w:color="auto"/>
          <w:color w:val="auto"/>
        </w:rPr>
      </w:pPr>
      <w:r>
        <w:rPr>
          <w:rFonts w:ascii="Arial" w:cs="Arial" w:eastAsia="Arial" w:hAnsi="Arial"/>
          <w:sz w:val="36"/>
          <w:szCs w:val="36"/>
          <w:b w:val="1"/>
          <w:bCs w:val="1"/>
          <w:u w:val="single" w:color="auto"/>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8.01</w:t>
        <w:tab/>
        <w:t>OTHER EVENTS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June 11, 2013, NN, Inc. issued a press release, announcing the declaration of a quarterly cash dividend of $0.06 per common share payable on July 9, 2013, to shareholders of record as of the close of business on June 25, 2013. The full text of the press release is furnished as Exhibit 99.1 and is incorporated herein by reference.</w:t>
      </w:r>
    </w:p>
    <w:p>
      <w:pPr>
        <w:spacing w:after="0" w:line="20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31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vertAlign w:val="superscript"/>
        </w:rPr>
        <w:t>Exhibit</w:t>
      </w:r>
      <w:r>
        <w:rPr>
          <w:rFonts w:ascii="Arial" w:cs="Arial" w:eastAsia="Arial" w:hAnsi="Arial"/>
          <w:sz w:val="18"/>
          <w:szCs w:val="18"/>
          <w:b w:val="1"/>
          <w:bCs w:val="1"/>
          <w:color w:val="auto"/>
        </w:rPr>
        <w:t>Description</w:t>
      </w:r>
    </w:p>
    <w:p>
      <w:pPr>
        <w:spacing w:after="0"/>
        <w:rPr>
          <w:sz w:val="20"/>
          <w:szCs w:val="20"/>
          <w:color w:val="auto"/>
        </w:rPr>
      </w:pPr>
      <w:r>
        <w:rPr>
          <w:rFonts w:ascii="Arial" w:cs="Arial" w:eastAsia="Arial" w:hAnsi="Arial"/>
          <w:sz w:val="18"/>
          <w:szCs w:val="18"/>
          <w:b w:val="1"/>
          <w:bCs w:val="1"/>
          <w:color w:val="auto"/>
        </w:rPr>
        <w:t>No.</w:t>
      </w:r>
    </w:p>
    <w:p>
      <w:pPr>
        <w:spacing w:after="0" w:line="200" w:lineRule="exact"/>
        <w:rPr>
          <w:sz w:val="20"/>
          <w:szCs w:val="20"/>
          <w:color w:val="auto"/>
        </w:rPr>
      </w:pPr>
    </w:p>
    <w:p>
      <w:pPr>
        <w:spacing w:after="0" w:line="2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NN, Inc. dated June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William C. Kelly, Jr.</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William C. Kelly,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and Chief Administrative Officer</w:t>
      </w:r>
    </w:p>
    <w:p>
      <w:pPr>
        <w:sectPr>
          <w:pgSz w:w="11900" w:h="16838" w:orient="portrait"/>
          <w:cols w:equalWidth="0" w:num="1">
            <w:col w:w="11220"/>
          </w:cols>
          <w:pgMar w:left="240" w:top="513" w:right="4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auto"/>
        </w:rPr>
        <w:t>F I N A N C I A 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3700" w:type="dxa"/>
            <w:vAlign w:val="bottom"/>
          </w:tcPr>
          <w:p>
            <w:pPr>
              <w:spacing w:after="0"/>
              <w:rPr>
                <w:sz w:val="20"/>
                <w:szCs w:val="20"/>
                <w:color w:val="auto"/>
              </w:rPr>
            </w:pPr>
            <w:r>
              <w:rPr>
                <w:rFonts w:ascii="Arial" w:cs="Arial" w:eastAsia="Arial" w:hAnsi="Arial"/>
                <w:sz w:val="22"/>
                <w:szCs w:val="22"/>
                <w:b w:val="1"/>
                <w:bCs w:val="1"/>
                <w:color w:val="auto"/>
                <w:w w:val="98"/>
              </w:rPr>
              <w:t>AT FINANCIAL RELATIONS BOARD</w:t>
            </w: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194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370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(423) 743-9151</w:t>
            </w:r>
          </w:p>
        </w:tc>
        <w:tc>
          <w:tcPr>
            <w:tcW w:w="19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(212) 827-3773</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61"/>
          <w:szCs w:val="61"/>
          <w:color w:val="auto"/>
        </w:rPr>
        <w:t>n e w s</w:t>
      </w: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Johnson City, TN 37604</w:t>
      </w:r>
    </w:p>
    <w:p>
      <w:pPr>
        <w:spacing w:after="0" w:line="2318" w:lineRule="exact"/>
        <w:rPr>
          <w:sz w:val="20"/>
          <w:szCs w:val="20"/>
          <w:color w:val="auto"/>
        </w:rPr>
      </w:pPr>
    </w:p>
    <w:p>
      <w:pPr>
        <w:sectPr>
          <w:pgSz w:w="11900" w:h="16838" w:orient="portrait"/>
          <w:cols w:equalWidth="0" w:num="2">
            <w:col w:w="8420" w:space="720"/>
            <w:col w:w="2280"/>
          </w:cols>
          <w:pgMar w:left="240" w:top="112" w:right="239" w:bottom="1440" w:gutter="0" w:footer="0" w:header="0"/>
        </w:sect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June 11, 2013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ANNOUNCES REINSTATEMENT OF DIVIDEND</w:t>
      </w:r>
    </w:p>
    <w:p>
      <w:pPr>
        <w:spacing w:after="0" w:line="200" w:lineRule="exact"/>
        <w:rPr>
          <w:sz w:val="20"/>
          <w:szCs w:val="20"/>
          <w:color w:val="auto"/>
        </w:rPr>
      </w:pPr>
    </w:p>
    <w:p>
      <w:pPr>
        <w:spacing w:after="0" w:line="29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Johnson City, Tenn, June 11, 2013 – NN, Inc. (Nasdaq: NNBR) announced that earlier today its Board of Directors declared a quarterly cash dividend of $0.06 per common share. The dividend will be paid on July 9, 2013, to shareholders of record as of the close of business on June 25, 2013.</w:t>
      </w:r>
    </w:p>
    <w:p>
      <w:pPr>
        <w:spacing w:after="0" w:line="15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reinstatement of a quarterly cash dividend is the product of our strong cash flow and debt retirement performance over the last three years which has significantly strengthened our balance sheet, said Mr. Rich Holder, President and Chief Executive Officer. “This provides us with the ability and the opportunity to fund key strategic organic and acquisitive growth initiatives as well as return value to our shareholders in the form of cash dividends. Subject to declaration by the Board of Directors, we plan to continue to pay quarterly dividends at a rate that provides a meaningful return to our shareholders.”</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NN, Inc. manufactures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$370 million in 2012.</w:t>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2019-12-06T11:17:47Z</dcterms:created>
  <dcterms:modified xsi:type="dcterms:W3CDTF">2019-12-06T11:17:47Z</dcterms:modified>
</cp:coreProperties>
</file>