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As filed with the Securities and Exchange Commission on __________ __, 2002</w:t>
      </w:r>
    </w:p>
    <w:p>
      <w:pPr>
        <w:jc w:val="center"/>
        <w:ind w:left="320"/>
        <w:spacing w:after="0"/>
        <w:rPr>
          <w:sz w:val="20"/>
          <w:szCs w:val="20"/>
          <w:color w:val="auto"/>
        </w:rPr>
      </w:pPr>
      <w:r>
        <w:rPr>
          <w:rFonts w:ascii="Courier New" w:cs="Courier New" w:eastAsia="Courier New" w:hAnsi="Courier New"/>
          <w:sz w:val="17"/>
          <w:szCs w:val="17"/>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95250</wp:posOffset>
            </wp:positionV>
            <wp:extent cx="72783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3400"/>
        <w:spacing w:after="0"/>
        <w:rPr>
          <w:sz w:val="20"/>
          <w:szCs w:val="20"/>
          <w:color w:val="auto"/>
        </w:rPr>
      </w:pPr>
      <w:r>
        <w:rPr>
          <w:rFonts w:ascii="Courier New" w:cs="Courier New" w:eastAsia="Courier New" w:hAnsi="Courier New"/>
          <w:sz w:val="17"/>
          <w:szCs w:val="17"/>
          <w:b w:val="1"/>
          <w:bCs w:val="1"/>
          <w:color w:val="auto"/>
        </w:rPr>
        <w:t>UNITED STATES</w:t>
      </w:r>
    </w:p>
    <w:p>
      <w:pPr>
        <w:jc w:val="center"/>
        <w:ind w:right="3500"/>
        <w:spacing w:after="0"/>
        <w:rPr>
          <w:sz w:val="20"/>
          <w:szCs w:val="20"/>
          <w:color w:val="auto"/>
        </w:rPr>
      </w:pPr>
      <w:r>
        <w:rPr>
          <w:rFonts w:ascii="Courier New" w:cs="Courier New" w:eastAsia="Courier New" w:hAnsi="Courier New"/>
          <w:sz w:val="17"/>
          <w:szCs w:val="17"/>
          <w:b w:val="1"/>
          <w:bCs w:val="1"/>
          <w:color w:val="auto"/>
        </w:rPr>
        <w:t>SECURITIES AND EXCHANGE COMMISSION</w:t>
      </w:r>
    </w:p>
    <w:p>
      <w:pPr>
        <w:jc w:val="center"/>
        <w:ind w:right="3500"/>
        <w:spacing w:after="0"/>
        <w:rPr>
          <w:sz w:val="20"/>
          <w:szCs w:val="20"/>
          <w:color w:val="auto"/>
        </w:rPr>
      </w:pPr>
      <w:r>
        <w:rPr>
          <w:rFonts w:ascii="Courier New" w:cs="Courier New" w:eastAsia="Courier New" w:hAnsi="Courier New"/>
          <w:sz w:val="17"/>
          <w:szCs w:val="17"/>
          <w:b w:val="1"/>
          <w:bCs w:val="1"/>
          <w:color w:val="auto"/>
        </w:rPr>
        <w:t>WASHINGTON, D.C. 20549</w:t>
      </w:r>
    </w:p>
    <w:p>
      <w:pPr>
        <w:ind w:left="3100"/>
        <w:spacing w:after="0"/>
        <w:rPr>
          <w:sz w:val="20"/>
          <w:szCs w:val="20"/>
          <w:color w:val="auto"/>
        </w:rPr>
      </w:pPr>
      <w:r>
        <w:rPr>
          <w:rFonts w:ascii="Courier New" w:cs="Courier New" w:eastAsia="Courier New" w:hAnsi="Courier New"/>
          <w:sz w:val="17"/>
          <w:szCs w:val="17"/>
          <w:b w:val="1"/>
          <w:bCs w:val="1"/>
          <w:color w:val="auto"/>
        </w:rPr>
        <w:t>__________________</w:t>
      </w:r>
    </w:p>
    <w:p>
      <w:pPr>
        <w:spacing w:after="0" w:line="193" w:lineRule="exact"/>
        <w:rPr>
          <w:sz w:val="24"/>
          <w:szCs w:val="24"/>
          <w:color w:val="auto"/>
        </w:rPr>
      </w:pPr>
    </w:p>
    <w:p>
      <w:pPr>
        <w:ind w:left="3620"/>
        <w:spacing w:after="0"/>
        <w:rPr>
          <w:sz w:val="20"/>
          <w:szCs w:val="20"/>
          <w:color w:val="auto"/>
        </w:rPr>
      </w:pPr>
      <w:r>
        <w:rPr>
          <w:rFonts w:ascii="Courier New" w:cs="Courier New" w:eastAsia="Courier New" w:hAnsi="Courier New"/>
          <w:sz w:val="17"/>
          <w:szCs w:val="17"/>
          <w:b w:val="1"/>
          <w:bCs w:val="1"/>
          <w:color w:val="auto"/>
        </w:rPr>
        <w:t>FORM S-3</w:t>
      </w:r>
    </w:p>
    <w:p>
      <w:pPr>
        <w:ind w:left="2900"/>
        <w:spacing w:after="0"/>
        <w:rPr>
          <w:sz w:val="20"/>
          <w:szCs w:val="20"/>
          <w:color w:val="auto"/>
        </w:rPr>
      </w:pPr>
      <w:r>
        <w:rPr>
          <w:rFonts w:ascii="Courier New" w:cs="Courier New" w:eastAsia="Courier New" w:hAnsi="Courier New"/>
          <w:sz w:val="17"/>
          <w:szCs w:val="17"/>
          <w:b w:val="1"/>
          <w:bCs w:val="1"/>
          <w:color w:val="auto"/>
        </w:rPr>
        <w:t>REGISTRATION STATEMENT</w:t>
      </w:r>
    </w:p>
    <w:p>
      <w:pPr>
        <w:ind w:left="3820"/>
        <w:spacing w:after="0"/>
        <w:rPr>
          <w:sz w:val="20"/>
          <w:szCs w:val="20"/>
          <w:color w:val="auto"/>
        </w:rPr>
      </w:pPr>
      <w:r>
        <w:rPr>
          <w:rFonts w:ascii="Courier New" w:cs="Courier New" w:eastAsia="Courier New" w:hAnsi="Courier New"/>
          <w:sz w:val="17"/>
          <w:szCs w:val="17"/>
          <w:b w:val="1"/>
          <w:bCs w:val="1"/>
          <w:color w:val="auto"/>
        </w:rPr>
        <w:t>UNDER</w:t>
      </w:r>
    </w:p>
    <w:p>
      <w:pPr>
        <w:ind w:left="2700"/>
        <w:spacing w:after="0"/>
        <w:rPr>
          <w:sz w:val="20"/>
          <w:szCs w:val="20"/>
          <w:color w:val="auto"/>
        </w:rPr>
      </w:pPr>
      <w:r>
        <w:rPr>
          <w:rFonts w:ascii="Courier New" w:cs="Courier New" w:eastAsia="Courier New" w:hAnsi="Courier New"/>
          <w:sz w:val="17"/>
          <w:szCs w:val="17"/>
          <w:b w:val="1"/>
          <w:bCs w:val="1"/>
          <w:color w:val="auto"/>
        </w:rPr>
        <w:t>THE SECURITIES ACT OF 1933</w:t>
      </w:r>
    </w:p>
    <w:p>
      <w:pPr>
        <w:spacing w:after="0" w:line="19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b w:val="1"/>
          <w:bCs w:val="1"/>
          <w:color w:val="auto"/>
        </w:rPr>
        <w:t>___________________</w:t>
      </w:r>
    </w:p>
    <w:p>
      <w:pPr>
        <w:spacing w:after="0" w:line="193" w:lineRule="exact"/>
        <w:rPr>
          <w:sz w:val="24"/>
          <w:szCs w:val="24"/>
          <w:color w:val="auto"/>
        </w:rPr>
      </w:pPr>
    </w:p>
    <w:p>
      <w:pPr>
        <w:jc w:val="center"/>
        <w:ind w:right="3500"/>
        <w:spacing w:after="0"/>
        <w:rPr>
          <w:sz w:val="20"/>
          <w:szCs w:val="20"/>
          <w:color w:val="auto"/>
        </w:rPr>
      </w:pPr>
      <w:r>
        <w:rPr>
          <w:rFonts w:ascii="Courier New" w:cs="Courier New" w:eastAsia="Courier New" w:hAnsi="Courier New"/>
          <w:sz w:val="17"/>
          <w:szCs w:val="17"/>
          <w:b w:val="1"/>
          <w:bCs w:val="1"/>
          <w:color w:val="auto"/>
        </w:rPr>
        <w:t>NN, Inc.</w:t>
      </w:r>
    </w:p>
    <w:p>
      <w:pPr>
        <w:ind w:left="2600"/>
        <w:spacing w:after="0"/>
        <w:rPr>
          <w:sz w:val="20"/>
          <w:szCs w:val="20"/>
          <w:color w:val="auto"/>
        </w:rPr>
      </w:pPr>
      <w:r>
        <w:rPr>
          <w:rFonts w:ascii="Courier New" w:cs="Courier New" w:eastAsia="Courier New" w:hAnsi="Courier New"/>
          <w:sz w:val="17"/>
          <w:szCs w:val="17"/>
          <w:color w:val="auto"/>
        </w:rPr>
        <w:t>(Exact name of registrant as</w:t>
      </w:r>
    </w:p>
    <w:p>
      <w:pPr>
        <w:ind w:left="2800"/>
        <w:spacing w:after="0"/>
        <w:rPr>
          <w:sz w:val="20"/>
          <w:szCs w:val="20"/>
          <w:color w:val="auto"/>
        </w:rPr>
      </w:pPr>
      <w:r>
        <w:rPr>
          <w:rFonts w:ascii="Courier New" w:cs="Courier New" w:eastAsia="Courier New" w:hAnsi="Courier New"/>
          <w:sz w:val="17"/>
          <w:szCs w:val="17"/>
          <w:color w:val="auto"/>
        </w:rPr>
        <w:t>specified in its charter)</w:t>
      </w:r>
    </w:p>
    <w:p>
      <w:pPr>
        <w:spacing w:after="0" w:line="193" w:lineRule="exact"/>
        <w:rPr>
          <w:sz w:val="24"/>
          <w:szCs w:val="24"/>
          <w:color w:val="auto"/>
        </w:rPr>
      </w:pPr>
    </w:p>
    <w:tbl>
      <w:tblPr>
        <w:tblLayout w:type="fixed"/>
        <w:tblInd w:w="500" w:type="dxa"/>
        <w:tblCellMar>
          <w:top w:w="0" w:type="dxa"/>
          <w:left w:w="0" w:type="dxa"/>
          <w:bottom w:w="0" w:type="dxa"/>
          <w:right w:w="0" w:type="dxa"/>
        </w:tblCellMar>
      </w:tblPr>
      <w:tr>
        <w:trPr>
          <w:trHeight w:val="193"/>
        </w:trPr>
        <w:tc>
          <w:tcPr>
            <w:tcW w:w="3760" w:type="dxa"/>
            <w:vAlign w:val="bottom"/>
          </w:tcPr>
          <w:p>
            <w:pPr>
              <w:jc w:val="center"/>
              <w:ind w:right="876"/>
              <w:spacing w:after="0"/>
              <w:rPr>
                <w:sz w:val="20"/>
                <w:szCs w:val="20"/>
                <w:color w:val="auto"/>
              </w:rPr>
            </w:pPr>
            <w:r>
              <w:rPr>
                <w:rFonts w:ascii="Courier New" w:cs="Courier New" w:eastAsia="Courier New" w:hAnsi="Courier New"/>
                <w:sz w:val="17"/>
                <w:szCs w:val="17"/>
                <w:b w:val="1"/>
                <w:bCs w:val="1"/>
                <w:color w:val="auto"/>
                <w:w w:val="97"/>
              </w:rPr>
              <w:t>Delaware</w:t>
            </w:r>
          </w:p>
        </w:tc>
        <w:tc>
          <w:tcPr>
            <w:tcW w:w="3160" w:type="dxa"/>
            <w:vAlign w:val="bottom"/>
          </w:tcPr>
          <w:p>
            <w:pPr>
              <w:jc w:val="center"/>
              <w:ind w:left="876"/>
              <w:spacing w:after="0"/>
              <w:rPr>
                <w:sz w:val="20"/>
                <w:szCs w:val="20"/>
                <w:color w:val="auto"/>
              </w:rPr>
            </w:pPr>
            <w:r>
              <w:rPr>
                <w:rFonts w:ascii="Courier New" w:cs="Courier New" w:eastAsia="Courier New" w:hAnsi="Courier New"/>
                <w:sz w:val="17"/>
                <w:szCs w:val="17"/>
                <w:b w:val="1"/>
                <w:bCs w:val="1"/>
                <w:color w:val="auto"/>
                <w:w w:val="97"/>
              </w:rPr>
              <w:t>62-1096725</w:t>
            </w:r>
          </w:p>
        </w:tc>
      </w:tr>
      <w:tr>
        <w:trPr>
          <w:trHeight w:val="193"/>
        </w:trPr>
        <w:tc>
          <w:tcPr>
            <w:tcW w:w="3760" w:type="dxa"/>
            <w:vAlign w:val="bottom"/>
          </w:tcPr>
          <w:p>
            <w:pPr>
              <w:jc w:val="center"/>
              <w:ind w:right="856"/>
              <w:spacing w:after="0"/>
              <w:rPr>
                <w:sz w:val="20"/>
                <w:szCs w:val="20"/>
                <w:color w:val="auto"/>
              </w:rPr>
            </w:pPr>
            <w:r>
              <w:rPr>
                <w:rFonts w:ascii="Courier New" w:cs="Courier New" w:eastAsia="Courier New" w:hAnsi="Courier New"/>
                <w:sz w:val="17"/>
                <w:szCs w:val="17"/>
                <w:color w:val="auto"/>
                <w:w w:val="98"/>
              </w:rPr>
              <w:t>(State or other jurisdiction</w:t>
            </w:r>
          </w:p>
        </w:tc>
        <w:tc>
          <w:tcPr>
            <w:tcW w:w="3160" w:type="dxa"/>
            <w:vAlign w:val="bottom"/>
          </w:tcPr>
          <w:p>
            <w:pPr>
              <w:jc w:val="center"/>
              <w:ind w:left="876"/>
              <w:spacing w:after="0"/>
              <w:rPr>
                <w:sz w:val="20"/>
                <w:szCs w:val="20"/>
                <w:color w:val="auto"/>
              </w:rPr>
            </w:pPr>
            <w:r>
              <w:rPr>
                <w:rFonts w:ascii="Courier New" w:cs="Courier New" w:eastAsia="Courier New" w:hAnsi="Courier New"/>
                <w:sz w:val="17"/>
                <w:szCs w:val="17"/>
                <w:color w:val="auto"/>
                <w:w w:val="98"/>
              </w:rPr>
              <w:t>(I.R.S. Employer</w:t>
            </w:r>
          </w:p>
        </w:tc>
      </w:tr>
      <w:tr>
        <w:trPr>
          <w:trHeight w:val="193"/>
        </w:trPr>
        <w:tc>
          <w:tcPr>
            <w:tcW w:w="37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8"/>
              </w:rPr>
              <w:t>of incorporation or</w:t>
            </w:r>
          </w:p>
        </w:tc>
        <w:tc>
          <w:tcPr>
            <w:tcW w:w="3160" w:type="dxa"/>
            <w:vAlign w:val="bottom"/>
          </w:tcPr>
          <w:p>
            <w:pPr>
              <w:jc w:val="center"/>
              <w:ind w:left="876"/>
              <w:spacing w:after="0"/>
              <w:rPr>
                <w:sz w:val="20"/>
                <w:szCs w:val="20"/>
                <w:color w:val="auto"/>
              </w:rPr>
            </w:pPr>
            <w:r>
              <w:rPr>
                <w:rFonts w:ascii="Courier New" w:cs="Courier New" w:eastAsia="Courier New" w:hAnsi="Courier New"/>
                <w:sz w:val="17"/>
                <w:szCs w:val="17"/>
                <w:color w:val="auto"/>
                <w:w w:val="98"/>
              </w:rPr>
              <w:t>Identification Number)</w:t>
            </w:r>
          </w:p>
        </w:tc>
      </w:tr>
      <w:tr>
        <w:trPr>
          <w:trHeight w:val="193"/>
        </w:trPr>
        <w:tc>
          <w:tcPr>
            <w:tcW w:w="3760" w:type="dxa"/>
            <w:vAlign w:val="bottom"/>
          </w:tcPr>
          <w:p>
            <w:pPr>
              <w:jc w:val="center"/>
              <w:ind w:right="776"/>
              <w:spacing w:after="0"/>
              <w:rPr>
                <w:sz w:val="20"/>
                <w:szCs w:val="20"/>
                <w:color w:val="auto"/>
              </w:rPr>
            </w:pPr>
            <w:r>
              <w:rPr>
                <w:rFonts w:ascii="Courier New" w:cs="Courier New" w:eastAsia="Courier New" w:hAnsi="Courier New"/>
                <w:sz w:val="17"/>
                <w:szCs w:val="17"/>
                <w:color w:val="auto"/>
                <w:w w:val="98"/>
              </w:rPr>
              <w:t>organization)</w:t>
            </w:r>
          </w:p>
        </w:tc>
        <w:tc>
          <w:tcPr>
            <w:tcW w:w="3160" w:type="dxa"/>
            <w:vAlign w:val="bottom"/>
          </w:tcPr>
          <w:p>
            <w:pPr>
              <w:spacing w:after="0"/>
              <w:rPr>
                <w:sz w:val="16"/>
                <w:szCs w:val="16"/>
                <w:color w:val="auto"/>
              </w:rPr>
            </w:pPr>
          </w:p>
        </w:tc>
      </w:tr>
    </w:tbl>
    <w:p>
      <w:pPr>
        <w:spacing w:after="0" w:line="193"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b w:val="1"/>
          <w:bCs w:val="1"/>
          <w:color w:val="auto"/>
        </w:rPr>
        <w:t>2000 Waters Edge Drive</w:t>
      </w:r>
    </w:p>
    <w:p>
      <w:pPr>
        <w:ind w:left="2600"/>
        <w:spacing w:after="0"/>
        <w:rPr>
          <w:sz w:val="20"/>
          <w:szCs w:val="20"/>
          <w:color w:val="auto"/>
        </w:rPr>
      </w:pPr>
      <w:r>
        <w:rPr>
          <w:rFonts w:ascii="Courier New" w:cs="Courier New" w:eastAsia="Courier New" w:hAnsi="Courier New"/>
          <w:sz w:val="17"/>
          <w:szCs w:val="17"/>
          <w:b w:val="1"/>
          <w:bCs w:val="1"/>
          <w:color w:val="auto"/>
        </w:rPr>
        <w:t>Johnson City, Tennessee 37604</w:t>
      </w:r>
    </w:p>
    <w:p>
      <w:pPr>
        <w:ind w:left="3320"/>
        <w:spacing w:after="0"/>
        <w:rPr>
          <w:sz w:val="20"/>
          <w:szCs w:val="20"/>
          <w:color w:val="auto"/>
        </w:rPr>
      </w:pPr>
      <w:r>
        <w:rPr>
          <w:rFonts w:ascii="Courier New" w:cs="Courier New" w:eastAsia="Courier New" w:hAnsi="Courier New"/>
          <w:sz w:val="17"/>
          <w:szCs w:val="17"/>
          <w:b w:val="1"/>
          <w:bCs w:val="1"/>
          <w:color w:val="auto"/>
        </w:rPr>
        <w:t>(423) 743-9151</w:t>
      </w:r>
    </w:p>
    <w:p>
      <w:pPr>
        <w:ind w:left="1000"/>
        <w:spacing w:after="0"/>
        <w:rPr>
          <w:sz w:val="20"/>
          <w:szCs w:val="20"/>
          <w:color w:val="auto"/>
        </w:rPr>
      </w:pPr>
      <w:r>
        <w:rPr>
          <w:rFonts w:ascii="Courier New" w:cs="Courier New" w:eastAsia="Courier New" w:hAnsi="Courier New"/>
          <w:sz w:val="17"/>
          <w:szCs w:val="17"/>
          <w:color w:val="auto"/>
        </w:rPr>
        <w:t>(Address, including zip code, and telephone number, including</w:t>
      </w:r>
    </w:p>
    <w:p>
      <w:pPr>
        <w:ind w:left="1300"/>
        <w:spacing w:after="0"/>
        <w:rPr>
          <w:sz w:val="20"/>
          <w:szCs w:val="20"/>
          <w:color w:val="auto"/>
        </w:rPr>
      </w:pPr>
      <w:r>
        <w:rPr>
          <w:rFonts w:ascii="Courier New" w:cs="Courier New" w:eastAsia="Courier New" w:hAnsi="Courier New"/>
          <w:sz w:val="17"/>
          <w:szCs w:val="17"/>
          <w:color w:val="auto"/>
        </w:rPr>
        <w:t>area code, of registrant's principal executive offices)</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b w:val="1"/>
          <w:bCs w:val="1"/>
          <w:color w:val="auto"/>
        </w:rPr>
        <w:t>Roderick R. Baty</w:t>
      </w:r>
    </w:p>
    <w:p>
      <w:pPr>
        <w:ind w:left="2200"/>
        <w:spacing w:after="0"/>
        <w:rPr>
          <w:sz w:val="20"/>
          <w:szCs w:val="20"/>
          <w:color w:val="auto"/>
        </w:rPr>
      </w:pPr>
      <w:r>
        <w:rPr>
          <w:rFonts w:ascii="Courier New" w:cs="Courier New" w:eastAsia="Courier New" w:hAnsi="Courier New"/>
          <w:sz w:val="17"/>
          <w:szCs w:val="17"/>
          <w:b w:val="1"/>
          <w:bCs w:val="1"/>
          <w:color w:val="auto"/>
        </w:rPr>
        <w:t>President and Chief Executive Officer</w:t>
      </w:r>
    </w:p>
    <w:p>
      <w:pPr>
        <w:ind w:left="2900"/>
        <w:spacing w:after="0"/>
        <w:rPr>
          <w:sz w:val="20"/>
          <w:szCs w:val="20"/>
          <w:color w:val="auto"/>
        </w:rPr>
      </w:pPr>
      <w:r>
        <w:rPr>
          <w:rFonts w:ascii="Courier New" w:cs="Courier New" w:eastAsia="Courier New" w:hAnsi="Courier New"/>
          <w:sz w:val="17"/>
          <w:szCs w:val="17"/>
          <w:b w:val="1"/>
          <w:bCs w:val="1"/>
          <w:color w:val="auto"/>
        </w:rPr>
        <w:t>2000 Waters Edge Drive</w:t>
      </w:r>
    </w:p>
    <w:p>
      <w:pPr>
        <w:ind w:left="2600"/>
        <w:spacing w:after="0"/>
        <w:rPr>
          <w:sz w:val="20"/>
          <w:szCs w:val="20"/>
          <w:color w:val="auto"/>
        </w:rPr>
      </w:pPr>
      <w:r>
        <w:rPr>
          <w:rFonts w:ascii="Courier New" w:cs="Courier New" w:eastAsia="Courier New" w:hAnsi="Courier New"/>
          <w:sz w:val="17"/>
          <w:szCs w:val="17"/>
          <w:b w:val="1"/>
          <w:bCs w:val="1"/>
          <w:color w:val="auto"/>
        </w:rPr>
        <w:t>Johnson City, Tennessee 37604</w:t>
      </w:r>
    </w:p>
    <w:p>
      <w:pPr>
        <w:ind w:left="3320"/>
        <w:spacing w:after="0"/>
        <w:rPr>
          <w:sz w:val="20"/>
          <w:szCs w:val="20"/>
          <w:color w:val="auto"/>
        </w:rPr>
      </w:pPr>
      <w:r>
        <w:rPr>
          <w:rFonts w:ascii="Courier New" w:cs="Courier New" w:eastAsia="Courier New" w:hAnsi="Courier New"/>
          <w:sz w:val="17"/>
          <w:szCs w:val="17"/>
          <w:b w:val="1"/>
          <w:bCs w:val="1"/>
          <w:color w:val="auto"/>
        </w:rPr>
        <w:t>(423) 743-9151</w:t>
      </w:r>
    </w:p>
    <w:p>
      <w:pPr>
        <w:ind w:left="1200"/>
        <w:spacing w:after="0"/>
        <w:rPr>
          <w:sz w:val="20"/>
          <w:szCs w:val="20"/>
          <w:color w:val="auto"/>
        </w:rPr>
      </w:pPr>
      <w:r>
        <w:rPr>
          <w:rFonts w:ascii="Courier New" w:cs="Courier New" w:eastAsia="Courier New" w:hAnsi="Courier New"/>
          <w:sz w:val="17"/>
          <w:szCs w:val="17"/>
          <w:color w:val="auto"/>
        </w:rPr>
        <w:t>(Name, address, including zip code, and telephone number,</w:t>
      </w:r>
    </w:p>
    <w:p>
      <w:pPr>
        <w:ind w:left="1900"/>
        <w:spacing w:after="0"/>
        <w:rPr>
          <w:sz w:val="20"/>
          <w:szCs w:val="20"/>
          <w:color w:val="auto"/>
        </w:rPr>
      </w:pPr>
      <w:r>
        <w:rPr>
          <w:rFonts w:ascii="Courier New" w:cs="Courier New" w:eastAsia="Courier New" w:hAnsi="Courier New"/>
          <w:sz w:val="17"/>
          <w:szCs w:val="17"/>
          <w:color w:val="auto"/>
        </w:rPr>
        <w:t>including area code, of agent for service)</w:t>
      </w:r>
    </w:p>
    <w:p>
      <w:pPr>
        <w:spacing w:after="0" w:line="193"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b w:val="1"/>
          <w:bCs w:val="1"/>
          <w:color w:val="auto"/>
        </w:rPr>
        <w:t>With Copies to:</w:t>
      </w:r>
    </w:p>
    <w:p>
      <w:pPr>
        <w:ind w:left="3420"/>
        <w:spacing w:after="0"/>
        <w:rPr>
          <w:sz w:val="20"/>
          <w:szCs w:val="20"/>
          <w:color w:val="auto"/>
        </w:rPr>
      </w:pPr>
      <w:r>
        <w:rPr>
          <w:rFonts w:ascii="Courier New" w:cs="Courier New" w:eastAsia="Courier New" w:hAnsi="Courier New"/>
          <w:sz w:val="17"/>
          <w:szCs w:val="17"/>
          <w:b w:val="1"/>
          <w:bCs w:val="1"/>
          <w:color w:val="auto"/>
        </w:rPr>
        <w:t>James M. Ash</w:t>
      </w:r>
    </w:p>
    <w:p>
      <w:pPr>
        <w:jc w:val="center"/>
        <w:ind w:right="3500"/>
        <w:spacing w:after="0"/>
        <w:rPr>
          <w:sz w:val="20"/>
          <w:szCs w:val="20"/>
          <w:color w:val="auto"/>
        </w:rPr>
      </w:pPr>
      <w:r>
        <w:rPr>
          <w:rFonts w:ascii="Courier New" w:cs="Courier New" w:eastAsia="Courier New" w:hAnsi="Courier New"/>
          <w:sz w:val="17"/>
          <w:szCs w:val="17"/>
          <w:b w:val="1"/>
          <w:bCs w:val="1"/>
          <w:color w:val="auto"/>
        </w:rPr>
        <w:t>Blackwell Sanders Peper Martin LLP</w:t>
      </w:r>
    </w:p>
    <w:p>
      <w:pPr>
        <w:jc w:val="center"/>
        <w:ind w:right="3500"/>
        <w:spacing w:after="0"/>
        <w:rPr>
          <w:sz w:val="20"/>
          <w:szCs w:val="20"/>
          <w:color w:val="auto"/>
        </w:rPr>
      </w:pPr>
      <w:r>
        <w:rPr>
          <w:rFonts w:ascii="Courier New" w:cs="Courier New" w:eastAsia="Courier New" w:hAnsi="Courier New"/>
          <w:sz w:val="17"/>
          <w:szCs w:val="17"/>
          <w:b w:val="1"/>
          <w:bCs w:val="1"/>
          <w:color w:val="auto"/>
        </w:rPr>
        <w:t>2300 Main Street, Suite 1000</w:t>
      </w:r>
    </w:p>
    <w:p>
      <w:pPr>
        <w:jc w:val="center"/>
        <w:ind w:right="3400"/>
        <w:spacing w:after="0"/>
        <w:rPr>
          <w:sz w:val="20"/>
          <w:szCs w:val="20"/>
          <w:color w:val="auto"/>
        </w:rPr>
      </w:pPr>
      <w:r>
        <w:rPr>
          <w:rFonts w:ascii="Courier New" w:cs="Courier New" w:eastAsia="Courier New" w:hAnsi="Courier New"/>
          <w:sz w:val="17"/>
          <w:szCs w:val="17"/>
          <w:b w:val="1"/>
          <w:bCs w:val="1"/>
          <w:color w:val="auto"/>
        </w:rPr>
        <w:t>Kansas City, Missouri 64108</w:t>
      </w:r>
    </w:p>
    <w:p>
      <w:pPr>
        <w:jc w:val="center"/>
        <w:ind w:right="3500"/>
        <w:spacing w:after="0"/>
        <w:rPr>
          <w:sz w:val="20"/>
          <w:szCs w:val="20"/>
          <w:color w:val="auto"/>
        </w:rPr>
      </w:pPr>
      <w:r>
        <w:rPr>
          <w:rFonts w:ascii="Courier New" w:cs="Courier New" w:eastAsia="Courier New" w:hAnsi="Courier New"/>
          <w:sz w:val="17"/>
          <w:szCs w:val="17"/>
          <w:b w:val="1"/>
          <w:bCs w:val="1"/>
          <w:color w:val="auto"/>
        </w:rPr>
        <w:t>(816) 983-8000</w:t>
      </w:r>
    </w:p>
    <w:p>
      <w:pPr>
        <w:spacing w:after="0" w:line="198" w:lineRule="exact"/>
        <w:rPr>
          <w:sz w:val="24"/>
          <w:szCs w:val="24"/>
          <w:color w:val="auto"/>
        </w:rPr>
      </w:pPr>
    </w:p>
    <w:p>
      <w:pPr>
        <w:ind w:right="3800"/>
        <w:spacing w:after="0" w:line="237" w:lineRule="auto"/>
        <w:rPr>
          <w:sz w:val="20"/>
          <w:szCs w:val="20"/>
          <w:color w:val="auto"/>
        </w:rPr>
      </w:pPr>
      <w:r>
        <w:rPr>
          <w:rFonts w:ascii="Courier New" w:cs="Courier New" w:eastAsia="Courier New" w:hAnsi="Courier New"/>
          <w:sz w:val="17"/>
          <w:szCs w:val="17"/>
          <w:b w:val="1"/>
          <w:bCs w:val="1"/>
          <w:color w:val="auto"/>
        </w:rPr>
        <w:t xml:space="preserve">Approximate date of commencement of proposed sale to the public: </w:t>
      </w:r>
      <w:r>
        <w:rPr>
          <w:rFonts w:ascii="Courier New" w:cs="Courier New" w:eastAsia="Courier New" w:hAnsi="Courier New"/>
          <w:sz w:val="17"/>
          <w:szCs w:val="17"/>
          <w:color w:val="auto"/>
        </w:rPr>
        <w:t>From time to</w:t>
      </w:r>
      <w:r>
        <w:rPr>
          <w:rFonts w:ascii="Courier New" w:cs="Courier New" w:eastAsia="Courier New" w:hAnsi="Courier New"/>
          <w:sz w:val="17"/>
          <w:szCs w:val="17"/>
          <w:b w:val="1"/>
          <w:bCs w:val="1"/>
          <w:color w:val="auto"/>
        </w:rPr>
        <w:t xml:space="preserve"> </w:t>
      </w:r>
      <w:r>
        <w:rPr>
          <w:rFonts w:ascii="Courier New" w:cs="Courier New" w:eastAsia="Courier New" w:hAnsi="Courier New"/>
          <w:sz w:val="17"/>
          <w:szCs w:val="17"/>
          <w:color w:val="auto"/>
        </w:rPr>
        <w:t>time after this Registration Statement becomes effective, as determined by market conditions and other factors.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341630</wp:posOffset>
            </wp:positionV>
            <wp:extent cx="72783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right="3600"/>
        <w:spacing w:after="0" w:line="262"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2" w:lineRule="exact"/>
        <w:rPr>
          <w:sz w:val="24"/>
          <w:szCs w:val="24"/>
          <w:color w:val="auto"/>
        </w:rPr>
      </w:pPr>
    </w:p>
    <w:p>
      <w:pPr>
        <w:ind w:right="3500"/>
        <w:spacing w:after="0" w:line="238"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investment plans, check the following box. |X|</w:t>
      </w:r>
    </w:p>
    <w:p>
      <w:pPr>
        <w:spacing w:after="0" w:line="200" w:lineRule="exact"/>
        <w:rPr>
          <w:sz w:val="24"/>
          <w:szCs w:val="24"/>
          <w:color w:val="auto"/>
        </w:rPr>
      </w:pPr>
    </w:p>
    <w:p>
      <w:pPr>
        <w:ind w:right="3500"/>
        <w:spacing w:after="0" w:line="238"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earlier effective registration statement for the same offering. | |</w:t>
      </w:r>
    </w:p>
    <w:p>
      <w:pPr>
        <w:spacing w:after="0" w:line="200" w:lineRule="exact"/>
        <w:rPr>
          <w:sz w:val="24"/>
          <w:szCs w:val="24"/>
          <w:color w:val="auto"/>
        </w:rPr>
      </w:pPr>
    </w:p>
    <w:p>
      <w:pPr>
        <w:ind w:right="3700"/>
        <w:spacing w:after="0" w:line="238"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0" w:lineRule="exact"/>
        <w:rPr>
          <w:sz w:val="24"/>
          <w:szCs w:val="24"/>
          <w:color w:val="auto"/>
        </w:rPr>
      </w:pPr>
    </w:p>
    <w:p>
      <w:pPr>
        <w:ind w:right="4100"/>
        <w:spacing w:after="0" w:line="236"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194"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color w:val="auto"/>
        </w:rPr>
        <w:t>______________________</w:t>
      </w:r>
    </w:p>
    <w:p>
      <w:pPr>
        <w:spacing w:after="0" w:line="193"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CALCULATION OF REGISTRATION FEE</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6" w:lineRule="exact"/>
        <w:rPr>
          <w:sz w:val="24"/>
          <w:szCs w:val="24"/>
          <w:color w:val="auto"/>
        </w:rPr>
      </w:pPr>
    </w:p>
    <w:p>
      <w:pPr>
        <w:ind w:left="5920"/>
        <w:spacing w:after="0"/>
        <w:tabs>
          <w:tab w:leader="none" w:pos="7800" w:val="left"/>
        </w:tabs>
        <w:rPr>
          <w:sz w:val="20"/>
          <w:szCs w:val="20"/>
          <w:color w:val="auto"/>
        </w:rPr>
      </w:pPr>
      <w:r>
        <w:rPr>
          <w:rFonts w:ascii="Courier New" w:cs="Courier New" w:eastAsia="Courier New" w:hAnsi="Courier New"/>
          <w:sz w:val="17"/>
          <w:szCs w:val="17"/>
          <w:color w:val="auto"/>
        </w:rPr>
        <w:t>Proposed maximum</w:t>
      </w:r>
      <w:r>
        <w:rPr>
          <w:sz w:val="20"/>
          <w:szCs w:val="20"/>
          <w:color w:val="auto"/>
        </w:rPr>
        <w:tab/>
      </w:r>
      <w:r>
        <w:rPr>
          <w:rFonts w:ascii="Courier New" w:cs="Courier New" w:eastAsia="Courier New" w:hAnsi="Courier New"/>
          <w:sz w:val="16"/>
          <w:szCs w:val="16"/>
          <w:color w:val="auto"/>
        </w:rPr>
        <w:t>Proposed maximum</w:t>
      </w:r>
    </w:p>
    <w:p>
      <w:pPr>
        <w:ind w:left="400"/>
        <w:spacing w:after="0"/>
        <w:tabs>
          <w:tab w:leader="none" w:pos="4500" w:val="left"/>
          <w:tab w:leader="none" w:pos="6000" w:val="left"/>
          <w:tab w:leader="none" w:pos="7700" w:val="left"/>
          <w:tab w:leader="none" w:pos="9900" w:val="left"/>
        </w:tabs>
        <w:rPr>
          <w:sz w:val="20"/>
          <w:szCs w:val="20"/>
          <w:color w:val="auto"/>
        </w:rPr>
      </w:pPr>
      <w:r>
        <w:rPr>
          <w:rFonts w:ascii="Courier New" w:cs="Courier New" w:eastAsia="Courier New" w:hAnsi="Courier New"/>
          <w:sz w:val="17"/>
          <w:szCs w:val="17"/>
          <w:color w:val="auto"/>
        </w:rPr>
        <w:t>Title of each class of securities to be</w:t>
        <w:tab/>
        <w:t>Amount to be</w:t>
        <w:tab/>
        <w:t>offering price</w:t>
        <w:tab/>
        <w:t>Aggregate offering</w:t>
      </w:r>
      <w:r>
        <w:rPr>
          <w:sz w:val="20"/>
          <w:szCs w:val="20"/>
          <w:color w:val="auto"/>
        </w:rPr>
        <w:tab/>
      </w:r>
      <w:r>
        <w:rPr>
          <w:rFonts w:ascii="Courier New" w:cs="Courier New" w:eastAsia="Courier New" w:hAnsi="Courier New"/>
          <w:sz w:val="16"/>
          <w:szCs w:val="16"/>
          <w:color w:val="auto"/>
        </w:rPr>
        <w:t>Amount of</w:t>
      </w:r>
    </w:p>
    <w:p>
      <w:pPr>
        <w:sectPr>
          <w:pgSz w:w="11900" w:h="16838" w:orient="portrait"/>
          <w:cols w:equalWidth="0" w:num="1">
            <w:col w:w="11520"/>
          </w:cols>
          <w:pgMar w:left="240" w:top="625" w:right="139" w:bottom="0" w:gutter="0" w:footer="0" w:header="0"/>
        </w:sectPr>
      </w:pPr>
    </w:p>
    <w:bookmarkStart w:id="1" w:name="page2"/>
    <w:bookmarkEnd w:id="1"/>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Pr>
          <w:p>
            <w:pPr>
              <w:spacing w:after="0"/>
              <w:rPr>
                <w:sz w:val="20"/>
                <w:szCs w:val="20"/>
                <w:color w:val="auto"/>
              </w:rPr>
            </w:pPr>
            <w:r>
              <w:rPr>
                <w:rFonts w:ascii="Courier New" w:cs="Courier New" w:eastAsia="Courier New" w:hAnsi="Courier New"/>
                <w:sz w:val="17"/>
                <w:szCs w:val="17"/>
                <w:color w:val="auto"/>
              </w:rPr>
              <w:t>Primary Offering:</w:t>
            </w:r>
          </w:p>
        </w:tc>
        <w:tc>
          <w:tcPr>
            <w:tcW w:w="2540" w:type="dxa"/>
            <w:vAlign w:val="bottom"/>
          </w:tcPr>
          <w:p>
            <w:pPr>
              <w:jc w:val="right"/>
              <w:ind w:right="556"/>
              <w:spacing w:after="0"/>
              <w:rPr>
                <w:sz w:val="20"/>
                <w:szCs w:val="20"/>
                <w:color w:val="auto"/>
              </w:rPr>
            </w:pPr>
            <w:r>
              <w:rPr>
                <w:rFonts w:ascii="Courier New" w:cs="Courier New" w:eastAsia="Courier New" w:hAnsi="Courier New"/>
                <w:sz w:val="17"/>
                <w:szCs w:val="17"/>
                <w:color w:val="auto"/>
              </w:rPr>
              <w:t>(1)</w:t>
            </w:r>
          </w:p>
        </w:tc>
        <w:tc>
          <w:tcPr>
            <w:tcW w:w="15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w:t>
            </w:r>
          </w:p>
        </w:tc>
        <w:tc>
          <w:tcPr>
            <w:tcW w:w="2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$ 36,000,000 (2)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$ 3,312 (2)</w:t>
            </w:r>
          </w:p>
        </w:tc>
      </w:tr>
    </w:tbl>
    <w:p>
      <w:pPr>
        <w:ind w:left="400"/>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6" w:lineRule="exact"/>
        <w:rPr>
          <w:sz w:val="20"/>
          <w:szCs w:val="20"/>
          <w:color w:val="auto"/>
        </w:rPr>
      </w:pPr>
    </w:p>
    <w:p>
      <w:pPr>
        <w:spacing w:after="0"/>
        <w:tabs>
          <w:tab w:leader="none" w:pos="4400" w:val="left"/>
          <w:tab w:leader="none" w:pos="6300" w:val="left"/>
          <w:tab w:leader="none" w:pos="8000" w:val="left"/>
          <w:tab w:leader="none" w:pos="9900" w:val="left"/>
        </w:tabs>
        <w:rPr>
          <w:sz w:val="20"/>
          <w:szCs w:val="20"/>
          <w:color w:val="auto"/>
        </w:rPr>
      </w:pPr>
      <w:r>
        <w:rPr>
          <w:rFonts w:ascii="Courier New" w:cs="Courier New" w:eastAsia="Courier New" w:hAnsi="Courier New"/>
          <w:sz w:val="17"/>
          <w:szCs w:val="17"/>
          <w:color w:val="auto"/>
        </w:rPr>
        <w:t>Secondary Offering:</w:t>
      </w:r>
      <w:r>
        <w:rPr>
          <w:sz w:val="20"/>
          <w:szCs w:val="20"/>
          <w:color w:val="auto"/>
        </w:rPr>
        <w:tab/>
      </w:r>
      <w:r>
        <w:rPr>
          <w:rFonts w:ascii="Courier New" w:cs="Courier New" w:eastAsia="Courier New" w:hAnsi="Courier New"/>
          <w:sz w:val="17"/>
          <w:szCs w:val="17"/>
          <w:color w:val="auto"/>
        </w:rPr>
        <w:t>4,033,749 shares</w:t>
        <w:tab/>
        <w:t>$ 9.39 (3)</w:t>
      </w:r>
      <w:r>
        <w:rPr>
          <w:sz w:val="20"/>
          <w:szCs w:val="20"/>
          <w:color w:val="auto"/>
        </w:rPr>
        <w:tab/>
      </w:r>
      <w:r>
        <w:rPr>
          <w:rFonts w:ascii="Courier New" w:cs="Courier New" w:eastAsia="Courier New" w:hAnsi="Courier New"/>
          <w:sz w:val="17"/>
          <w:szCs w:val="17"/>
          <w:color w:val="auto"/>
        </w:rPr>
        <w:t>$ 37,876,903 (3)</w:t>
      </w:r>
      <w:r>
        <w:rPr>
          <w:sz w:val="20"/>
          <w:szCs w:val="20"/>
          <w:color w:val="auto"/>
        </w:rPr>
        <w:tab/>
      </w:r>
      <w:r>
        <w:rPr>
          <w:rFonts w:ascii="Courier New" w:cs="Courier New" w:eastAsia="Courier New" w:hAnsi="Courier New"/>
          <w:sz w:val="16"/>
          <w:szCs w:val="16"/>
          <w:color w:val="auto"/>
        </w:rPr>
        <w:t>$ 3,485 (3)</w:t>
      </w:r>
    </w:p>
    <w:p>
      <w:pPr>
        <w:ind w:left="400"/>
        <w:spacing w:after="0"/>
        <w:rPr>
          <w:sz w:val="20"/>
          <w:szCs w:val="20"/>
          <w:color w:val="auto"/>
        </w:rPr>
      </w:pPr>
      <w:r>
        <w:rPr>
          <w:rFonts w:ascii="Courier New" w:cs="Courier New" w:eastAsia="Courier New" w:hAnsi="Courier New"/>
          <w:sz w:val="17"/>
          <w:szCs w:val="17"/>
          <w:color w:val="auto"/>
        </w:rPr>
        <w:t>Common Stock, par value $.01 per share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6" w:lineRule="exact"/>
        <w:rPr>
          <w:sz w:val="20"/>
          <w:szCs w:val="20"/>
          <w:color w:val="auto"/>
        </w:rPr>
      </w:pPr>
    </w:p>
    <w:p>
      <w:pPr>
        <w:spacing w:after="0"/>
        <w:tabs>
          <w:tab w:leader="none" w:pos="4900" w:val="left"/>
          <w:tab w:leader="none" w:pos="6500" w:val="left"/>
          <w:tab w:leader="none" w:pos="8000" w:val="left"/>
          <w:tab w:leader="none" w:pos="9900" w:val="left"/>
        </w:tabs>
        <w:rPr>
          <w:sz w:val="20"/>
          <w:szCs w:val="20"/>
          <w:color w:val="auto"/>
        </w:rPr>
      </w:pPr>
      <w:r>
        <w:rPr>
          <w:rFonts w:ascii="Courier New" w:cs="Courier New" w:eastAsia="Courier New" w:hAnsi="Courier New"/>
          <w:sz w:val="17"/>
          <w:szCs w:val="17"/>
          <w:color w:val="auto"/>
        </w:rPr>
        <w:t>TOTAL</w:t>
      </w:r>
      <w:r>
        <w:rPr>
          <w:sz w:val="20"/>
          <w:szCs w:val="20"/>
          <w:color w:val="auto"/>
        </w:rPr>
        <w:tab/>
      </w:r>
      <w:r>
        <w:rPr>
          <w:rFonts w:ascii="Courier New" w:cs="Courier New" w:eastAsia="Courier New" w:hAnsi="Courier New"/>
          <w:sz w:val="17"/>
          <w:szCs w:val="17"/>
          <w:color w:val="auto"/>
        </w:rPr>
        <w:t>N/A</w:t>
      </w:r>
      <w:r>
        <w:rPr>
          <w:sz w:val="20"/>
          <w:szCs w:val="20"/>
          <w:color w:val="auto"/>
        </w:rPr>
        <w:tab/>
      </w:r>
      <w:r>
        <w:rPr>
          <w:rFonts w:ascii="Courier New" w:cs="Courier New" w:eastAsia="Courier New" w:hAnsi="Courier New"/>
          <w:sz w:val="17"/>
          <w:szCs w:val="17"/>
          <w:color w:val="auto"/>
        </w:rPr>
        <w:t>N/A</w:t>
      </w:r>
      <w:r>
        <w:rPr>
          <w:sz w:val="20"/>
          <w:szCs w:val="20"/>
          <w:color w:val="auto"/>
        </w:rPr>
        <w:tab/>
      </w:r>
      <w:r>
        <w:rPr>
          <w:rFonts w:ascii="Courier New" w:cs="Courier New" w:eastAsia="Courier New" w:hAnsi="Courier New"/>
          <w:sz w:val="17"/>
          <w:szCs w:val="17"/>
          <w:color w:val="auto"/>
        </w:rPr>
        <w:t>$ 73,876,903</w:t>
      </w:r>
      <w:r>
        <w:rPr>
          <w:sz w:val="20"/>
          <w:szCs w:val="20"/>
          <w:color w:val="auto"/>
        </w:rPr>
        <w:tab/>
      </w:r>
      <w:r>
        <w:rPr>
          <w:rFonts w:ascii="Courier New" w:cs="Courier New" w:eastAsia="Courier New" w:hAnsi="Courier New"/>
          <w:sz w:val="16"/>
          <w:szCs w:val="16"/>
          <w:color w:val="auto"/>
        </w:rPr>
        <w:t>$ 6,797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99" w:lineRule="exact"/>
        <w:rPr>
          <w:sz w:val="20"/>
          <w:szCs w:val="20"/>
          <w:color w:val="auto"/>
        </w:rPr>
      </w:pPr>
    </w:p>
    <w:p>
      <w:pPr>
        <w:ind w:left="500" w:hanging="497"/>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required in accordance with Rule 457(o).</w:t>
      </w:r>
    </w:p>
    <w:p>
      <w:pPr>
        <w:ind w:left="500" w:hanging="497"/>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Determined in accordance with Rule 457(o).</w:t>
      </w:r>
    </w:p>
    <w:p>
      <w:pPr>
        <w:spacing w:after="0" w:line="5" w:lineRule="exact"/>
        <w:rPr>
          <w:rFonts w:ascii="Courier New" w:cs="Courier New" w:eastAsia="Courier New" w:hAnsi="Courier New"/>
          <w:sz w:val="17"/>
          <w:szCs w:val="17"/>
          <w:color w:val="auto"/>
        </w:rPr>
      </w:pPr>
    </w:p>
    <w:p>
      <w:pPr>
        <w:jc w:val="both"/>
        <w:ind w:left="500" w:right="3900" w:hanging="497"/>
        <w:spacing w:after="0" w:line="259"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 based on the average of the high and low sales prices on September 24, 2002 as reported by the Nasdaq National Market.</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______________________</w:t>
      </w:r>
    </w:p>
    <w:p>
      <w:pPr>
        <w:spacing w:after="0" w:line="198" w:lineRule="exact"/>
        <w:rPr>
          <w:sz w:val="20"/>
          <w:szCs w:val="20"/>
          <w:color w:val="auto"/>
        </w:rPr>
      </w:pPr>
    </w:p>
    <w:p>
      <w:pPr>
        <w:ind w:right="3500" w:firstLine="601"/>
        <w:spacing w:after="0" w:line="239" w:lineRule="auto"/>
        <w:rPr>
          <w:sz w:val="20"/>
          <w:szCs w:val="20"/>
          <w:color w:val="auto"/>
        </w:rPr>
      </w:pPr>
      <w:r>
        <w:rPr>
          <w:rFonts w:ascii="Courier New" w:cs="Courier New" w:eastAsia="Courier New" w:hAnsi="Courier New"/>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218440</wp:posOffset>
            </wp:positionV>
            <wp:extent cx="72783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right="3500"/>
        <w:spacing w:after="0" w:line="238"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9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SUBJECT TO COMPLETION, DATED SEPTEMBER 26,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38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b w:val="1"/>
          <w:bCs w:val="1"/>
          <w:color w:val="auto"/>
        </w:rPr>
        <w:t>[LOGO]</w:t>
      </w:r>
    </w:p>
    <w:p>
      <w:pPr>
        <w:jc w:val="center"/>
        <w:ind w:right="3500"/>
        <w:spacing w:after="0"/>
        <w:rPr>
          <w:sz w:val="20"/>
          <w:szCs w:val="20"/>
          <w:color w:val="auto"/>
        </w:rPr>
      </w:pPr>
      <w:r>
        <w:rPr>
          <w:rFonts w:ascii="Courier New" w:cs="Courier New" w:eastAsia="Courier New" w:hAnsi="Courier New"/>
          <w:sz w:val="17"/>
          <w:szCs w:val="17"/>
          <w:b w:val="1"/>
          <w:bCs w:val="1"/>
          <w:color w:val="auto"/>
        </w:rPr>
        <w:t>NN, INC.</w:t>
      </w:r>
    </w:p>
    <w:p>
      <w:pPr>
        <w:jc w:val="center"/>
        <w:ind w:right="3500"/>
        <w:spacing w:after="0"/>
        <w:rPr>
          <w:sz w:val="20"/>
          <w:szCs w:val="20"/>
          <w:color w:val="auto"/>
        </w:rPr>
      </w:pPr>
      <w:r>
        <w:rPr>
          <w:rFonts w:ascii="Courier New" w:cs="Courier New" w:eastAsia="Courier New" w:hAnsi="Courier New"/>
          <w:sz w:val="17"/>
          <w:szCs w:val="17"/>
          <w:b w:val="1"/>
          <w:bCs w:val="1"/>
          <w:color w:val="auto"/>
        </w:rPr>
        <w:t>COMMON STOCK</w:t>
      </w:r>
    </w:p>
    <w:p>
      <w:pPr>
        <w:ind w:left="2900"/>
        <w:spacing w:after="0"/>
        <w:rPr>
          <w:sz w:val="20"/>
          <w:szCs w:val="20"/>
          <w:color w:val="auto"/>
        </w:rPr>
      </w:pPr>
      <w:r>
        <w:rPr>
          <w:rFonts w:ascii="Courier New" w:cs="Courier New" w:eastAsia="Courier New" w:hAnsi="Courier New"/>
          <w:sz w:val="17"/>
          <w:szCs w:val="17"/>
          <w:b w:val="1"/>
          <w:bCs w:val="1"/>
          <w:color w:val="auto"/>
        </w:rPr>
        <w:t>______________________</w:t>
      </w:r>
    </w:p>
    <w:p>
      <w:pPr>
        <w:spacing w:after="0" w:line="193"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b w:val="1"/>
          <w:bCs w:val="1"/>
          <w:color w:val="auto"/>
        </w:rPr>
        <w:t>$36,000,000 of Company Shares</w:t>
      </w:r>
    </w:p>
    <w:p>
      <w:pPr>
        <w:spacing w:after="0" w:line="38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b w:val="1"/>
          <w:bCs w:val="1"/>
          <w:color w:val="auto"/>
        </w:rPr>
        <w:t>4,033,749 of Selling Stockholders Shares</w:t>
      </w:r>
    </w:p>
    <w:p>
      <w:pPr>
        <w:spacing w:after="0" w:line="391" w:lineRule="exact"/>
        <w:rPr>
          <w:sz w:val="20"/>
          <w:szCs w:val="20"/>
          <w:color w:val="auto"/>
        </w:rPr>
      </w:pPr>
    </w:p>
    <w:p>
      <w:pPr>
        <w:jc w:val="both"/>
        <w:ind w:right="3700" w:firstLine="902"/>
        <w:spacing w:after="0" w:line="237" w:lineRule="auto"/>
        <w:rPr>
          <w:sz w:val="20"/>
          <w:szCs w:val="20"/>
          <w:color w:val="auto"/>
        </w:rPr>
      </w:pPr>
      <w:r>
        <w:rPr>
          <w:rFonts w:ascii="Courier New" w:cs="Courier New" w:eastAsia="Courier New" w:hAnsi="Courier New"/>
          <w:sz w:val="17"/>
          <w:szCs w:val="17"/>
          <w:color w:val="auto"/>
        </w:rPr>
        <w:t>By this prospectus from time to time, we may offer and sell shares of our common stock, par value $.01 per share, having an aggregate offering price of up to $36,000,000.</w:t>
      </w:r>
    </w:p>
    <w:p>
      <w:pPr>
        <w:spacing w:after="0" w:line="200" w:lineRule="exact"/>
        <w:rPr>
          <w:sz w:val="20"/>
          <w:szCs w:val="20"/>
          <w:color w:val="auto"/>
        </w:rPr>
      </w:pPr>
    </w:p>
    <w:p>
      <w:pPr>
        <w:jc w:val="both"/>
        <w:ind w:right="3700" w:firstLine="902"/>
        <w:spacing w:after="0" w:line="238" w:lineRule="auto"/>
        <w:rPr>
          <w:sz w:val="20"/>
          <w:szCs w:val="20"/>
          <w:color w:val="auto"/>
        </w:rPr>
      </w:pPr>
      <w:r>
        <w:rPr>
          <w:rFonts w:ascii="Courier New" w:cs="Courier New" w:eastAsia="Courier New" w:hAnsi="Courier New"/>
          <w:sz w:val="17"/>
          <w:szCs w:val="17"/>
          <w:color w:val="auto"/>
        </w:rPr>
        <w:t>Up to 4,033,749 shares of common stock may be sold from time to time in one or more offerings by the selling stockholders identified on page 12. We will not receive any proceeds from sales of shares of our common stock by the selling stockholders.</w:t>
      </w:r>
    </w:p>
    <w:p>
      <w:pPr>
        <w:spacing w:after="0" w:line="200" w:lineRule="exact"/>
        <w:rPr>
          <w:sz w:val="20"/>
          <w:szCs w:val="20"/>
          <w:color w:val="auto"/>
        </w:rPr>
      </w:pPr>
    </w:p>
    <w:p>
      <w:pPr>
        <w:ind w:right="3700" w:firstLine="902"/>
        <w:spacing w:after="0" w:line="239" w:lineRule="auto"/>
        <w:rPr>
          <w:sz w:val="20"/>
          <w:szCs w:val="20"/>
          <w:color w:val="auto"/>
        </w:rPr>
      </w:pPr>
      <w:r>
        <w:rPr>
          <w:rFonts w:ascii="Courier New" w:cs="Courier New" w:eastAsia="Courier New" w:hAnsi="Courier New"/>
          <w:sz w:val="17"/>
          <w:szCs w:val="17"/>
          <w:color w:val="auto"/>
        </w:rPr>
        <w:t>When we offer securities, we will provide you with a prospectus supplement before we or any of the selling stockholders sell any common stock under this prospectus. Any prospectus supplement will inform you about the specific terms of an offering by us or any selling stockholder, will list the names of any underwriters or agents, and may also add, update or change information contained in this prospectus. You should read this prospectus, the documents that are incorporated by reference in this prospectus and any prospectus supplement carefully before investing. This prospectus may not be used to sell any common stock unless it is accompanied by a prospectus supplement.</w:t>
      </w:r>
    </w:p>
    <w:p>
      <w:pPr>
        <w:spacing w:after="0" w:line="202" w:lineRule="exact"/>
        <w:rPr>
          <w:sz w:val="20"/>
          <w:szCs w:val="20"/>
          <w:color w:val="auto"/>
        </w:rPr>
      </w:pPr>
    </w:p>
    <w:p>
      <w:pPr>
        <w:ind w:right="3500" w:firstLine="902"/>
        <w:spacing w:after="0" w:line="238" w:lineRule="auto"/>
        <w:rPr>
          <w:sz w:val="20"/>
          <w:szCs w:val="20"/>
          <w:color w:val="auto"/>
        </w:rPr>
      </w:pPr>
      <w:r>
        <w:rPr>
          <w:rFonts w:ascii="Courier New" w:cs="Courier New" w:eastAsia="Courier New" w:hAnsi="Courier New"/>
          <w:sz w:val="17"/>
          <w:szCs w:val="17"/>
          <w:color w:val="auto"/>
        </w:rPr>
        <w:t>We may offer these securities directly to investors, or through agents, underwriters or dealers. See "Plan of Distribution" on page 13. Each prospectus supplement will provide the terms of the plan of distribution relating to each offering of common stock.</w:t>
      </w:r>
    </w:p>
    <w:p>
      <w:pPr>
        <w:spacing w:after="0" w:line="200" w:lineRule="exact"/>
        <w:rPr>
          <w:sz w:val="20"/>
          <w:szCs w:val="20"/>
          <w:color w:val="auto"/>
        </w:rPr>
      </w:pPr>
    </w:p>
    <w:p>
      <w:pPr>
        <w:ind w:right="4000" w:firstLine="902"/>
        <w:spacing w:after="0" w:line="236" w:lineRule="auto"/>
        <w:rPr>
          <w:sz w:val="20"/>
          <w:szCs w:val="20"/>
          <w:color w:val="auto"/>
        </w:rPr>
      </w:pPr>
      <w:r>
        <w:rPr>
          <w:rFonts w:ascii="Courier New" w:cs="Courier New" w:eastAsia="Courier New" w:hAnsi="Courier New"/>
          <w:sz w:val="17"/>
          <w:szCs w:val="17"/>
          <w:color w:val="auto"/>
        </w:rPr>
        <w:t>Our common stock is quoted on the Nasdaq National Market under the symbol "NNBR."</w:t>
      </w:r>
    </w:p>
    <w:p>
      <w:pPr>
        <w:spacing w:after="0" w:line="199" w:lineRule="exact"/>
        <w:rPr>
          <w:sz w:val="20"/>
          <w:szCs w:val="20"/>
          <w:color w:val="auto"/>
        </w:rPr>
      </w:pPr>
    </w:p>
    <w:p>
      <w:pPr>
        <w:ind w:right="3800" w:firstLine="902"/>
        <w:spacing w:after="0" w:line="237" w:lineRule="auto"/>
        <w:rPr>
          <w:sz w:val="20"/>
          <w:szCs w:val="20"/>
          <w:color w:val="auto"/>
        </w:rPr>
      </w:pPr>
      <w:r>
        <w:rPr>
          <w:rFonts w:ascii="Courier New" w:cs="Courier New" w:eastAsia="Courier New" w:hAnsi="Courier New"/>
          <w:sz w:val="17"/>
          <w:szCs w:val="17"/>
          <w:b w:val="1"/>
          <w:bCs w:val="1"/>
          <w:color w:val="auto"/>
        </w:rPr>
        <w:t>Investing in our common stock involves risks. See "Risk Factors" beginning on page 4 to read about the risks you should consider before buying our common stock.</w:t>
      </w:r>
    </w:p>
    <w:p>
      <w:pPr>
        <w:spacing w:after="0" w:line="195"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w:t>
      </w:r>
    </w:p>
    <w:p>
      <w:pPr>
        <w:spacing w:after="0" w:line="198" w:lineRule="exact"/>
        <w:rPr>
          <w:sz w:val="20"/>
          <w:szCs w:val="20"/>
          <w:color w:val="auto"/>
        </w:rPr>
      </w:pPr>
    </w:p>
    <w:p>
      <w:pPr>
        <w:ind w:right="3500" w:firstLine="902"/>
        <w:spacing w:after="0" w:line="262" w:lineRule="auto"/>
        <w:rPr>
          <w:sz w:val="20"/>
          <w:szCs w:val="20"/>
          <w:color w:val="auto"/>
        </w:rPr>
      </w:pPr>
      <w:r>
        <w:rPr>
          <w:rFonts w:ascii="Courier New" w:cs="Courier New" w:eastAsia="Courier New" w:hAnsi="Courier New"/>
          <w:sz w:val="16"/>
          <w:szCs w:val="16"/>
          <w:b w:val="1"/>
          <w:bCs w:val="1"/>
          <w:color w:val="auto"/>
        </w:rPr>
        <w:t>Neither the Securities and Exchange Commission nor any state securities commission has approved or disapproved of these securities or determined if this</w:t>
      </w:r>
    </w:p>
    <w:p>
      <w:pPr>
        <w:sectPr>
          <w:pgSz w:w="11900" w:h="16901" w:orient="portrait"/>
          <w:cols w:equalWidth="0" w:num="1">
            <w:col w:w="11520"/>
          </w:cols>
          <w:pgMar w:left="240" w:top="142" w:right="139" w:bottom="0" w:gutter="0" w:footer="0" w:header="0"/>
        </w:sectPr>
      </w:pPr>
    </w:p>
    <w:bookmarkStart w:id="2" w:name="page3"/>
    <w:bookmarkEnd w:id="2"/>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426720</wp:posOffset>
            </wp:positionV>
            <wp:extent cx="72783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ind w:right="2699"/>
        <w:spacing w:after="0" w:line="236" w:lineRule="auto"/>
        <w:rPr>
          <w:sz w:val="20"/>
          <w:szCs w:val="20"/>
          <w:color w:val="auto"/>
        </w:rPr>
      </w:pPr>
      <w:r>
        <w:rPr>
          <w:rFonts w:ascii="Courier New" w:cs="Courier New" w:eastAsia="Courier New" w:hAnsi="Courier New"/>
          <w:sz w:val="17"/>
          <w:szCs w:val="17"/>
          <w:b w:val="1"/>
          <w:bCs w:val="1"/>
          <w:color w:val="auto"/>
        </w:rPr>
        <w:t>prospectus is truthful or complete. Any representation to the contrary is a criminal offense.</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w:t>
      </w:r>
    </w:p>
    <w:p>
      <w:pPr>
        <w:spacing w:after="0" w:line="38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The date of this Prospectus is ____________,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TABLE OF CONTENTS</w:t>
      </w:r>
    </w:p>
    <w:p>
      <w:pPr>
        <w:spacing w:after="0" w:line="386" w:lineRule="exact"/>
        <w:rPr>
          <w:sz w:val="20"/>
          <w:szCs w:val="20"/>
          <w:color w:val="auto"/>
        </w:rPr>
      </w:pPr>
    </w:p>
    <w:p>
      <w:pPr>
        <w:spacing w:after="0"/>
        <w:tabs>
          <w:tab w:leader="dot" w:pos="7300" w:val="left"/>
        </w:tabs>
        <w:rPr>
          <w:sz w:val="20"/>
          <w:szCs w:val="20"/>
          <w:color w:val="auto"/>
        </w:rPr>
      </w:pPr>
      <w:r>
        <w:rPr>
          <w:rFonts w:ascii="Courier New" w:cs="Courier New" w:eastAsia="Courier New" w:hAnsi="Courier New"/>
          <w:sz w:val="17"/>
          <w:szCs w:val="17"/>
          <w:color w:val="auto"/>
        </w:rPr>
        <w:t>ABOUT THIS PROSPECTUS</w:t>
      </w:r>
      <w:r>
        <w:rPr>
          <w:sz w:val="20"/>
          <w:szCs w:val="20"/>
          <w:color w:val="auto"/>
        </w:rPr>
        <w:tab/>
      </w:r>
      <w:r>
        <w:rPr>
          <w:rFonts w:ascii="Courier New" w:cs="Courier New" w:eastAsia="Courier New" w:hAnsi="Courier New"/>
          <w:sz w:val="16"/>
          <w:szCs w:val="16"/>
          <w:color w:val="auto"/>
        </w:rPr>
        <w:t>3</w:t>
      </w:r>
    </w:p>
    <w:p>
      <w:pPr>
        <w:spacing w:after="0"/>
        <w:tabs>
          <w:tab w:leader="dot" w:pos="730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7300" w:val="left"/>
        </w:tabs>
        <w:rPr>
          <w:sz w:val="20"/>
          <w:szCs w:val="20"/>
          <w:color w:val="auto"/>
        </w:rPr>
      </w:pPr>
      <w:r>
        <w:rPr>
          <w:rFonts w:ascii="Courier New" w:cs="Courier New" w:eastAsia="Courier New" w:hAnsi="Courier New"/>
          <w:sz w:val="17"/>
          <w:szCs w:val="17"/>
          <w:color w:val="auto"/>
        </w:rPr>
        <w:t>NN, INC</w:t>
      </w:r>
      <w:r>
        <w:rPr>
          <w:sz w:val="20"/>
          <w:szCs w:val="20"/>
          <w:color w:val="auto"/>
        </w:rPr>
        <w:tab/>
      </w:r>
      <w:r>
        <w:rPr>
          <w:rFonts w:ascii="Courier New" w:cs="Courier New" w:eastAsia="Courier New" w:hAnsi="Courier New"/>
          <w:sz w:val="16"/>
          <w:szCs w:val="16"/>
          <w:color w:val="auto"/>
        </w:rPr>
        <w:t>9</w:t>
      </w:r>
    </w:p>
    <w:p>
      <w:pPr>
        <w:spacing w:after="0"/>
        <w:tabs>
          <w:tab w:leader="dot" w:pos="720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11</w:t>
      </w:r>
    </w:p>
    <w:p>
      <w:pPr>
        <w:spacing w:after="0"/>
        <w:tabs>
          <w:tab w:leader="dot" w:pos="7200" w:val="left"/>
        </w:tabs>
        <w:rPr>
          <w:sz w:val="20"/>
          <w:szCs w:val="20"/>
          <w:color w:val="auto"/>
        </w:rPr>
      </w:pPr>
      <w:r>
        <w:rPr>
          <w:rFonts w:ascii="Courier New" w:cs="Courier New" w:eastAsia="Courier New" w:hAnsi="Courier New"/>
          <w:sz w:val="17"/>
          <w:szCs w:val="17"/>
          <w:color w:val="auto"/>
        </w:rPr>
        <w:t>SELLING STOCKHOLDERS</w:t>
      </w:r>
      <w:r>
        <w:rPr>
          <w:sz w:val="20"/>
          <w:szCs w:val="20"/>
          <w:color w:val="auto"/>
        </w:rPr>
        <w:tab/>
      </w:r>
      <w:r>
        <w:rPr>
          <w:rFonts w:ascii="Courier New" w:cs="Courier New" w:eastAsia="Courier New" w:hAnsi="Courier New"/>
          <w:sz w:val="16"/>
          <w:szCs w:val="16"/>
          <w:color w:val="auto"/>
        </w:rPr>
        <w:t>12</w:t>
      </w:r>
    </w:p>
    <w:p>
      <w:pPr>
        <w:spacing w:after="0"/>
        <w:tabs>
          <w:tab w:leader="dot" w:pos="720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13</w:t>
      </w:r>
    </w:p>
    <w:p>
      <w:pPr>
        <w:spacing w:after="0"/>
        <w:tabs>
          <w:tab w:leader="dot" w:pos="720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17</w:t>
      </w:r>
    </w:p>
    <w:p>
      <w:pPr>
        <w:spacing w:after="0"/>
        <w:tabs>
          <w:tab w:leader="dot" w:pos="720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17</w:t>
      </w:r>
    </w:p>
    <w:p>
      <w:pPr>
        <w:spacing w:after="0"/>
        <w:tabs>
          <w:tab w:leader="dot" w:pos="720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6"/>
          <w:szCs w:val="16"/>
          <w:color w:val="auto"/>
        </w:rPr>
        <w:t>17</w:t>
      </w:r>
    </w:p>
    <w:p>
      <w:pPr>
        <w:spacing w:after="0"/>
        <w:tabs>
          <w:tab w:leader="dot" w:pos="720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95250</wp:posOffset>
            </wp:positionV>
            <wp:extent cx="72783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b w:val="1"/>
          <w:bCs w:val="1"/>
          <w:color w:val="auto"/>
        </w:rPr>
        <w:t>ABOUT THIS PROSPECTUS</w:t>
      </w:r>
    </w:p>
    <w:p>
      <w:pPr>
        <w:spacing w:after="0" w:line="198" w:lineRule="exact"/>
        <w:rPr>
          <w:sz w:val="20"/>
          <w:szCs w:val="20"/>
          <w:color w:val="auto"/>
        </w:rPr>
      </w:pPr>
    </w:p>
    <w:p>
      <w:pPr>
        <w:ind w:right="1999" w:firstLine="902"/>
        <w:spacing w:after="0" w:line="239" w:lineRule="auto"/>
        <w:rPr>
          <w:sz w:val="20"/>
          <w:szCs w:val="20"/>
          <w:color w:val="auto"/>
        </w:rPr>
      </w:pPr>
      <w:r>
        <w:rPr>
          <w:rFonts w:ascii="Courier New" w:cs="Courier New" w:eastAsia="Courier New" w:hAnsi="Courier New"/>
          <w:sz w:val="17"/>
          <w:szCs w:val="17"/>
          <w:color w:val="auto"/>
        </w:rPr>
        <w:t>This prospectus is part of a registration statement on Form S-3 that we filed with the Securities and Exchange Commission using a "shelf" registration process. Under the shelf registration process, we may, from time to time, offer and sell shares of our common stock described in this prospectus in one or more offerings up to a total dollar amount of $36,000,000. In addition, up to 4,033,749 shares of our common stock may be sold from time to time in one or more offerings by several of our stockholders. We will not receive any proceeds from any sale of the shares by the selling stockholders.</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This prospectus provides you with a general description of the securities we may offer. Each time we or the selling stockholders sell common stock, we will provide a prospectus supplement that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below under the heading "Where You Can Find More Information." You should not assume that the information in this prospectus or any prospectus supplement is accurate as of any date other than the date on the front of each document. Our business, financial condition, results of operations and prospects may have changed since that date.</w:t>
      </w:r>
    </w:p>
    <w:p>
      <w:pPr>
        <w:spacing w:after="0" w:line="206"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You should rely only upon the information contained in, or incorporated by reference into, this document.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98" w:lineRule="exact"/>
        <w:rPr>
          <w:sz w:val="20"/>
          <w:szCs w:val="20"/>
          <w:color w:val="auto"/>
        </w:rPr>
      </w:pPr>
    </w:p>
    <w:p>
      <w:pPr>
        <w:ind w:right="2199" w:firstLine="902"/>
        <w:spacing w:after="0" w:line="257" w:lineRule="auto"/>
        <w:rPr>
          <w:sz w:val="20"/>
          <w:szCs w:val="20"/>
          <w:color w:val="auto"/>
        </w:rPr>
      </w:pPr>
      <w:r>
        <w:rPr>
          <w:rFonts w:ascii="Courier New" w:cs="Courier New" w:eastAsia="Courier New" w:hAnsi="Courier New"/>
          <w:sz w:val="16"/>
          <w:szCs w:val="16"/>
          <w:color w:val="auto"/>
        </w:rPr>
        <w:t>We and the selling stockholders may sell the common stock to or through underwriters, dealers or agents or directly to purchasers. The applicable prospectus supplement will provide the names of any underwriters, dealers or agents involved in the sale of the common stock, and any applicable fee,</w:t>
      </w:r>
    </w:p>
    <w:p>
      <w:pPr>
        <w:sectPr>
          <w:pgSz w:w="11900" w:h="16845" w:orient="portrait"/>
          <w:cols w:equalWidth="0" w:num="1">
            <w:col w:w="10219"/>
          </w:cols>
          <w:pgMar w:left="240" w:top="1080" w:right="1440" w:bottom="0" w:gutter="0" w:footer="0" w:header="0"/>
        </w:sectPr>
      </w:pPr>
    </w:p>
    <w:bookmarkStart w:id="3" w:name="page4"/>
    <w:bookmarkEnd w:id="3"/>
    <w:p>
      <w:pPr>
        <w:spacing w:after="0" w:line="34" w:lineRule="exact"/>
        <w:rPr>
          <w:sz w:val="20"/>
          <w:szCs w:val="20"/>
          <w:color w:val="auto"/>
        </w:rPr>
      </w:pPr>
    </w:p>
    <w:p>
      <w:pPr>
        <w:ind w:right="2399"/>
        <w:spacing w:after="0" w:line="259" w:lineRule="auto"/>
        <w:rPr>
          <w:sz w:val="20"/>
          <w:szCs w:val="20"/>
          <w:color w:val="auto"/>
        </w:rPr>
      </w:pPr>
      <w:r>
        <w:rPr>
          <w:rFonts w:ascii="Courier New" w:cs="Courier New" w:eastAsia="Courier New" w:hAnsi="Courier New"/>
          <w:sz w:val="16"/>
          <w:szCs w:val="16"/>
          <w:color w:val="auto"/>
        </w:rPr>
        <w:t>commission or discount arrangements with them. For a more detailed description of the various means by which we may distribute the common stock, you should read the information under the heading "Plan of Distribution."</w:t>
      </w:r>
    </w:p>
    <w:p>
      <w:pPr>
        <w:spacing w:after="0" w:line="184"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As used in this prospectus and any prospectus supplement, the terms "we," "us," "our," "NN" or the "Company," refer collectively to NN, Inc. and its subsidiaries.</w:t>
      </w:r>
    </w:p>
    <w:p>
      <w:pPr>
        <w:spacing w:after="0" w:line="200" w:lineRule="exact"/>
        <w:rPr>
          <w:sz w:val="20"/>
          <w:szCs w:val="20"/>
          <w:color w:val="auto"/>
        </w:rPr>
      </w:pPr>
    </w:p>
    <w:p>
      <w:pPr>
        <w:spacing w:after="0" w:line="38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b w:val="1"/>
          <w:bCs w:val="1"/>
          <w:color w:val="auto"/>
        </w:rPr>
        <w:t>RISK FACTORS</w:t>
      </w:r>
    </w:p>
    <w:p>
      <w:pPr>
        <w:spacing w:after="0" w:line="198"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i w:val="1"/>
          <w:iCs w:val="1"/>
          <w:color w:val="auto"/>
        </w:rPr>
        <w:t>You should carefully consider the following risks and uncertainties and any risks and uncertainties contained in the accompanying prospectus supplement, and all other information contained in or incorporated by reference in this prospectus and the prospectus supplement, before making an investment in our common stock. The risks described below are not the only ones facing our Company. Additional risks and uncertainties not presently known to us or that we currently believe to be immaterial may also impair our business operations. Any of the following risks could have a material adverse effect on our business, financial condition or operating results. In such case, the trading price of our common stock could decline and you may lose all or part of your investment.</w:t>
      </w:r>
    </w:p>
    <w:p>
      <w:pPr>
        <w:spacing w:after="0" w:line="187" w:lineRule="exact"/>
        <w:rPr>
          <w:sz w:val="20"/>
          <w:szCs w:val="20"/>
          <w:color w:val="auto"/>
        </w:rPr>
      </w:pPr>
    </w:p>
    <w:p>
      <w:pPr>
        <w:ind w:left="500" w:right="2199"/>
        <w:spacing w:after="0" w:line="237" w:lineRule="auto"/>
        <w:rPr>
          <w:sz w:val="20"/>
          <w:szCs w:val="20"/>
          <w:color w:val="auto"/>
        </w:rPr>
      </w:pPr>
      <w:r>
        <w:rPr>
          <w:rFonts w:ascii="Courier New" w:cs="Courier New" w:eastAsia="Courier New" w:hAnsi="Courier New"/>
          <w:sz w:val="17"/>
          <w:szCs w:val="17"/>
          <w:b w:val="1"/>
          <w:bCs w:val="1"/>
          <w:i w:val="1"/>
          <w:iCs w:val="1"/>
          <w:color w:val="auto"/>
        </w:rPr>
        <w:t>We depend heavily on a relatively limited number of customers, and the loss of any major customer would have a material adverse effect on our business.</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Sales 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have a material adverse effect on our business.</w:t>
      </w:r>
    </w:p>
    <w:p>
      <w:pPr>
        <w:spacing w:after="0" w:line="188" w:lineRule="exact"/>
        <w:rPr>
          <w:sz w:val="20"/>
          <w:szCs w:val="20"/>
          <w:color w:val="auto"/>
        </w:rPr>
      </w:pPr>
    </w:p>
    <w:p>
      <w:pPr>
        <w:ind w:left="500" w:right="2399"/>
        <w:spacing w:after="0" w:line="236" w:lineRule="auto"/>
        <w:rPr>
          <w:sz w:val="20"/>
          <w:szCs w:val="20"/>
          <w:color w:val="auto"/>
        </w:rPr>
      </w:pPr>
      <w:r>
        <w:rPr>
          <w:rFonts w:ascii="Courier New" w:cs="Courier New" w:eastAsia="Courier New" w:hAnsi="Courier New"/>
          <w:sz w:val="17"/>
          <w:szCs w:val="17"/>
          <w:b w:val="1"/>
          <w:bCs w:val="1"/>
          <w:i w:val="1"/>
          <w:iCs w:val="1"/>
          <w:color w:val="auto"/>
        </w:rPr>
        <w:t>The demand for our products is cyclical, which could adversely impact our revenues.</w:t>
      </w:r>
    </w:p>
    <w:p>
      <w:pPr>
        <w:spacing w:after="0" w:line="199"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99" w:lineRule="exact"/>
        <w:rPr>
          <w:sz w:val="20"/>
          <w:szCs w:val="20"/>
          <w:color w:val="auto"/>
        </w:rPr>
      </w:pPr>
    </w:p>
    <w:p>
      <w:pPr>
        <w:ind w:left="500" w:right="2199"/>
        <w:spacing w:after="0" w:line="236" w:lineRule="auto"/>
        <w:rPr>
          <w:sz w:val="20"/>
          <w:szCs w:val="20"/>
          <w:color w:val="auto"/>
        </w:rPr>
      </w:pPr>
      <w:r>
        <w:rPr>
          <w:rFonts w:ascii="Courier New" w:cs="Courier New" w:eastAsia="Courier New" w:hAnsi="Courier New"/>
          <w:sz w:val="17"/>
          <w:szCs w:val="17"/>
          <w:b w:val="1"/>
          <w:bCs w:val="1"/>
          <w:i w:val="1"/>
          <w:iCs w:val="1"/>
          <w:color w:val="auto"/>
        </w:rPr>
        <w:t>We may not be able to continue to make the acquisitions necessary for us to realize our growth strategy.</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Acquiring businesses that complement or expand our operations has been and continues to be an important element of our business strategy. We bought our plastic bearing component business in 1999, formed NN Euroball, ApS ("Euroball") with our two largest bearing customers, SKF and INA/FAG,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condition and results of operations.</w:t>
      </w:r>
    </w:p>
    <w:p>
      <w:pPr>
        <w:spacing w:after="0" w:line="203" w:lineRule="exact"/>
        <w:rPr>
          <w:sz w:val="20"/>
          <w:szCs w:val="20"/>
          <w:color w:val="auto"/>
        </w:rPr>
      </w:pPr>
    </w:p>
    <w:p>
      <w:pPr>
        <w:ind w:left="500" w:right="2499"/>
        <w:spacing w:after="0" w:line="236" w:lineRule="auto"/>
        <w:rPr>
          <w:sz w:val="20"/>
          <w:szCs w:val="20"/>
          <w:color w:val="auto"/>
        </w:rPr>
      </w:pPr>
      <w:r>
        <w:rPr>
          <w:rFonts w:ascii="Courier New" w:cs="Courier New" w:eastAsia="Courier New" w:hAnsi="Courier New"/>
          <w:sz w:val="17"/>
          <w:szCs w:val="17"/>
          <w:b w:val="1"/>
          <w:bCs w:val="1"/>
          <w:i w:val="1"/>
          <w:iCs w:val="1"/>
          <w:color w:val="auto"/>
        </w:rPr>
        <w:t>The costs and difficulties of integrating acquired business could impede our future growth.</w:t>
      </w:r>
    </w:p>
    <w:p>
      <w:pPr>
        <w:spacing w:after="0" w:line="200" w:lineRule="exact"/>
        <w:rPr>
          <w:sz w:val="20"/>
          <w:szCs w:val="20"/>
          <w:color w:val="auto"/>
        </w:rPr>
      </w:pPr>
    </w:p>
    <w:p>
      <w:pPr>
        <w:spacing w:after="0" w:line="3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w:t>
      </w:r>
    </w:p>
    <w:p>
      <w:pPr>
        <w:sectPr>
          <w:pgSz w:w="11900" w:h="16872" w:orient="portrait"/>
          <w:cols w:equalWidth="0" w:num="1">
            <w:col w:w="10219"/>
          </w:cols>
          <w:pgMar w:left="240" w:top="142" w:right="1440" w:bottom="0" w:gutter="0" w:footer="0" w:header="0"/>
        </w:sectPr>
      </w:pPr>
    </w:p>
    <w:bookmarkStart w:id="4" w:name="page5"/>
    <w:bookmarkEnd w:id="4"/>
    <w:p>
      <w:pPr>
        <w:ind w:right="2399"/>
        <w:spacing w:after="0" w:line="237" w:lineRule="auto"/>
        <w:rPr>
          <w:sz w:val="20"/>
          <w:szCs w:val="20"/>
          <w:color w:val="auto"/>
        </w:rPr>
      </w:pPr>
      <w:r>
        <w:rPr>
          <w:rFonts w:ascii="Courier New" w:cs="Courier New" w:eastAsia="Courier New" w:hAnsi="Courier New"/>
          <w:sz w:val="17"/>
          <w:szCs w:val="17"/>
          <w:color w:val="auto"/>
        </w:rPr>
        <w:t>goals. If we are not able to integrate the operations of acquired companies successfully into our business, our future earnings and profitability could be materially and adversely affected.</w:t>
      </w:r>
    </w:p>
    <w:p>
      <w:pPr>
        <w:spacing w:after="0" w:line="200" w:lineRule="exact"/>
        <w:rPr>
          <w:sz w:val="20"/>
          <w:szCs w:val="20"/>
          <w:color w:val="auto"/>
        </w:rPr>
      </w:pPr>
    </w:p>
    <w:p>
      <w:pPr>
        <w:ind w:left="500" w:right="2399"/>
        <w:spacing w:after="0" w:line="262" w:lineRule="auto"/>
        <w:rPr>
          <w:sz w:val="20"/>
          <w:szCs w:val="20"/>
          <w:color w:val="auto"/>
        </w:rPr>
      </w:pPr>
      <w:r>
        <w:rPr>
          <w:rFonts w:ascii="Courier New" w:cs="Courier New" w:eastAsia="Courier New" w:hAnsi="Courier New"/>
          <w:sz w:val="16"/>
          <w:szCs w:val="16"/>
          <w:b w:val="1"/>
          <w:bCs w:val="1"/>
          <w:i w:val="1"/>
          <w:iCs w:val="1"/>
          <w:color w:val="auto"/>
        </w:rPr>
        <w:t>We depend on a very limited number of foreign sources for our primary raw material and are subject to risks of shortages and price fluctuation.</w:t>
      </w:r>
    </w:p>
    <w:p>
      <w:pPr>
        <w:spacing w:after="0" w:line="182"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have a material adverse effect on the operating and financial results of our Company.</w:t>
      </w:r>
    </w:p>
    <w:p>
      <w:pPr>
        <w:spacing w:after="0" w:line="195" w:lineRule="exact"/>
        <w:rPr>
          <w:sz w:val="20"/>
          <w:szCs w:val="20"/>
          <w:color w:val="auto"/>
        </w:rPr>
      </w:pPr>
    </w:p>
    <w:p>
      <w:pPr>
        <w:ind w:left="500" w:right="2799"/>
        <w:spacing w:after="0" w:line="236" w:lineRule="auto"/>
        <w:rPr>
          <w:sz w:val="20"/>
          <w:szCs w:val="20"/>
          <w:color w:val="auto"/>
        </w:rPr>
      </w:pPr>
      <w:r>
        <w:rPr>
          <w:rFonts w:ascii="Courier New" w:cs="Courier New" w:eastAsia="Courier New" w:hAnsi="Courier New"/>
          <w:sz w:val="17"/>
          <w:szCs w:val="17"/>
          <w:b w:val="1"/>
          <w:bCs w:val="1"/>
          <w:i w:val="1"/>
          <w:iCs w:val="1"/>
          <w:color w:val="auto"/>
        </w:rPr>
        <w:t>We operate in and sell products to customers outside the U.S. and are subject to several related risks.</w:t>
      </w:r>
    </w:p>
    <w:p>
      <w:pPr>
        <w:spacing w:after="0" w:line="199"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79" w:lineRule="exact"/>
        <w:rPr>
          <w:sz w:val="20"/>
          <w:szCs w:val="20"/>
          <w:color w:val="auto"/>
        </w:rPr>
      </w:pPr>
    </w:p>
    <w:p>
      <w:pPr>
        <w:ind w:left="1000" w:hanging="496"/>
        <w:spacing w:after="0"/>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 foreign currency fluctuations;</w:t>
      </w:r>
    </w:p>
    <w:p>
      <w:pPr>
        <w:spacing w:after="0" w:line="198" w:lineRule="exact"/>
        <w:rPr>
          <w:rFonts w:ascii="Courier New" w:cs="Courier New" w:eastAsia="Courier New" w:hAnsi="Courier New"/>
          <w:sz w:val="17"/>
          <w:szCs w:val="17"/>
          <w:color w:val="auto"/>
        </w:rPr>
      </w:pPr>
    </w:p>
    <w:p>
      <w:pPr>
        <w:ind w:left="1000" w:right="2299" w:hanging="496"/>
        <w:spacing w:after="0" w:line="237" w:lineRule="auto"/>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trade, monetary and fiscal policies, laws and regulations, and other activities of governments, agencies and similar organizations;</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trade restrictions or prohibitions;</w:t>
      </w:r>
    </w:p>
    <w:p>
      <w:pPr>
        <w:spacing w:after="0" w:line="198"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tax rates that discourage the repatriation of funds to the U.S.;</w:t>
      </w:r>
    </w:p>
    <w:p>
      <w:pPr>
        <w:spacing w:after="0" w:line="198" w:lineRule="exact"/>
        <w:rPr>
          <w:rFonts w:ascii="Courier New" w:cs="Courier New" w:eastAsia="Courier New" w:hAnsi="Courier New"/>
          <w:sz w:val="16"/>
          <w:szCs w:val="16"/>
          <w:color w:val="auto"/>
        </w:rPr>
      </w:pPr>
    </w:p>
    <w:p>
      <w:pPr>
        <w:ind w:left="1000" w:hanging="496"/>
        <w:spacing w:after="0"/>
        <w:tabs>
          <w:tab w:leader="none" w:pos="10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import or other duties or taxes; and</w:t>
      </w:r>
    </w:p>
    <w:p>
      <w:pPr>
        <w:spacing w:after="0" w:line="198" w:lineRule="exact"/>
        <w:rPr>
          <w:rFonts w:ascii="Courier New" w:cs="Courier New" w:eastAsia="Courier New" w:hAnsi="Courier New"/>
          <w:sz w:val="17"/>
          <w:szCs w:val="17"/>
          <w:color w:val="auto"/>
        </w:rPr>
      </w:pPr>
    </w:p>
    <w:p>
      <w:pPr>
        <w:jc w:val="both"/>
        <w:ind w:left="1000" w:right="2899" w:hanging="496"/>
        <w:spacing w:after="0" w:line="262" w:lineRule="auto"/>
        <w:tabs>
          <w:tab w:leader="none" w:pos="10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our suppliers, manufacturing operations, and customers are located.</w:t>
      </w:r>
    </w:p>
    <w:p>
      <w:pPr>
        <w:spacing w:after="0" w:line="182"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00" w:lineRule="exact"/>
        <w:rPr>
          <w:sz w:val="20"/>
          <w:szCs w:val="20"/>
          <w:color w:val="auto"/>
        </w:rPr>
      </w:pPr>
    </w:p>
    <w:p>
      <w:pPr>
        <w:jc w:val="both"/>
        <w:ind w:left="500" w:right="2799"/>
        <w:spacing w:after="0" w:line="237" w:lineRule="auto"/>
        <w:rPr>
          <w:sz w:val="20"/>
          <w:szCs w:val="20"/>
          <w:color w:val="auto"/>
        </w:rPr>
      </w:pPr>
      <w:r>
        <w:rPr>
          <w:rFonts w:ascii="Courier New" w:cs="Courier New" w:eastAsia="Courier New" w:hAnsi="Courier New"/>
          <w:sz w:val="17"/>
          <w:szCs w:val="17"/>
          <w:b w:val="1"/>
          <w:bCs w:val="1"/>
          <w:i w:val="1"/>
          <w:iCs w:val="1"/>
          <w:color w:val="auto"/>
        </w:rPr>
        <w:t>Our growth strategy depends on outsourcing, and if the industry trend toward outsourcing does not continue, our business could be adversely affected.</w:t>
      </w:r>
    </w:p>
    <w:p>
      <w:pPr>
        <w:spacing w:after="0" w:line="200"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business could be materially adversely affected.</w:t>
      </w:r>
    </w:p>
    <w:p>
      <w:pPr>
        <w:spacing w:after="0" w:line="189" w:lineRule="exact"/>
        <w:rPr>
          <w:sz w:val="20"/>
          <w:szCs w:val="20"/>
          <w:color w:val="auto"/>
        </w:rPr>
      </w:pPr>
    </w:p>
    <w:p>
      <w:pPr>
        <w:ind w:left="500" w:right="3199"/>
        <w:spacing w:after="0" w:line="262" w:lineRule="auto"/>
        <w:rPr>
          <w:sz w:val="20"/>
          <w:szCs w:val="20"/>
          <w:color w:val="auto"/>
        </w:rPr>
      </w:pPr>
      <w:r>
        <w:rPr>
          <w:rFonts w:ascii="Courier New" w:cs="Courier New" w:eastAsia="Courier New" w:hAnsi="Courier New"/>
          <w:sz w:val="16"/>
          <w:szCs w:val="16"/>
          <w:b w:val="1"/>
          <w:bCs w:val="1"/>
          <w:i w:val="1"/>
          <w:iCs w:val="1"/>
          <w:color w:val="auto"/>
        </w:rPr>
        <w:t>Our market is highly competitive and many of our competitors have significant advantages that could adversely affect our business.</w:t>
      </w:r>
    </w:p>
    <w:p>
      <w:pPr>
        <w:spacing w:after="0" w:line="182" w:lineRule="exact"/>
        <w:rPr>
          <w:sz w:val="20"/>
          <w:szCs w:val="20"/>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87" w:lineRule="exact"/>
        <w:rPr>
          <w:sz w:val="20"/>
          <w:szCs w:val="20"/>
          <w:color w:val="auto"/>
        </w:rPr>
      </w:pPr>
    </w:p>
    <w:p>
      <w:pPr>
        <w:ind w:left="500" w:right="2499"/>
        <w:spacing w:after="0" w:line="237" w:lineRule="auto"/>
        <w:rPr>
          <w:sz w:val="20"/>
          <w:szCs w:val="20"/>
          <w:color w:val="auto"/>
        </w:rPr>
      </w:pPr>
      <w:r>
        <w:rPr>
          <w:rFonts w:ascii="Courier New" w:cs="Courier New" w:eastAsia="Courier New" w:hAnsi="Courier New"/>
          <w:sz w:val="17"/>
          <w:szCs w:val="17"/>
          <w:b w:val="1"/>
          <w:bCs w:val="1"/>
          <w:i w:val="1"/>
          <w:iCs w:val="1"/>
          <w:color w:val="auto"/>
        </w:rPr>
        <w:t>The production capacity we have added over the last several years has at times resulted in our having more capacity than we need, causing our operating costs to be higher than expected.</w:t>
      </w:r>
    </w:p>
    <w:p>
      <w:pPr>
        <w:sectPr>
          <w:pgSz w:w="11900" w:h="16838" w:orient="portrait"/>
          <w:cols w:equalWidth="0" w:num="1">
            <w:col w:w="10219"/>
          </w:cols>
          <w:pgMar w:left="240" w:top="142" w:right="1440" w:bottom="0" w:gutter="0" w:footer="0" w:header="0"/>
        </w:sectPr>
      </w:pPr>
    </w:p>
    <w:bookmarkStart w:id="5" w:name="page6"/>
    <w:bookmarkEnd w:id="5"/>
    <w:p>
      <w:pPr>
        <w:jc w:val="both"/>
        <w:ind w:right="2499" w:firstLine="501"/>
        <w:spacing w:after="0" w:line="255" w:lineRule="auto"/>
        <w:rPr>
          <w:sz w:val="20"/>
          <w:szCs w:val="20"/>
          <w:color w:val="auto"/>
        </w:rPr>
      </w:pPr>
      <w:r>
        <w:rPr>
          <w:rFonts w:ascii="Courier New" w:cs="Courier New" w:eastAsia="Courier New" w:hAnsi="Courier New"/>
          <w:sz w:val="16"/>
          <w:szCs w:val="16"/>
          <w:color w:val="auto"/>
        </w:rPr>
        <w:t>We have significantly expanded our ball and roller production facilities and capacity over the last several years. During 1997, we built an additional manufacturing plant in Kilkenny, Ireland, and we continued this expansion in</w:t>
      </w:r>
    </w:p>
    <w:p>
      <w:pPr>
        <w:ind w:right="2199"/>
        <w:spacing w:after="0" w:line="239" w:lineRule="auto"/>
        <w:rPr>
          <w:sz w:val="20"/>
          <w:szCs w:val="20"/>
          <w:color w:val="auto"/>
        </w:rPr>
      </w:pPr>
      <w:r>
        <w:rPr>
          <w:rFonts w:ascii="Courier New" w:cs="Courier New" w:eastAsia="Courier New" w:hAnsi="Courier New"/>
          <w:sz w:val="17"/>
          <w:szCs w:val="17"/>
          <w:color w:val="auto"/>
        </w:rPr>
        <w:t>2000 through the formation of Euroball with SKF and INA/FAG. Our ball and roller facilities currently are not operating at full capacity and our results of operations for 2001 and the first and second quarters of 2002 were adversely affected by the under-utilization of our production facilities, and we face risks of further under-utilization or inefficient utilization of our production facilities in future years.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b w:val="1"/>
          <w:bCs w:val="1"/>
          <w:i w:val="1"/>
          <w:iCs w:val="1"/>
          <w:color w:val="auto"/>
        </w:rPr>
        <w:t>The price of our common stock may be volatile.</w:t>
      </w:r>
    </w:p>
    <w:p>
      <w:pPr>
        <w:spacing w:after="0" w:line="198" w:lineRule="exact"/>
        <w:rPr>
          <w:sz w:val="20"/>
          <w:szCs w:val="20"/>
          <w:color w:val="auto"/>
        </w:rPr>
      </w:pPr>
    </w:p>
    <w:p>
      <w:pPr>
        <w:ind w:right="2699" w:firstLine="501"/>
        <w:spacing w:after="0" w:line="237" w:lineRule="auto"/>
        <w:rPr>
          <w:sz w:val="20"/>
          <w:szCs w:val="20"/>
          <w:color w:val="auto"/>
        </w:rPr>
      </w:pPr>
      <w:r>
        <w:rPr>
          <w:rFonts w:ascii="Courier New" w:cs="Courier New" w:eastAsia="Courier New" w:hAnsi="Courier New"/>
          <w:sz w:val="17"/>
          <w:szCs w:val="17"/>
          <w:color w:val="auto"/>
        </w:rPr>
        <w:t>The market price of our common stock could be subject to significant fluctuations after this offering, and may decline below the public offering price. Among the factors that could affect our stock price are:</w:t>
      </w:r>
    </w:p>
    <w:p>
      <w:pPr>
        <w:spacing w:after="0" w:line="200" w:lineRule="exact"/>
        <w:rPr>
          <w:sz w:val="20"/>
          <w:szCs w:val="20"/>
          <w:color w:val="auto"/>
        </w:rPr>
      </w:pPr>
    </w:p>
    <w:p>
      <w:pPr>
        <w:ind w:left="3920" w:right="3799" w:hanging="3416"/>
        <w:spacing w:after="0" w:line="473" w:lineRule="auto"/>
        <w:tabs>
          <w:tab w:leader="none" w:pos="10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operating and financial performance and prospects; 6</w:t>
      </w:r>
    </w:p>
    <w:p>
      <w:pPr>
        <w:spacing w:after="0" w:line="200" w:lineRule="exact"/>
        <w:rPr>
          <w:rFonts w:ascii="Courier New" w:cs="Courier New" w:eastAsia="Courier New" w:hAnsi="Courier New"/>
          <w:sz w:val="17"/>
          <w:szCs w:val="17"/>
          <w:color w:val="auto"/>
        </w:rPr>
      </w:pPr>
    </w:p>
    <w:p>
      <w:pPr>
        <w:spacing w:after="0" w:line="364" w:lineRule="exact"/>
        <w:rPr>
          <w:rFonts w:ascii="Courier New" w:cs="Courier New" w:eastAsia="Courier New" w:hAnsi="Courier New"/>
          <w:sz w:val="17"/>
          <w:szCs w:val="17"/>
          <w:color w:val="auto"/>
        </w:rPr>
      </w:pPr>
    </w:p>
    <w:p>
      <w:pPr>
        <w:ind w:left="1000" w:right="2799" w:hanging="496"/>
        <w:spacing w:after="0" w:line="262" w:lineRule="auto"/>
        <w:tabs>
          <w:tab w:leader="none" w:pos="10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variations in the rate of growth of our financial indicators, such as earnings per share, net income and revenues;</w:t>
      </w:r>
    </w:p>
    <w:p>
      <w:pPr>
        <w:spacing w:after="0" w:line="182" w:lineRule="exact"/>
        <w:rPr>
          <w:rFonts w:ascii="Courier New" w:cs="Courier New" w:eastAsia="Courier New" w:hAnsi="Courier New"/>
          <w:sz w:val="16"/>
          <w:szCs w:val="16"/>
          <w:color w:val="auto"/>
        </w:rPr>
      </w:pPr>
    </w:p>
    <w:p>
      <w:pPr>
        <w:ind w:left="1000" w:right="2499" w:hanging="496"/>
        <w:spacing w:after="0" w:line="236"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revenue or earnings estimates or publication of research reports by analysts;</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any member of our senior management team;</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speculation in the press or investment community;</w:t>
      </w:r>
    </w:p>
    <w:p>
      <w:pPr>
        <w:spacing w:after="0" w:line="198" w:lineRule="exact"/>
        <w:rPr>
          <w:rFonts w:ascii="Courier New" w:cs="Courier New" w:eastAsia="Courier New" w:hAnsi="Courier New"/>
          <w:sz w:val="17"/>
          <w:szCs w:val="17"/>
          <w:color w:val="auto"/>
        </w:rPr>
      </w:pPr>
    </w:p>
    <w:p>
      <w:pPr>
        <w:ind w:left="1000" w:right="2499" w:hanging="496"/>
        <w:spacing w:after="0" w:line="236"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strategic actions by us or our competitors, such as acquisitions or restructurings;</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our common stock by stockholders;</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 and</w:t>
      </w:r>
    </w:p>
    <w:p>
      <w:pPr>
        <w:spacing w:after="0" w:line="198" w:lineRule="exact"/>
        <w:rPr>
          <w:rFonts w:ascii="Courier New" w:cs="Courier New" w:eastAsia="Courier New" w:hAnsi="Courier New"/>
          <w:sz w:val="17"/>
          <w:szCs w:val="17"/>
          <w:color w:val="auto"/>
        </w:rPr>
      </w:pPr>
    </w:p>
    <w:p>
      <w:pPr>
        <w:ind w:left="1000" w:right="2699" w:hanging="496"/>
        <w:spacing w:after="0" w:line="236" w:lineRule="auto"/>
        <w:tabs>
          <w:tab w:leader="none" w:pos="10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domestic and international economic, legal and regulatory factors unrelated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-2579370</wp:posOffset>
            </wp:positionV>
            <wp:extent cx="72783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17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200" w:lineRule="exact"/>
        <w:rPr>
          <w:sz w:val="20"/>
          <w:szCs w:val="20"/>
          <w:color w:val="auto"/>
        </w:rPr>
      </w:pPr>
    </w:p>
    <w:p>
      <w:pPr>
        <w:ind w:left="500" w:right="2799"/>
        <w:spacing w:after="0" w:line="262" w:lineRule="auto"/>
        <w:rPr>
          <w:sz w:val="20"/>
          <w:szCs w:val="20"/>
          <w:color w:val="auto"/>
        </w:rPr>
      </w:pPr>
      <w:r>
        <w:rPr>
          <w:rFonts w:ascii="Courier New" w:cs="Courier New" w:eastAsia="Courier New" w:hAnsi="Courier New"/>
          <w:sz w:val="16"/>
          <w:szCs w:val="16"/>
          <w:b w:val="1"/>
          <w:bCs w:val="1"/>
          <w:i w:val="1"/>
          <w:iCs w:val="1"/>
          <w:color w:val="auto"/>
        </w:rPr>
        <w:t>Provisions in our charter documents and Delaware law may inhibit a takeover, which could adversely affect the value of our common stock.</w:t>
      </w:r>
    </w:p>
    <w:p>
      <w:pPr>
        <w:spacing w:after="0" w:line="182"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18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3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99" w:firstLine="501"/>
        <w:spacing w:after="0" w:line="259" w:lineRule="auto"/>
        <w:rPr>
          <w:sz w:val="20"/>
          <w:szCs w:val="20"/>
          <w:color w:val="auto"/>
        </w:rPr>
      </w:pPr>
      <w:r>
        <w:rPr>
          <w:rFonts w:ascii="Courier New" w:cs="Courier New" w:eastAsia="Courier New" w:hAnsi="Courier New"/>
          <w:sz w:val="16"/>
          <w:szCs w:val="16"/>
          <w:color w:val="auto"/>
        </w:rPr>
        <w:t>These provisions apply even if the offer may be considered beneficial by some of our stockholders. If a change of control or change in management is delayed or prevented, the market price of our common stock could decline.</w:t>
      </w:r>
    </w:p>
    <w:p>
      <w:pPr>
        <w:sectPr>
          <w:pgSz w:w="11900" w:h="16838" w:orient="portrait"/>
          <w:cols w:equalWidth="0" w:num="1">
            <w:col w:w="10219"/>
          </w:cols>
          <w:pgMar w:left="240" w:top="142" w:right="1440" w:bottom="178" w:gutter="0" w:footer="0" w:header="0"/>
        </w:sectPr>
      </w:pPr>
    </w:p>
    <w:bookmarkStart w:id="6" w:name="page7"/>
    <w:bookmarkEnd w:id="6"/>
    <w:p>
      <w:pPr>
        <w:spacing w:after="0" w:line="200" w:lineRule="exact"/>
        <w:rPr>
          <w:sz w:val="20"/>
          <w:szCs w:val="20"/>
          <w:color w:val="auto"/>
        </w:rPr>
      </w:pPr>
    </w:p>
    <w:p>
      <w:pPr>
        <w:spacing w:after="0" w:line="26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b w:val="1"/>
          <w:bCs w:val="1"/>
          <w:color w:val="auto"/>
        </w:rPr>
        <w:t>NN, INC.</w:t>
      </w:r>
    </w:p>
    <w:p>
      <w:pPr>
        <w:spacing w:after="0" w:line="198" w:lineRule="exact"/>
        <w:rPr>
          <w:sz w:val="20"/>
          <w:szCs w:val="20"/>
          <w:color w:val="auto"/>
        </w:rPr>
      </w:pPr>
    </w:p>
    <w:p>
      <w:pPr>
        <w:ind w:right="2199" w:firstLine="504"/>
        <w:spacing w:after="0" w:line="255" w:lineRule="auto"/>
        <w:tabs>
          <w:tab w:leader="none" w:pos="8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3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bearing component products presently account for approximately 90% of our consolidated revenue and sales of high precision plastic products account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manufacturers segment of the market with a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206"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Both SKF and INA/FAG independently entered into long-term supply agreements designating Euroball as their primary supplier of ball products in Europe. Through Euroball, we are Europe's leading provider of precision balls.</w:t>
      </w:r>
    </w:p>
    <w:p>
      <w:pPr>
        <w:spacing w:after="0" w:line="201"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202" w:lineRule="exact"/>
        <w:rPr>
          <w:sz w:val="20"/>
          <w:szCs w:val="20"/>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 xml:space="preserve">Our principal executive offices are located at 2000 Waters Edge Drive, Johnson City, Tennessee 37604 and our telephone number is (423) 743-9151. Our Internet website address is </w:t>
      </w:r>
      <w:r>
        <w:rPr>
          <w:rFonts w:ascii="Courier New" w:cs="Courier New" w:eastAsia="Courier New" w:hAnsi="Courier New"/>
          <w:sz w:val="17"/>
          <w:szCs w:val="17"/>
          <w:i w:val="1"/>
          <w:iCs w:val="1"/>
          <w:color w:val="auto"/>
        </w:rPr>
        <w:t>www.nnbr.com</w:t>
      </w:r>
      <w:r>
        <w:rPr>
          <w:rFonts w:ascii="Courier New" w:cs="Courier New" w:eastAsia="Courier New" w:hAnsi="Courier New"/>
          <w:sz w:val="17"/>
          <w:szCs w:val="17"/>
          <w:color w:val="auto"/>
        </w:rPr>
        <w:t>. Information contained on our website is not part of this prospectus.</w:t>
      </w:r>
    </w:p>
    <w:p>
      <w:pPr>
        <w:spacing w:after="0" w:line="200" w:lineRule="exact"/>
        <w:rPr>
          <w:sz w:val="20"/>
          <w:szCs w:val="20"/>
          <w:color w:val="auto"/>
        </w:rPr>
      </w:pPr>
    </w:p>
    <w:p>
      <w:pPr>
        <w:spacing w:after="0" w:line="38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95250</wp:posOffset>
            </wp:positionV>
            <wp:extent cx="72783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b w:val="1"/>
          <w:bCs w:val="1"/>
          <w:color w:val="auto"/>
        </w:rPr>
        <w:t>Cautionary Statement Concerning Forward-Looking Statements</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4</w:t>
      </w:r>
    </w:p>
    <w:p>
      <w:pPr>
        <w:sectPr>
          <w:pgSz w:w="11900" w:h="16872" w:orient="portrait"/>
          <w:cols w:equalWidth="0" w:num="1">
            <w:col w:w="10219"/>
          </w:cols>
          <w:pgMar w:left="240" w:top="1440" w:right="1440" w:bottom="0" w:gutter="0" w:footer="0" w:header="0"/>
        </w:sectPr>
      </w:pPr>
    </w:p>
    <w:bookmarkStart w:id="7" w:name="page8"/>
    <w:bookmarkEnd w:id="7"/>
    <w:p>
      <w:pPr>
        <w:spacing w:after="0" w:line="19"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through 7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b w:val="1"/>
          <w:bCs w:val="1"/>
          <w:color w:val="auto"/>
        </w:rPr>
        <w:t>USE OF PROCEEDS</w:t>
      </w:r>
    </w:p>
    <w:p>
      <w:pPr>
        <w:spacing w:after="0" w:line="198" w:lineRule="exact"/>
        <w:rPr>
          <w:sz w:val="20"/>
          <w:szCs w:val="20"/>
          <w:color w:val="auto"/>
        </w:rPr>
      </w:pPr>
    </w:p>
    <w:p>
      <w:pPr>
        <w:ind w:right="2099" w:firstLine="501"/>
        <w:spacing w:after="0" w:line="239" w:lineRule="auto"/>
        <w:rPr>
          <w:sz w:val="20"/>
          <w:szCs w:val="20"/>
          <w:color w:val="auto"/>
        </w:rPr>
      </w:pPr>
      <w:r>
        <w:rPr>
          <w:rFonts w:ascii="Courier New" w:cs="Courier New" w:eastAsia="Courier New" w:hAnsi="Courier New"/>
          <w:sz w:val="17"/>
          <w:szCs w:val="17"/>
          <w:color w:val="auto"/>
        </w:rPr>
        <w:t>Unless otherwise indicated in a prospectus supplement, we intend to use the net proceeds from this offering to repay a portion of the borrowings outstanding under the term loan portion of our existing credit facilities as required under those arrangements. The term loan under our credit facility expires on July 1, 2006 and bears interest at a floating rate equal to LIBOR (1.81% at September 24, 2002) plus an applicable margin of 0.75% to 2.00% based upon calculated financial ratios.</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To the extent that the net proceeds of any offering pursuant to this prospectus are not used to repay indebtedness under our credit facilities, we anticipate that the proceeds will be used for general operational purposes, which may include, but are not limited to, working capital, capital expenditures and future acquisitions. In addition, each of the minority shareholders in Euroball, SKF and INA/FAG, has the right to require us to purchase their interest beginning January 2003 based on a formula price. If one of them were to exercise that right, we may use a portion of the shares in this offering to raise funds to purchase the interest or we may issue shares of common stock directly as all or a portion of the payment.</w:t>
      </w:r>
    </w:p>
    <w:p>
      <w:pPr>
        <w:spacing w:after="0" w:line="202"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We will not receive any of the proceeds from sales of common stock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b w:val="1"/>
          <w:bCs w:val="1"/>
          <w:color w:val="auto"/>
        </w:rPr>
        <w:t>SELLING STOCKHOLDERS</w:t>
      </w:r>
    </w:p>
    <w:p>
      <w:pPr>
        <w:spacing w:after="0" w:line="198" w:lineRule="exact"/>
        <w:rPr>
          <w:sz w:val="20"/>
          <w:szCs w:val="20"/>
          <w:color w:val="auto"/>
        </w:rPr>
      </w:pPr>
    </w:p>
    <w:p>
      <w:pPr>
        <w:ind w:right="1999" w:firstLine="501"/>
        <w:spacing w:after="0" w:line="255"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common stock as of September 25, 2002, and as by the stockholders who are selling shares of common stock in this offering, and as adjusted to reflect the sale of shares offered in this prospectus. Unless otherwise noted,</w:t>
      </w:r>
    </w:p>
    <w:p>
      <w:pPr>
        <w:spacing w:after="0" w:line="1"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to our knowledge each selling stockholder has sole voting and investment power over the shares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40" w:type="dxa"/>
            <w:vAlign w:val="bottom"/>
          </w:tcPr>
          <w:p>
            <w:pPr>
              <w:jc w:val="right"/>
              <w:ind w:right="1056"/>
              <w:spacing w:after="0"/>
              <w:rPr>
                <w:sz w:val="20"/>
                <w:szCs w:val="20"/>
                <w:color w:val="auto"/>
              </w:rPr>
            </w:pPr>
            <w:r>
              <w:rPr>
                <w:rFonts w:ascii="Courier New" w:cs="Courier New" w:eastAsia="Courier New" w:hAnsi="Courier New"/>
                <w:sz w:val="17"/>
                <w:szCs w:val="17"/>
                <w:b w:val="1"/>
                <w:bCs w:val="1"/>
                <w:color w:val="auto"/>
                <w:w w:val="94"/>
              </w:rPr>
              <w:t>Shares</w:t>
            </w: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00" w:type="dxa"/>
            <w:vAlign w:val="bottom"/>
          </w:tcPr>
          <w:p>
            <w:pPr>
              <w:jc w:val="right"/>
              <w:ind w:right="916"/>
              <w:spacing w:after="0"/>
              <w:rPr>
                <w:sz w:val="20"/>
                <w:szCs w:val="20"/>
                <w:color w:val="auto"/>
              </w:rPr>
            </w:pPr>
            <w:r>
              <w:rPr>
                <w:rFonts w:ascii="Courier New" w:cs="Courier New" w:eastAsia="Courier New" w:hAnsi="Courier New"/>
                <w:sz w:val="17"/>
                <w:szCs w:val="17"/>
                <w:b w:val="1"/>
                <w:bCs w:val="1"/>
                <w:color w:val="auto"/>
              </w:rPr>
              <w:t>Shares</w:t>
            </w:r>
          </w:p>
        </w:tc>
      </w:tr>
      <w:tr>
        <w:trPr>
          <w:trHeight w:val="193"/>
        </w:trPr>
        <w:tc>
          <w:tcPr>
            <w:tcW w:w="2260" w:type="dxa"/>
            <w:vAlign w:val="bottom"/>
          </w:tcPr>
          <w:p>
            <w:pPr>
              <w:spacing w:after="0"/>
              <w:rPr>
                <w:sz w:val="16"/>
                <w:szCs w:val="16"/>
                <w:color w:val="auto"/>
              </w:rPr>
            </w:pPr>
          </w:p>
        </w:tc>
        <w:tc>
          <w:tcPr>
            <w:tcW w:w="3200" w:type="dxa"/>
            <w:vAlign w:val="bottom"/>
            <w:gridSpan w:val="2"/>
          </w:tcPr>
          <w:p>
            <w:pPr>
              <w:ind w:left="840"/>
              <w:spacing w:after="0"/>
              <w:rPr>
                <w:sz w:val="20"/>
                <w:szCs w:val="20"/>
                <w:color w:val="auto"/>
              </w:rPr>
            </w:pPr>
            <w:r>
              <w:rPr>
                <w:rFonts w:ascii="Courier New" w:cs="Courier New" w:eastAsia="Courier New" w:hAnsi="Courier New"/>
                <w:sz w:val="17"/>
                <w:szCs w:val="17"/>
                <w:b w:val="1"/>
                <w:bCs w:val="1"/>
                <w:color w:val="auto"/>
              </w:rPr>
              <w:t>Beneficially Owned</w:t>
            </w:r>
          </w:p>
        </w:tc>
        <w:tc>
          <w:tcPr>
            <w:tcW w:w="1400" w:type="dxa"/>
            <w:vAlign w:val="bottom"/>
          </w:tcPr>
          <w:p>
            <w:pPr>
              <w:spacing w:after="0"/>
              <w:rPr>
                <w:sz w:val="16"/>
                <w:szCs w:val="16"/>
                <w:color w:val="auto"/>
              </w:rPr>
            </w:pPr>
          </w:p>
        </w:tc>
        <w:tc>
          <w:tcPr>
            <w:tcW w:w="2560" w:type="dxa"/>
            <w:vAlign w:val="bottom"/>
            <w:gridSpan w:val="2"/>
          </w:tcPr>
          <w:p>
            <w:pPr>
              <w:jc w:val="right"/>
              <w:ind w:right="216"/>
              <w:spacing w:after="0"/>
              <w:rPr>
                <w:sz w:val="20"/>
                <w:szCs w:val="20"/>
                <w:color w:val="auto"/>
              </w:rPr>
            </w:pPr>
            <w:r>
              <w:rPr>
                <w:rFonts w:ascii="Courier New" w:cs="Courier New" w:eastAsia="Courier New" w:hAnsi="Courier New"/>
                <w:sz w:val="17"/>
                <w:szCs w:val="17"/>
                <w:b w:val="1"/>
                <w:bCs w:val="1"/>
                <w:color w:val="auto"/>
              </w:rPr>
              <w:t>Beneficially Owned</w:t>
            </w:r>
          </w:p>
        </w:tc>
      </w:tr>
      <w:tr>
        <w:trPr>
          <w:trHeight w:val="193"/>
        </w:trPr>
        <w:tc>
          <w:tcPr>
            <w:tcW w:w="2260" w:type="dxa"/>
            <w:vAlign w:val="bottom"/>
          </w:tcPr>
          <w:p>
            <w:pPr>
              <w:spacing w:after="0"/>
              <w:rPr>
                <w:sz w:val="16"/>
                <w:szCs w:val="16"/>
                <w:color w:val="auto"/>
              </w:rPr>
            </w:pPr>
          </w:p>
        </w:tc>
        <w:tc>
          <w:tcPr>
            <w:tcW w:w="3200" w:type="dxa"/>
            <w:vAlign w:val="bottom"/>
            <w:gridSpan w:val="2"/>
          </w:tcPr>
          <w:p>
            <w:pPr>
              <w:ind w:left="840"/>
              <w:spacing w:after="0"/>
              <w:rPr>
                <w:sz w:val="20"/>
                <w:szCs w:val="20"/>
                <w:color w:val="auto"/>
              </w:rPr>
            </w:pPr>
            <w:r>
              <w:rPr>
                <w:rFonts w:ascii="Courier New" w:cs="Courier New" w:eastAsia="Courier New" w:hAnsi="Courier New"/>
                <w:sz w:val="17"/>
                <w:szCs w:val="17"/>
                <w:b w:val="1"/>
                <w:bCs w:val="1"/>
                <w:color w:val="auto"/>
              </w:rPr>
              <w:t>Prior to Offering</w:t>
            </w:r>
          </w:p>
        </w:tc>
        <w:tc>
          <w:tcPr>
            <w:tcW w:w="1400" w:type="dxa"/>
            <w:vAlign w:val="bottom"/>
          </w:tcPr>
          <w:p>
            <w:pPr>
              <w:jc w:val="right"/>
              <w:ind w:right="356"/>
              <w:spacing w:after="0"/>
              <w:rPr>
                <w:sz w:val="20"/>
                <w:szCs w:val="20"/>
                <w:color w:val="auto"/>
              </w:rPr>
            </w:pPr>
            <w:r>
              <w:rPr>
                <w:rFonts w:ascii="Courier New" w:cs="Courier New" w:eastAsia="Courier New" w:hAnsi="Courier New"/>
                <w:sz w:val="17"/>
                <w:szCs w:val="17"/>
                <w:b w:val="1"/>
                <w:bCs w:val="1"/>
                <w:color w:val="auto"/>
              </w:rPr>
              <w:t>Shares</w:t>
            </w:r>
          </w:p>
        </w:tc>
        <w:tc>
          <w:tcPr>
            <w:tcW w:w="2560" w:type="dxa"/>
            <w:vAlign w:val="bottom"/>
            <w:gridSpan w:val="2"/>
          </w:tcPr>
          <w:p>
            <w:pPr>
              <w:jc w:val="right"/>
              <w:ind w:right="516"/>
              <w:spacing w:after="0"/>
              <w:rPr>
                <w:sz w:val="20"/>
                <w:szCs w:val="20"/>
                <w:color w:val="auto"/>
              </w:rPr>
            </w:pPr>
            <w:r>
              <w:rPr>
                <w:rFonts w:ascii="Courier New" w:cs="Courier New" w:eastAsia="Courier New" w:hAnsi="Courier New"/>
                <w:sz w:val="17"/>
                <w:szCs w:val="17"/>
                <w:b w:val="1"/>
                <w:bCs w:val="1"/>
                <w:color w:val="auto"/>
              </w:rPr>
              <w:t>After Offering</w:t>
            </w:r>
          </w:p>
        </w:tc>
      </w:tr>
      <w:tr>
        <w:trPr>
          <w:trHeight w:val="193"/>
        </w:trPr>
        <w:tc>
          <w:tcPr>
            <w:tcW w:w="2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0" w:type="dxa"/>
            <w:vAlign w:val="bottom"/>
          </w:tcPr>
          <w:p>
            <w:pPr>
              <w:jc w:val="right"/>
              <w:ind w:right="456"/>
              <w:spacing w:after="0"/>
              <w:rPr>
                <w:sz w:val="20"/>
                <w:szCs w:val="20"/>
                <w:color w:val="auto"/>
              </w:rPr>
            </w:pPr>
            <w:r>
              <w:rPr>
                <w:rFonts w:ascii="Courier New" w:cs="Courier New" w:eastAsia="Courier New" w:hAnsi="Courier New"/>
                <w:sz w:val="17"/>
                <w:szCs w:val="17"/>
                <w:b w:val="1"/>
                <w:bCs w:val="1"/>
                <w:color w:val="auto"/>
              </w:rPr>
              <w:t>Being</w:t>
            </w:r>
          </w:p>
        </w:tc>
        <w:tc>
          <w:tcPr>
            <w:tcW w:w="2560" w:type="dxa"/>
            <w:vAlign w:val="bottom"/>
            <w:gridSpan w:val="2"/>
          </w:tcPr>
          <w:p>
            <w:pPr>
              <w:jc w:val="right"/>
              <w:ind w:right="516"/>
              <w:spacing w:after="0"/>
              <w:rPr>
                <w:sz w:val="20"/>
                <w:szCs w:val="20"/>
                <w:color w:val="auto"/>
              </w:rPr>
            </w:pPr>
            <w:r>
              <w:rPr>
                <w:rFonts w:ascii="Courier New" w:cs="Courier New" w:eastAsia="Courier New" w:hAnsi="Courier New"/>
                <w:sz w:val="17"/>
                <w:szCs w:val="17"/>
                <w:b w:val="1"/>
                <w:bCs w:val="1"/>
                <w:color w:val="auto"/>
              </w:rPr>
              <w:t>---------------</w:t>
            </w:r>
          </w:p>
        </w:tc>
      </w:tr>
      <w:tr>
        <w:trPr>
          <w:trHeight w:val="193"/>
        </w:trPr>
        <w:tc>
          <w:tcPr>
            <w:tcW w:w="226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Courier New" w:cs="Courier New" w:eastAsia="Courier New" w:hAnsi="Courier New"/>
                <w:sz w:val="17"/>
                <w:szCs w:val="17"/>
                <w:b w:val="1"/>
                <w:bCs w:val="1"/>
                <w:color w:val="auto"/>
              </w:rPr>
              <w:t>Number</w:t>
            </w:r>
          </w:p>
        </w:tc>
        <w:tc>
          <w:tcPr>
            <w:tcW w:w="1740" w:type="dxa"/>
            <w:vAlign w:val="bottom"/>
          </w:tcPr>
          <w:p>
            <w:pPr>
              <w:jc w:val="right"/>
              <w:ind w:right="156"/>
              <w:spacing w:after="0"/>
              <w:rPr>
                <w:sz w:val="20"/>
                <w:szCs w:val="20"/>
                <w:color w:val="auto"/>
              </w:rPr>
            </w:pPr>
            <w:r>
              <w:rPr>
                <w:rFonts w:ascii="Courier New" w:cs="Courier New" w:eastAsia="Courier New" w:hAnsi="Courier New"/>
                <w:sz w:val="17"/>
                <w:szCs w:val="17"/>
                <w:b w:val="1"/>
                <w:bCs w:val="1"/>
                <w:color w:val="auto"/>
              </w:rPr>
              <w:t>Percent (%)(1)</w:t>
            </w:r>
          </w:p>
        </w:tc>
        <w:tc>
          <w:tcPr>
            <w:tcW w:w="1400" w:type="dxa"/>
            <w:vAlign w:val="bottom"/>
          </w:tcPr>
          <w:p>
            <w:pPr>
              <w:jc w:val="right"/>
              <w:ind w:right="356"/>
              <w:spacing w:after="0"/>
              <w:rPr>
                <w:sz w:val="20"/>
                <w:szCs w:val="20"/>
                <w:color w:val="auto"/>
              </w:rPr>
            </w:pPr>
            <w:r>
              <w:rPr>
                <w:rFonts w:ascii="Courier New" w:cs="Courier New" w:eastAsia="Courier New" w:hAnsi="Courier New"/>
                <w:sz w:val="17"/>
                <w:szCs w:val="17"/>
                <w:b w:val="1"/>
                <w:bCs w:val="1"/>
                <w:color w:val="auto"/>
              </w:rPr>
              <w:t>Offered</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b w:val="1"/>
                <w:bCs w:val="1"/>
                <w:color w:val="auto"/>
              </w:rPr>
              <w:t>Number</w:t>
            </w:r>
          </w:p>
        </w:tc>
        <w:tc>
          <w:tcPr>
            <w:tcW w:w="170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Percent (%)(1)</w:t>
            </w:r>
          </w:p>
        </w:tc>
      </w:tr>
      <w:tr>
        <w:trPr>
          <w:trHeight w:val="193"/>
        </w:trPr>
        <w:tc>
          <w:tcPr>
            <w:tcW w:w="226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Courier New" w:cs="Courier New" w:eastAsia="Courier New" w:hAnsi="Courier New"/>
                <w:sz w:val="17"/>
                <w:szCs w:val="17"/>
                <w:b w:val="1"/>
                <w:bCs w:val="1"/>
                <w:color w:val="auto"/>
              </w:rPr>
              <w:t>------</w:t>
            </w:r>
          </w:p>
        </w:tc>
        <w:tc>
          <w:tcPr>
            <w:tcW w:w="1740" w:type="dxa"/>
            <w:vAlign w:val="bottom"/>
          </w:tcPr>
          <w:p>
            <w:pPr>
              <w:jc w:val="right"/>
              <w:ind w:right="156"/>
              <w:spacing w:after="0"/>
              <w:rPr>
                <w:sz w:val="20"/>
                <w:szCs w:val="20"/>
                <w:color w:val="auto"/>
              </w:rPr>
            </w:pPr>
            <w:r>
              <w:rPr>
                <w:rFonts w:ascii="Courier New" w:cs="Courier New" w:eastAsia="Courier New" w:hAnsi="Courier New"/>
                <w:sz w:val="17"/>
                <w:szCs w:val="17"/>
                <w:b w:val="1"/>
                <w:bCs w:val="1"/>
                <w:color w:val="auto"/>
              </w:rPr>
              <w:t>--------------</w:t>
            </w:r>
          </w:p>
        </w:tc>
        <w:tc>
          <w:tcPr>
            <w:tcW w:w="1400" w:type="dxa"/>
            <w:vAlign w:val="bottom"/>
          </w:tcPr>
          <w:p>
            <w:pPr>
              <w:jc w:val="right"/>
              <w:ind w:right="356"/>
              <w:spacing w:after="0"/>
              <w:rPr>
                <w:sz w:val="20"/>
                <w:szCs w:val="20"/>
                <w:color w:val="auto"/>
              </w:rPr>
            </w:pPr>
            <w:r>
              <w:rPr>
                <w:rFonts w:ascii="Courier New" w:cs="Courier New" w:eastAsia="Courier New" w:hAnsi="Courier New"/>
                <w:sz w:val="17"/>
                <w:szCs w:val="17"/>
                <w:b w:val="1"/>
                <w:bCs w:val="1"/>
                <w:color w:val="auto"/>
              </w:rPr>
              <w:t>-------</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b w:val="1"/>
                <w:bCs w:val="1"/>
                <w:color w:val="auto"/>
              </w:rPr>
              <w:t>------</w:t>
            </w:r>
          </w:p>
        </w:tc>
        <w:tc>
          <w:tcPr>
            <w:tcW w:w="1700" w:type="dxa"/>
            <w:vAlign w:val="bottom"/>
          </w:tcPr>
          <w:p>
            <w:pPr>
              <w:jc w:val="right"/>
              <w:ind w:right="216"/>
              <w:spacing w:after="0"/>
              <w:rPr>
                <w:sz w:val="20"/>
                <w:szCs w:val="20"/>
                <w:color w:val="auto"/>
              </w:rPr>
            </w:pPr>
            <w:r>
              <w:rPr>
                <w:rFonts w:ascii="Courier New" w:cs="Courier New" w:eastAsia="Courier New" w:hAnsi="Courier New"/>
                <w:sz w:val="17"/>
                <w:szCs w:val="17"/>
                <w:b w:val="1"/>
                <w:bCs w:val="1"/>
                <w:color w:val="auto"/>
              </w:rPr>
              <w:t>-----------</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Richard D. Ennen (2)</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2,844,668(3)</w:t>
            </w:r>
          </w:p>
        </w:tc>
        <w:tc>
          <w:tcPr>
            <w:tcW w:w="17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18.5</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2,844,668</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Michael D. Huff (4)</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437,227(5)</w:t>
            </w:r>
          </w:p>
        </w:tc>
        <w:tc>
          <w:tcPr>
            <w:tcW w:w="17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2.8</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437,227</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Leonard Bowman</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300,085(6)</w:t>
            </w:r>
          </w:p>
        </w:tc>
        <w:tc>
          <w:tcPr>
            <w:tcW w:w="17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2.0</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250,000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50,085</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Janet M. Huff</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225,000</w:t>
            </w:r>
          </w:p>
        </w:tc>
        <w:tc>
          <w:tcPr>
            <w:tcW w:w="17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1.5</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225,000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Monica C. Ennen</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129,900(7)</w:t>
            </w:r>
          </w:p>
        </w:tc>
        <w:tc>
          <w:tcPr>
            <w:tcW w:w="17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129,900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r>
      <w:tr>
        <w:trPr>
          <w:trHeight w:val="193"/>
        </w:trPr>
        <w:tc>
          <w:tcPr>
            <w:tcW w:w="2260" w:type="dxa"/>
            <w:vAlign w:val="bottom"/>
          </w:tcPr>
          <w:p>
            <w:pPr>
              <w:spacing w:after="0"/>
              <w:rPr>
                <w:sz w:val="20"/>
                <w:szCs w:val="20"/>
                <w:color w:val="auto"/>
              </w:rPr>
            </w:pPr>
            <w:r>
              <w:rPr>
                <w:rFonts w:ascii="Courier New" w:cs="Courier New" w:eastAsia="Courier New" w:hAnsi="Courier New"/>
                <w:sz w:val="17"/>
                <w:szCs w:val="17"/>
                <w:color w:val="auto"/>
              </w:rPr>
              <w:t>Deborah E. Bagierek</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96,869(8)</w:t>
            </w:r>
          </w:p>
        </w:tc>
        <w:tc>
          <w:tcPr>
            <w:tcW w:w="174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96,869</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w:t>
            </w:r>
          </w:p>
        </w:tc>
        <w:tc>
          <w:tcPr>
            <w:tcW w:w="17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Amounts are less than one percent.</w:t>
      </w:r>
    </w:p>
    <w:p>
      <w:pPr>
        <w:spacing w:after="0" w:line="198" w:lineRule="exact"/>
        <w:rPr>
          <w:sz w:val="20"/>
          <w:szCs w:val="20"/>
          <w:color w:val="auto"/>
        </w:rPr>
      </w:pPr>
    </w:p>
    <w:p>
      <w:pPr>
        <w:ind w:right="2199" w:firstLine="3"/>
        <w:spacing w:after="0" w:line="237" w:lineRule="auto"/>
        <w:tabs>
          <w:tab w:leader="none" w:pos="4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15,368,273 shares of NN's common stock outstanding on September 25, 2002. The percentage of shares owned after the offering assumes that NN sells 3,830,000 shares pursuant to this prospectus.</w:t>
      </w:r>
    </w:p>
    <w:p>
      <w:pPr>
        <w:spacing w:after="0" w:line="200" w:lineRule="exact"/>
        <w:rPr>
          <w:rFonts w:ascii="Courier New" w:cs="Courier New" w:eastAsia="Courier New" w:hAnsi="Courier New"/>
          <w:sz w:val="17"/>
          <w:szCs w:val="17"/>
          <w:color w:val="auto"/>
        </w:rPr>
      </w:pPr>
    </w:p>
    <w:p>
      <w:pPr>
        <w:ind w:right="2199" w:firstLine="3"/>
        <w:spacing w:after="0" w:line="237" w:lineRule="auto"/>
        <w:tabs>
          <w:tab w:leader="none" w:pos="4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Ennen currently sits on the Company's Board of Directors and has since the Company's formation in 1980. He was Chairman of the Board from the formation of the Company until September of 2001.</w:t>
      </w:r>
    </w:p>
    <w:p>
      <w:pPr>
        <w:sectPr>
          <w:pgSz w:w="11900" w:h="16858" w:orient="portrait"/>
          <w:cols w:equalWidth="0" w:num="1">
            <w:col w:w="10219"/>
          </w:cols>
          <w:pgMar w:left="240" w:top="142" w:right="1440" w:bottom="0" w:gutter="0" w:footer="0" w:header="0"/>
        </w:sectPr>
      </w:pPr>
    </w:p>
    <w:bookmarkStart w:id="8" w:name="page9"/>
    <w:bookmarkEnd w:id="8"/>
    <w:p>
      <w:pPr>
        <w:spacing w:after="0" w:line="20" w:lineRule="exact"/>
        <w:rPr>
          <w:sz w:val="20"/>
          <w:szCs w:val="20"/>
          <w:color w:val="auto"/>
        </w:rPr>
      </w:pPr>
    </w:p>
    <w:p>
      <w:pPr>
        <w:jc w:val="both"/>
        <w:ind w:right="2299" w:firstLine="3"/>
        <w:spacing w:after="0" w:line="237"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1,800,000 shares held by the Richard D. Ennen Charitable Remainder Unitrust of which Mr. Ennen is the trustee and 200,000 shares held by the Ennen Charitable Trust of which Mr. Ennen is the trustee.</w:t>
      </w:r>
    </w:p>
    <w:p>
      <w:pPr>
        <w:spacing w:after="0" w:line="200" w:lineRule="exact"/>
        <w:rPr>
          <w:rFonts w:ascii="Courier New" w:cs="Courier New" w:eastAsia="Courier New" w:hAnsi="Courier New"/>
          <w:sz w:val="17"/>
          <w:szCs w:val="17"/>
          <w:color w:val="auto"/>
        </w:rPr>
      </w:pPr>
    </w:p>
    <w:p>
      <w:pPr>
        <w:ind w:right="2499" w:firstLine="3"/>
        <w:spacing w:after="0" w:line="236"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Huff currently sits on the Company's Board of Directors and has since the Company's formation in 1980.</w:t>
      </w:r>
    </w:p>
    <w:p>
      <w:pPr>
        <w:spacing w:after="0" w:line="194"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23,000 shares subject to presently exercisable options.</w:t>
      </w:r>
    </w:p>
    <w:p>
      <w:pPr>
        <w:spacing w:after="0" w:line="198" w:lineRule="exact"/>
        <w:rPr>
          <w:rFonts w:ascii="Courier New" w:cs="Courier New" w:eastAsia="Courier New" w:hAnsi="Courier New"/>
          <w:sz w:val="17"/>
          <w:szCs w:val="17"/>
          <w:color w:val="auto"/>
        </w:rPr>
      </w:pPr>
    </w:p>
    <w:p>
      <w:pPr>
        <w:ind w:right="2199" w:firstLine="3"/>
        <w:spacing w:after="0" w:line="236"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Mr. Bowman's shares are held in joint tenancy with his wife, Wilma J. Bowman.</w:t>
      </w:r>
    </w:p>
    <w:p>
      <w:pPr>
        <w:spacing w:after="0" w:line="199" w:lineRule="exact"/>
        <w:rPr>
          <w:rFonts w:ascii="Courier New" w:cs="Courier New" w:eastAsia="Courier New" w:hAnsi="Courier New"/>
          <w:sz w:val="17"/>
          <w:szCs w:val="17"/>
          <w:color w:val="auto"/>
        </w:rPr>
      </w:pPr>
    </w:p>
    <w:p>
      <w:pPr>
        <w:ind w:right="2699" w:firstLine="3"/>
        <w:spacing w:after="0" w:line="236"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Ms. Ennen's shares are held by the Monica Conway Ennen Trust, of which Ms. Ennen is a trustee.</w:t>
      </w:r>
    </w:p>
    <w:p>
      <w:pPr>
        <w:spacing w:after="0" w:line="199" w:lineRule="exact"/>
        <w:rPr>
          <w:rFonts w:ascii="Courier New" w:cs="Courier New" w:eastAsia="Courier New" w:hAnsi="Courier New"/>
          <w:sz w:val="17"/>
          <w:szCs w:val="17"/>
          <w:color w:val="auto"/>
        </w:rPr>
      </w:pPr>
    </w:p>
    <w:p>
      <w:pPr>
        <w:ind w:right="2399" w:firstLine="3"/>
        <w:spacing w:after="0" w:line="236"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Ms. Bagierek's shares are held by the Deborah Ennen Bagierek Trust, of which Ms. Bagierek is a trustee.</w:t>
      </w:r>
    </w:p>
    <w:p>
      <w:pPr>
        <w:spacing w:after="0" w:line="200" w:lineRule="exact"/>
        <w:rPr>
          <w:sz w:val="20"/>
          <w:szCs w:val="20"/>
          <w:color w:val="auto"/>
        </w:rPr>
      </w:pPr>
    </w:p>
    <w:p>
      <w:pPr>
        <w:spacing w:after="0" w:line="3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b w:val="1"/>
          <w:bCs w:val="1"/>
          <w:color w:val="auto"/>
        </w:rPr>
        <w:t>PLAN OF DISTRIBUTION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Company Offering</w:t>
      </w:r>
    </w:p>
    <w:p>
      <w:pPr>
        <w:spacing w:after="0" w:line="198"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We may offer and sell the shares being offered by this prospectus and any accompanying prospectus supplement:</w:t>
      </w:r>
    </w:p>
    <w:p>
      <w:pPr>
        <w:spacing w:after="0" w:line="194" w:lineRule="exact"/>
        <w:rPr>
          <w:sz w:val="20"/>
          <w:szCs w:val="20"/>
          <w:color w:val="auto"/>
        </w:rPr>
      </w:pPr>
    </w:p>
    <w:p>
      <w:pPr>
        <w:ind w:left="1000" w:hanging="4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agents;</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one or more underwriters or dealers;</w:t>
      </w:r>
    </w:p>
    <w:p>
      <w:pPr>
        <w:spacing w:after="0" w:line="198" w:lineRule="exact"/>
        <w:rPr>
          <w:rFonts w:ascii="Courier New" w:cs="Courier New" w:eastAsia="Courier New" w:hAnsi="Courier New"/>
          <w:sz w:val="17"/>
          <w:szCs w:val="17"/>
          <w:color w:val="auto"/>
        </w:rPr>
      </w:pPr>
    </w:p>
    <w:p>
      <w:pPr>
        <w:ind w:left="1000" w:right="2299" w:hanging="496"/>
        <w:spacing w:after="0" w:line="238" w:lineRule="auto"/>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block trade in which the broker or dealer engaged to handle the block trade will attempt to sell the shares as agent, but may position and resell a portion of the block as principal to facilitate the transaction;</w:t>
      </w:r>
    </w:p>
    <w:p>
      <w:pPr>
        <w:spacing w:after="0" w:line="199" w:lineRule="exact"/>
        <w:rPr>
          <w:rFonts w:ascii="Courier New" w:cs="Courier New" w:eastAsia="Courier New" w:hAnsi="Courier New"/>
          <w:sz w:val="17"/>
          <w:szCs w:val="17"/>
          <w:color w:val="auto"/>
        </w:rPr>
      </w:pPr>
    </w:p>
    <w:p>
      <w:pPr>
        <w:ind w:left="1000" w:right="2799" w:hanging="496"/>
        <w:spacing w:after="0" w:line="236" w:lineRule="auto"/>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to one or more purchasers in exchange for cash or other assets; or</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combination of any of these methods of sale.</w:t>
      </w:r>
    </w:p>
    <w:p>
      <w:pPr>
        <w:spacing w:after="0" w:line="198"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To the extent required, this prospectus may be amended and/or supplemented from time to time to describe a specific plan of distribution.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Selling Stockholders Offering</w:t>
      </w:r>
    </w:p>
    <w:p>
      <w:pPr>
        <w:spacing w:after="0" w:line="198" w:lineRule="exact"/>
        <w:rPr>
          <w:sz w:val="20"/>
          <w:szCs w:val="20"/>
          <w:color w:val="auto"/>
        </w:rPr>
      </w:pPr>
    </w:p>
    <w:p>
      <w:pPr>
        <w:ind w:right="2299" w:firstLine="501"/>
        <w:spacing w:after="0" w:line="259" w:lineRule="auto"/>
        <w:rPr>
          <w:sz w:val="20"/>
          <w:szCs w:val="20"/>
          <w:color w:val="auto"/>
        </w:rPr>
      </w:pPr>
      <w:r>
        <w:rPr>
          <w:rFonts w:ascii="Courier New" w:cs="Courier New" w:eastAsia="Courier New" w:hAnsi="Courier New"/>
          <w:sz w:val="16"/>
          <w:szCs w:val="16"/>
          <w:color w:val="auto"/>
        </w:rPr>
        <w:t>The selling stockholders, separately or together, may offer and sell their portion of the shares being offered by this prospectus and any accompanying prospectus supplement only on the following terms and conditions:</w:t>
      </w:r>
    </w:p>
    <w:p>
      <w:pPr>
        <w:spacing w:after="0" w:line="184" w:lineRule="exact"/>
        <w:rPr>
          <w:sz w:val="20"/>
          <w:szCs w:val="20"/>
          <w:color w:val="auto"/>
        </w:rPr>
      </w:pPr>
    </w:p>
    <w:p>
      <w:pPr>
        <w:ind w:left="1000" w:right="2399" w:hanging="496"/>
        <w:spacing w:after="0" w:line="236" w:lineRule="auto"/>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shares may be offered or sold by any selling stockholder prior to March 31, 2003 unless the Company agrees otherwise.</w:t>
      </w:r>
    </w:p>
    <w:p>
      <w:pPr>
        <w:spacing w:after="0" w:line="199" w:lineRule="exact"/>
        <w:rPr>
          <w:rFonts w:ascii="Courier New" w:cs="Courier New" w:eastAsia="Courier New" w:hAnsi="Courier New"/>
          <w:sz w:val="17"/>
          <w:szCs w:val="17"/>
          <w:color w:val="auto"/>
        </w:rPr>
      </w:pPr>
    </w:p>
    <w:p>
      <w:pPr>
        <w:ind w:left="1000" w:right="2199" w:hanging="496"/>
        <w:spacing w:after="0" w:line="238" w:lineRule="auto"/>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shares offered or sold by any selling stockholder prior to December 31, 2003 must be offered or sold through McDonald Investments Inc. and Legg Mason Wood Walker Incorporated together or with one or more underwriters or dealers.</w:t>
      </w:r>
    </w:p>
    <w:p>
      <w:pPr>
        <w:spacing w:after="0" w:line="199" w:lineRule="exact"/>
        <w:rPr>
          <w:rFonts w:ascii="Courier New" w:cs="Courier New" w:eastAsia="Courier New" w:hAnsi="Courier New"/>
          <w:sz w:val="17"/>
          <w:szCs w:val="17"/>
          <w:color w:val="auto"/>
        </w:rPr>
      </w:pPr>
    </w:p>
    <w:p>
      <w:pPr>
        <w:ind w:left="1000" w:right="2299" w:hanging="496"/>
        <w:spacing w:after="0" w:line="236" w:lineRule="auto"/>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by any selling stockholder must include a minimum of 500,000 shares in aggregate unless the Company agrees otherwise.</w:t>
      </w:r>
    </w:p>
    <w:p>
      <w:pPr>
        <w:spacing w:after="0" w:line="199" w:lineRule="exact"/>
        <w:rPr>
          <w:rFonts w:ascii="Courier New" w:cs="Courier New" w:eastAsia="Courier New" w:hAnsi="Courier New"/>
          <w:sz w:val="17"/>
          <w:szCs w:val="17"/>
          <w:color w:val="auto"/>
        </w:rPr>
      </w:pPr>
    </w:p>
    <w:p>
      <w:pPr>
        <w:ind w:left="1000" w:right="2599" w:hanging="496"/>
        <w:spacing w:after="0" w:line="236" w:lineRule="auto"/>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must receive at least five business days prior written notice of any proposed sale by any selling stockholder.</w:t>
      </w:r>
    </w:p>
    <w:p>
      <w:pPr>
        <w:spacing w:after="0" w:line="199" w:lineRule="exact"/>
        <w:rPr>
          <w:rFonts w:ascii="Courier New" w:cs="Courier New" w:eastAsia="Courier New" w:hAnsi="Courier New"/>
          <w:sz w:val="17"/>
          <w:szCs w:val="17"/>
          <w:color w:val="auto"/>
        </w:rPr>
      </w:pPr>
    </w:p>
    <w:p>
      <w:pPr>
        <w:ind w:left="1000" w:right="2199" w:hanging="496"/>
        <w:spacing w:after="0" w:line="236" w:lineRule="auto"/>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delay any sale by any selling stockholder for up to 90 days by written notice to the selling stockholder.</w:t>
      </w:r>
    </w:p>
    <w:p>
      <w:pPr>
        <w:spacing w:after="0" w:line="199" w:lineRule="exact"/>
        <w:rPr>
          <w:rFonts w:ascii="Courier New" w:cs="Courier New" w:eastAsia="Courier New" w:hAnsi="Courier New"/>
          <w:sz w:val="17"/>
          <w:szCs w:val="17"/>
          <w:color w:val="auto"/>
        </w:rPr>
      </w:pPr>
    </w:p>
    <w:p>
      <w:pPr>
        <w:ind w:left="1000" w:right="2399" w:hanging="496"/>
        <w:spacing w:after="0" w:line="237" w:lineRule="auto"/>
        <w:tabs>
          <w:tab w:leader="none" w:pos="10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Company and any selling stockholder participates together in an offering under this prospectus, the Company will have the right to choose to sell</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0" w:right="2399"/>
        <w:spacing w:after="0" w:line="236" w:lineRule="auto"/>
        <w:rPr>
          <w:sz w:val="20"/>
          <w:szCs w:val="20"/>
          <w:color w:val="auto"/>
        </w:rPr>
      </w:pPr>
      <w:r>
        <w:rPr>
          <w:rFonts w:ascii="Courier New" w:cs="Courier New" w:eastAsia="Courier New" w:hAnsi="Courier New"/>
          <w:sz w:val="17"/>
          <w:szCs w:val="17"/>
          <w:color w:val="auto"/>
        </w:rPr>
        <w:t>shares from its portion of this offering in priority to sales by the selling stockholders.</w:t>
      </w:r>
    </w:p>
    <w:p>
      <w:pPr>
        <w:sectPr>
          <w:pgSz w:w="11900" w:h="16859" w:orient="portrait"/>
          <w:cols w:equalWidth="0" w:num="1">
            <w:col w:w="10219"/>
          </w:cols>
          <w:pgMar w:left="240" w:top="334" w:right="1440" w:bottom="0" w:gutter="0" w:footer="0" w:header="0"/>
        </w:sectPr>
      </w:pPr>
    </w:p>
    <w:bookmarkStart w:id="9" w:name="page10"/>
    <w:bookmarkEnd w:id="9"/>
    <w:p>
      <w:pPr>
        <w:spacing w:after="0" w:line="5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selling stockholders may also transfer the common stock held by them by gift or other non-sale related transfer, in which case the donees, transferees or other successors-in-interest will be deemed to be selling stockholders. The number of shares offered by a particular selling stockholder under this prospectus will decrease as and when it takes any of the above actions, although the aggregate number of shares offered by the selling stockholders will remain unchanged. The plan of distribution for that selling stockholder's shares will otherwise remain unchanged. In addition, any offered shares by the selling stockholders covered by this prospectus that qualify for sale pursuant to Rule 144 may be sold under Rule 144 under the Securities Act rather than pursuant to this prospectus.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General Matters</w:t>
      </w:r>
    </w:p>
    <w:p>
      <w:pPr>
        <w:spacing w:after="0" w:line="198"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We have agreed to pay the majority of the costs and expenses incurred in connection with the registration under the Securities Act of the offered shares, including:</w:t>
      </w:r>
    </w:p>
    <w:p>
      <w:pPr>
        <w:spacing w:after="0" w:line="200" w:lineRule="exact"/>
        <w:rPr>
          <w:sz w:val="20"/>
          <w:szCs w:val="20"/>
          <w:color w:val="auto"/>
        </w:rPr>
      </w:pPr>
    </w:p>
    <w:p>
      <w:pPr>
        <w:ind w:left="1000" w:right="2399" w:hanging="496"/>
        <w:spacing w:after="0" w:line="236" w:lineRule="auto"/>
        <w:tabs>
          <w:tab w:leader="none" w:pos="10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registration and filing fees related to the company's portion of the offering;</w:t>
      </w:r>
    </w:p>
    <w:p>
      <w:pPr>
        <w:spacing w:after="0" w:line="199" w:lineRule="exact"/>
        <w:rPr>
          <w:rFonts w:ascii="Courier New" w:cs="Courier New" w:eastAsia="Courier New" w:hAnsi="Courier New"/>
          <w:sz w:val="17"/>
          <w:szCs w:val="17"/>
          <w:color w:val="auto"/>
        </w:rPr>
      </w:pPr>
    </w:p>
    <w:p>
      <w:pPr>
        <w:ind w:left="1000" w:right="2499" w:hanging="496"/>
        <w:spacing w:after="0" w:line="237" w:lineRule="auto"/>
        <w:tabs>
          <w:tab w:leader="none" w:pos="10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fees and expenses related to the company's portion of the offering or to an offering including both Company shares and shares owned by the selling stockholders; and</w:t>
      </w:r>
    </w:p>
    <w:p>
      <w:pPr>
        <w:spacing w:after="0" w:line="200" w:lineRule="exact"/>
        <w:rPr>
          <w:rFonts w:ascii="Courier New" w:cs="Courier New" w:eastAsia="Courier New" w:hAnsi="Courier New"/>
          <w:sz w:val="17"/>
          <w:szCs w:val="17"/>
          <w:color w:val="auto"/>
        </w:rPr>
      </w:pPr>
    </w:p>
    <w:p>
      <w:pPr>
        <w:ind w:left="1000" w:right="2499" w:hanging="496"/>
        <w:spacing w:after="0" w:line="236" w:lineRule="auto"/>
        <w:tabs>
          <w:tab w:leader="none" w:pos="10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disbursements of counsel, accountants and underwriters for us.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selling stockholders will pay:</w:t>
      </w:r>
    </w:p>
    <w:p>
      <w:pPr>
        <w:spacing w:after="0" w:line="198" w:lineRule="exact"/>
        <w:rPr>
          <w:sz w:val="20"/>
          <w:szCs w:val="20"/>
          <w:color w:val="auto"/>
        </w:rPr>
      </w:pPr>
    </w:p>
    <w:p>
      <w:pPr>
        <w:ind w:left="1000" w:right="2899" w:hanging="496"/>
        <w:spacing w:after="0" w:line="236" w:lineRule="auto"/>
        <w:tabs>
          <w:tab w:leader="none" w:pos="10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registration and filing fees related to their portion of an offering;</w:t>
      </w:r>
    </w:p>
    <w:p>
      <w:pPr>
        <w:spacing w:after="0" w:line="199" w:lineRule="exact"/>
        <w:rPr>
          <w:rFonts w:ascii="Courier New" w:cs="Courier New" w:eastAsia="Courier New" w:hAnsi="Courier New"/>
          <w:sz w:val="17"/>
          <w:szCs w:val="17"/>
          <w:color w:val="auto"/>
        </w:rPr>
      </w:pPr>
    </w:p>
    <w:p>
      <w:pPr>
        <w:ind w:left="1000" w:right="2699" w:hanging="496"/>
        <w:spacing w:after="0" w:line="236" w:lineRule="auto"/>
        <w:tabs>
          <w:tab w:leader="none" w:pos="10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fees and expenses related to any offering exclusively of their shares;</w:t>
      </w:r>
    </w:p>
    <w:p>
      <w:pPr>
        <w:spacing w:after="0" w:line="199" w:lineRule="exact"/>
        <w:rPr>
          <w:rFonts w:ascii="Courier New" w:cs="Courier New" w:eastAsia="Courier New" w:hAnsi="Courier New"/>
          <w:sz w:val="17"/>
          <w:szCs w:val="17"/>
          <w:color w:val="auto"/>
        </w:rPr>
      </w:pPr>
    </w:p>
    <w:p>
      <w:pPr>
        <w:ind w:left="1000" w:right="2299" w:hanging="496"/>
        <w:spacing w:after="0" w:line="236" w:lineRule="auto"/>
        <w:tabs>
          <w:tab w:leader="none" w:pos="10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underwriting discounts and commissions with respect to the shares of common stock they sell hereunder;</w:t>
      </w:r>
    </w:p>
    <w:p>
      <w:pPr>
        <w:spacing w:after="0" w:line="199" w:lineRule="exact"/>
        <w:rPr>
          <w:rFonts w:ascii="Courier New" w:cs="Courier New" w:eastAsia="Courier New" w:hAnsi="Courier New"/>
          <w:sz w:val="17"/>
          <w:szCs w:val="17"/>
          <w:color w:val="auto"/>
        </w:rPr>
      </w:pPr>
    </w:p>
    <w:p>
      <w:pPr>
        <w:ind w:left="1000" w:right="3099" w:hanging="496"/>
        <w:spacing w:after="0" w:line="236" w:lineRule="auto"/>
        <w:tabs>
          <w:tab w:leader="none" w:pos="10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disbursements of any counsel retained by the selling stockholders; and</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taxes, if any.</w:t>
      </w:r>
    </w:p>
    <w:p>
      <w:pPr>
        <w:spacing w:after="0" w:line="198" w:lineRule="exact"/>
        <w:rPr>
          <w:sz w:val="20"/>
          <w:szCs w:val="20"/>
          <w:color w:val="auto"/>
        </w:rPr>
      </w:pPr>
    </w:p>
    <w:p>
      <w:pPr>
        <w:ind w:right="2399" w:firstLine="501"/>
        <w:spacing w:after="0" w:line="236" w:lineRule="auto"/>
        <w:rPr>
          <w:sz w:val="20"/>
          <w:szCs w:val="20"/>
          <w:color w:val="auto"/>
        </w:rPr>
      </w:pPr>
      <w:r>
        <w:rPr>
          <w:rFonts w:ascii="Courier New" w:cs="Courier New" w:eastAsia="Courier New" w:hAnsi="Courier New"/>
          <w:sz w:val="17"/>
          <w:szCs w:val="17"/>
          <w:color w:val="auto"/>
        </w:rPr>
        <w:t>The distribution of the common stock may be effected from time to time in one or more transactions:</w:t>
      </w:r>
    </w:p>
    <w:p>
      <w:pPr>
        <w:spacing w:after="0" w:line="194" w:lineRule="exact"/>
        <w:rPr>
          <w:sz w:val="20"/>
          <w:szCs w:val="20"/>
          <w:color w:val="auto"/>
        </w:rPr>
      </w:pPr>
    </w:p>
    <w:p>
      <w:pPr>
        <w:ind w:left="1000" w:hanging="496"/>
        <w:spacing w:after="0"/>
        <w:tabs>
          <w:tab w:leader="none" w:pos="10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 fixed price or prices, which may be changed;</w:t>
      </w:r>
    </w:p>
    <w:p>
      <w:pPr>
        <w:spacing w:after="0" w:line="192"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market prices prevailing at the time of sale;</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0" w:right="2199" w:hanging="496"/>
        <w:spacing w:after="0" w:line="236" w:lineRule="auto"/>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prices related to the market prices prevailing at the time of sale; or</w:t>
      </w:r>
    </w:p>
    <w:p>
      <w:pPr>
        <w:spacing w:after="0" w:line="194" w:lineRule="exact"/>
        <w:rPr>
          <w:rFonts w:ascii="Courier New" w:cs="Courier New" w:eastAsia="Courier New" w:hAnsi="Courier New"/>
          <w:sz w:val="17"/>
          <w:szCs w:val="17"/>
          <w:color w:val="auto"/>
        </w:rPr>
      </w:pPr>
    </w:p>
    <w:p>
      <w:pPr>
        <w:ind w:left="1000" w:hanging="496"/>
        <w:spacing w:after="0"/>
        <w:tabs>
          <w:tab w:leader="none" w:pos="10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negotiated prices.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Offers to purchase the common stock may be solicited by agents designated by us from time to time. Any agent involved in the offer or sale of the common stock will be named, and any commissions payable by us to the agent will be described, in the applicable prospectus supplement. Any agent may be deemed to be an underwriter, as such term is defined in the Securities Act of 1933, of the common stock so offered and sold.</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If we and/or any selling stockholders offer and sell common stock through an underwriter or underwriters, we and/or the selling stockholders will execute an underwriting agreement with the underwriter or underwriters at the time the common stock is sold to them. The names of the specific managing underwriter or underwriters, as well as any other underwriters, and the terms of the transactions, including compensation of the underwriters and dealers, which may be in the form of discounts, concessions or commissions, if any, will be described in the applicable prospectus supplement, which will be used by the underwriters to make resales of the common stock. That prospectus supplement and this prospectus will be used by the underwriters to make resales of the common stock. If underwriters are used in the sale of any common stock in connection with this prospectus, the common stock will be acquired by the underwriters for their own account and may be resold from time to time in one or more transactions, including negotiated transactions, at fixed public offering prices or at varying prices determined by the underwriters and us at the time of sale. Common stock may be offered to the public either through underwriting syndicates</w:t>
      </w:r>
    </w:p>
    <w:p>
      <w:pPr>
        <w:sectPr>
          <w:pgSz w:w="11900" w:h="16889" w:orient="portrait"/>
          <w:cols w:equalWidth="0" w:num="1">
            <w:col w:w="10219"/>
          </w:cols>
          <w:pgMar w:left="240" w:top="334" w:right="1440" w:bottom="0" w:gutter="0" w:footer="0" w:header="0"/>
        </w:sectPr>
      </w:pPr>
    </w:p>
    <w:bookmarkStart w:id="10" w:name="page11"/>
    <w:bookmarkEnd w:id="10"/>
    <w:p>
      <w:pPr>
        <w:ind w:right="2199"/>
        <w:spacing w:after="0" w:line="239" w:lineRule="auto"/>
        <w:rPr>
          <w:sz w:val="20"/>
          <w:szCs w:val="20"/>
          <w:color w:val="auto"/>
        </w:rPr>
      </w:pPr>
      <w:r>
        <w:rPr>
          <w:rFonts w:ascii="Courier New" w:cs="Courier New" w:eastAsia="Courier New" w:hAnsi="Courier New"/>
          <w:sz w:val="17"/>
          <w:szCs w:val="17"/>
          <w:color w:val="auto"/>
        </w:rPr>
        <w:t>represented by managing underwriters or directly by one or more underwriters. If any underwriter or underwriters are used in the sale of common stock, unless otherwise indicated in a related prospectus supplement, the underwriting agreement will provide that the obligations of the underwriters are subject to some conditions precedent and that with respect to a sale of the common stock the underwriters will be obligated to purchase all such common stock if any are purchased.</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any underwriters are involved in the offer and sale, they will be permitted to engage in transactions that maintain or otherwise affect the price of the common stock. These transactions may include over-allotment transactions, purchases to cover short positions created by the underwriter in connection with the offering and the imposition of penalty bids. If an underwriter creates a short position in the common stock in connection with the offering, i.e., if it sells more common stock than set forth on the cover page of the applicable prospectus supplement, the underwriter may reduce that short position by purchasing the common stock in the open market. In general, purchases of common stock to reduce a short position could cause the price of the common stock to be higher than it might be in the absence of such purchases. As noted above, underwriters may also choose to impose penalty bids on other underwriters and/or selling group members. This means that if underwriters purchase common stock on the open market to reduce their short position or to stabilize the price of the common stock, they may reclaim the amount of the selling concession from those underwriters and/or selling group members who sold such common stock as part of the offering.</w:t>
      </w:r>
    </w:p>
    <w:p>
      <w:pPr>
        <w:spacing w:after="0" w:line="209"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Neither we nor any underwriter make any representation or prediction as to the direction or magnitude of any effect that the transactions described above may have on the price of the</w:t>
      </w:r>
    </w:p>
    <w:p>
      <w:pPr>
        <w:spacing w:after="0" w:line="19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95250</wp:posOffset>
            </wp:positionV>
            <wp:extent cx="72783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499"/>
        <w:spacing w:after="0" w:line="259" w:lineRule="auto"/>
        <w:rPr>
          <w:sz w:val="20"/>
          <w:szCs w:val="20"/>
          <w:color w:val="auto"/>
        </w:rPr>
      </w:pPr>
      <w:r>
        <w:rPr>
          <w:rFonts w:ascii="Courier New" w:cs="Courier New" w:eastAsia="Courier New" w:hAnsi="Courier New"/>
          <w:sz w:val="16"/>
          <w:szCs w:val="16"/>
          <w:color w:val="auto"/>
        </w:rPr>
        <w:t>common stock. In addition, neither we nor any underwriter make any representation that such underwriter will engage in such transactions or that such transactions, once commenced, will not be discontinued without notice.</w:t>
      </w:r>
    </w:p>
    <w:p>
      <w:pPr>
        <w:spacing w:after="0" w:line="18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If we and/or the selling stockholders offer and sell common stock through a dealer, we, the selling stockholders or an underwriter will sell the common stock to the dealer, as principal. The dealer may then resell the common stock to the public at varying prices to be determined by the dealer at the time of resale. Any such dealer may be deemed to be an underwriter, as such term is defined in the Securities Act of 1933, of the common stock so offered and sold. The name of the dealer and the terms of the transactions will be set forth in the applicable prospectus supplement.</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and/or the selling stockholders may solicit offers to purchase the common stock directly and we and/or the selling stockholders may sell the common stock directly to institutional or other investors, who may be deemed an underwriter within the meaning of the Securities Act of 1933 with respect to any resales of the common stock. The terms of these sales will be described in the applicable prospectus supplement.</w:t>
      </w:r>
    </w:p>
    <w:p>
      <w:pPr>
        <w:spacing w:after="0" w:line="198"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We and/or the selling stockholders may enter into agreements with agents, underwriters and dealers under which we and/or the selling stockholders may agree to indemnify the agents, underwriters and dealers against certain liabilities, including liabilities under the Securities Act of 1933, or to contribute to payments they may be required to make with respect to these liabilities. The terms and conditions of this indemnification or contribution will be described in the applicable prospectus supplement. Some of the agents, underwriters or dealers, or their affiliates may be customers of, engage in transactions with or perform services for us and/or the selling stockholders in the ordinary course of business.</w:t>
      </w:r>
    </w:p>
    <w:p>
      <w:pPr>
        <w:spacing w:after="0" w:line="187"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and/or the selling stockholders may authorize our respective agents, dealers or underwriters to solicit offers to purchase common stock at the public offering price under delayed delivery contracts. The terms of these delayed delivery contracts, including when payment for and delivery of the common stock sold will be made under the contracts and any conditions to each party's performance set forth in the contracts, will be described in the applicable prospectus supplement. The compensation received by underwriters or agents soliciting purchases of common stock under delayed delivery contracts will also be described in the applicable prospectus supplement.</w:t>
      </w:r>
    </w:p>
    <w:p>
      <w:pPr>
        <w:sectPr>
          <w:pgSz w:w="11900" w:h="16838" w:orient="portrait"/>
          <w:cols w:equalWidth="0" w:num="1">
            <w:col w:w="10219"/>
          </w:cols>
          <w:pgMar w:left="240" w:top="142" w:right="1440" w:bottom="3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99060</wp:posOffset>
            </wp:positionV>
            <wp:extent cx="72783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ectPr>
          <w:pgSz w:w="11900" w:h="16838" w:orient="portrait"/>
          <w:cols w:equalWidth="0" w:num="1">
            <w:col w:w="10219"/>
          </w:cols>
          <w:pgMar w:left="240" w:top="142" w:right="1440" w:bottom="365" w:gutter="0" w:footer="0" w:header="0"/>
          <w:type w:val="continuous"/>
        </w:sectPr>
      </w:pPr>
    </w:p>
    <w:bookmarkStart w:id="11" w:name="page12"/>
    <w:bookmarkEnd w:id="11"/>
    <w:p>
      <w:pPr>
        <w:spacing w:after="0" w:line="4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b w:val="1"/>
          <w:bCs w:val="1"/>
          <w:color w:val="auto"/>
        </w:rPr>
        <w:t>LEGAL MATTERS</w:t>
      </w:r>
    </w:p>
    <w:p>
      <w:pPr>
        <w:spacing w:after="0" w:line="198" w:lineRule="exact"/>
        <w:rPr>
          <w:sz w:val="20"/>
          <w:szCs w:val="20"/>
          <w:color w:val="auto"/>
        </w:rPr>
      </w:pPr>
    </w:p>
    <w:p>
      <w:pPr>
        <w:jc w:val="both"/>
        <w:ind w:right="2399" w:firstLine="501"/>
        <w:spacing w:after="0" w:line="237" w:lineRule="auto"/>
        <w:rPr>
          <w:sz w:val="20"/>
          <w:szCs w:val="20"/>
          <w:color w:val="auto"/>
        </w:rPr>
      </w:pPr>
      <w:r>
        <w:rPr>
          <w:rFonts w:ascii="Courier New" w:cs="Courier New" w:eastAsia="Courier New" w:hAnsi="Courier New"/>
          <w:sz w:val="17"/>
          <w:szCs w:val="17"/>
          <w:color w:val="auto"/>
        </w:rPr>
        <w:t>Certain legal matters in connection with the common stock offered hereby will be passed upon for us by Blackwell Sanders Peper Martin LLP, Two Pershing Square, 2300 Main Street, Suite 1000, Kansas City, Missouri 64108.</w:t>
      </w:r>
    </w:p>
    <w:p>
      <w:pPr>
        <w:spacing w:after="0" w:line="19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b w:val="1"/>
          <w:bCs w:val="1"/>
          <w:color w:val="auto"/>
        </w:rPr>
        <w:t>EXPERTS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Our consolidated financial statements as of December 31, 2001 and 2000, and for each of the years in the two-year period ended December 31, 2001, have been incorporated by reference in this prospectus and the registration statement on Form S-3 in reliance upon the report of KPMG LLP, independent accountants incorporated by reference herein, and upon the authority of said firm as experts in accounting and auditing. The audit report covering the December 31, 2001 financial statements refers to a change in the Company's method of accounting for derivative instruments and hedging activities.</w:t>
      </w:r>
    </w:p>
    <w:p>
      <w:pPr>
        <w:spacing w:after="0" w:line="200"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b w:val="1"/>
          <w:bCs w:val="1"/>
          <w:color w:val="auto"/>
        </w:rPr>
        <w:t>WHERE YOU CAN FIND MORE INFORMATION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and copy any of these materials at the SEC's Public Reference Room, 450 Fifth Street, N.W., Washington, D.C. 20549 and at the SEC's regional offices in New York, New York and Chicago, Illinois. You may obtain information on the operation of the public reference rooms by calling the SEC at 1-800-SEC-0330. Our SEC filings, including the registration statement, will also be available to you on the SEC's website. The address of this website is http://www.sec.gov.</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b w:val="1"/>
          <w:bCs w:val="1"/>
          <w:color w:val="auto"/>
        </w:rPr>
        <w:t>INCORPORATION OF CERTAIN DOCUMENTS BY REFERENCE</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200" w:lineRule="exact"/>
        <w:rPr>
          <w:sz w:val="20"/>
          <w:szCs w:val="20"/>
          <w:color w:val="auto"/>
        </w:rPr>
      </w:pPr>
    </w:p>
    <w:p>
      <w:pPr>
        <w:ind w:left="1000" w:right="2399" w:hanging="496"/>
        <w:spacing w:after="0" w:line="236" w:lineRule="auto"/>
        <w:tabs>
          <w:tab w:leader="none" w:pos="10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December 31, 2001, as amended by Form 10-K/A;</w:t>
      </w:r>
    </w:p>
    <w:p>
      <w:pPr>
        <w:spacing w:after="0" w:line="199" w:lineRule="exact"/>
        <w:rPr>
          <w:rFonts w:ascii="Courier New" w:cs="Courier New" w:eastAsia="Courier New" w:hAnsi="Courier New"/>
          <w:sz w:val="17"/>
          <w:szCs w:val="17"/>
          <w:color w:val="auto"/>
        </w:rPr>
      </w:pPr>
    </w:p>
    <w:p>
      <w:pPr>
        <w:ind w:left="1000" w:right="2499" w:hanging="496"/>
        <w:spacing w:after="0" w:line="236" w:lineRule="auto"/>
        <w:tabs>
          <w:tab w:leader="none" w:pos="10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Reports on Form 10-Q for the quarters ended March 31, 2002 and June 30, 2002;</w:t>
      </w:r>
    </w:p>
    <w:p>
      <w:pPr>
        <w:spacing w:after="0" w:line="199" w:lineRule="exact"/>
        <w:rPr>
          <w:rFonts w:ascii="Courier New" w:cs="Courier New" w:eastAsia="Courier New" w:hAnsi="Courier New"/>
          <w:sz w:val="17"/>
          <w:szCs w:val="17"/>
          <w:color w:val="auto"/>
        </w:rPr>
      </w:pPr>
    </w:p>
    <w:p>
      <w:pPr>
        <w:ind w:left="1000" w:right="2499" w:hanging="496"/>
        <w:spacing w:after="0" w:line="236" w:lineRule="auto"/>
        <w:tabs>
          <w:tab w:leader="none" w:pos="10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filed with the SEC on June 7, 2002, July 18, 2002 and August 6, 2002;</w:t>
      </w:r>
    </w:p>
    <w:p>
      <w:pPr>
        <w:spacing w:after="0" w:line="199" w:lineRule="exact"/>
        <w:rPr>
          <w:rFonts w:ascii="Courier New" w:cs="Courier New" w:eastAsia="Courier New" w:hAnsi="Courier New"/>
          <w:sz w:val="17"/>
          <w:szCs w:val="17"/>
          <w:color w:val="auto"/>
        </w:rPr>
      </w:pPr>
    </w:p>
    <w:p>
      <w:pPr>
        <w:ind w:left="1000" w:right="2299" w:hanging="496"/>
        <w:spacing w:after="0" w:line="239" w:lineRule="auto"/>
        <w:tabs>
          <w:tab w:leader="none" w:pos="10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the registration statement on Form 8-A filed with the SEC on February 28, 1994, which incorporates by reference a description of our common stock from our Registration Statement on Form S-1 (File No. 33-74694, as filed on February 1, 1994), which description we also incorporate by reference into this prospectus.</w:t>
      </w:r>
    </w:p>
    <w:p>
      <w:pPr>
        <w:spacing w:after="0" w:line="198" w:lineRule="exact"/>
        <w:rPr>
          <w:sz w:val="20"/>
          <w:szCs w:val="20"/>
          <w:color w:val="auto"/>
        </w:rPr>
      </w:pPr>
    </w:p>
    <w:p>
      <w:pPr>
        <w:ind w:right="3099" w:firstLine="501"/>
        <w:spacing w:after="0" w:line="236" w:lineRule="auto"/>
        <w:rPr>
          <w:sz w:val="20"/>
          <w:szCs w:val="20"/>
          <w:color w:val="auto"/>
        </w:rPr>
      </w:pPr>
      <w:r>
        <w:rPr>
          <w:rFonts w:ascii="Courier New" w:cs="Courier New" w:eastAsia="Courier New" w:hAnsi="Courier New"/>
          <w:sz w:val="17"/>
          <w:szCs w:val="17"/>
          <w:color w:val="auto"/>
        </w:rPr>
        <w:t>You may request a copy of these filings, at no cost, by written or telephone request to:</w:t>
      </w:r>
    </w:p>
    <w:p>
      <w:pPr>
        <w:sectPr>
          <w:pgSz w:w="11900" w:h="16884" w:orient="portrait"/>
          <w:cols w:equalWidth="0" w:num="1">
            <w:col w:w="10219"/>
          </w:cols>
          <w:pgMar w:left="240" w:top="329" w:right="1440" w:bottom="0" w:gutter="0" w:footer="0" w:header="0"/>
        </w:sectPr>
      </w:pPr>
    </w:p>
    <w:bookmarkStart w:id="12" w:name="page13"/>
    <w:bookmarkEnd w:id="12"/>
    <w:p>
      <w:pPr>
        <w:spacing w:after="0" w:line="22"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NN, Inc.</w:t>
      </w:r>
    </w:p>
    <w:p>
      <w:pPr>
        <w:ind w:left="2400"/>
        <w:spacing w:after="0"/>
        <w:rPr>
          <w:sz w:val="20"/>
          <w:szCs w:val="20"/>
          <w:color w:val="auto"/>
        </w:rPr>
      </w:pPr>
      <w:r>
        <w:rPr>
          <w:rFonts w:ascii="Courier New" w:cs="Courier New" w:eastAsia="Courier New" w:hAnsi="Courier New"/>
          <w:sz w:val="17"/>
          <w:szCs w:val="17"/>
          <w:color w:val="auto"/>
        </w:rPr>
        <w:t>Attn: Corporate Secretary</w:t>
      </w:r>
    </w:p>
    <w:p>
      <w:pPr>
        <w:ind w:left="2400"/>
        <w:spacing w:after="0"/>
        <w:rPr>
          <w:sz w:val="20"/>
          <w:szCs w:val="20"/>
          <w:color w:val="auto"/>
        </w:rPr>
      </w:pPr>
      <w:r>
        <w:rPr>
          <w:rFonts w:ascii="Courier New" w:cs="Courier New" w:eastAsia="Courier New" w:hAnsi="Courier New"/>
          <w:sz w:val="17"/>
          <w:szCs w:val="17"/>
          <w:color w:val="auto"/>
        </w:rPr>
        <w:t>2000 Waters Edge Drive</w:t>
      </w:r>
    </w:p>
    <w:p>
      <w:pPr>
        <w:ind w:left="2400"/>
        <w:spacing w:after="0"/>
        <w:rPr>
          <w:sz w:val="20"/>
          <w:szCs w:val="20"/>
          <w:color w:val="auto"/>
        </w:rPr>
      </w:pPr>
      <w:r>
        <w:rPr>
          <w:rFonts w:ascii="Courier New" w:cs="Courier New" w:eastAsia="Courier New" w:hAnsi="Courier New"/>
          <w:sz w:val="17"/>
          <w:szCs w:val="17"/>
          <w:color w:val="auto"/>
        </w:rPr>
        <w:t>Johnson City, Tennessee</w:t>
      </w:r>
    </w:p>
    <w:p>
      <w:pPr>
        <w:ind w:left="2400"/>
        <w:spacing w:after="0"/>
        <w:rPr>
          <w:sz w:val="20"/>
          <w:szCs w:val="20"/>
          <w:color w:val="auto"/>
        </w:rPr>
      </w:pPr>
      <w:r>
        <w:rPr>
          <w:rFonts w:ascii="Courier New" w:cs="Courier New" w:eastAsia="Courier New" w:hAnsi="Courier New"/>
          <w:sz w:val="17"/>
          <w:szCs w:val="17"/>
          <w:color w:val="auto"/>
        </w:rPr>
        <w:t>(423) 743-9151</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PART II</w:t>
      </w:r>
    </w:p>
    <w:p>
      <w:pPr>
        <w:spacing w:after="0" w:line="193"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193"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198" w:lineRule="exact"/>
        <w:rPr>
          <w:sz w:val="20"/>
          <w:szCs w:val="20"/>
          <w:color w:val="auto"/>
        </w:rPr>
      </w:pPr>
    </w:p>
    <w:p>
      <w:pPr>
        <w:jc w:val="both"/>
        <w:ind w:right="2599" w:firstLine="501"/>
        <w:spacing w:after="0" w:line="237" w:lineRule="auto"/>
        <w:rPr>
          <w:sz w:val="20"/>
          <w:szCs w:val="20"/>
          <w:color w:val="auto"/>
        </w:rPr>
      </w:pPr>
      <w:r>
        <w:rPr>
          <w:rFonts w:ascii="Courier New" w:cs="Courier New" w:eastAsia="Courier New" w:hAnsi="Courier New"/>
          <w:sz w:val="17"/>
          <w:szCs w:val="17"/>
          <w:color w:val="auto"/>
        </w:rPr>
        <w:t>The following table sets forth the costs and expenses payable by us in connection with the sale of Common Stock being registered. All amounts other than the registration fee are estimates.</w:t>
      </w:r>
    </w:p>
    <w:p>
      <w:pPr>
        <w:spacing w:after="0" w:line="195"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SEC registration fee</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6,797</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Legal fees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275,000</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Accounting fees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74,000</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w w:val="99"/>
              </w:rPr>
              <w:t>Nasdaq National Market listing fee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22,500</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Printing and engraving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60,000</w:t>
            </w:r>
          </w:p>
        </w:tc>
      </w:tr>
      <w:tr>
        <w:trPr>
          <w:trHeight w:val="193"/>
        </w:trPr>
        <w:tc>
          <w:tcPr>
            <w:tcW w:w="3460" w:type="dxa"/>
            <w:vAlign w:val="bottom"/>
          </w:tcPr>
          <w:p>
            <w:pPr>
              <w:spacing w:after="0"/>
              <w:rPr>
                <w:sz w:val="20"/>
                <w:szCs w:val="20"/>
                <w:color w:val="auto"/>
              </w:rPr>
            </w:pPr>
            <w:r>
              <w:rPr>
                <w:rFonts w:ascii="Courier New" w:cs="Courier New" w:eastAsia="Courier New" w:hAnsi="Courier New"/>
                <w:sz w:val="17"/>
                <w:szCs w:val="17"/>
                <w:color w:val="auto"/>
              </w:rPr>
              <w:t>Miscellaneous fees and expenses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11,703</w:t>
            </w:r>
          </w:p>
        </w:tc>
      </w:tr>
      <w:tr>
        <w:trPr>
          <w:trHeight w:val="193"/>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4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$450,000</w:t>
            </w:r>
          </w:p>
        </w:tc>
      </w:tr>
      <w:tr>
        <w:trPr>
          <w:trHeight w:val="193"/>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w w:val="95"/>
              </w:rPr>
              <w:t>========</w:t>
            </w:r>
          </w:p>
        </w:tc>
      </w:tr>
    </w:tbl>
    <w:p>
      <w:pPr>
        <w:spacing w:after="0" w:line="38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202"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582930</wp:posOffset>
            </wp:positionV>
            <wp:extent cx="72783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The Company has obtained liability insurance coverage for its officers and directors with respect to actions arising out of the performance of such officer's or director's duty in his or her capacity as such.</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16. EXHIBITS</w:t>
      </w:r>
    </w:p>
    <w:p>
      <w:pPr>
        <w:sectPr>
          <w:pgSz w:w="11900" w:h="16860" w:orient="portrait"/>
          <w:cols w:equalWidth="0" w:num="1">
            <w:col w:w="10219"/>
          </w:cols>
          <w:pgMar w:left="240" w:top="329" w:right="1440" w:bottom="0" w:gutter="0" w:footer="0" w:header="0"/>
        </w:sectPr>
      </w:pPr>
    </w:p>
    <w:bookmarkStart w:id="13" w:name="page14"/>
    <w:bookmarkEnd w:id="13"/>
    <w:p>
      <w:pPr>
        <w:spacing w:after="0" w:line="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Form of Underwriting Agreement</w:t>
      </w:r>
    </w:p>
    <w:p>
      <w:pPr>
        <w:spacing w:after="0" w:line="198" w:lineRule="exact"/>
        <w:rPr>
          <w:sz w:val="20"/>
          <w:szCs w:val="20"/>
          <w:color w:val="auto"/>
        </w:rPr>
      </w:pPr>
    </w:p>
    <w:p>
      <w:pPr>
        <w:ind w:left="500" w:right="2499" w:hanging="500"/>
        <w:spacing w:after="0" w:line="237" w:lineRule="auto"/>
        <w:tabs>
          <w:tab w:leader="none" w:pos="480" w:val="left"/>
        </w:tabs>
        <w:rPr>
          <w:sz w:val="20"/>
          <w:szCs w:val="20"/>
          <w:color w:val="auto"/>
        </w:rPr>
      </w:pPr>
      <w:r>
        <w:rPr>
          <w:rFonts w:ascii="Courier New" w:cs="Courier New" w:eastAsia="Courier New" w:hAnsi="Courier New"/>
          <w:sz w:val="17"/>
          <w:szCs w:val="17"/>
          <w:color w:val="auto"/>
        </w:rPr>
        <w:t>3.1</w:t>
        <w:tab/>
        <w:t>Restated Certificate of Incorporation of the Company. (incorporated by reference to Exhibit 3.1 of Company's Registration Statement on Form S-3 filed June 6, 2002)</w:t>
      </w:r>
    </w:p>
    <w:p>
      <w:pPr>
        <w:spacing w:after="0" w:line="200" w:lineRule="exact"/>
        <w:rPr>
          <w:sz w:val="20"/>
          <w:szCs w:val="20"/>
          <w:color w:val="auto"/>
        </w:rPr>
      </w:pPr>
    </w:p>
    <w:p>
      <w:pPr>
        <w:ind w:left="500" w:right="2299" w:hanging="500"/>
        <w:spacing w:after="0" w:line="236" w:lineRule="auto"/>
        <w:tabs>
          <w:tab w:leader="none" w:pos="480" w:val="left"/>
        </w:tabs>
        <w:rPr>
          <w:sz w:val="20"/>
          <w:szCs w:val="20"/>
          <w:color w:val="auto"/>
        </w:rPr>
      </w:pPr>
      <w:r>
        <w:rPr>
          <w:rFonts w:ascii="Courier New" w:cs="Courier New" w:eastAsia="Courier New" w:hAnsi="Courier New"/>
          <w:sz w:val="17"/>
          <w:szCs w:val="17"/>
          <w:color w:val="auto"/>
        </w:rPr>
        <w:t>3.2</w:t>
        <w:tab/>
        <w:t>Restated By-Laws of the Company. (incorporated by reference to Exhibit 3.2 of Company's Registration Statement on Form S-3 filed June 6, 2002)</w:t>
      </w:r>
    </w:p>
    <w:p>
      <w:pPr>
        <w:spacing w:after="0" w:line="199" w:lineRule="exact"/>
        <w:rPr>
          <w:sz w:val="20"/>
          <w:szCs w:val="20"/>
          <w:color w:val="auto"/>
        </w:rPr>
      </w:pPr>
    </w:p>
    <w:p>
      <w:pPr>
        <w:ind w:left="500" w:right="2199" w:hanging="500"/>
        <w:spacing w:after="0" w:line="237" w:lineRule="auto"/>
        <w:tabs>
          <w:tab w:leader="none" w:pos="480" w:val="left"/>
        </w:tabs>
        <w:rPr>
          <w:sz w:val="20"/>
          <w:szCs w:val="20"/>
          <w:color w:val="auto"/>
        </w:rPr>
      </w:pPr>
      <w:r>
        <w:rPr>
          <w:rFonts w:ascii="Courier New" w:cs="Courier New" w:eastAsia="Courier New" w:hAnsi="Courier New"/>
          <w:sz w:val="17"/>
          <w:szCs w:val="17"/>
          <w:color w:val="auto"/>
        </w:rPr>
        <w:t>4.1</w:t>
        <w:tab/>
        <w:t>The specimen certificate representing the Company's Common Stock, par value $0.01 per share. (incorporated by reference to Exhibit 4.1 of Company's Registration Statement on Form S-3 filed June 6, 2002)</w:t>
      </w:r>
    </w:p>
    <w:p>
      <w:pPr>
        <w:spacing w:after="0" w:line="200" w:lineRule="exact"/>
        <w:rPr>
          <w:sz w:val="20"/>
          <w:szCs w:val="20"/>
          <w:color w:val="auto"/>
        </w:rPr>
      </w:pPr>
    </w:p>
    <w:p>
      <w:pPr>
        <w:ind w:left="500" w:right="2199" w:hanging="500"/>
        <w:spacing w:after="0" w:line="237" w:lineRule="auto"/>
        <w:tabs>
          <w:tab w:leader="none" w:pos="480" w:val="left"/>
        </w:tabs>
        <w:rPr>
          <w:sz w:val="20"/>
          <w:szCs w:val="20"/>
          <w:color w:val="auto"/>
        </w:rPr>
      </w:pPr>
      <w:r>
        <w:rPr>
          <w:rFonts w:ascii="Courier New" w:cs="Courier New" w:eastAsia="Courier New" w:hAnsi="Courier New"/>
          <w:sz w:val="17"/>
          <w:szCs w:val="17"/>
          <w:color w:val="auto"/>
        </w:rPr>
        <w:t>4.2</w:t>
        <w:tab/>
        <w:t>Article IV, Article V (Sections 3 through 6), Article VI (Section 2) and Article VII (Sections 1 and 3) of the Restated Certificate of Incorporation of the Company (included in Exhibit 3.1).</w:t>
      </w:r>
    </w:p>
    <w:p>
      <w:pPr>
        <w:spacing w:after="0" w:line="200" w:lineRule="exact"/>
        <w:rPr>
          <w:sz w:val="20"/>
          <w:szCs w:val="20"/>
          <w:color w:val="auto"/>
        </w:rPr>
      </w:pPr>
    </w:p>
    <w:p>
      <w:pPr>
        <w:ind w:left="500" w:right="2199" w:hanging="500"/>
        <w:spacing w:after="0" w:line="262" w:lineRule="auto"/>
        <w:tabs>
          <w:tab w:leader="none" w:pos="48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6"/>
          <w:szCs w:val="16"/>
          <w:color w:val="auto"/>
        </w:rPr>
        <w:t>Article II (Sections 7 and 12), Article III (Sections 2 and 15) and Article VI of the Restated By-Laws of the Company (included in Exhibit 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 Opinion of Blackwell Sanders Peper Martin LLP, counsel to the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23.1 Consent of Blackwell Sanders Peper Martin LLP (included in Exhibit 5.1).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23.2 Consent of KPMG LLP, Independent Auditors.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23.3 Consent of PricewaterhouseCoopers LLP, Independent Auditors.</w:t>
      </w:r>
    </w:p>
    <w:p>
      <w:pPr>
        <w:spacing w:after="0" w:line="198" w:lineRule="exact"/>
        <w:rPr>
          <w:sz w:val="20"/>
          <w:szCs w:val="20"/>
          <w:color w:val="auto"/>
        </w:rPr>
      </w:pPr>
    </w:p>
    <w:p>
      <w:pPr>
        <w:ind w:left="500" w:right="2699" w:hanging="497"/>
        <w:spacing w:after="0" w:line="236"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(included in the signature page to the Registration Statement).</w:t>
      </w:r>
    </w:p>
    <w:p>
      <w:pPr>
        <w:spacing w:after="0" w:line="199" w:lineRule="exact"/>
        <w:rPr>
          <w:sz w:val="20"/>
          <w:szCs w:val="20"/>
          <w:color w:val="auto"/>
        </w:rPr>
      </w:pPr>
    </w:p>
    <w:p>
      <w:pPr>
        <w:ind w:left="500" w:right="2199" w:hanging="497"/>
        <w:spacing w:after="0" w:line="237" w:lineRule="auto"/>
        <w:tabs>
          <w:tab w:leader="none" w:pos="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by post-effective amendment or pursuant to a report to be filed pursuant to Section 13 or 15(d) of the Securities Exchange Act of 1934, if applicable,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464185</wp:posOffset>
            </wp:positionV>
            <wp:extent cx="72783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198" w:lineRule="exact"/>
        <w:rPr>
          <w:sz w:val="20"/>
          <w:szCs w:val="20"/>
          <w:color w:val="auto"/>
        </w:rPr>
      </w:pPr>
    </w:p>
    <w:p>
      <w:pPr>
        <w:ind w:right="2199" w:firstLine="504"/>
        <w:spacing w:after="0" w:line="239" w:lineRule="auto"/>
        <w:tabs>
          <w:tab w:leader="none" w:pos="9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1" w:lineRule="exact"/>
        <w:rPr>
          <w:rFonts w:ascii="Courier New" w:cs="Courier New" w:eastAsia="Courier New" w:hAnsi="Courier New"/>
          <w:sz w:val="17"/>
          <w:szCs w:val="17"/>
          <w:color w:val="auto"/>
        </w:rPr>
      </w:pPr>
    </w:p>
    <w:p>
      <w:pPr>
        <w:ind w:left="900" w:hanging="396"/>
        <w:spacing w:after="0"/>
        <w:tabs>
          <w:tab w:leader="none" w:pos="9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Company hereby undertakes that:</w:t>
      </w:r>
    </w:p>
    <w:p>
      <w:pPr>
        <w:spacing w:after="0" w:line="198" w:lineRule="exact"/>
        <w:rPr>
          <w:rFonts w:ascii="Courier New" w:cs="Courier New" w:eastAsia="Courier New" w:hAnsi="Courier New"/>
          <w:sz w:val="17"/>
          <w:szCs w:val="17"/>
          <w:color w:val="auto"/>
        </w:rPr>
      </w:pPr>
    </w:p>
    <w:p>
      <w:pPr>
        <w:ind w:left="500" w:right="2199" w:firstLine="505"/>
        <w:spacing w:after="0" w:line="239" w:lineRule="auto"/>
        <w:tabs>
          <w:tab w:leader="none" w:pos="1402"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any liability under the Securities Act of 1933, each filing of the registrant's annual report pursuant to Section 13(a) or 15(d) of the Securities Exchange Act of 1934 (and, where applicable, each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1" w:lineRule="exact"/>
        <w:rPr>
          <w:rFonts w:ascii="Courier New" w:cs="Courier New" w:eastAsia="Courier New" w:hAnsi="Courier New"/>
          <w:sz w:val="17"/>
          <w:szCs w:val="17"/>
          <w:color w:val="auto"/>
        </w:rPr>
      </w:pPr>
    </w:p>
    <w:p>
      <w:pPr>
        <w:ind w:left="500" w:right="2299" w:firstLine="505"/>
        <w:spacing w:after="0" w:line="239" w:lineRule="auto"/>
        <w:tabs>
          <w:tab w:leader="none" w:pos="1502"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9" w:lineRule="exact"/>
        <w:rPr>
          <w:rFonts w:ascii="Courier New" w:cs="Courier New" w:eastAsia="Courier New" w:hAnsi="Courier New"/>
          <w:sz w:val="17"/>
          <w:szCs w:val="17"/>
          <w:color w:val="auto"/>
        </w:rPr>
      </w:pPr>
    </w:p>
    <w:p>
      <w:pPr>
        <w:ind w:left="500" w:right="2299" w:firstLine="505"/>
        <w:spacing w:after="0" w:line="257" w:lineRule="auto"/>
        <w:tabs>
          <w:tab w:leader="none" w:pos="160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w:t>
      </w:r>
    </w:p>
    <w:p>
      <w:pPr>
        <w:sectPr>
          <w:pgSz w:w="11900" w:h="16897" w:orient="portrait"/>
          <w:cols w:equalWidth="0" w:num="1">
            <w:col w:w="10219"/>
          </w:cols>
          <w:pgMar w:left="240" w:top="522" w:right="1440" w:bottom="0" w:gutter="0" w:footer="0" w:header="0"/>
        </w:sectPr>
      </w:pPr>
    </w:p>
    <w:bookmarkStart w:id="14" w:name="page15"/>
    <w:bookmarkEnd w:id="14"/>
    <w:p>
      <w:pPr>
        <w:spacing w:after="0" w:line="2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217805</wp:posOffset>
            </wp:positionV>
            <wp:extent cx="72783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September 26, 2002.</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b w:val="1"/>
          <w:bCs w:val="1"/>
          <w:color w:val="auto"/>
        </w:rPr>
        <w:t>NN, Inc.</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By: /s/ Roderick R. Baty</w:t>
      </w:r>
    </w:p>
    <w:p>
      <w:pPr>
        <w:ind w:left="3520"/>
        <w:spacing w:after="0"/>
        <w:rPr>
          <w:sz w:val="20"/>
          <w:szCs w:val="20"/>
          <w:color w:val="auto"/>
        </w:rPr>
      </w:pPr>
      <w:r>
        <w:rPr>
          <w:rFonts w:ascii="Courier New" w:cs="Courier New" w:eastAsia="Courier New" w:hAnsi="Courier New"/>
          <w:sz w:val="17"/>
          <w:szCs w:val="17"/>
          <w:color w:val="auto"/>
        </w:rPr>
        <w:t>---------------------------------------------</w:t>
      </w:r>
    </w:p>
    <w:p>
      <w:pPr>
        <w:ind w:left="3720"/>
        <w:spacing w:after="0"/>
        <w:rPr>
          <w:sz w:val="20"/>
          <w:szCs w:val="20"/>
          <w:color w:val="auto"/>
        </w:rPr>
      </w:pPr>
      <w:r>
        <w:rPr>
          <w:rFonts w:ascii="Courier New" w:cs="Courier New" w:eastAsia="Courier New" w:hAnsi="Courier New"/>
          <w:sz w:val="17"/>
          <w:szCs w:val="17"/>
          <w:color w:val="auto"/>
        </w:rPr>
        <w:t>Roderick R. Baty</w:t>
      </w:r>
    </w:p>
    <w:p>
      <w:pPr>
        <w:ind w:left="3720"/>
        <w:spacing w:after="0"/>
        <w:rPr>
          <w:sz w:val="20"/>
          <w:szCs w:val="20"/>
          <w:color w:val="auto"/>
        </w:rPr>
      </w:pPr>
      <w:r>
        <w:rPr>
          <w:rFonts w:ascii="Courier New" w:cs="Courier New" w:eastAsia="Courier New" w:hAnsi="Courier New"/>
          <w:sz w:val="17"/>
          <w:szCs w:val="17"/>
          <w:color w:val="auto"/>
        </w:rPr>
        <w:t>Chairman, Chief Executive Officer</w:t>
      </w:r>
    </w:p>
    <w:p>
      <w:pPr>
        <w:ind w:left="3720"/>
        <w:spacing w:after="0"/>
        <w:rPr>
          <w:sz w:val="20"/>
          <w:szCs w:val="20"/>
          <w:color w:val="auto"/>
        </w:rPr>
      </w:pPr>
      <w:r>
        <w:rPr>
          <w:rFonts w:ascii="Courier New" w:cs="Courier New" w:eastAsia="Courier New" w:hAnsi="Courier New"/>
          <w:sz w:val="17"/>
          <w:szCs w:val="17"/>
          <w:color w:val="auto"/>
        </w:rPr>
        <w:t>and President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KNOW ALL MEN BY THESE PRESENTS, that each of the undersigned hereby severally constitute and appoint Roderick R. Baty and David L. Dyckman, and each of them singly, with full power of substitution and resubstitution, as his or her true and lawful attorneys with full power to them, and each of them singly, to sign for the undersigned and in the names of the undersigned in the capacities indicated below, any and all amendments to this Registration Statement on Form S-3, and generally to do all such things in the names of the undersigned and in their capacities as indicated below to enable NN, Inc. to comply with the provisions of the Securities Act of 1933, and all requirements of the Securities and Exchange Commission, hereby ratifying and confirming the signatures of the undersigned as they may be signed by said attorneys, or any of them, to said Registration Statement and any and all amendments thereto.</w:t>
      </w:r>
    </w:p>
    <w:p>
      <w:pPr>
        <w:spacing w:after="0" w:line="204" w:lineRule="exact"/>
        <w:rPr>
          <w:sz w:val="20"/>
          <w:szCs w:val="20"/>
          <w:color w:val="auto"/>
        </w:rPr>
      </w:pPr>
    </w:p>
    <w:p>
      <w:pPr>
        <w:ind w:right="2599" w:firstLine="5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below by the following persons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Courier New" w:cs="Courier New" w:eastAsia="Courier New" w:hAnsi="Courier New"/>
                <w:sz w:val="17"/>
                <w:szCs w:val="17"/>
                <w:color w:val="auto"/>
                <w:w w:val="95"/>
              </w:rPr>
              <w:t>Signature</w:t>
            </w:r>
          </w:p>
        </w:tc>
        <w:tc>
          <w:tcPr>
            <w:tcW w:w="262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Title</w:t>
            </w:r>
          </w:p>
        </w:tc>
        <w:tc>
          <w:tcPr>
            <w:tcW w:w="1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00" w:type="dxa"/>
            <w:vAlign w:val="bottom"/>
            <w:gridSpan w:val="2"/>
          </w:tcPr>
          <w:p>
            <w:pPr>
              <w:spacing w:after="0"/>
              <w:rPr>
                <w:sz w:val="20"/>
                <w:szCs w:val="20"/>
                <w:color w:val="auto"/>
              </w:rPr>
            </w:pPr>
            <w:r>
              <w:rPr>
                <w:rFonts w:ascii="Courier New" w:cs="Courier New" w:eastAsia="Courier New" w:hAnsi="Courier New"/>
                <w:sz w:val="17"/>
                <w:szCs w:val="17"/>
                <w:color w:val="auto"/>
              </w:rPr>
              <w:t>Date</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Courier New" w:cs="Courier New" w:eastAsia="Courier New" w:hAnsi="Courier New"/>
                <w:sz w:val="17"/>
                <w:szCs w:val="17"/>
                <w:color w:val="auto"/>
              </w:rPr>
              <w:t>Chairman, Chief Executive Officer,</w:t>
            </w:r>
          </w:p>
        </w:tc>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720" w:type="dxa"/>
            <w:vAlign w:val="bottom"/>
            <w:gridSpan w:val="3"/>
          </w:tcPr>
          <w:p>
            <w:pPr>
              <w:ind w:left="700"/>
              <w:spacing w:after="0"/>
              <w:rPr>
                <w:sz w:val="20"/>
                <w:szCs w:val="20"/>
                <w:color w:val="auto"/>
              </w:rPr>
            </w:pPr>
            <w:r>
              <w:rPr>
                <w:rFonts w:ascii="Courier New" w:cs="Courier New" w:eastAsia="Courier New" w:hAnsi="Courier New"/>
                <w:sz w:val="17"/>
                <w:szCs w:val="17"/>
                <w:color w:val="auto"/>
              </w:rPr>
              <w:t>President and Director</w:t>
            </w:r>
          </w:p>
        </w:tc>
        <w:tc>
          <w:tcPr>
            <w:tcW w:w="1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400" w:type="dxa"/>
            <w:vAlign w:val="bottom"/>
            <w:gridSpan w:val="2"/>
          </w:tcPr>
          <w:p>
            <w:pPr>
              <w:spacing w:after="0"/>
              <w:rPr>
                <w:sz w:val="20"/>
                <w:szCs w:val="20"/>
                <w:color w:val="auto"/>
              </w:rPr>
            </w:pPr>
            <w:r>
              <w:rPr>
                <w:rFonts w:ascii="Courier New" w:cs="Courier New" w:eastAsia="Courier New" w:hAnsi="Courier New"/>
                <w:sz w:val="17"/>
                <w:szCs w:val="17"/>
                <w:color w:val="auto"/>
              </w:rPr>
              <w:t>/s/ Roderick R. Baty</w:t>
            </w:r>
          </w:p>
        </w:tc>
        <w:tc>
          <w:tcPr>
            <w:tcW w:w="4720" w:type="dxa"/>
            <w:vAlign w:val="bottom"/>
            <w:gridSpan w:val="3"/>
          </w:tcPr>
          <w:p>
            <w:pPr>
              <w:ind w:left="700"/>
              <w:spacing w:after="0"/>
              <w:rPr>
                <w:sz w:val="20"/>
                <w:szCs w:val="20"/>
                <w:color w:val="auto"/>
              </w:rPr>
            </w:pPr>
            <w:r>
              <w:rPr>
                <w:rFonts w:ascii="Courier New" w:cs="Courier New" w:eastAsia="Courier New" w:hAnsi="Courier New"/>
                <w:sz w:val="17"/>
                <w:szCs w:val="17"/>
                <w:color w:val="auto"/>
              </w:rPr>
              <w:t>(Principal Executive Officer)</w:t>
            </w:r>
          </w:p>
        </w:tc>
        <w:tc>
          <w:tcPr>
            <w:tcW w:w="2400" w:type="dxa"/>
            <w:vAlign w:val="bottom"/>
            <w:gridSpan w:val="3"/>
          </w:tcPr>
          <w:p>
            <w:pPr>
              <w:ind w:left="600"/>
              <w:spacing w:after="0"/>
              <w:rPr>
                <w:sz w:val="20"/>
                <w:szCs w:val="20"/>
                <w:color w:val="auto"/>
              </w:rPr>
            </w:pPr>
            <w:r>
              <w:rPr>
                <w:rFonts w:ascii="Courier New" w:cs="Courier New" w:eastAsia="Courier New" w:hAnsi="Courier New"/>
                <w:sz w:val="17"/>
                <w:szCs w:val="17"/>
                <w:color w:val="auto"/>
                <w:w w:val="96"/>
              </w:rPr>
              <w:t>September 26, 2002</w:t>
            </w:r>
          </w:p>
        </w:tc>
      </w:tr>
    </w:tbl>
    <w:p>
      <w:pPr>
        <w:ind w:left="200" w:hanging="197"/>
        <w:spacing w:after="0"/>
        <w:tabs>
          <w:tab w:leader="none" w:pos="2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Roderick R. Baty</w:t>
      </w:r>
    </w:p>
    <w:p>
      <w:pPr>
        <w:sectPr>
          <w:pgSz w:w="11900" w:h="16860"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L. Dyckman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37" w:lineRule="auto"/>
        <w:rPr>
          <w:sz w:val="20"/>
          <w:szCs w:val="20"/>
          <w:color w:val="auto"/>
        </w:rPr>
      </w:pPr>
      <w:r>
        <w:rPr>
          <w:rFonts w:ascii="Courier New" w:cs="Courier New" w:eastAsia="Courier New" w:hAnsi="Courier New"/>
          <w:sz w:val="17"/>
          <w:szCs w:val="17"/>
          <w:color w:val="auto"/>
        </w:rPr>
        <w:t>Vice President-Business Development and Chief Financial Officer (Principal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6"/>
          <w:szCs w:val="16"/>
          <w:color w:val="auto"/>
        </w:rPr>
        <w:t>September 26, 2002</w:t>
      </w:r>
    </w:p>
    <w:p>
      <w:pPr>
        <w:spacing w:after="0" w:line="5" w:lineRule="exact"/>
        <w:rPr>
          <w:sz w:val="20"/>
          <w:szCs w:val="20"/>
          <w:color w:val="auto"/>
        </w:rPr>
      </w:pPr>
    </w:p>
    <w:p>
      <w:pPr>
        <w:sectPr>
          <w:pgSz w:w="11900" w:h="16860" w:orient="portrait"/>
          <w:cols w:equalWidth="0" w:num="3">
            <w:col w:w="2380" w:space="720"/>
            <w:col w:w="3920" w:space="700"/>
            <w:col w:w="2499"/>
          </w:cols>
          <w:pgMar w:left="240" w:top="136" w:right="1440" w:bottom="0" w:gutter="0" w:footer="0" w:header="0"/>
          <w:type w:val="continuous"/>
        </w:sectPr>
      </w:pPr>
    </w:p>
    <w:p>
      <w:pPr>
        <w:ind w:left="200" w:hanging="197"/>
        <w:spacing w:after="0"/>
        <w:tabs>
          <w:tab w:leader="none" w:pos="2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L. Dyckman</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Treasurer, Secretary and Chief Accounting</w:t>
      </w:r>
    </w:p>
    <w:p>
      <w:pPr>
        <w:ind w:left="3100"/>
        <w:spacing w:after="0"/>
        <w:rPr>
          <w:sz w:val="20"/>
          <w:szCs w:val="20"/>
          <w:color w:val="auto"/>
        </w:rPr>
      </w:pPr>
      <w:r>
        <w:rPr>
          <w:rFonts w:ascii="Courier New" w:cs="Courier New" w:eastAsia="Courier New" w:hAnsi="Courier New"/>
          <w:sz w:val="17"/>
          <w:szCs w:val="17"/>
          <w:color w:val="auto"/>
        </w:rPr>
        <w:t>Officer (Principal Accounting Officer)</w:t>
      </w:r>
    </w:p>
    <w:p>
      <w:pPr>
        <w:spacing w:after="0"/>
        <w:tabs>
          <w:tab w:leader="none" w:pos="7700" w:val="left"/>
        </w:tabs>
        <w:rPr>
          <w:sz w:val="20"/>
          <w:szCs w:val="20"/>
          <w:color w:val="auto"/>
        </w:rPr>
      </w:pPr>
      <w:r>
        <w:rPr>
          <w:rFonts w:ascii="Courier New" w:cs="Courier New" w:eastAsia="Courier New" w:hAnsi="Courier New"/>
          <w:sz w:val="17"/>
          <w:szCs w:val="17"/>
          <w:color w:val="auto"/>
        </w:rPr>
        <w:t>/s/ William C. Kelly, Jr.</w:t>
      </w:r>
      <w:r>
        <w:rPr>
          <w:sz w:val="20"/>
          <w:szCs w:val="20"/>
          <w:color w:val="auto"/>
        </w:rPr>
        <w:tab/>
      </w:r>
      <w:r>
        <w:rPr>
          <w:rFonts w:ascii="Courier New" w:cs="Courier New" w:eastAsia="Courier New" w:hAnsi="Courier New"/>
          <w:sz w:val="16"/>
          <w:szCs w:val="16"/>
          <w:color w:val="auto"/>
        </w:rPr>
        <w:t>September 26, 2002</w:t>
      </w:r>
    </w:p>
    <w:p>
      <w:pPr>
        <w:ind w:left="200" w:hanging="197"/>
        <w:spacing w:after="0"/>
        <w:tabs>
          <w:tab w:leader="none" w:pos="2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72783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/s/ Richard D. Ennen</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700" w:type="dxa"/>
            <w:vAlign w:val="bottom"/>
          </w:tcPr>
          <w:p>
            <w:pPr>
              <w:ind w:left="1900"/>
              <w:spacing w:after="0"/>
              <w:rPr>
                <w:sz w:val="20"/>
                <w:szCs w:val="20"/>
                <w:color w:val="auto"/>
              </w:rPr>
            </w:pPr>
            <w:r>
              <w:rPr>
                <w:rFonts w:ascii="Courier New" w:cs="Courier New" w:eastAsia="Courier New" w:hAnsi="Courier New"/>
                <w:sz w:val="17"/>
                <w:szCs w:val="17"/>
                <w:color w:val="auto"/>
                <w:w w:val="96"/>
              </w:rPr>
              <w:t>September 26, 2002</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Richard D. Ennen</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5"/>
        </w:trPr>
        <w:tc>
          <w:tcPr>
            <w:tcW w:w="3060" w:type="dxa"/>
            <w:vAlign w:val="bottom"/>
          </w:tcPr>
          <w:p>
            <w:pPr>
              <w:spacing w:after="0"/>
              <w:rPr>
                <w:sz w:val="20"/>
                <w:szCs w:val="20"/>
                <w:color w:val="auto"/>
              </w:rPr>
            </w:pPr>
            <w:r>
              <w:rPr>
                <w:rFonts w:ascii="Courier New" w:cs="Courier New" w:eastAsia="Courier New" w:hAnsi="Courier New"/>
                <w:sz w:val="17"/>
                <w:szCs w:val="17"/>
                <w:color w:val="auto"/>
              </w:rPr>
              <w:t>/s/ Michael D. Huff</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700" w:type="dxa"/>
            <w:vAlign w:val="bottom"/>
          </w:tcPr>
          <w:p>
            <w:pPr>
              <w:ind w:left="1900"/>
              <w:spacing w:after="0"/>
              <w:rPr>
                <w:sz w:val="20"/>
                <w:szCs w:val="20"/>
                <w:color w:val="auto"/>
              </w:rPr>
            </w:pPr>
            <w:r>
              <w:rPr>
                <w:rFonts w:ascii="Courier New" w:cs="Courier New" w:eastAsia="Courier New" w:hAnsi="Courier New"/>
                <w:sz w:val="17"/>
                <w:szCs w:val="17"/>
                <w:color w:val="auto"/>
                <w:w w:val="96"/>
              </w:rPr>
              <w:t>September 26, 2002</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Michael D. Huff</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5"/>
        </w:trPr>
        <w:tc>
          <w:tcPr>
            <w:tcW w:w="3060" w:type="dxa"/>
            <w:vAlign w:val="bottom"/>
          </w:tcPr>
          <w:p>
            <w:pPr>
              <w:spacing w:after="0"/>
              <w:rPr>
                <w:sz w:val="20"/>
                <w:szCs w:val="20"/>
                <w:color w:val="auto"/>
              </w:rPr>
            </w:pPr>
            <w:r>
              <w:rPr>
                <w:rFonts w:ascii="Courier New" w:cs="Courier New" w:eastAsia="Courier New" w:hAnsi="Courier New"/>
                <w:sz w:val="17"/>
                <w:szCs w:val="17"/>
                <w:color w:val="auto"/>
              </w:rPr>
              <w:t>/s/ G. Ronald Morris</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700" w:type="dxa"/>
            <w:vAlign w:val="bottom"/>
          </w:tcPr>
          <w:p>
            <w:pPr>
              <w:ind w:left="1900"/>
              <w:spacing w:after="0"/>
              <w:rPr>
                <w:sz w:val="20"/>
                <w:szCs w:val="20"/>
                <w:color w:val="auto"/>
              </w:rPr>
            </w:pPr>
            <w:r>
              <w:rPr>
                <w:rFonts w:ascii="Courier New" w:cs="Courier New" w:eastAsia="Courier New" w:hAnsi="Courier New"/>
                <w:sz w:val="17"/>
                <w:szCs w:val="17"/>
                <w:color w:val="auto"/>
                <w:w w:val="96"/>
              </w:rPr>
              <w:t>September 26, 2002</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G. Ronald Morris</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5"/>
        </w:trPr>
        <w:tc>
          <w:tcPr>
            <w:tcW w:w="3060" w:type="dxa"/>
            <w:vAlign w:val="bottom"/>
          </w:tcPr>
          <w:p>
            <w:pPr>
              <w:spacing w:after="0"/>
              <w:rPr>
                <w:sz w:val="20"/>
                <w:szCs w:val="20"/>
                <w:color w:val="auto"/>
              </w:rPr>
            </w:pPr>
            <w:r>
              <w:rPr>
                <w:rFonts w:ascii="Courier New" w:cs="Courier New" w:eastAsia="Courier New" w:hAnsi="Courier New"/>
                <w:sz w:val="17"/>
                <w:szCs w:val="17"/>
                <w:color w:val="auto"/>
              </w:rPr>
              <w:t>/s/ Michael E. Werner</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700" w:type="dxa"/>
            <w:vAlign w:val="bottom"/>
          </w:tcPr>
          <w:p>
            <w:pPr>
              <w:ind w:left="1900"/>
              <w:spacing w:after="0"/>
              <w:rPr>
                <w:sz w:val="20"/>
                <w:szCs w:val="20"/>
                <w:color w:val="auto"/>
              </w:rPr>
            </w:pPr>
            <w:r>
              <w:rPr>
                <w:rFonts w:ascii="Courier New" w:cs="Courier New" w:eastAsia="Courier New" w:hAnsi="Courier New"/>
                <w:sz w:val="17"/>
                <w:szCs w:val="17"/>
                <w:color w:val="auto"/>
                <w:w w:val="96"/>
              </w:rPr>
              <w:t>September 26, 2002</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Michael E. Werner</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5"/>
        </w:trPr>
        <w:tc>
          <w:tcPr>
            <w:tcW w:w="3060" w:type="dxa"/>
            <w:vAlign w:val="bottom"/>
          </w:tcPr>
          <w:p>
            <w:pPr>
              <w:spacing w:after="0"/>
              <w:rPr>
                <w:sz w:val="20"/>
                <w:szCs w:val="20"/>
                <w:color w:val="auto"/>
              </w:rPr>
            </w:pPr>
            <w:r>
              <w:rPr>
                <w:rFonts w:ascii="Courier New" w:cs="Courier New" w:eastAsia="Courier New" w:hAnsi="Courier New"/>
                <w:sz w:val="17"/>
                <w:szCs w:val="17"/>
                <w:color w:val="auto"/>
              </w:rPr>
              <w:t>/s/ Steven T. Warshaw</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700" w:type="dxa"/>
            <w:vAlign w:val="bottom"/>
          </w:tcPr>
          <w:p>
            <w:pPr>
              <w:ind w:left="1900"/>
              <w:spacing w:after="0"/>
              <w:rPr>
                <w:sz w:val="20"/>
                <w:szCs w:val="20"/>
                <w:color w:val="auto"/>
              </w:rPr>
            </w:pPr>
            <w:r>
              <w:rPr>
                <w:rFonts w:ascii="Courier New" w:cs="Courier New" w:eastAsia="Courier New" w:hAnsi="Courier New"/>
                <w:sz w:val="17"/>
                <w:szCs w:val="17"/>
                <w:color w:val="auto"/>
                <w:w w:val="96"/>
              </w:rPr>
              <w:t>September 26, 2002</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rPr>
              <w:t>Steven T. Warshaw</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5"/>
        </w:trPr>
        <w:tc>
          <w:tcPr>
            <w:tcW w:w="3060" w:type="dxa"/>
            <w:vAlign w:val="bottom"/>
          </w:tcPr>
          <w:p>
            <w:pPr>
              <w:spacing w:after="0"/>
              <w:rPr>
                <w:sz w:val="20"/>
                <w:szCs w:val="20"/>
                <w:color w:val="auto"/>
              </w:rPr>
            </w:pPr>
            <w:r>
              <w:rPr>
                <w:rFonts w:ascii="Courier New" w:cs="Courier New" w:eastAsia="Courier New" w:hAnsi="Courier New"/>
                <w:sz w:val="17"/>
                <w:szCs w:val="17"/>
                <w:color w:val="auto"/>
              </w:rPr>
              <w:t>/s/ James L. Earsley</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Director</w:t>
            </w:r>
          </w:p>
        </w:tc>
        <w:tc>
          <w:tcPr>
            <w:tcW w:w="3700" w:type="dxa"/>
            <w:vAlign w:val="bottom"/>
          </w:tcPr>
          <w:p>
            <w:pPr>
              <w:ind w:left="1900"/>
              <w:spacing w:after="0"/>
              <w:rPr>
                <w:sz w:val="20"/>
                <w:szCs w:val="20"/>
                <w:color w:val="auto"/>
              </w:rPr>
            </w:pPr>
            <w:r>
              <w:rPr>
                <w:rFonts w:ascii="Courier New" w:cs="Courier New" w:eastAsia="Courier New" w:hAnsi="Courier New"/>
                <w:sz w:val="17"/>
                <w:szCs w:val="17"/>
                <w:color w:val="auto"/>
                <w:w w:val="96"/>
              </w:rPr>
              <w:t>September 26, 2002</w:t>
            </w:r>
          </w:p>
        </w:tc>
      </w:tr>
      <w:tr>
        <w:trPr>
          <w:trHeight w:val="193"/>
        </w:trPr>
        <w:tc>
          <w:tcPr>
            <w:tcW w:w="3060" w:type="dxa"/>
            <w:vAlign w:val="bottom"/>
          </w:tcPr>
          <w:p>
            <w:pPr>
              <w:spacing w:after="0"/>
              <w:rPr>
                <w:sz w:val="20"/>
                <w:szCs w:val="20"/>
                <w:color w:val="auto"/>
              </w:rPr>
            </w:pPr>
            <w:r>
              <w:rPr>
                <w:rFonts w:ascii="Courier New" w:cs="Courier New" w:eastAsia="Courier New" w:hAnsi="Courier New"/>
                <w:sz w:val="17"/>
                <w:szCs w:val="17"/>
                <w:color w:val="auto"/>
                <w:w w:val="99"/>
              </w:rPr>
              <w:t>- ----------------------------</w:t>
            </w:r>
          </w:p>
        </w:tc>
        <w:tc>
          <w:tcPr>
            <w:tcW w:w="2760" w:type="dxa"/>
            <w:vAlign w:val="bottom"/>
          </w:tcPr>
          <w:p>
            <w:pPr>
              <w:spacing w:after="0"/>
              <w:rPr>
                <w:sz w:val="16"/>
                <w:szCs w:val="16"/>
                <w:color w:val="auto"/>
              </w:rPr>
            </w:pPr>
          </w:p>
        </w:tc>
        <w:tc>
          <w:tcPr>
            <w:tcW w:w="3700" w:type="dxa"/>
            <w:vAlign w:val="bottom"/>
          </w:tcPr>
          <w:p>
            <w:pPr>
              <w:spacing w:after="0"/>
              <w:rPr>
                <w:sz w:val="16"/>
                <w:szCs w:val="16"/>
                <w:color w:val="auto"/>
              </w:rPr>
            </w:pPr>
          </w:p>
        </w:tc>
      </w:tr>
    </w:tbl>
    <w:p>
      <w:pPr>
        <w:sectPr>
          <w:pgSz w:w="11900" w:h="16860" w:orient="portrait"/>
          <w:cols w:equalWidth="0" w:num="1">
            <w:col w:w="10219"/>
          </w:cols>
          <w:pgMar w:left="240" w:top="136" w:right="1440" w:bottom="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James L. Earsley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344170</wp:posOffset>
            </wp:positionV>
            <wp:extent cx="72783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4191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b w:val="1"/>
          <w:bCs w:val="1"/>
          <w:color w:val="auto"/>
        </w:rPr>
        <w:t>Index of Exhibits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Exhibit</w:t>
      </w:r>
    </w:p>
    <w:p>
      <w:pPr>
        <w:spacing w:after="0"/>
        <w:tabs>
          <w:tab w:leader="none" w:pos="1580" w:val="left"/>
        </w:tabs>
        <w:rPr>
          <w:sz w:val="20"/>
          <w:szCs w:val="20"/>
          <w:color w:val="auto"/>
        </w:rPr>
      </w:pPr>
      <w:r>
        <w:rPr>
          <w:rFonts w:ascii="Courier New" w:cs="Courier New" w:eastAsia="Courier New" w:hAnsi="Courier New"/>
          <w:sz w:val="17"/>
          <w:szCs w:val="17"/>
          <w:b w:val="1"/>
          <w:bCs w:val="1"/>
          <w:color w:val="auto"/>
        </w:rPr>
        <w:t>Number</w:t>
      </w:r>
      <w:r>
        <w:rPr>
          <w:sz w:val="20"/>
          <w:szCs w:val="20"/>
          <w:color w:val="auto"/>
        </w:rPr>
        <w:tab/>
      </w:r>
      <w:r>
        <w:rPr>
          <w:rFonts w:ascii="Courier New" w:cs="Courier New" w:eastAsia="Courier New" w:hAnsi="Courier New"/>
          <w:sz w:val="17"/>
          <w:szCs w:val="17"/>
          <w:b w:val="1"/>
          <w:bCs w:val="1"/>
          <w:color w:val="auto"/>
        </w:rPr>
        <w:t>Document</w:t>
      </w:r>
    </w:p>
    <w:p>
      <w:pPr>
        <w:spacing w:after="0"/>
        <w:tabs>
          <w:tab w:leader="none" w:pos="1780" w:val="left"/>
        </w:tabs>
        <w:rPr>
          <w:sz w:val="20"/>
          <w:szCs w:val="20"/>
          <w:color w:val="auto"/>
        </w:rPr>
      </w:pPr>
      <w:r>
        <w:rPr>
          <w:rFonts w:ascii="Courier New" w:cs="Courier New" w:eastAsia="Courier New" w:hAnsi="Courier New"/>
          <w:sz w:val="17"/>
          <w:szCs w:val="17"/>
          <w:b w:val="1"/>
          <w:bCs w:val="1"/>
          <w:color w:val="auto"/>
        </w:rPr>
        <w:t>- -------</w:t>
      </w:r>
      <w:r>
        <w:rPr>
          <w:sz w:val="20"/>
          <w:szCs w:val="20"/>
          <w:color w:val="auto"/>
        </w:rPr>
        <w:tab/>
      </w:r>
      <w:r>
        <w:rPr>
          <w:rFonts w:ascii="Courier New" w:cs="Courier New" w:eastAsia="Courier New" w:hAnsi="Courier New"/>
          <w:sz w:val="16"/>
          <w:szCs w:val="16"/>
          <w:b w:val="1"/>
          <w:bCs w:val="1"/>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Form of Underwriting Agreement</w:t>
      </w:r>
    </w:p>
    <w:p>
      <w:pPr>
        <w:spacing w:after="0" w:line="198" w:lineRule="exact"/>
        <w:rPr>
          <w:sz w:val="20"/>
          <w:szCs w:val="20"/>
          <w:color w:val="auto"/>
        </w:rPr>
      </w:pPr>
    </w:p>
    <w:p>
      <w:pPr>
        <w:ind w:left="500" w:right="2499" w:hanging="500"/>
        <w:spacing w:after="0" w:line="237" w:lineRule="auto"/>
        <w:tabs>
          <w:tab w:leader="none" w:pos="480" w:val="left"/>
        </w:tabs>
        <w:rPr>
          <w:sz w:val="20"/>
          <w:szCs w:val="20"/>
          <w:color w:val="auto"/>
        </w:rPr>
      </w:pPr>
      <w:r>
        <w:rPr>
          <w:rFonts w:ascii="Courier New" w:cs="Courier New" w:eastAsia="Courier New" w:hAnsi="Courier New"/>
          <w:sz w:val="17"/>
          <w:szCs w:val="17"/>
          <w:color w:val="auto"/>
        </w:rPr>
        <w:t>3.1</w:t>
        <w:tab/>
        <w:t>Restated Certificate of Incorporation of the Company. (incorporated by reference to Exhibit 3.1 of Company's Registration Statement on Form S-3 filed June 6, 2002)</w:t>
      </w:r>
    </w:p>
    <w:p>
      <w:pPr>
        <w:spacing w:after="0" w:line="200" w:lineRule="exact"/>
        <w:rPr>
          <w:sz w:val="20"/>
          <w:szCs w:val="20"/>
          <w:color w:val="auto"/>
        </w:rPr>
      </w:pPr>
    </w:p>
    <w:p>
      <w:pPr>
        <w:ind w:left="500" w:right="2299" w:hanging="500"/>
        <w:spacing w:after="0" w:line="236" w:lineRule="auto"/>
        <w:tabs>
          <w:tab w:leader="none" w:pos="480" w:val="left"/>
        </w:tabs>
        <w:rPr>
          <w:sz w:val="20"/>
          <w:szCs w:val="20"/>
          <w:color w:val="auto"/>
        </w:rPr>
      </w:pPr>
      <w:r>
        <w:rPr>
          <w:rFonts w:ascii="Courier New" w:cs="Courier New" w:eastAsia="Courier New" w:hAnsi="Courier New"/>
          <w:sz w:val="17"/>
          <w:szCs w:val="17"/>
          <w:color w:val="auto"/>
        </w:rPr>
        <w:t>3.2</w:t>
        <w:tab/>
        <w:t>Restated By-Laws of the Company. (incorporated by reference to Exhibit 3.2 of Company's Registration Statement on Form S-3 filed June 6, 2002)</w:t>
      </w:r>
    </w:p>
    <w:p>
      <w:pPr>
        <w:spacing w:after="0" w:line="199" w:lineRule="exact"/>
        <w:rPr>
          <w:sz w:val="20"/>
          <w:szCs w:val="20"/>
          <w:color w:val="auto"/>
        </w:rPr>
      </w:pPr>
    </w:p>
    <w:p>
      <w:pPr>
        <w:ind w:left="500" w:right="2199" w:hanging="500"/>
        <w:spacing w:after="0" w:line="237" w:lineRule="auto"/>
        <w:tabs>
          <w:tab w:leader="none" w:pos="480" w:val="left"/>
        </w:tabs>
        <w:rPr>
          <w:sz w:val="20"/>
          <w:szCs w:val="20"/>
          <w:color w:val="auto"/>
        </w:rPr>
      </w:pPr>
      <w:r>
        <w:rPr>
          <w:rFonts w:ascii="Courier New" w:cs="Courier New" w:eastAsia="Courier New" w:hAnsi="Courier New"/>
          <w:sz w:val="17"/>
          <w:szCs w:val="17"/>
          <w:color w:val="auto"/>
        </w:rPr>
        <w:t>4.1</w:t>
        <w:tab/>
        <w:t>The specimen certificate representing the Company's Common Stock, par value $0.01 per share. (incorporated by reference to Exhibit 4.1 of Company's Registration Statement on Form S-3 filed June 6, 2002)</w:t>
      </w:r>
    </w:p>
    <w:p>
      <w:pPr>
        <w:spacing w:after="0" w:line="200" w:lineRule="exact"/>
        <w:rPr>
          <w:sz w:val="20"/>
          <w:szCs w:val="20"/>
          <w:color w:val="auto"/>
        </w:rPr>
      </w:pPr>
    </w:p>
    <w:p>
      <w:pPr>
        <w:ind w:left="500" w:right="2199" w:hanging="500"/>
        <w:spacing w:after="0" w:line="237" w:lineRule="auto"/>
        <w:tabs>
          <w:tab w:leader="none" w:pos="480" w:val="left"/>
        </w:tabs>
        <w:rPr>
          <w:sz w:val="20"/>
          <w:szCs w:val="20"/>
          <w:color w:val="auto"/>
        </w:rPr>
      </w:pPr>
      <w:r>
        <w:rPr>
          <w:rFonts w:ascii="Courier New" w:cs="Courier New" w:eastAsia="Courier New" w:hAnsi="Courier New"/>
          <w:sz w:val="17"/>
          <w:szCs w:val="17"/>
          <w:color w:val="auto"/>
        </w:rPr>
        <w:t>4.2</w:t>
        <w:tab/>
        <w:t>Article IV, Article V (Sections 3 through 6), Article VI (Section 2) and Article VII (Sections 1 and 3) of the Restated Certificate of Incorporation of the Company (included in Exhibit 3.1).</w:t>
      </w:r>
    </w:p>
    <w:p>
      <w:pPr>
        <w:spacing w:after="0" w:line="200" w:lineRule="exact"/>
        <w:rPr>
          <w:sz w:val="20"/>
          <w:szCs w:val="20"/>
          <w:color w:val="auto"/>
        </w:rPr>
      </w:pPr>
    </w:p>
    <w:p>
      <w:pPr>
        <w:ind w:left="500" w:right="2199" w:hanging="500"/>
        <w:spacing w:after="0" w:line="262" w:lineRule="auto"/>
        <w:tabs>
          <w:tab w:leader="none" w:pos="48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6"/>
          <w:szCs w:val="16"/>
          <w:color w:val="auto"/>
        </w:rPr>
        <w:t>Article II (Sections 7 and 12), Article III (Sections 2 and 15) and Article VI of the Restated By-Laws of the Company (included in Exhibit 3.2).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 Opinion of Blackwell Sanders Peper Martin LLP, counsel to the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23.1 Consent of Blackwell Sanders Peper Martin LLP (included in Exhibit 5.1).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23.2 Consent of KPMG LLP, Independent Auditors.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23.3 Consent of PricewaterhouseCoopers LLP, Independent Auditors.</w:t>
      </w:r>
    </w:p>
    <w:p>
      <w:pPr>
        <w:spacing w:after="0" w:line="198" w:lineRule="exact"/>
        <w:rPr>
          <w:sz w:val="20"/>
          <w:szCs w:val="20"/>
          <w:color w:val="auto"/>
        </w:rPr>
      </w:pPr>
    </w:p>
    <w:p>
      <w:pPr>
        <w:ind w:left="500" w:right="2699" w:hanging="497"/>
        <w:spacing w:after="0" w:line="236" w:lineRule="auto"/>
        <w:tabs>
          <w:tab w:leader="none" w:pos="5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Attorney (included in the signature page to the Registration Statement).</w:t>
      </w:r>
    </w:p>
    <w:p>
      <w:pPr>
        <w:spacing w:after="0" w:line="199" w:lineRule="exact"/>
        <w:rPr>
          <w:sz w:val="20"/>
          <w:szCs w:val="20"/>
          <w:color w:val="auto"/>
        </w:rPr>
      </w:pPr>
    </w:p>
    <w:p>
      <w:pPr>
        <w:ind w:left="500" w:right="2199" w:hanging="497"/>
        <w:spacing w:after="0" w:line="237" w:lineRule="auto"/>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by post-effective amendment or pursuant to a report to be filed pursuant to Section 13 or 15(d) of the Securities Exchange Act of 1934, if applicable, and incorporated herein by reference</w:t>
      </w:r>
    </w:p>
    <w:p>
      <w:pPr>
        <w:sectPr>
          <w:pgSz w:w="11900" w:h="16838" w:orient="portrait"/>
          <w:cols w:equalWidth="0" w:num="1">
            <w:col w:w="10219"/>
          </w:cols>
          <w:pgMar w:left="240" w:top="142"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KPMG</w:t>
      </w:r>
    </w:p>
    <w:p>
      <w:pPr>
        <w:spacing w:after="0"/>
        <w:rPr>
          <w:sz w:val="20"/>
          <w:szCs w:val="20"/>
          <w:color w:val="auto"/>
        </w:rPr>
      </w:pPr>
      <w:r>
        <w:rPr>
          <w:rFonts w:ascii="Courier New" w:cs="Courier New" w:eastAsia="Courier New" w:hAnsi="Courier New"/>
          <w:sz w:val="17"/>
          <w:szCs w:val="17"/>
          <w:color w:val="auto"/>
        </w:rPr>
        <w:t>401 South Tryon Street</w:t>
      </w:r>
    </w:p>
    <w:p>
      <w:pPr>
        <w:spacing w:after="0"/>
        <w:rPr>
          <w:sz w:val="20"/>
          <w:szCs w:val="20"/>
          <w:color w:val="auto"/>
        </w:rPr>
      </w:pPr>
      <w:r>
        <w:rPr>
          <w:rFonts w:ascii="Courier New" w:cs="Courier New" w:eastAsia="Courier New" w:hAnsi="Courier New"/>
          <w:sz w:val="17"/>
          <w:szCs w:val="17"/>
          <w:color w:val="auto"/>
        </w:rPr>
        <w:t>Suite 2300</w:t>
      </w:r>
    </w:p>
    <w:p>
      <w:pPr>
        <w:spacing w:after="0"/>
        <w:tabs>
          <w:tab w:leader="none" w:pos="1480" w:val="left"/>
        </w:tabs>
        <w:rPr>
          <w:sz w:val="20"/>
          <w:szCs w:val="20"/>
          <w:color w:val="auto"/>
        </w:rPr>
      </w:pPr>
      <w:r>
        <w:rPr>
          <w:rFonts w:ascii="Courier New" w:cs="Courier New" w:eastAsia="Courier New" w:hAnsi="Courier New"/>
          <w:sz w:val="17"/>
          <w:szCs w:val="17"/>
          <w:color w:val="auto"/>
        </w:rPr>
        <w:t>Charlotte, NC</w:t>
      </w:r>
      <w:r>
        <w:rPr>
          <w:sz w:val="20"/>
          <w:szCs w:val="20"/>
          <w:color w:val="auto"/>
        </w:rPr>
        <w:tab/>
      </w:r>
      <w:r>
        <w:rPr>
          <w:rFonts w:ascii="Courier New" w:cs="Courier New" w:eastAsia="Courier New" w:hAnsi="Courier New"/>
          <w:sz w:val="16"/>
          <w:szCs w:val="16"/>
          <w:color w:val="auto"/>
        </w:rPr>
        <w:t>28202-1911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b w:val="1"/>
          <w:bCs w:val="1"/>
          <w:color w:val="auto"/>
        </w:rPr>
        <w:t>Independent Auditors' Consent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rPr>
          <w:sz w:val="20"/>
          <w:szCs w:val="20"/>
          <w:color w:val="auto"/>
        </w:rPr>
      </w:pPr>
      <w:r>
        <w:rPr>
          <w:rFonts w:ascii="Courier New" w:cs="Courier New" w:eastAsia="Courier New" w:hAnsi="Courier New"/>
          <w:sz w:val="17"/>
          <w:szCs w:val="17"/>
          <w:color w:val="auto"/>
        </w:rPr>
        <w:t>NN, Inc.:</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We consent to the use of our report dated February 28, 2002, with respect to the consolidated balance sheets of NN, Inc. as of December 31, 2001 and 2000, and the related consolidated statements of income and comprehensive income, consolidated statements of changes in stockholders' equity, and consolidated statements of cash flows for the years then ended, incorporated herein by reference and to the reference to our firm under the heading "Experts" in the prospectus. Our report refers to a change in the Company's method of accounting for derivative instruments and hedging activities in 2001.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KPMG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Charlotte, North Carolina</w:t>
      </w:r>
    </w:p>
    <w:p>
      <w:pPr>
        <w:spacing w:after="0"/>
        <w:rPr>
          <w:sz w:val="20"/>
          <w:szCs w:val="20"/>
          <w:color w:val="auto"/>
        </w:rPr>
      </w:pPr>
      <w:r>
        <w:rPr>
          <w:rFonts w:ascii="Courier New" w:cs="Courier New" w:eastAsia="Courier New" w:hAnsi="Courier New"/>
          <w:sz w:val="17"/>
          <w:szCs w:val="17"/>
          <w:color w:val="auto"/>
        </w:rPr>
        <w:t>September 25, 2002</w:t>
      </w:r>
    </w:p>
    <w:p>
      <w:pPr>
        <w:sectPr>
          <w:pgSz w:w="11900" w:h="16838" w:orient="portrait"/>
          <w:cols w:equalWidth="0" w:num="1">
            <w:col w:w="10219"/>
          </w:cols>
          <w:pgMar w:left="240" w:top="136" w:right="1440" w:bottom="1440" w:gutter="0" w:footer="0" w:header="0"/>
        </w:sectPr>
      </w:pPr>
    </w:p>
    <w:bookmarkStart w:id="17" w:name="page18"/>
    <w:bookmarkEnd w:id="17"/>
    <w:p>
      <w:pPr>
        <w:spacing w:after="0"/>
        <w:rPr>
          <w:sz w:val="20"/>
          <w:szCs w:val="20"/>
          <w:color w:val="auto"/>
        </w:rPr>
      </w:pPr>
      <w:r>
        <w:rPr>
          <w:rFonts w:ascii="Arial" w:cs="Arial" w:eastAsia="Arial" w:hAnsi="Arial"/>
          <w:sz w:val="21"/>
          <w:szCs w:val="21"/>
          <w:color w:val="auto"/>
        </w:rPr>
        <w:t>Exhibit 23.3</w:t>
      </w:r>
    </w:p>
    <w:p>
      <w:pPr>
        <w:spacing w:after="0" w:line="200" w:lineRule="exact"/>
        <w:rPr>
          <w:sz w:val="20"/>
          <w:szCs w:val="20"/>
          <w:color w:val="auto"/>
        </w:rPr>
      </w:pPr>
    </w:p>
    <w:p>
      <w:pPr>
        <w:spacing w:after="0" w:line="359"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384"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We hereby consent to the in this We hereby consent to the incorporation by reference in this Registration Statement on Form S-3 of our report dated February 4, 2000 relating to the December 31, 1999 consolidated financial statements of NN, Inc. (formerly known as NN Ball &amp; Roller, Inc.), which appears in NN, Inc.'s Annual Report on Form 10-K for the year ended December 31, 2001. We also consent to the reference to us under the heading "Experts" in such Registration Statement.</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rPr>
          <w:sz w:val="20"/>
          <w:szCs w:val="20"/>
          <w:color w:val="auto"/>
        </w:rPr>
      </w:pPr>
      <w:r>
        <w:rPr>
          <w:rFonts w:ascii="Courier New" w:cs="Courier New" w:eastAsia="Courier New" w:hAnsi="Courier New"/>
          <w:sz w:val="17"/>
          <w:szCs w:val="17"/>
          <w:color w:val="auto"/>
        </w:rPr>
        <w:t>PricewaterhouseCoopers LLP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Charlotte, North Carolina</w:t>
      </w:r>
    </w:p>
    <w:p>
      <w:pPr>
        <w:spacing w:after="0"/>
        <w:rPr>
          <w:sz w:val="20"/>
          <w:szCs w:val="20"/>
          <w:color w:val="auto"/>
        </w:rPr>
      </w:pPr>
      <w:r>
        <w:rPr>
          <w:rFonts w:ascii="Courier New" w:cs="Courier New" w:eastAsia="Courier New" w:hAnsi="Courier New"/>
          <w:sz w:val="17"/>
          <w:szCs w:val="17"/>
          <w:color w:val="auto"/>
        </w:rPr>
        <w:t>September 25, 2002</w:t>
      </w:r>
    </w:p>
    <w:sectPr>
      <w:pgSz w:w="11900" w:h="16838" w:orient="portrait"/>
      <w:cols w:equalWidth="0" w:num="1">
        <w:col w:w="10219"/>
      </w:cols>
      <w:pgMar w:left="24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o"/>
      <w:numFmt w:val="bullet"/>
      <w:start w:val="1"/>
    </w:lvl>
  </w:abstractNum>
  <w:abstractNum w:abstractNumId="3">
    <w:nsid w:val="140E0F76"/>
    <w:multiLevelType w:val="hybridMultilevel"/>
    <w:lvl w:ilvl="0">
      <w:lvlJc w:val="left"/>
      <w:lvlText w:val="%1"/>
      <w:numFmt w:val="upperLetter"/>
      <w:start w:val="40"/>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o"/>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o"/>
      <w:numFmt w:val="bullet"/>
      <w:start w:val="1"/>
    </w:lvl>
  </w:abstractNum>
  <w:abstractNum w:abstractNumId="9">
    <w:nsid w:val="41A7C4C9"/>
    <w:multiLevelType w:val="hybridMultilevel"/>
    <w:lvl w:ilvl="0">
      <w:lvlJc w:val="left"/>
      <w:lvlText w:val="o"/>
      <w:numFmt w:val="bullet"/>
      <w:start w:val="1"/>
    </w:lvl>
  </w:abstractNum>
  <w:abstractNum w:abstractNumId="10">
    <w:nsid w:val="6B68079A"/>
    <w:multiLevelType w:val="hybridMultilevel"/>
    <w:lvl w:ilvl="0">
      <w:lvlJc w:val="left"/>
      <w:lvlText w:val="o"/>
      <w:numFmt w:val="bullet"/>
      <w:start w:val="1"/>
    </w:lvl>
  </w:abstractNum>
  <w:abstractNum w:abstractNumId="11">
    <w:nsid w:val="4E6AFB66"/>
    <w:multiLevelType w:val="hybridMultilevel"/>
    <w:lvl w:ilvl="0">
      <w:lvlJc w:val="left"/>
      <w:lvlText w:val="o"/>
      <w:numFmt w:val="bullet"/>
      <w:start w:val="1"/>
    </w:lvl>
  </w:abstractNum>
  <w:abstractNum w:abstractNumId="12">
    <w:nsid w:val="25E45D32"/>
    <w:multiLevelType w:val="hybridMultilevel"/>
    <w:lvl w:ilvl="0">
      <w:lvlJc w:val="left"/>
      <w:lvlText w:val="o"/>
      <w:numFmt w:val="bullet"/>
      <w:start w:val="1"/>
    </w:lvl>
  </w:abstractNum>
  <w:abstractNum w:abstractNumId="13">
    <w:nsid w:val="519B500D"/>
    <w:multiLevelType w:val="hybridMultilevel"/>
    <w:lvl w:ilvl="0">
      <w:lvlJc w:val="left"/>
      <w:lvlText w:val="%1"/>
      <w:numFmt w:val="decimal"/>
      <w:start w:val="24"/>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lvl w:ilvl="1">
      <w:lvlJc w:val="left"/>
      <w:lvlText w:val="(%2)"/>
      <w:numFmt w:val="lowerRoman"/>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24"/>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2019-12-14T03:10:15Z</dcterms:created>
  <dcterms:modified xsi:type="dcterms:W3CDTF">2019-12-14T03:10:15Z</dcterms:modified>
</cp:coreProperties>
</file>