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5"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9" w:lineRule="exact"/>
        <w:rPr>
          <w:sz w:val="24"/>
          <w:szCs w:val="24"/>
          <w:color w:val="auto"/>
        </w:r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4"/>
          <w:szCs w:val="14"/>
          <w:b w:val="1"/>
          <w:bCs w:val="1"/>
          <w:color w:val="auto"/>
        </w:rPr>
        <w:t>(I.R.S. Employer</w:t>
      </w:r>
    </w:p>
    <w:p>
      <w:pPr>
        <w:jc w:val="center"/>
        <w:ind w:right="21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4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2000 Waters Edge Drive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August 5, 2013, there were 17,272,099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40" w:type="dxa"/>
            <w:vAlign w:val="bottom"/>
            <w:gridSpan w:val="8"/>
          </w:tcPr>
          <w:p>
            <w:pPr>
              <w:jc w:val="center"/>
              <w:ind w:right="4780"/>
              <w:spacing w:after="0"/>
              <w:rPr>
                <w:sz w:val="20"/>
                <w:szCs w:val="20"/>
                <w:color w:val="auto"/>
              </w:rPr>
            </w:pPr>
            <w:r>
              <w:rPr>
                <w:rFonts w:ascii="Arial" w:cs="Arial" w:eastAsia="Arial" w:hAnsi="Arial"/>
                <w:sz w:val="18"/>
                <w:szCs w:val="18"/>
                <w:b w:val="1"/>
                <w:bCs w:val="1"/>
                <w:color w:val="auto"/>
                <w:w w:val="92"/>
              </w:rPr>
              <w:t>NN, Inc.</w:t>
            </w:r>
          </w:p>
        </w:tc>
        <w:tc>
          <w:tcPr>
            <w:tcW w:w="500" w:type="dxa"/>
            <w:vAlign w:val="bottom"/>
          </w:tcPr>
          <w:p>
            <w:pPr>
              <w:spacing w:after="0"/>
              <w:rPr>
                <w:sz w:val="18"/>
                <w:szCs w:val="18"/>
                <w:color w:val="auto"/>
              </w:rPr>
            </w:pPr>
          </w:p>
        </w:tc>
      </w:tr>
      <w:tr>
        <w:trPr>
          <w:trHeight w:val="228"/>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0" w:type="dxa"/>
            <w:vAlign w:val="bottom"/>
            <w:gridSpan w:val="7"/>
          </w:tcPr>
          <w:p>
            <w:pPr>
              <w:jc w:val="center"/>
              <w:ind w:right="480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19"/>
                <w:szCs w:val="19"/>
                <w:color w:val="auto"/>
              </w:rPr>
            </w:pPr>
          </w:p>
        </w:tc>
      </w:tr>
      <w:tr>
        <w:trPr>
          <w:trHeight w:val="556"/>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Page No.</w:t>
            </w:r>
          </w:p>
        </w:tc>
      </w:tr>
      <w:tr>
        <w:trPr>
          <w:trHeight w:val="264"/>
        </w:trPr>
        <w:tc>
          <w:tcPr>
            <w:tcW w:w="1082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00" w:type="dxa"/>
            <w:vAlign w:val="bottom"/>
          </w:tcPr>
          <w:p>
            <w:pPr>
              <w:spacing w:after="0"/>
              <w:rPr>
                <w:sz w:val="22"/>
                <w:szCs w:val="22"/>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12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Comprehensive Income for the three and six months ended June 30, 2013 and 2012</w:t>
              </w:r>
            </w:hyperlink>
          </w:p>
        </w:tc>
        <w:tc>
          <w:tcPr>
            <w:tcW w:w="5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98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at June 30, 2013 and December 31, 2012 (unaudited)</w:t>
              </w:r>
            </w:hyperlink>
          </w:p>
        </w:tc>
        <w:tc>
          <w:tcPr>
            <w:tcW w:w="30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 of Changes in Stockholders’ Equity for the six months ended June 30, 2013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six months ended June 30, 2013 and 2012 (unaudited)</w:t>
              </w:r>
            </w:hyperlink>
          </w:p>
        </w:tc>
        <w:tc>
          <w:tcPr>
            <w:tcW w:w="720" w:type="dxa"/>
            <w:vAlign w:val="bottom"/>
            <w:tcBorders>
              <w:top w:val="single" w:sz="8" w:color="0000EE"/>
            </w:tcBorders>
            <w:gridSpan w:val="2"/>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88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1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33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4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22">
              <w:r>
                <w:rPr>
                  <w:rFonts w:ascii="Arial" w:cs="Arial" w:eastAsia="Arial" w:hAnsi="Arial"/>
                  <w:sz w:val="18"/>
                  <w:szCs w:val="18"/>
                  <w:b w:val="1"/>
                  <w:bCs w:val="1"/>
                  <w:color w:val="0000EE"/>
                  <w:w w:val="94"/>
                </w:rPr>
                <w:t>Part II. Other Information</w:t>
              </w:r>
            </w:hyperlink>
          </w:p>
        </w:tc>
        <w:tc>
          <w:tcPr>
            <w:tcW w:w="8800" w:type="dxa"/>
            <w:vAlign w:val="bottom"/>
            <w:gridSpan w:val="16"/>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834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40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792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3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18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3"/>
        </w:trPr>
        <w:tc>
          <w:tcPr>
            <w:tcW w:w="7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760" w:type="dxa"/>
            <w:vAlign w:val="bottom"/>
            <w:gridSpan w:val="13"/>
          </w:tcPr>
          <w:p>
            <w:pPr>
              <w:jc w:val="center"/>
              <w:ind w:left="4232"/>
              <w:spacing w:after="0"/>
              <w:rPr>
                <w:sz w:val="20"/>
                <w:szCs w:val="20"/>
                <w:color w:val="auto"/>
              </w:rPr>
            </w:pPr>
            <w:r>
              <w:rPr>
                <w:rFonts w:ascii="Arial" w:cs="Arial" w:eastAsia="Arial" w:hAnsi="Arial"/>
                <w:sz w:val="18"/>
                <w:szCs w:val="18"/>
                <w:color w:val="auto"/>
                <w:w w:val="79"/>
              </w:rPr>
              <w:t>1</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78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100" w:type="dxa"/>
            <w:vAlign w:val="bottom"/>
          </w:tcPr>
          <w:p>
            <w:pPr>
              <w:spacing w:after="0"/>
              <w:rPr>
                <w:sz w:val="15"/>
                <w:szCs w:val="15"/>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4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96,305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98,824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190,102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203,343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75,751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77,848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150,268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160,817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loss on disposal of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1"/>
        </w:trPr>
        <w:tc>
          <w:tcPr>
            <w:tcW w:w="78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12,947</w:t>
            </w:r>
          </w:p>
        </w:tc>
        <w:tc>
          <w:tcPr>
            <w:tcW w:w="0" w:type="dxa"/>
            <w:vAlign w:val="bottom"/>
          </w:tcPr>
          <w:p>
            <w:pPr>
              <w:spacing w:after="0"/>
              <w:rPr>
                <w:sz w:val="1"/>
                <w:szCs w:val="1"/>
                <w:color w:val="auto"/>
              </w:rPr>
            </w:pPr>
          </w:p>
        </w:tc>
      </w:tr>
      <w:tr>
        <w:trPr>
          <w:trHeight w:val="323"/>
        </w:trPr>
        <w:tc>
          <w:tcPr>
            <w:tcW w:w="782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vMerge w:val="restart"/>
          </w:tcPr>
          <w:p>
            <w:pPr>
              <w:ind w:left="86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6,156</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vMerge w:val="restart"/>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17,136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17,082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vMerge w:val="restart"/>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17,172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17,139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8"/>
        </w:trPr>
        <w:tc>
          <w:tcPr>
            <w:tcW w:w="9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$457 and $311,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127,937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115,469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119,687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261,439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40,023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3"/>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125,412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4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136,027</w:t>
            </w: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128,560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261,439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9"/>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color w:val="auto"/>
                <w:w w:val="91"/>
              </w:rPr>
              <w:t>(In Thousands of Dollars and Shares)</w:t>
            </w:r>
          </w:p>
        </w:tc>
        <w:tc>
          <w:tcPr>
            <w:tcW w:w="2920" w:type="dxa"/>
            <w:vAlign w:val="bottom"/>
            <w:vMerge w:val="restart"/>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Additional Paid</w:t>
            </w: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Retained</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6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104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in Capital</w:t>
            </w:r>
          </w:p>
        </w:tc>
        <w:tc>
          <w:tcPr>
            <w:tcW w:w="380" w:type="dxa"/>
            <w:vAlign w:val="bottom"/>
          </w:tcPr>
          <w:p>
            <w:pPr>
              <w:spacing w:after="0"/>
              <w:rPr>
                <w:sz w:val="14"/>
                <w:szCs w:val="14"/>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4"/>
                <w:szCs w:val="14"/>
                <w:color w:val="auto"/>
              </w:rPr>
            </w:pP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17,044</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6"/>
              </w:rPr>
              <w:t>170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56,880</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$51,880</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19,630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$128,560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0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7,641</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Shares issued for options</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86"/>
              </w:rPr>
              <w:t>138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185</w:t>
            </w:r>
          </w:p>
        </w:tc>
        <w:tc>
          <w:tcPr>
            <w:tcW w:w="3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option expense</w:t>
            </w:r>
          </w:p>
        </w:tc>
        <w:tc>
          <w:tcPr>
            <w:tcW w:w="10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683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5080" w:type="dxa"/>
            <w:vAlign w:val="bottom"/>
            <w:gridSpan w:val="2"/>
          </w:tcPr>
          <w:p>
            <w:pPr>
              <w:ind w:left="440"/>
              <w:spacing w:after="0"/>
              <w:rPr>
                <w:sz w:val="20"/>
                <w:szCs w:val="20"/>
                <w:color w:val="auto"/>
              </w:rPr>
            </w:pPr>
            <w:r>
              <w:rPr>
                <w:rFonts w:ascii="Arial" w:cs="Arial" w:eastAsia="Arial" w:hAnsi="Arial"/>
                <w:sz w:val="18"/>
                <w:szCs w:val="18"/>
                <w:color w:val="auto"/>
              </w:rPr>
              <w:t>Restricted stock expense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w w:val="73"/>
              </w:rPr>
              <w:t>411</w:t>
            </w:r>
          </w:p>
        </w:tc>
        <w:tc>
          <w:tcPr>
            <w:tcW w:w="3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loss</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Balance, June 30, 2013</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171</w:t>
            </w:r>
          </w:p>
        </w:tc>
        <w:tc>
          <w:tcPr>
            <w:tcW w:w="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58,159</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58,486</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19,211</w:t>
            </w:r>
          </w:p>
        </w:tc>
        <w:tc>
          <w:tcPr>
            <w:tcW w:w="2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136,027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96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580" w:type="dxa"/>
            <w:vAlign w:val="bottom"/>
          </w:tcPr>
          <w:p>
            <w:pPr>
              <w:jc w:val="right"/>
              <w:ind w:right="73"/>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7,641</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8,825</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Loss (gain) on disposal of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860"/>
              <w:spacing w:after="0"/>
              <w:rPr>
                <w:sz w:val="20"/>
                <w:szCs w:val="20"/>
                <w:color w:val="auto"/>
              </w:rPr>
            </w:pPr>
            <w:r>
              <w:rPr>
                <w:rFonts w:ascii="Arial" w:cs="Arial" w:eastAsia="Arial" w:hAnsi="Arial"/>
                <w:sz w:val="18"/>
                <w:szCs w:val="18"/>
                <w:color w:val="auto"/>
              </w:rPr>
              <w:t>Gain on settlement of long-term note receivable</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(16,036)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3,190</w:t>
            </w:r>
          </w:p>
        </w:tc>
        <w:tc>
          <w:tcPr>
            <w:tcW w:w="4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 assets and liabilities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8,844</w:t>
            </w:r>
          </w:p>
        </w:tc>
        <w:tc>
          <w:tcPr>
            <w:tcW w:w="4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(4,923)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received from long-term note receivable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Proceeds from disposals of property, plant and equipment</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(4,906)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22"/>
        </w:trPr>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(repayment) of short-term debt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Principal payment on capital lease</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Arial" w:cs="Arial" w:eastAsia="Arial" w:hAnsi="Arial"/>
                <w:sz w:val="18"/>
                <w:szCs w:val="18"/>
                <w:color w:val="auto"/>
              </w:rPr>
              <w:t>Repayment of long-term debt</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(17,715)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stock</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180" w:type="dxa"/>
            <w:vAlign w:val="bottom"/>
          </w:tcPr>
          <w:p>
            <w:pPr>
              <w:ind w:left="260"/>
              <w:spacing w:after="0"/>
              <w:rPr>
                <w:sz w:val="20"/>
                <w:szCs w:val="20"/>
                <w:color w:val="auto"/>
              </w:rPr>
            </w:pPr>
            <w:r>
              <w:rPr>
                <w:rFonts w:ascii="Arial" w:cs="Arial" w:eastAsia="Arial" w:hAnsi="Arial"/>
                <w:sz w:val="18"/>
                <w:szCs w:val="18"/>
                <w:color w:val="auto"/>
              </w:rPr>
              <w:t>Net cash (used) provided by financing activities</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(17,682)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(13,758)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18,990</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Cash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5,232</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180"/>
        <w:spacing w:after="0" w:line="268" w:lineRule="auto"/>
        <w:rPr>
          <w:sz w:val="20"/>
          <w:szCs w:val="20"/>
          <w:color w:val="auto"/>
        </w:rPr>
      </w:pPr>
      <w:r>
        <w:rPr>
          <w:rFonts w:ascii="Arial" w:cs="Arial" w:eastAsia="Arial" w:hAnsi="Arial"/>
          <w:sz w:val="18"/>
          <w:szCs w:val="18"/>
          <w:color w:val="auto"/>
        </w:rPr>
        <w:t>During the three months ended June 30, 2013, we declared cash dividends of $1,035 that were unpaid as of June 30, 2013. As such, these declared dividends have not been reflected in the 2013 cash flows.</w:t>
      </w:r>
    </w:p>
    <w:p>
      <w:pPr>
        <w:spacing w:after="0" w:line="78" w:lineRule="exact"/>
        <w:rPr>
          <w:sz w:val="20"/>
          <w:szCs w:val="20"/>
          <w:color w:val="auto"/>
        </w:rPr>
      </w:pPr>
    </w:p>
    <w:p>
      <w:pPr>
        <w:jc w:val="both"/>
        <w:ind w:right="2160"/>
        <w:spacing w:after="0" w:line="259" w:lineRule="auto"/>
        <w:rPr>
          <w:sz w:val="20"/>
          <w:szCs w:val="20"/>
          <w:color w:val="auto"/>
        </w:rPr>
      </w:pPr>
      <w:r>
        <w:rPr>
          <w:rFonts w:ascii="Arial" w:cs="Arial" w:eastAsia="Arial" w:hAnsi="Arial"/>
          <w:sz w:val="18"/>
          <w:szCs w:val="18"/>
          <w:color w:val="auto"/>
        </w:rPr>
        <w:t>On March 31, 2012, we accepted a $1,945 cash payment to settle a note related to the sale of equipment of our former Tempe Plant. The estimated fair value and carrying value of the note prior to the payment was $1,772. The proceeds and gain are reflected in the 2012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condensed consolidated balance sheet at December 31, 2012 was derived from our audited consolidated financial statements. In our opinion, the financial statements reflect all adjustments necessary to fairly state the results of operations for the three and six month periods ended June 30, 2013 and 2012, our financial position at June 30, 2013 and December 31, 2012, and the cash flows for the six month periods ended June 30, 2013 and 2012.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2012 which we filed with the Securities and Exchange Commission on March 15, 2013. The results for the three and six month periods ended June 30, 2013 are not necessarily indicative of results for the year ending December 31, 2013 or any other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2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$13,621</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Work in process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9,203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23,757</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46,581</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46,150</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June 30, 2013 and December 31, 2012 totaled $3,268 and $2,644, respectively.</w:t>
      </w:r>
    </w:p>
    <w:p>
      <w:pPr>
        <w:spacing w:after="0" w:line="17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difference between the basic weighted average shares outstanding and the diluted weighted average shares outstanding for all periods reported are the effect of dilutive stock options calculated using the treasury stock method. The dilutive shares for the three and six month periods ended June 30, 2013 were 36 and 33, respectively. The dilutive shares for the three and six month periods ended June 30, 2012, were 113 and 112, respectively. Excluded from the dilutive shares outstanding for the three and six month periods ended June 30, 2013 were 1,554 and 1,557, respectively, of anti-dilutive options which had exercise prices ranging from $8.86 to $14.13. There were 1,296 anti-dilutive options with exercise prices ranging from $8.86 to $14.13 excluded from the dilutive shares outstanding for the three and six month periods ended June 30, 2012.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2012. We evaluate segment performance based on segment net income or loss. We account for inter-segment sales and transfers at current market prices. We did not have any significant inter-segment transactions during the three and six month periods ended June 30, 2013 and 2012.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Precision</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Plastic and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Metal</w:t>
            </w:r>
          </w:p>
        </w:tc>
        <w:tc>
          <w:tcPr>
            <w:tcW w:w="100" w:type="dxa"/>
            <w:vAlign w:val="bottom"/>
          </w:tcPr>
          <w:p>
            <w:pPr>
              <w:spacing w:after="0"/>
              <w:rPr>
                <w:sz w:val="12"/>
                <w:szCs w:val="12"/>
                <w:color w:val="auto"/>
              </w:rPr>
            </w:pPr>
          </w:p>
        </w:tc>
        <w:tc>
          <w:tcPr>
            <w:tcW w:w="6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Rubber</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60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Components</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Components</w:t>
            </w:r>
          </w:p>
        </w:tc>
        <w:tc>
          <w:tcPr>
            <w:tcW w:w="3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5"/>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1"/>
              </w:rPr>
              <w:t>Segment</w:t>
            </w:r>
          </w:p>
        </w:tc>
        <w:tc>
          <w:tcPr>
            <w:tcW w:w="100" w:type="dxa"/>
            <w:vAlign w:val="bottom"/>
          </w:tcPr>
          <w:p>
            <w:pPr>
              <w:spacing w:after="0"/>
              <w:rPr>
                <w:sz w:val="12"/>
                <w:szCs w:val="12"/>
                <w:color w:val="auto"/>
              </w:rPr>
            </w:pPr>
          </w:p>
        </w:tc>
        <w:tc>
          <w:tcPr>
            <w:tcW w:w="10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4"/>
              </w:rPr>
              <w:t>Segment</w:t>
            </w:r>
          </w:p>
        </w:tc>
        <w:tc>
          <w:tcPr>
            <w:tcW w:w="100" w:type="dxa"/>
            <w:vAlign w:val="bottom"/>
          </w:tcPr>
          <w:p>
            <w:pPr>
              <w:spacing w:after="0"/>
              <w:rPr>
                <w:sz w:val="12"/>
                <w:szCs w:val="12"/>
                <w:color w:val="auto"/>
              </w:rPr>
            </w:pPr>
          </w:p>
        </w:tc>
        <w:tc>
          <w:tcPr>
            <w:tcW w:w="640" w:type="dxa"/>
            <w:vAlign w:val="bottom"/>
          </w:tcPr>
          <w:p>
            <w:pPr>
              <w:jc w:val="center"/>
              <w:ind w:right="18"/>
              <w:spacing w:after="0" w:line="148" w:lineRule="exact"/>
              <w:rPr>
                <w:sz w:val="20"/>
                <w:szCs w:val="20"/>
                <w:color w:val="auto"/>
              </w:rPr>
            </w:pPr>
            <w:r>
              <w:rPr>
                <w:rFonts w:ascii="Arial" w:cs="Arial" w:eastAsia="Arial" w:hAnsi="Arial"/>
                <w:sz w:val="14"/>
                <w:szCs w:val="14"/>
                <w:b w:val="1"/>
                <w:bCs w:val="1"/>
                <w:color w:val="auto"/>
                <w:w w:val="84"/>
              </w:rPr>
              <w:t>Segment</w:t>
            </w:r>
          </w:p>
        </w:tc>
        <w:tc>
          <w:tcPr>
            <w:tcW w:w="380" w:type="dxa"/>
            <w:vAlign w:val="bottom"/>
          </w:tcPr>
          <w:p>
            <w:pPr>
              <w:spacing w:after="0"/>
              <w:rPr>
                <w:sz w:val="12"/>
                <w:szCs w:val="12"/>
                <w:color w:val="auto"/>
              </w:rPr>
            </w:pPr>
          </w:p>
        </w:tc>
        <w:tc>
          <w:tcPr>
            <w:tcW w:w="10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Consolidations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220" w:type="dxa"/>
            <w:vAlign w:val="bottom"/>
            <w:gridSpan w:val="4"/>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Three Months ended June 30, 2013</w:t>
            </w:r>
          </w:p>
        </w:tc>
        <w:tc>
          <w:tcPr>
            <w:tcW w:w="1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Revenues from external customers</w:t>
            </w:r>
          </w:p>
        </w:tc>
        <w:tc>
          <w:tcPr>
            <w:tcW w:w="162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gridSpan w:val="2"/>
          </w:tcPr>
          <w:p>
            <w:pPr>
              <w:ind w:left="16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65,869</w:t>
            </w: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21,543</w:t>
            </w: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8,893</w:t>
            </w:r>
          </w:p>
        </w:tc>
        <w:tc>
          <w:tcPr>
            <w:tcW w:w="60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96,305</w:t>
            </w:r>
          </w:p>
        </w:tc>
        <w:tc>
          <w:tcPr>
            <w:tcW w:w="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 2013</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190,102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4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8,871</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2,633</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7,641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261,439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Precision</w:t>
            </w: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Plastic and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Metal Bearing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Metal</w:t>
            </w: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Rubber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Components</w:t>
            </w:r>
          </w:p>
        </w:tc>
        <w:tc>
          <w:tcPr>
            <w:tcW w:w="4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1"/>
              </w:rPr>
              <w:t>Segment</w:t>
            </w: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4"/>
              </w:rPr>
              <w:t>Segment</w:t>
            </w: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gridSpan w:val="4"/>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Three Months ended June 30, 2012</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Revenues from external customers</w:t>
            </w:r>
          </w:p>
        </w:tc>
        <w:tc>
          <w:tcPr>
            <w:tcW w:w="29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65,768</w:t>
            </w:r>
          </w:p>
        </w:tc>
        <w:tc>
          <w:tcPr>
            <w:tcW w:w="540" w:type="dxa"/>
            <w:vAlign w:val="bottom"/>
            <w:tcBorders>
              <w:top w:val="single" w:sz="8" w:color="CCEEFF"/>
            </w:tcBorders>
            <w:gridSpan w:val="2"/>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22,561</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10,495</w:t>
            </w: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98,824</w:t>
            </w:r>
          </w:p>
        </w:tc>
        <w:tc>
          <w:tcPr>
            <w:tcW w:w="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52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 2012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137,898</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43,873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203,343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2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13,215</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1,760</w:t>
            </w:r>
          </w:p>
        </w:tc>
        <w:tc>
          <w:tcPr>
            <w:tcW w:w="4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(5,578)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198,615</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264,758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515"/>
              <w:spacing w:after="0"/>
              <w:rPr>
                <w:sz w:val="20"/>
                <w:szCs w:val="20"/>
                <w:color w:val="auto"/>
              </w:rPr>
            </w:pPr>
            <w:r>
              <w:rPr>
                <w:rFonts w:ascii="Arial" w:cs="Arial" w:eastAsia="Arial" w:hAnsi="Arial"/>
                <w:sz w:val="18"/>
                <w:szCs w:val="18"/>
                <w:color w:val="auto"/>
                <w:w w:val="99"/>
              </w:rPr>
              <w:t>7</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Post-Employment Benefit Liabilities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provide certain post-employment benefits to employees at our Pinerolo and Veenendaal Plants that are either required by law or are local labor practice. These plans are described below.</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w:t>
      </w:r>
    </w:p>
    <w:p>
      <w:pPr>
        <w:spacing w:after="0" w:line="132"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We have certain plans that cover our Veenendaal Plant employees that provide awards for employees who achieve 25 or 40 years of service and awards for employees upon retirement. The plans are unfunded and the benefits are based on years of service and rate of compensation at the time the award is paid.</w:t>
      </w:r>
    </w:p>
    <w:p>
      <w:pPr>
        <w:spacing w:after="0" w:line="6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amounts shown in the table below represent the combined actual liabilities at June 30, 2013 and December 31, 2012, reported under Other non-current liabilities in the Condensed Consolidated Balance Sheets.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June 30,</w:t>
            </w:r>
          </w:p>
        </w:tc>
        <w:tc>
          <w:tcPr>
            <w:tcW w:w="12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$6,930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Amounts accrued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2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15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New Accounting Pronouncements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2013, the Financial Accounting Standards Board issued accounting guidance to enhance the disclosure of amounts reclassified out of accumulated other comprehensive income. The new disclosure guidelines require the presentation of significant amounts reclassified out of accumulated other comprehensive income by the respective line items of net income in the event the amount reclassified is required to be reclassified in its entirety in the same reporting period. The presentation can be on the face of the statement where net income is presented or in the notes and reported by component. For amounts not required to be reclassified in its entirety in the same reporting period to net income, an entity is required to cross-reference other required disclosures. This guidance is effective for reporting periods beginning after December 15, 2012. We have concluded that the new guidance did not have an impact on our financial position or results of operations.</w:t>
      </w:r>
    </w:p>
    <w:p>
      <w:pPr>
        <w:spacing w:after="0" w:line="147" w:lineRule="exact"/>
        <w:rPr>
          <w:sz w:val="20"/>
          <w:szCs w:val="20"/>
          <w:color w:val="auto"/>
        </w:rPr>
      </w:pPr>
    </w:p>
    <w:p>
      <w:pPr>
        <w:jc w:val="both"/>
        <w:ind w:right="240"/>
        <w:spacing w:after="0" w:line="302" w:lineRule="auto"/>
        <w:rPr>
          <w:sz w:val="20"/>
          <w:szCs w:val="20"/>
          <w:color w:val="auto"/>
        </w:rPr>
      </w:pPr>
      <w:r>
        <w:rPr>
          <w:rFonts w:ascii="Arial" w:cs="Arial" w:eastAsia="Arial" w:hAnsi="Arial"/>
          <w:sz w:val="15"/>
          <w:szCs w:val="15"/>
          <w:color w:val="auto"/>
        </w:rPr>
        <w:t>In March 2013, the Financial Accounting Standards Board issued amended accounting guidance to addresses the release of cumulative translation adjustments into net income when a reporting entity (parent) ceases to have a controlling financial interest in a subsidiary or group of assets that is a business (other than an in-substance real estate sale or oil/gas mineral rights) within a foreign entity. The cumulative translation adjustments should be released into net income only if the sale or transfer results in the complete or substantially complete liquidation of the foreign entity in which the subsidiary or group of assets had resided.</w:t>
      </w:r>
    </w:p>
    <w:p>
      <w:pPr>
        <w:spacing w:after="0" w:line="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Additionally, in the event of a step acquisition when the acquirer obtains control of an acquiree in which it held an equity interest immediately prior to the acquisition, the cumulative translation adjustments would be released into net income. This guidance is effective prospectively for reporting periods beginning after December 15, 2013. We have concluded that the new guidance will not have an impact on our financial position or results of operations.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Short-Term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June 30, 2013 and December 31, 2012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5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6"/>
              </w:rPr>
              <w:t>Borrowings under our $100,000 revolving credit facility bearing interest at a floating rate equal to LIBOR (0.25% at June 30,</w:t>
            </w: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plus an applicable margin of 1.50% at June 30, 2013, expiring October 26, 2017.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520" w:type="dxa"/>
            <w:vAlign w:val="bottom"/>
            <w:gridSpan w:val="2"/>
          </w:tcPr>
          <w:p>
            <w:pPr>
              <w:spacing w:after="0"/>
              <w:rPr>
                <w:sz w:val="20"/>
                <w:szCs w:val="20"/>
                <w:color w:val="auto"/>
              </w:rPr>
            </w:pPr>
            <w:r>
              <w:rPr>
                <w:rFonts w:ascii="Arial" w:cs="Arial" w:eastAsia="Arial" w:hAnsi="Arial"/>
                <w:sz w:val="18"/>
                <w:szCs w:val="18"/>
                <w:color w:val="auto"/>
                <w:w w:val="92"/>
              </w:rPr>
              <w:t>Borrowings under our $40,000 aggregate principal amount of fixed rate notes bearing interest at a fixed rate of 4.89% maturing on</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w w:val="99"/>
              </w:rPr>
              <w:t>April 26, 2014. Annual principal payments of $5,714 began on April 26, 2008 and extend through the date of maturity.</w:t>
            </w:r>
          </w:p>
        </w:tc>
        <w:tc>
          <w:tcPr>
            <w:tcW w:w="580" w:type="dxa"/>
            <w:vAlign w:val="bottom"/>
          </w:tcPr>
          <w:p>
            <w:pPr>
              <w:jc w:val="right"/>
              <w:spacing w:after="0"/>
              <w:rPr>
                <w:sz w:val="20"/>
                <w:szCs w:val="20"/>
                <w:color w:val="auto"/>
              </w:rPr>
            </w:pPr>
            <w:r>
              <w:rPr>
                <w:rFonts w:ascii="Arial" w:cs="Arial" w:eastAsia="Arial" w:hAnsi="Arial"/>
                <w:sz w:val="18"/>
                <w:szCs w:val="18"/>
                <w:color w:val="auto"/>
              </w:rPr>
              <w:t>5,714</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w w:val="91"/>
              </w:rPr>
              <w:t>Borrowings under our $20,000 aggregate principal amount of fixed rate notes bearing interest at a fixed rate of 4.64% maturing on</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December 20, 2018. Annual principal payments of $4,000 will begin on December 22, 2014 and extend through the date of</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debt</w:t>
            </w:r>
          </w:p>
        </w:tc>
        <w:tc>
          <w:tcPr>
            <w:tcW w:w="580" w:type="dxa"/>
            <w:vAlign w:val="bottom"/>
          </w:tcPr>
          <w:p>
            <w:pPr>
              <w:jc w:val="right"/>
              <w:spacing w:after="0"/>
              <w:rPr>
                <w:sz w:val="20"/>
                <w:szCs w:val="20"/>
                <w:color w:val="auto"/>
              </w:rPr>
            </w:pPr>
            <w:r>
              <w:rPr>
                <w:rFonts w:ascii="Arial" w:cs="Arial" w:eastAsia="Arial" w:hAnsi="Arial"/>
                <w:sz w:val="18"/>
                <w:szCs w:val="18"/>
                <w:color w:val="auto"/>
              </w:rPr>
              <w:t>51,714</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current maturities of long-term debt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Long-term debt, excluding current maturities of long-term debt</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46,000</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October 26, 2012, we amended our $100,000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are LIBOR plus an applicable margin of 1.25% to 2.25% (depending on the level of debt to earnings before taxes, interest and depreciation (“EBITDA”)). Prior to the October 26, 2012 amendment, the $100,000 revolving credit facility interest rate was LIBOR plus a margin of 2.50% to 3.50% (depending on the level of debt to EBITDA). The interest rate on our $40,000 aggregate fixed rate notes, of which $5,714 was outstanding as of June 30, 2013, was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$100,000 revolving credit facility may be expanded upon our request with approval of the lenders by up to $35,000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give the lenders the right to accelerate the maturity of the debt. The facility has a $10,000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June 30, 2013 and December 31, 2012, $1,810 and $2,012, respectively of net capitalized loan origination costs related to the revolving credit facility were recorded on the balance sheet within other non-current assets.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$40,000 and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We incurred costs as a result of issuing these notes which have been recorded on the condensed consolidated balance sheet within other non-current assets and are being amortized over the term of the notes. The unamortized balance at June 30, 2013 and December 31, 2012 was $76 and $157,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six month period ended June 30, 2013 are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300" w:type="dxa"/>
            <w:vAlign w:val="bottom"/>
            <w:gridSpan w:val="4"/>
          </w:tcPr>
          <w:p>
            <w:pPr>
              <w:jc w:val="center"/>
              <w:ind w:left="2142"/>
              <w:spacing w:after="0"/>
              <w:rPr>
                <w:sz w:val="20"/>
                <w:szCs w:val="20"/>
                <w:color w:val="auto"/>
              </w:rPr>
            </w:pPr>
            <w:r>
              <w:rPr>
                <w:rFonts w:ascii="Arial" w:cs="Arial" w:eastAsia="Arial" w:hAnsi="Arial"/>
                <w:sz w:val="14"/>
                <w:szCs w:val="14"/>
                <w:b w:val="1"/>
                <w:bCs w:val="1"/>
                <w:color w:val="auto"/>
                <w:w w:val="91"/>
              </w:rPr>
              <w:t>Metal Bearing</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236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Components</w:t>
            </w:r>
          </w:p>
        </w:tc>
        <w:tc>
          <w:tcPr>
            <w:tcW w:w="0" w:type="dxa"/>
            <w:vAlign w:val="bottom"/>
          </w:tcPr>
          <w:p>
            <w:pPr>
              <w:spacing w:after="0"/>
              <w:rPr>
                <w:sz w:val="1"/>
                <w:szCs w:val="1"/>
                <w:color w:val="auto"/>
              </w:rPr>
            </w:pPr>
          </w:p>
        </w:tc>
      </w:tr>
      <w:tr>
        <w:trPr>
          <w:trHeight w:val="148"/>
        </w:trPr>
        <w:tc>
          <w:tcPr>
            <w:tcW w:w="4460" w:type="dxa"/>
            <w:vAlign w:val="bottom"/>
            <w:gridSpan w:val="3"/>
            <w:vMerge w:val="continue"/>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2013</w:t>
            </w: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Currency translation impacts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2013</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As of June 30, 2013, there are no indications of impairment at the remaining reporting unit with a goodwill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Precision Metal Components Segment has an indefinite lived intangible asset not subject to amortization of $900 related to the value of the trade names of Whirlaway. The intangible asset balance is tested for impairment on an annual basis during the fourth quarter and between annual tests if a triggering event occurs. There are no indicators of impairment for this indefinite lived intangible asset as of June 30,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Shared-Based Compensation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three and six month periods ended June 30, 2013 and 2012, approximately $664 and $1,094 in 2013 and $525 and $884 in 2012, respectively, of compensation expense was recognized in selling, general and administrative expense for all share-based awards. During the six month period ended June 30, 2013, there were 95 share awards and 354 options awards to non-executive directors, officers and certain other key employees. During the six month period ended June 30, 2012, there were 75 share awards and 285 options awards to non-executive directors, officers and certain other key employees.</w:t>
      </w:r>
    </w:p>
    <w:p>
      <w:pPr>
        <w:spacing w:after="0" w:line="11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restricted shares granted during the six month periods ended June 30, 2013 and 2012, vest pro-rata over three years. During the six month periods ended June 30, 2013 and 2012, we incurred $411 and $365, respectively, in expense related to restricted stock. The fair value of the shares issued was determined by using the grant date closing price of our common stock.</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incurred $683 and $519 of stock option expense in the six month periods ended June 30, 2013 and 2012, respectively. The fair value of our options cannot be determined by market value, as our options are not traded in an open market. Accordingly, the Black Scholes financial pricing model is utilized to estimate the fair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 period ended June 30,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8"/>
        </w:trPr>
        <w:tc>
          <w:tcPr>
            <w:tcW w:w="5560" w:type="dxa"/>
            <w:vAlign w:val="bottom"/>
            <w:gridSpan w:val="3"/>
            <w:vMerge w:val="continue"/>
          </w:tcPr>
          <w:p>
            <w:pPr>
              <w:spacing w:after="0"/>
              <w:rPr>
                <w:sz w:val="12"/>
                <w:szCs w:val="12"/>
                <w:color w:val="auto"/>
              </w:rPr>
            </w:pPr>
          </w:p>
        </w:tc>
        <w:tc>
          <w:tcPr>
            <w:tcW w:w="138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84"/>
              </w:rPr>
              <w:t>Shares (000)</w:t>
            </w:r>
          </w:p>
        </w:tc>
        <w:tc>
          <w:tcPr>
            <w:tcW w:w="120" w:type="dxa"/>
            <w:vAlign w:val="bottom"/>
          </w:tcPr>
          <w:p>
            <w:pPr>
              <w:spacing w:after="0"/>
              <w:rPr>
                <w:sz w:val="12"/>
                <w:szCs w:val="12"/>
                <w:color w:val="auto"/>
              </w:rPr>
            </w:pPr>
          </w:p>
        </w:tc>
        <w:tc>
          <w:tcPr>
            <w:tcW w:w="116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Term</w:t>
            </w:r>
          </w:p>
        </w:tc>
        <w:tc>
          <w:tcPr>
            <w:tcW w:w="680" w:type="dxa"/>
            <w:vAlign w:val="bottom"/>
          </w:tcPr>
          <w:p>
            <w:pPr>
              <w:spacing w:after="0"/>
              <w:rPr>
                <w:sz w:val="12"/>
                <w:szCs w:val="12"/>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1,384</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9.94</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9.81</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9.36</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2,078</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Exercisable at June 30, 2013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3"/>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11.04</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1,114</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The intrinsic value is the amount by which the market price of our stock was greater than the exercise price of any individual option grant at June 30, 2013.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six month period ended June 30, 2013, our effective tax rate of 35% was consistent with the U.S. federal statutory tax rate of 34%. For the six month period ended June 30, 2012, the difference between the U.S. federal statutory tax rate of 34% and our effective tax rate of 18% was primarily due to utilization of the fully reserved net operating losses to offset U.S. based taxable income, which lowered tax expense by approximately $2,200. Additionally, the effective tax rate was impacted by non-U.S. based earnings being taxed at lower rates, which reduced tax expense by approximately $657.</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December 31, 2012, we have removed the valuation allowance on the majority of the deferred tax assets of our U.S. units as discussed in our Annual Report on Form 10-K filed March 15, 2013. As such, during the three and six month periods ended June 30, 2013, we recognized tax expenses and benefits at our U.S. units. During the three and six months ended June 30, 2012, we continued to place a valuation allowance on all of the net deferred tax assets of our U.S. units, the balance of which approximated $10,300 at June 30, 2012. During the three and six month periods ended June 30, 2012, the valuation allowance on a portion of these deferred tax assets was reversed to offset pre-tax income of approximately $3,800 and $6,000, respectively, resulting in zero tax expense for the U.S. units in those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we do not foresee any significant changes to our unrecognized tax benefits within the next twelve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In the aggregate, we estimate the range of potential liabilities to be $0 to approximately $3,000 assuming every case were to be decided against us. We have recognized loss contingencies of approximately $650 and $500 at June 30, 2013 and December 31, 2012, respectively, which we believe are adequate to cover all probable liabilities to be incurred by all of the cases in the aggregate.</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discussed more fully in our Annual Report on Form 10-K filed March 15, 2013, the ultimate impact on NN of our wholly owned German subsidiary Kugelfertigung Eltmann GbmH (“Eltmann” or “Eltmann Plant”) filing for bankruptcy will depend on the findings of the bankruptcy court. However, until such court proceedings are finalized, we will not be able to determine what liabilities and contingent obligations,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if any, might remain as the responsibility of NN. Under advice from legal counsel, we do not expect any further significant impacts on our condensed consolidated financial statements as a result of the liquidation of this subsidiary.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fair values of our fixed rate long-term borrowings are calculated by using a discounted cash flow analysis factoring in current market borrowing rates for similar types of borrowing arrangements considering our credit profile. The carrying value of our variable rate long-term borrowings is a reasonable approximation of fair value due to the variable interest rates. The fair value of our fixed rate and variable rate borrowings is determined using Level 2 inputs under the U.S. GAAP fair value hierarchy. The carrying amounts and fair values of our long-term debt are in the table below:</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6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 2013</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210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Carrying</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Variable rate long-term debt</w:t>
            </w:r>
          </w:p>
        </w:tc>
        <w:tc>
          <w:tcPr>
            <w:tcW w:w="3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$26,000</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$26,000</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$38,087</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$38,087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4300" w:type="dxa"/>
            <w:vAlign w:val="bottom"/>
            <w:gridSpan w:val="3"/>
          </w:tcPr>
          <w:p>
            <w:pPr>
              <w:ind w:left="3320"/>
              <w:spacing w:after="0"/>
              <w:rPr>
                <w:sz w:val="20"/>
                <w:szCs w:val="20"/>
                <w:color w:val="auto"/>
              </w:rPr>
            </w:pPr>
            <w:r>
              <w:rPr>
                <w:rFonts w:ascii="Arial" w:cs="Arial" w:eastAsia="Arial" w:hAnsi="Arial"/>
                <w:sz w:val="18"/>
                <w:szCs w:val="18"/>
                <w:color w:val="auto"/>
              </w:rPr>
              <w:t>$25,714</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$26,639</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$31,429</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$32,818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jc w:val="right"/>
              <w:ind w:right="1472"/>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4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our Annual Report on Form 10-K for the year ended December 31, 2012 which we filed with the Securities and Exchange Commission on March 15, 2013.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2013 Compared to the Three Months Ended June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w w:val="87"/>
              </w:rPr>
              <w:t>Consolidated NN, Inc.</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96,305</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98,824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w w:val="89"/>
              </w:rPr>
              <w:t>$(2,519)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i w:val="1"/>
                <w:iCs w:val="1"/>
                <w:color w:val="auto"/>
              </w:rPr>
              <w:t>Price/ material inflation pass-through</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184</w:t>
            </w:r>
          </w:p>
        </w:tc>
        <w:tc>
          <w:tcPr>
            <w:tcW w:w="0" w:type="dxa"/>
            <w:vAlign w:val="bottom"/>
          </w:tcPr>
          <w:p>
            <w:pPr>
              <w:spacing w:after="0"/>
              <w:rPr>
                <w:sz w:val="1"/>
                <w:szCs w:val="1"/>
                <w:color w:val="auto"/>
              </w:rPr>
            </w:pPr>
          </w:p>
        </w:tc>
      </w:tr>
      <w:tr>
        <w:trPr>
          <w:trHeight w:val="323"/>
        </w:trPr>
        <w:tc>
          <w:tcPr>
            <w:tcW w:w="6940" w:type="dxa"/>
            <w:vAlign w:val="bottom"/>
            <w:gridSpan w:val="2"/>
          </w:tcPr>
          <w:p>
            <w:pPr>
              <w:spacing w:after="0"/>
              <w:rPr>
                <w:sz w:val="20"/>
                <w:szCs w:val="20"/>
                <w:color w:val="auto"/>
              </w:rPr>
            </w:pPr>
            <w:r>
              <w:rPr>
                <w:rFonts w:ascii="Arial" w:cs="Arial" w:eastAsia="Arial" w:hAnsi="Arial"/>
                <w:sz w:val="18"/>
                <w:szCs w:val="18"/>
                <w:color w:val="auto"/>
                <w:w w:val="96"/>
              </w:rPr>
              <w:t>Cost of products sold (exclusive of depreciation and amortization shown separately below)</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75,751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77,848</w:t>
            </w:r>
          </w:p>
        </w:tc>
        <w:tc>
          <w:tcPr>
            <w:tcW w:w="16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(2,097)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i w:val="1"/>
                <w:iCs w:val="1"/>
                <w:color w:val="auto"/>
              </w:rPr>
              <w:t>Mix</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Inflation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322"/>
        </w:trPr>
        <w:tc>
          <w:tcPr>
            <w:tcW w:w="69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8,339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8,312</w:t>
            </w:r>
          </w:p>
        </w:tc>
        <w:tc>
          <w:tcPr>
            <w:tcW w:w="166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4,389</w:t>
            </w:r>
          </w:p>
        </w:tc>
        <w:tc>
          <w:tcPr>
            <w:tcW w:w="1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1,116</w:t>
            </w:r>
          </w:p>
        </w:tc>
        <w:tc>
          <w:tcPr>
            <w:tcW w:w="16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(214)</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(1,239)</w:t>
            </w:r>
          </w:p>
        </w:tc>
        <w:tc>
          <w:tcPr>
            <w:tcW w:w="166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1,025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2,655</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7,038</w:t>
            </w:r>
          </w:p>
        </w:tc>
        <w:tc>
          <w:tcPr>
            <w:tcW w:w="1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during the second quarter of 2013 from the second quarter of 2012 principally due to lower sales volumes. Our businesses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to be effected by the depressed European automotive market and slowing overall economic growth in Asia which is unfavorably impacting our current sales levels. However, the quarter over quarter impacts were more related to customer and platform specific items and due to certain segments deemphasizing lower-margin non-strategic programs. Despite the European automotive weakness, during the second quarter of 2013, we began to experience positive sales momentum in Europe due to better overall market penetration with our customers and from increased demand in the European heavy truck market. The reduction in price and raw material pass-through (when compared with the second quarter of 2012) was driven mainly by lower levels of material inflation in our businesses which led to lower pass-through to our customers.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shown separately below). </w:t>
      </w:r>
      <w:r>
        <w:rPr>
          <w:rFonts w:ascii="Arial" w:cs="Arial" w:eastAsia="Arial" w:hAnsi="Arial"/>
          <w:sz w:val="16"/>
          <w:szCs w:val="16"/>
          <w:color w:val="auto"/>
        </w:rPr>
        <w:t>A large portion of the decrease was from the lower sales volumes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reductions in production costs at those units that experienced lower sales volumes, as discussed above. Cost of products sold in 2013 was further reduced from benefits of specific continuous improvement projects undertaken during the second half of 2012 and 2013.</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reduction in interest expense was due to the reduction in the interest rate charged on our variable rate loans effective with the October 2012</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and from lower overall debt levels in the second quarter of 2013 compared to the second quarter of 2012.</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Included in other income, net, during the second quarter of 2012, was $1.1 million related to foreign exchange gains on inter-company loans.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second quarter of 2013, inter-company loans generated foreign exchange gains of $0.2 million. The gains are a function of the appreciation of the Euro versus the U.S. Dollar.</w:t>
      </w:r>
    </w:p>
    <w:p>
      <w:pPr>
        <w:spacing w:after="0" w:line="14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difference between the effective tax rate of 36% for the second quarter of 2013 versus the effective rate of 16% for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2012 was primarily due to utilization of net operating losses in 2012, which had full valuation allowances, to completely offset U.S.-based taxable income. Those valuation allowances were reversed as of December 31, 2012. As such for the second quarter of 2013, income tax expense was recognized at our U.S operations. There was an approximate $1.2 million difference between recognizing tax expense at our U.S. operations in the second quarter of 2013 versus not recognizing tax expense at our U.S. operations in the second quarter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gridSpan w:val="6"/>
          </w:tcPr>
          <w:p>
            <w:pPr>
              <w:jc w:val="center"/>
              <w:ind w:right="10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7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left="182"/>
              <w:spacing w:after="0" w:line="148"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75"/>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65,869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65,768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715"/>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808</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(314)</w:t>
            </w:r>
          </w:p>
        </w:tc>
        <w:tc>
          <w:tcPr>
            <w:tcW w:w="0" w:type="dxa"/>
            <w:vAlign w:val="bottom"/>
          </w:tcPr>
          <w:p>
            <w:pPr>
              <w:spacing w:after="0"/>
              <w:rPr>
                <w:sz w:val="1"/>
                <w:szCs w:val="1"/>
                <w:color w:val="auto"/>
              </w:rPr>
            </w:pPr>
          </w:p>
        </w:tc>
      </w:tr>
      <w:tr>
        <w:trPr>
          <w:trHeight w:val="216"/>
        </w:trPr>
        <w:tc>
          <w:tcPr>
            <w:tcW w:w="7120" w:type="dxa"/>
            <w:vAlign w:val="bottom"/>
            <w:gridSpan w:val="2"/>
          </w:tcPr>
          <w:p>
            <w:pPr>
              <w:ind w:left="440"/>
              <w:spacing w:after="0"/>
              <w:rPr>
                <w:sz w:val="20"/>
                <w:szCs w:val="20"/>
                <w:color w:val="auto"/>
              </w:rPr>
            </w:pPr>
            <w:r>
              <w:rPr>
                <w:rFonts w:ascii="Arial" w:cs="Arial" w:eastAsia="Arial" w:hAnsi="Arial"/>
                <w:sz w:val="18"/>
                <w:szCs w:val="18"/>
                <w:i w:val="1"/>
                <w:iCs w:val="1"/>
                <w:color w:val="auto"/>
              </w:rPr>
              <w:t>Mix</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272</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Price/Material inflation pass-through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(665)</w:t>
            </w: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4,847</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6,250</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655"/>
              <w:spacing w:after="0"/>
              <w:rPr>
                <w:sz w:val="20"/>
                <w:szCs w:val="20"/>
                <w:color w:val="auto"/>
              </w:rPr>
            </w:pPr>
            <w:r>
              <w:rPr>
                <w:rFonts w:ascii="Arial" w:cs="Arial" w:eastAsia="Arial" w:hAnsi="Arial"/>
                <w:sz w:val="18"/>
                <w:szCs w:val="18"/>
                <w:b w:val="1"/>
                <w:bCs w:val="1"/>
                <w:color w:val="auto"/>
                <w:w w:val="87"/>
              </w:rPr>
              <w:t>(1,403)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sales decreased during the second quarter of 2013 as compared to the second quarter of 2012 due to reductions in price and raw material pass-through. These reductions were driven by lower levels of incurred material inflation, which lead to lower pass-throughs given to our customers. Lower sales volumes were less of an impact in the second quarter of 2013. We began to experience positive sales momentum in Europe during the second quarter of 2013, due to better overall market penetration with our customers and from increased demand in the European heavy truck market. The second quarter of 2013 sales were higher than the first quarter of 2013 due to this positive momentum in Europe and sequential higher sales volumes to certain customers in the North American automotive market of this segment.</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main driver of the lower segment net income was the impact of the U.S. unit of the segment recognizing tax expense of $1.0 million in the second quarter of 2013. In the second quarter of 2012, all the deferred tax assets of our U.S. units were offset by full valuation allowances and accordingly the U.S. unit did not recognize tax expense. In addition to the tax effects, the segment net income was reduced by $0.2 million due to reductions in price and material pass-through and $0.1 million due to lower sales volume.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gridSpan w:val="6"/>
          </w:tcPr>
          <w:p>
            <w:pPr>
              <w:jc w:val="center"/>
              <w:ind w:right="10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vMerge w:val="continue"/>
          </w:tcPr>
          <w:p>
            <w:pPr>
              <w:spacing w:after="0"/>
              <w:rPr>
                <w:sz w:val="13"/>
                <w:szCs w:val="13"/>
                <w:color w:val="auto"/>
              </w:rPr>
            </w:pPr>
          </w:p>
        </w:tc>
        <w:tc>
          <w:tcPr>
            <w:tcW w:w="5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left="182"/>
              <w:spacing w:after="0" w:line="148"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7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21,543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22,561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87"/>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(823)</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(195)</w:t>
            </w:r>
          </w:p>
        </w:tc>
        <w:tc>
          <w:tcPr>
            <w:tcW w:w="0" w:type="dxa"/>
            <w:vAlign w:val="bottom"/>
          </w:tcPr>
          <w:p>
            <w:pPr>
              <w:spacing w:after="0"/>
              <w:rPr>
                <w:sz w:val="1"/>
                <w:szCs w:val="1"/>
                <w:color w:val="auto"/>
              </w:rPr>
            </w:pPr>
          </w:p>
        </w:tc>
      </w:tr>
      <w:tr>
        <w:trPr>
          <w:trHeight w:val="322"/>
        </w:trPr>
        <w:tc>
          <w:tcPr>
            <w:tcW w:w="1500" w:type="dxa"/>
            <w:vAlign w:val="bottom"/>
          </w:tcPr>
          <w:p>
            <w:pPr>
              <w:spacing w:after="0"/>
              <w:rPr>
                <w:sz w:val="20"/>
                <w:szCs w:val="20"/>
                <w:color w:val="auto"/>
              </w:rPr>
            </w:pPr>
            <w:r>
              <w:rPr>
                <w:rFonts w:ascii="Arial" w:cs="Arial" w:eastAsia="Arial" w:hAnsi="Arial"/>
                <w:sz w:val="18"/>
                <w:szCs w:val="18"/>
                <w:color w:val="auto"/>
              </w:rPr>
              <w:t>Net income</w:t>
            </w:r>
          </w:p>
        </w:tc>
        <w:tc>
          <w:tcPr>
            <w:tcW w:w="5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1,701</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1,911</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656"/>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lower sales volumes in the second quarter of 2013 were due to the segment deemphasizing certain non – strategic platforms subsequent to the second quarter of 2012 in an effort to improve operating performance and profit margins. Additionally, we had a decline in our HVAC business during the second quarter of 2013 due to lower weather-related seasonal demand. Partially offsetting these reductions were increases in demand with certain customers in the North American automotive market during the second quarter of 2013.</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main driver of the lower segment net income was the impact of the segment recognizing U.S. tax expense of $0.7 million in the second quarter of 2013. In the second quarter of 2012, all the deferred tax assets of our U.S. units were offset by full valuation allowances and accordingly the U.S. units did not recognize tax expense. Additionally, the reduction in sales volume unfavorably impacted segment net income by $0.2 million. Partially offsetting the negative tax and volume effects were favorable impacts on segment net income, totaling $0.7 million, from continuous improvement projects undertaken in the second half of 2012 and 2013 and other operational improvements including exiting lower margin non-strategic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vMerge w:val="continue"/>
          </w:tcPr>
          <w:p>
            <w:pPr>
              <w:spacing w:after="0"/>
              <w:rPr>
                <w:sz w:val="13"/>
                <w:szCs w:val="13"/>
                <w:color w:val="auto"/>
              </w:rPr>
            </w:pPr>
          </w:p>
        </w:tc>
        <w:tc>
          <w:tcPr>
            <w:tcW w:w="5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48" w:lineRule="exact"/>
              <w:rPr>
                <w:sz w:val="20"/>
                <w:szCs w:val="20"/>
                <w:color w:val="auto"/>
              </w:rPr>
            </w:pPr>
            <w:r>
              <w:rPr>
                <w:rFonts w:ascii="Arial" w:cs="Arial" w:eastAsia="Arial" w:hAnsi="Arial"/>
                <w:sz w:val="14"/>
                <w:szCs w:val="14"/>
                <w:b w:val="1"/>
                <w:bCs w:val="1"/>
                <w:color w:val="auto"/>
              </w:rPr>
              <w:t>June 30,</w:t>
            </w: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CCEEFF"/>
            </w:tcBorders>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9" w:lineRule="exact"/>
              <w:rPr>
                <w:sz w:val="20"/>
                <w:szCs w:val="20"/>
                <w:color w:val="auto"/>
              </w:rPr>
            </w:pPr>
            <w:r>
              <w:rPr>
                <w:rFonts w:ascii="Arial" w:cs="Arial" w:eastAsia="Arial" w:hAnsi="Arial"/>
                <w:sz w:val="14"/>
                <w:szCs w:val="14"/>
                <w:b w:val="1"/>
                <w:bCs w:val="1"/>
                <w:color w:val="auto"/>
                <w:w w:val="83"/>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4"/>
              <w:spacing w:after="0" w:line="14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3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8,893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87"/>
              </w:rPr>
              <w:t>(1,602)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(1,638)</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36</w:t>
            </w:r>
          </w:p>
        </w:tc>
        <w:tc>
          <w:tcPr>
            <w:tcW w:w="0" w:type="dxa"/>
            <w:vAlign w:val="bottom"/>
          </w:tcPr>
          <w:p>
            <w:pPr>
              <w:spacing w:after="0"/>
              <w:rPr>
                <w:sz w:val="1"/>
                <w:szCs w:val="1"/>
                <w:color w:val="auto"/>
              </w:rPr>
            </w:pPr>
          </w:p>
        </w:tc>
      </w:tr>
      <w:tr>
        <w:trPr>
          <w:trHeight w:val="322"/>
        </w:trPr>
        <w:tc>
          <w:tcPr>
            <w:tcW w:w="1500" w:type="dxa"/>
            <w:vAlign w:val="bottom"/>
          </w:tcPr>
          <w:p>
            <w:pPr>
              <w:spacing w:after="0"/>
              <w:rPr>
                <w:sz w:val="20"/>
                <w:szCs w:val="20"/>
                <w:color w:val="auto"/>
              </w:rPr>
            </w:pPr>
            <w:r>
              <w:rPr>
                <w:rFonts w:ascii="Arial" w:cs="Arial" w:eastAsia="Arial" w:hAnsi="Arial"/>
                <w:sz w:val="18"/>
                <w:szCs w:val="18"/>
                <w:color w:val="auto"/>
              </w:rPr>
              <w:t>Net income</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800</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776"/>
              <w:spacing w:after="0"/>
              <w:rPr>
                <w:sz w:val="20"/>
                <w:szCs w:val="20"/>
                <w:color w:val="auto"/>
              </w:rPr>
            </w:pPr>
            <w:r>
              <w:rPr>
                <w:rFonts w:ascii="Arial" w:cs="Arial" w:eastAsia="Arial" w:hAnsi="Arial"/>
                <w:sz w:val="18"/>
                <w:szCs w:val="18"/>
                <w:b w:val="1"/>
                <w:bCs w:val="1"/>
                <w:color w:val="auto"/>
              </w:rPr>
              <w:t>(754)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Sales were down due to lower volume from certain sales programs ending, deemphasizing certain low margin platforms and the timing of demand at certain industrial product customers. Segment net income was down $0.5 million due to the negative effects of lower sales volumes and not being able to fully offset fixed production costs as production declined. Additionally, the 2012 segment net income would have been $0.3 million lower if the units of this segment recognized U.S. tax expenses during the second quarter of 2012. In the second quarter of 2012, all the deferred tax assets of our U.S. units were offset by full valuation allowances and accordingly the U.S. units did not recognize tax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2013 Compared to the Six Months Ended June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Consolidated NN, Inc.</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2"/>
          </w:tcPr>
          <w:p>
            <w:pPr>
              <w:jc w:val="right"/>
              <w:ind w:right="538"/>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190,102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203,343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878"/>
              <w:spacing w:after="0"/>
              <w:rPr>
                <w:sz w:val="20"/>
                <w:szCs w:val="20"/>
                <w:color w:val="auto"/>
              </w:rPr>
            </w:pPr>
            <w:r>
              <w:rPr>
                <w:rFonts w:ascii="Arial" w:cs="Arial" w:eastAsia="Arial" w:hAnsi="Arial"/>
                <w:sz w:val="18"/>
                <w:szCs w:val="18"/>
                <w:b w:val="1"/>
                <w:bCs w:val="1"/>
                <w:color w:val="auto"/>
                <w:w w:val="89"/>
              </w:rPr>
              <w:t>(13,241)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1,178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(13,295)</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i w:val="1"/>
                <w:iCs w:val="1"/>
                <w:color w:val="auto"/>
              </w:rPr>
              <w:t>Price/material inflation pass-through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(1,933)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809</w:t>
            </w:r>
          </w:p>
        </w:tc>
        <w:tc>
          <w:tcPr>
            <w:tcW w:w="0" w:type="dxa"/>
            <w:vAlign w:val="bottom"/>
          </w:tcPr>
          <w:p>
            <w:pPr>
              <w:spacing w:after="0"/>
              <w:rPr>
                <w:sz w:val="1"/>
                <w:szCs w:val="1"/>
                <w:color w:val="auto"/>
              </w:rPr>
            </w:pPr>
          </w:p>
        </w:tc>
      </w:tr>
      <w:tr>
        <w:trPr>
          <w:trHeight w:val="316"/>
        </w:trPr>
        <w:tc>
          <w:tcPr>
            <w:tcW w:w="6580" w:type="dxa"/>
            <w:vAlign w:val="bottom"/>
          </w:tcPr>
          <w:p>
            <w:pPr>
              <w:spacing w:after="0"/>
              <w:rPr>
                <w:sz w:val="20"/>
                <w:szCs w:val="20"/>
                <w:color w:val="auto"/>
              </w:rPr>
            </w:pPr>
            <w:r>
              <w:rPr>
                <w:rFonts w:ascii="Arial" w:cs="Arial" w:eastAsia="Arial" w:hAnsi="Arial"/>
                <w:sz w:val="18"/>
                <w:szCs w:val="18"/>
                <w:color w:val="auto"/>
                <w:w w:val="99"/>
              </w:rPr>
              <w:t>Cost of products sold (exclusive of depreciation and amortization shown separately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6"/>
              </w:rPr>
              <w:t>150,268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160,817</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vMerge w:val="restart"/>
          </w:tcPr>
          <w:p>
            <w:pPr>
              <w:jc w:val="right"/>
              <w:ind w:right="878"/>
              <w:spacing w:after="0"/>
              <w:rPr>
                <w:sz w:val="20"/>
                <w:szCs w:val="20"/>
                <w:color w:val="auto"/>
              </w:rPr>
            </w:pPr>
            <w:r>
              <w:rPr>
                <w:rFonts w:ascii="Arial" w:cs="Arial" w:eastAsia="Arial" w:hAnsi="Arial"/>
                <w:sz w:val="18"/>
                <w:szCs w:val="18"/>
                <w:b w:val="1"/>
                <w:bCs w:val="1"/>
                <w:color w:val="auto"/>
                <w:w w:val="89"/>
              </w:rPr>
              <w:t>(10,549)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20"/>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930</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(8,835)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(3,696)</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i w:val="1"/>
                <w:iCs w:val="1"/>
                <w:color w:val="auto"/>
              </w:rPr>
              <w:t>Mix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1,283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Inflation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(231)</w:t>
            </w:r>
          </w:p>
        </w:tc>
        <w:tc>
          <w:tcPr>
            <w:tcW w:w="0" w:type="dxa"/>
            <w:vAlign w:val="bottom"/>
          </w:tcPr>
          <w:p>
            <w:pPr>
              <w:spacing w:after="0"/>
              <w:rPr>
                <w:sz w:val="1"/>
                <w:szCs w:val="1"/>
                <w:color w:val="auto"/>
              </w:rPr>
            </w:pPr>
          </w:p>
        </w:tc>
      </w:tr>
      <w:tr>
        <w:trPr>
          <w:trHeight w:val="323"/>
        </w:trPr>
        <w:tc>
          <w:tcPr>
            <w:tcW w:w="6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17,445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16,379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i w:val="1"/>
                <w:iCs w:val="1"/>
                <w:color w:val="auto"/>
              </w:rPr>
              <w:t>Severance costs not related to an exit activity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660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Increase in spending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345</w:t>
            </w:r>
          </w:p>
        </w:tc>
        <w:tc>
          <w:tcPr>
            <w:tcW w:w="0" w:type="dxa"/>
            <w:vAlign w:val="bottom"/>
          </w:tcPr>
          <w:p>
            <w:pPr>
              <w:spacing w:after="0"/>
              <w:rPr>
                <w:sz w:val="1"/>
                <w:szCs w:val="1"/>
                <w:color w:val="auto"/>
              </w:rPr>
            </w:pPr>
          </w:p>
        </w:tc>
      </w:tr>
      <w:tr>
        <w:trPr>
          <w:trHeight w:val="322"/>
        </w:trPr>
        <w:tc>
          <w:tcPr>
            <w:tcW w:w="6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8,825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8,846</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right"/>
              <w:ind w:right="878"/>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78"/>
              <w:spacing w:after="0"/>
              <w:rPr>
                <w:sz w:val="20"/>
                <w:szCs w:val="20"/>
                <w:color w:val="auto"/>
              </w:rPr>
            </w:pPr>
            <w:r>
              <w:rPr>
                <w:rFonts w:ascii="Arial" w:cs="Arial" w:eastAsia="Arial" w:hAnsi="Arial"/>
                <w:sz w:val="18"/>
                <w:szCs w:val="18"/>
                <w:b w:val="1"/>
                <w:bCs w:val="1"/>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Loss (gain) on disposal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15,782</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(4,082)</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4,059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12,947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(5,306</w:t>
            </w:r>
          </w:p>
        </w:tc>
        <w:tc>
          <w:tcPr>
            <w:tcW w:w="1020" w:type="dxa"/>
            <w:vAlign w:val="bottom"/>
          </w:tcPr>
          <w:p>
            <w:pPr>
              <w:jc w:val="right"/>
              <w:ind w:right="8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during the first six months of 2013 from the first six months of 2012 principally due to lower sales volumes experienced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 units selling into the European and Asian automotive markets. The reductions in sales volumes were due to macro-economic issues within Europe, slowing Asian macro-economic growth, and overall lower automotive demand in Europe. Despite the European automotive weakness, during the second quarter of 2013, we began to experience positive sales momentum in Europe due to better overall market penetration with our customers and from increased demand in the European heavy truck market. Beyond the issues in Europe and Asia, our sales volumes have been impacted by lower sales related to customer and platform specific items, our customers reducing their inventory levels and due to certain segments deemphasizing lower margin non-strategic programs. The reduction in price and raw material pass-through were driven by lower levels of material inflation incurred in 2013, when compared with 2012, which led to lower pass-through to our customers.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The majority of the decrease was from the lower sales volumes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reductions in production costs at those units that experienced lower sales volumes, as discussed above. Cost of products sold in 2013 was further reduced due to leveraging of production costs in the lower volume environment and from benefits of specific continuous improvement projects undertaken during the second half of 2012 and 2013.</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The increase in spending in selling, general and administrative expenses was primarily due to severance costs not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exit activity, relocation costs for new management members, higher professional fees for consulting and recruitment and higher foreign exchange expenses. With the exception of the foreign exchange expenses, the majority of the other discrete items are not expected to repeat in future quarters of 2013.</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reduction in interest expense was due to the reduction in the interest rate charged on our variable rate loans effective with the October 2012</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and from lower overall debt levels in the first six months of 2013 compared to the first six months of 2012.</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Included in other expense (income), net, during the six months ended June 30, 2012, was $0.4 million related to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gains on inter-company loans. Additionally, the 2012 balance included $0.2 million in gains realized with receipt of the final payment of a note receivable. During the six months ended June 30, 2013, inter-company loans generated foreign exchange losses of $0.3 million. The gains and losses are primarily a function of the appreciation or depreciation of the Euro versus the U.S. Dollar.</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difference between the effective tax rate of 35% for the first six months of 2013 versus the effective rate of 18% for the first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2012 was primarily due to utilization of net operating losses in 2012, which had full valuation allowances, to completely offset U.S.-based taxable income. Those valuation allowances were reversed as of December 31, 2012. As such for the first six months of 2013, income tax expense was recognized at our U.S. operations. There was an approximate $1.8 million difference between recognizing tax expense at our U.S. operations in the first six months of 2013 versus not recognizing tax expense at our U.S. operations in the first six months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55"/>
        </w:trPr>
        <w:tc>
          <w:tcPr>
            <w:tcW w:w="4920" w:type="dxa"/>
            <w:vAlign w:val="bottom"/>
            <w:gridSpan w:val="2"/>
            <w:vMerge w:val="continue"/>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left="264"/>
              <w:spacing w:after="0" w:line="148" w:lineRule="exact"/>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4"/>
              <w:spacing w:after="0" w:line="149"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442"/>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129,557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137,898</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82"/>
              <w:spacing w:after="0"/>
              <w:rPr>
                <w:sz w:val="20"/>
                <w:szCs w:val="20"/>
                <w:color w:val="auto"/>
              </w:rPr>
            </w:pPr>
            <w:r>
              <w:rPr>
                <w:rFonts w:ascii="Arial" w:cs="Arial" w:eastAsia="Arial" w:hAnsi="Arial"/>
                <w:sz w:val="18"/>
                <w:szCs w:val="18"/>
                <w:b w:val="1"/>
                <w:bCs w:val="1"/>
                <w:color w:val="auto"/>
                <w:w w:val="89"/>
              </w:rPr>
              <w:t>$(8,341)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i w:val="1"/>
                <w:iCs w:val="1"/>
                <w:color w:val="auto"/>
              </w:rPr>
              <w:t>Foreign exchange effects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1,178</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Volume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(9,149)</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i w:val="1"/>
                <w:iCs w:val="1"/>
                <w:color w:val="auto"/>
              </w:rPr>
              <w:t>Mix</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897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Price/material inflation pass-through</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(1,267)</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8,871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13,215</w:t>
            </w:r>
          </w:p>
        </w:tc>
        <w:tc>
          <w:tcPr>
            <w:tcW w:w="360" w:type="dxa"/>
            <w:vAlign w:val="bottom"/>
          </w:tcPr>
          <w:p>
            <w:pPr>
              <w:spacing w:after="0"/>
              <w:rPr>
                <w:sz w:val="24"/>
                <w:szCs w:val="24"/>
                <w:color w:val="auto"/>
              </w:rPr>
            </w:pPr>
          </w:p>
        </w:tc>
        <w:tc>
          <w:tcPr>
            <w:tcW w:w="1520" w:type="dxa"/>
            <w:vAlign w:val="bottom"/>
            <w:gridSpan w:val="2"/>
          </w:tcPr>
          <w:p>
            <w:pPr>
              <w:jc w:val="right"/>
              <w:ind w:right="782"/>
              <w:spacing w:after="0"/>
              <w:rPr>
                <w:sz w:val="20"/>
                <w:szCs w:val="20"/>
                <w:color w:val="auto"/>
              </w:rPr>
            </w:pPr>
            <w:r>
              <w:rPr>
                <w:rFonts w:ascii="Arial" w:cs="Arial" w:eastAsia="Arial" w:hAnsi="Arial"/>
                <w:sz w:val="18"/>
                <w:szCs w:val="18"/>
                <w:b w:val="1"/>
                <w:bCs w:val="1"/>
                <w:color w:val="auto"/>
                <w:w w:val="95"/>
              </w:rPr>
              <w:t>$(4,344)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majority of the reduction in net sales was due to lower sales volumes experienced at units selling into the European and Asian automotive markets primarily during the first quarter of 2013 versus the first quarter of 2012. Additionally, sales decreased due a reduction in price and raw material pass-through driven by lower levels of price increases and material inflation incurred by our businesses and passed on to our customers in 2013 versus 2012. Lower sales volumes were less of an impact in the second quarter of 2013 than in the first quarter. We began to experience positive sales momentum in Europe, during the second quarter of 2013, due to better overall market penetration with our customers and from increased demand in the European heavy truck market. The second quarter of 2013 sales were higher than the first quarter of 2013 due to this positive momentum in Europe and sequentially stronger sales volumes to customers in the North American automotive market of this segment.</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segment net income in the first six months of 2013 was negatively impacted by $2.2 million due to lost profits from lower sales volumes and not being able to fully offset fixed production costs as production declined. Additionally, segment net income was unfavorably impacted due to the U.S. unit of the segment recognizing tax expense of $1.9 million in the first six months of 2013. In the first six months of 2012, all the deferred tax assets of our U.S. units were offset by full valuation allowances and accordingly the U.S. unit did not recognize tax expense. In addition to the tax effects, the segment net income was reduced by $0.3 due to reductions in price and material pass through and by $0.4 million in severance costs. Partially offsetting these unfavorable effects were $0.7 million in continuous improvement projects, net of non-material inflation.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vMerge w:val="continue"/>
          </w:tcPr>
          <w:p>
            <w:pPr>
              <w:spacing w:after="0"/>
              <w:rPr>
                <w:sz w:val="13"/>
                <w:szCs w:val="13"/>
                <w:color w:val="auto"/>
              </w:rPr>
            </w:pPr>
          </w:p>
        </w:tc>
        <w:tc>
          <w:tcPr>
            <w:tcW w:w="5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320"/>
              <w:spacing w:after="0" w:line="148" w:lineRule="exact"/>
              <w:rPr>
                <w:sz w:val="20"/>
                <w:szCs w:val="20"/>
                <w:color w:val="auto"/>
              </w:rPr>
            </w:pPr>
            <w:r>
              <w:rPr>
                <w:rFonts w:ascii="Arial" w:cs="Arial" w:eastAsia="Arial" w:hAnsi="Arial"/>
                <w:sz w:val="14"/>
                <w:szCs w:val="14"/>
                <w:b w:val="1"/>
                <w:bCs w:val="1"/>
                <w:color w:val="auto"/>
                <w:w w:val="96"/>
              </w:rPr>
              <w:t>June 30,</w:t>
            </w: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7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42,286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43,873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87"/>
              </w:rPr>
              <w:t>(1,587)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i w:val="1"/>
                <w:iCs w:val="1"/>
                <w:color w:val="auto"/>
              </w:rPr>
              <w:t>Volume</w:t>
            </w: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(908)</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Price/mix</w:t>
            </w: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(679)</w:t>
            </w:r>
          </w:p>
        </w:tc>
        <w:tc>
          <w:tcPr>
            <w:tcW w:w="0" w:type="dxa"/>
            <w:vAlign w:val="bottom"/>
          </w:tcPr>
          <w:p>
            <w:pPr>
              <w:spacing w:after="0"/>
              <w:rPr>
                <w:sz w:val="1"/>
                <w:szCs w:val="1"/>
                <w:color w:val="auto"/>
              </w:rPr>
            </w:pPr>
          </w:p>
        </w:tc>
      </w:tr>
      <w:tr>
        <w:trPr>
          <w:trHeight w:val="322"/>
        </w:trPr>
        <w:tc>
          <w:tcPr>
            <w:tcW w:w="1500" w:type="dxa"/>
            <w:vAlign w:val="bottom"/>
          </w:tcPr>
          <w:p>
            <w:pPr>
              <w:spacing w:after="0"/>
              <w:rPr>
                <w:sz w:val="20"/>
                <w:szCs w:val="20"/>
                <w:color w:val="auto"/>
              </w:rPr>
            </w:pPr>
            <w:r>
              <w:rPr>
                <w:rFonts w:ascii="Arial" w:cs="Arial" w:eastAsia="Arial" w:hAnsi="Arial"/>
                <w:sz w:val="18"/>
                <w:szCs w:val="18"/>
                <w:color w:val="auto"/>
              </w:rPr>
              <w:t>Net income</w:t>
            </w:r>
          </w:p>
        </w:tc>
        <w:tc>
          <w:tcPr>
            <w:tcW w:w="5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2,633</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3,550</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656"/>
              <w:spacing w:after="0"/>
              <w:rPr>
                <w:sz w:val="20"/>
                <w:szCs w:val="20"/>
                <w:color w:val="auto"/>
              </w:rPr>
            </w:pPr>
            <w:r>
              <w:rPr>
                <w:rFonts w:ascii="Arial" w:cs="Arial" w:eastAsia="Arial" w:hAnsi="Arial"/>
                <w:sz w:val="18"/>
                <w:szCs w:val="18"/>
                <w:b w:val="1"/>
                <w:bCs w:val="1"/>
                <w:color w:val="auto"/>
              </w:rPr>
              <w:t>(917)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lower sales volumes were due to the segment deemphasizing certain non-strategic platforms subsequent to the second quarter of 2012 in an effort to improve operating performance and margins. Additionally, we had a decline in our HVAC business during the second quarter of 2013 due to lower weather-related seasonal demand. Partially offsetting these reductions were increases in demand with certain customers in the North American automotive market during the second quarter 2013. The majority of the decreases in price/mix at this segment were due to contractual price decreases for certain long-term programs.</w:t>
      </w:r>
    </w:p>
    <w:p>
      <w:pPr>
        <w:spacing w:after="0" w:line="9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reduction in segment net income was primarily due to recording $1.3 million in U.S. tax expense during the first six months of 2013 and from a $0.2 million gain on sale of a note receivable in 2012 without similar amounts in the comparison period. In the first six months of 2012, all the deferred tax assets of our U.S. units were offset by full valuation allowances and accordingly the U.S. units did not recognize tax expense. Beyond the tax effects, the segment was able to more than offset the effects of the price decreases and sales mix ($0.4 million) and lower sales volumes ($0.2 million) through cost reduction projects and operational improvements totaling $1.1 million as income from operations in 2013 was higher than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55"/>
        </w:trPr>
        <w:tc>
          <w:tcPr>
            <w:tcW w:w="8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tcPr>
          <w:p>
            <w:pPr>
              <w:jc w:val="right"/>
              <w:ind w:right="1440"/>
              <w:spacing w:after="0" w:line="148"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1500" w:type="dxa"/>
            <w:vAlign w:val="bottom"/>
            <w:tcBorders>
              <w:top w:val="single" w:sz="8" w:color="auto"/>
              <w:bottom w:val="single" w:sz="8" w:color="CCEEFF"/>
            </w:tcBorders>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402"/>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18,259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21,572</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89"/>
              </w:rPr>
              <w:t>$(3,313)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4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(3,279)</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Price/material pass-through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r>
        <w:trPr>
          <w:trHeight w:val="322"/>
        </w:trPr>
        <w:tc>
          <w:tcPr>
            <w:tcW w:w="8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1,760</w:t>
            </w:r>
          </w:p>
        </w:tc>
        <w:tc>
          <w:tcPr>
            <w:tcW w:w="1700" w:type="dxa"/>
            <w:vAlign w:val="bottom"/>
            <w:gridSpan w:val="2"/>
          </w:tcPr>
          <w:p>
            <w:pPr>
              <w:jc w:val="right"/>
              <w:ind w:right="702"/>
              <w:spacing w:after="0"/>
              <w:rPr>
                <w:sz w:val="20"/>
                <w:szCs w:val="20"/>
                <w:color w:val="auto"/>
              </w:rPr>
            </w:pPr>
            <w:r>
              <w:rPr>
                <w:rFonts w:ascii="Arial" w:cs="Arial" w:eastAsia="Arial" w:hAnsi="Arial"/>
                <w:sz w:val="18"/>
                <w:szCs w:val="18"/>
                <w:b w:val="1"/>
                <w:bCs w:val="1"/>
                <w:color w:val="auto"/>
              </w:rPr>
              <w:t>$(1,609)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Sales were down due to lower sales volume from inventory levels being adjusted on certain automotive platforms, from deemphasizing certain low margin platforms, from certain sales programs ending and from timing of demand at certain industrial product customers. Segment net income was down due to the negative effects of lower sales volumes ($0.9 million) and not being able to fully offset fixed production costs as production declined. Additionally, the 2012 segment net income would have been $0.6 million lower if the units of this segment recognized U.S. tax expenses during the first six months of 2012. In the first six months of 2012, all the deferred tax assets of our U.S. units were offset by full valuation allowances and accordingly the U.S. units did not recognize tax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From December 31, 2012 to June 30, 2013, our total assets decreased $3.9 million and our current assets increased $0.6 million. Excluding foreign exchange effects, total assets decreased approximately $3.0 million and current assets increased approximately $1.0 million from December 31, 2012.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majority of the increase in current assets was due principally to a $15.9 million increase in accounts receivable partially offset by a $13.8 million decrease in cash. Excluding the foreign exchange effects, accounts receivable was higher by $16.0 million due to the 30% increase in sales volume experienced in the second quarter of 2013 compared with sales levels in the fourth quarter of 2012. The days sales outstanding at June 30, 2013 was consistent with days sales outstanding at December 31, 2012. The cash balance decreased to pay down debt. Excluding the foreign exchange effects, property, plant and equipment decreased $3.7 million, as year to date capital spending was lower than depreciation.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December 31, 2012 to June 30, 2013, our total liabilities decreased $11.4 million. Excluding foreign exchange effects, total liabilities decreased approximately $11.1 million from December 31, 2012. The majority of the reduction was from a $17.8 million decrease in long-term and short-term debt achieved by reducing our cash balance and from using operating cash flows incurred during the first six months of 2013. The debt reduction was partially offset by increases in accounts payable and other current liabilities. Accounts payable increased $3.2 million, excluding foreign exchange effects, driven by higher levels of spending for raw materials and production supplies due to increased production levels in the second quarter of 2013 compared to the fourth quarter of 2012. Other current liabilities increased $1.7 million due to recording dividends payable of $1.0 million plus certain accruals increasing driven by higher levels of spending from increased sales and production during the second quarter of 2013 when compared to the fourth quarter of 2012.</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$63.4 million at June 30, 2013 as compared to $68.5 million at December 31, 2012. The ratio of current assets to current liabilities decreased from 2.17:1 at December 31, 2012 to 1.98:1 at June 30, 2013. The decrease in working capital was due primarily to the reduction in cash and the increases in accounts payable and other current liabilities, as discussed above.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provided by operations was $8.8 million for the first six months of 2013 compared with cash provided by operations of $11.6 million for the same period in 2012. The unfavorable variance was principally due to a decrease in net income experienced during the first six months of 2013 versus the first six months of 2012 driven by the lower sales volumes experienced in 2013.</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Cash used by investing activities was $4.9 million for the first six months of 2013 compared with cash used by investing activities of $6.8 million for the same period in 2012. The difference was primarily due to the first six months of 2013 spending on acquisitions of property plant and equipment being $4.2 million lower than in the same period of 2012. Partially offsetting the lower spending in 2013 was the inclusion in 2012 of proceeds of $1.9 million from the pay-off of a note receivable and proceeds of $0.4 million from the sale of fixed assets both related to our former Tempe Plant.</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Cash used by financing activities was $17.7 million for the first six months of 2013, compared with cash provided by financing activities of $3.4 million for the same period in 2012. The change was primarily due to the net repayment of short-term and long-term debt in 2013 versus net borrowings of short-term and long-term debt in 2012. The net repayment of debt in 2013 was generated by reducing the cash balances and from cash flow provided by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Amounts outstanding under our $100.0 million credit facility and our $60.0 million of fixed rate notes as of June 30, 2013 were $26.0 million (including $0.0 million under our swing line of credit) and $25.7 million, respectively. As of June 30, 2013, we can borrow up to an additional $73.3 million under the $100.0 million credit facility (including $10.0 million under our swing line of credit) subject to limitations based on existing financial covenants. The $73.3 million of availability is net of $0.7 million of outstanding letters of credit at June 30, 2013, which are considered as usage of the facility.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were in compliance with all covenants related to the amended and restated $100.0 million credit facility and the amended and restated $60.0 million in fixed rate notes as of June 30, 2013. The specific covenants to which we are subject and the actual results achieved for the six month period ended June 30, 2013 are stated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Financial Covenants</w:t>
            </w:r>
          </w:p>
        </w:tc>
        <w:tc>
          <w:tcPr>
            <w:tcW w:w="1020" w:type="dxa"/>
            <w:vAlign w:val="bottom"/>
            <w:vMerge w:val="restart"/>
          </w:tcPr>
          <w:p>
            <w:pPr>
              <w:spacing w:after="0"/>
              <w:rPr>
                <w:sz w:val="12"/>
                <w:szCs w:val="12"/>
                <w:color w:val="auto"/>
              </w:rPr>
            </w:pPr>
          </w:p>
        </w:tc>
        <w:tc>
          <w:tcPr>
            <w:tcW w:w="8080" w:type="dxa"/>
            <w:vAlign w:val="bottom"/>
            <w:gridSpan w:val="2"/>
            <w:vMerge w:val="restart"/>
          </w:tcPr>
          <w:p>
            <w:pPr>
              <w:ind w:left="3200"/>
              <w:spacing w:after="0"/>
              <w:rPr>
                <w:sz w:val="20"/>
                <w:szCs w:val="20"/>
                <w:color w:val="auto"/>
              </w:rPr>
            </w:pPr>
            <w:r>
              <w:rPr>
                <w:rFonts w:ascii="Arial" w:cs="Arial" w:eastAsia="Arial" w:hAnsi="Arial"/>
                <w:sz w:val="14"/>
                <w:szCs w:val="14"/>
                <w:b w:val="1"/>
                <w:bCs w:val="1"/>
                <w:color w:val="auto"/>
              </w:rPr>
              <w:t>Required Covenant Level</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080" w:type="dxa"/>
            <w:vAlign w:val="bottom"/>
            <w:gridSpan w:val="2"/>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rPr>
                <w:sz w:val="1"/>
                <w:szCs w:val="1"/>
                <w:color w:val="auto"/>
              </w:rPr>
            </w:pPr>
          </w:p>
        </w:tc>
      </w:tr>
      <w:tr>
        <w:trPr>
          <w:trHeight w:val="203"/>
        </w:trPr>
        <w:tc>
          <w:tcPr>
            <w:tcW w:w="2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coverage ratio</w:t>
            </w:r>
          </w:p>
        </w:tc>
        <w:tc>
          <w:tcPr>
            <w:tcW w:w="7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Not to be less than 3.00 to 1.00 as of the last day of any fiscal quarter</w:t>
            </w: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8.24 to 1.00</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8080" w:type="dxa"/>
            <w:vAlign w:val="bottom"/>
            <w:gridSpan w:val="2"/>
          </w:tcPr>
          <w:p>
            <w:pPr>
              <w:spacing w:after="0"/>
              <w:rPr>
                <w:sz w:val="20"/>
                <w:szCs w:val="20"/>
                <w:color w:val="auto"/>
              </w:rPr>
            </w:pPr>
            <w:r>
              <w:rPr>
                <w:rFonts w:ascii="Arial" w:cs="Arial" w:eastAsia="Arial" w:hAnsi="Arial"/>
                <w:sz w:val="18"/>
                <w:szCs w:val="18"/>
                <w:color w:val="auto"/>
              </w:rPr>
              <w:t>Not to be less than 1.00 to 1.00 as of the last day of any fiscal quarter</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1.50 to 1.00</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to exceed 2.75 to 1.00 for the most recently completed four fiscal quarters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1.47 to 1.00</w:t>
            </w:r>
          </w:p>
        </w:tc>
        <w:tc>
          <w:tcPr>
            <w:tcW w:w="0" w:type="dxa"/>
            <w:vAlign w:val="bottom"/>
          </w:tcPr>
          <w:p>
            <w:pPr>
              <w:spacing w:after="0"/>
              <w:rPr>
                <w:sz w:val="1"/>
                <w:szCs w:val="1"/>
                <w:color w:val="auto"/>
              </w:rPr>
            </w:pP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080" w:type="dxa"/>
            <w:vAlign w:val="bottom"/>
            <w:gridSpan w:val="2"/>
          </w:tcPr>
          <w:p>
            <w:pPr>
              <w:spacing w:after="0"/>
              <w:rPr>
                <w:sz w:val="20"/>
                <w:szCs w:val="20"/>
                <w:color w:val="auto"/>
              </w:rPr>
            </w:pPr>
            <w:r>
              <w:rPr>
                <w:rFonts w:ascii="Arial" w:cs="Arial" w:eastAsia="Arial" w:hAnsi="Arial"/>
                <w:sz w:val="18"/>
                <w:szCs w:val="18"/>
                <w:color w:val="auto"/>
              </w:rPr>
              <w:t>Not to invest more than $26,402 during the fiscal year 2013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$4,923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Many of our locations use the Euro as their functional currency. In 2013, the fluctuation of the Euro against the U.S. Dollar favorably impacted revenue and had an unfavorable impact on net income from the transactional impact of intercompany notes denominated in Euros. As of June 30, 2013, no currency hedges were in place. Changes in value of the U.S. Dollar and/or Euro against foreign currencies could impair our ability to compete with international competitors for foreign as well as domestic sales.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made planned capital expenditures totaling $4.9 million as of June 30, 2013. During 2013, we expect to spend up to $17.0 million on capital expenditures, the majority of which relate to new or expanded business. Due to the timing of capital projects we expect that spending in the second half of the year will be heavier than the first half. We believe that funds generated from operations and borrowings from our credit facilities will be sufficient to finance our capital expenditures and working capital needs through June 2014. We base this assertion on our current availability for borrowing of up to $73.3 million and our forecasted positive cash flow from operations for the remaining quarters of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2012, including those policies as discussed in Note 1 to the Annual Report. There have been no changes to these policies during the six month period ended June 30, 2013.</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2013, we had $26.0 million outstanding under our variable rate revolving credit facilities and $25.7 million of fixed rate notes outstanding. See Note 7 of the Notes to Condensed Consolidated Financial Statements. At June 30, 2013, a one-percent increase in the interest rate charged on our outstanding variable rate borrowings would result in interest expense increasing annually by approximately $0.3 million.</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June 30,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June 30, 2013, the end of the period covered by this quarterly report.</w:t>
      </w:r>
    </w:p>
    <w:p>
      <w:pPr>
        <w:spacing w:after="0" w:line="11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There have been no changes in the fiscal quarter ended June 30, 2013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All legal proceedings, with the exception of the bankruptcy of our German subsidiary discussed below, are of an ordinary and routine nature and are incidental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our operations. Management believes that such proceedings should not, individually or in the aggregate, have a material adverse effect on our business, financial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condition, results of operations, or cash flows. In making that determination, we analyze the facts and circumstances of each case at least quarterly in consultation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our attorneys and determine a range of reasonably possible outcomes. The procedures performed include reviewing attorney and plaintiff correspondence,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review any filings made and discussing the facts of the case with local management and legal counsel. In the aggregate, we estimate the range of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to be $0 to approximately $3.0 million assuming every case were to be decided against us. We have recognized loss contingencies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and $0.5 million at June 30, 2013 and December 31, 2012, respectively, which we believe are adequate to cover all probable liabilities to be incurred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all of the cases in the aggregate.</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more fully in our Annual Report on Form 10-K filed March 15, 2013, the ultimate impact on NN of our wholly owned German subsidiary Kugelfertigung Eltmann GbmH (“Eltmann” or “Eltmann Plant”)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2012 under Item 1.A. “Risk Factors.” There have been no material changes to these risk factors since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Chief Executive Officer</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May 2013, we announced that Richard D. Holder was appointed as President and Chief Executive Officer of the Company effective June 3, 2013. The Company entered into an Executive Employment Agreement dated May 8, 2013 with Mr. Holder. Mr. Holder’s employment commenced on June 3, 2013.</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filed a Current Report on Form 8-K on May 10, 2013, that provided more information regarding Mr. Holder’s employment with NN and included a copy of the Executive Employment Agreement as an Exhibit.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Exhibits</w:t>
            </w:r>
          </w:p>
        </w:tc>
        <w:tc>
          <w:tcPr>
            <w:tcW w:w="7960" w:type="dxa"/>
            <w:vAlign w:val="bottom"/>
          </w:tcPr>
          <w:p>
            <w:pPr>
              <w:spacing w:after="0"/>
              <w:rPr>
                <w:sz w:val="19"/>
                <w:szCs w:val="19"/>
                <w:color w:val="auto"/>
              </w:rPr>
            </w:pPr>
          </w:p>
        </w:tc>
      </w:tr>
      <w:tr>
        <w:trPr>
          <w:trHeight w:val="419"/>
        </w:trPr>
        <w:tc>
          <w:tcPr>
            <w:tcW w:w="54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Arial" w:cs="Arial" w:eastAsia="Arial" w:hAnsi="Arial"/>
                <w:sz w:val="18"/>
                <w:szCs w:val="18"/>
                <w:color w:val="auto"/>
                <w:w w:val="85"/>
              </w:rPr>
              <w:t>31.1</w:t>
            </w:r>
          </w:p>
        </w:tc>
        <w:tc>
          <w:tcPr>
            <w:tcW w:w="7960" w:type="dxa"/>
            <w:vAlign w:val="bottom"/>
          </w:tcPr>
          <w:p>
            <w:pPr>
              <w:ind w:left="2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amended.</w:t>
            </w:r>
          </w:p>
        </w:tc>
      </w:tr>
      <w:tr>
        <w:trPr>
          <w:trHeight w:val="324"/>
        </w:trPr>
        <w:tc>
          <w:tcPr>
            <w:tcW w:w="54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Arial" w:cs="Arial" w:eastAsia="Arial" w:hAnsi="Arial"/>
                <w:sz w:val="18"/>
                <w:szCs w:val="18"/>
                <w:color w:val="auto"/>
                <w:w w:val="85"/>
              </w:rPr>
              <w:t>31.2</w:t>
            </w:r>
          </w:p>
        </w:tc>
        <w:tc>
          <w:tcPr>
            <w:tcW w:w="7960" w:type="dxa"/>
            <w:vAlign w:val="bottom"/>
          </w:tcPr>
          <w:p>
            <w:pPr>
              <w:ind w:left="2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amended.</w:t>
            </w:r>
          </w:p>
        </w:tc>
      </w:tr>
      <w:tr>
        <w:trPr>
          <w:trHeight w:val="324"/>
        </w:trPr>
        <w:tc>
          <w:tcPr>
            <w:tcW w:w="54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Arial" w:cs="Arial" w:eastAsia="Arial" w:hAnsi="Arial"/>
                <w:sz w:val="18"/>
                <w:szCs w:val="18"/>
                <w:color w:val="auto"/>
                <w:w w:val="85"/>
              </w:rPr>
              <w:t>32.1</w:t>
            </w:r>
          </w:p>
        </w:tc>
        <w:tc>
          <w:tcPr>
            <w:tcW w:w="79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906 of Sarbanes-Oxley Act.</w:t>
            </w:r>
          </w:p>
        </w:tc>
      </w:tr>
      <w:tr>
        <w:trPr>
          <w:trHeight w:val="324"/>
        </w:trPr>
        <w:tc>
          <w:tcPr>
            <w:tcW w:w="54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Arial" w:cs="Arial" w:eastAsia="Arial" w:hAnsi="Arial"/>
                <w:sz w:val="18"/>
                <w:szCs w:val="18"/>
                <w:color w:val="auto"/>
                <w:w w:val="85"/>
              </w:rPr>
              <w:t>32.2</w:t>
            </w:r>
          </w:p>
        </w:tc>
        <w:tc>
          <w:tcPr>
            <w:tcW w:w="79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906 of Sarbanes-Oxley Act.</w:t>
            </w:r>
          </w:p>
        </w:tc>
      </w:tr>
      <w:tr>
        <w:trPr>
          <w:trHeight w:val="324"/>
        </w:trPr>
        <w:tc>
          <w:tcPr>
            <w:tcW w:w="1560" w:type="dxa"/>
            <w:vAlign w:val="bottom"/>
            <w:gridSpan w:val="2"/>
          </w:tcPr>
          <w:p>
            <w:pPr>
              <w:ind w:left="460"/>
              <w:spacing w:after="0"/>
              <w:rPr>
                <w:sz w:val="20"/>
                <w:szCs w:val="20"/>
                <w:color w:val="auto"/>
              </w:rPr>
            </w:pPr>
            <w:r>
              <w:rPr>
                <w:rFonts w:ascii="Arial" w:cs="Arial" w:eastAsia="Arial" w:hAnsi="Arial"/>
                <w:sz w:val="18"/>
                <w:szCs w:val="18"/>
                <w:color w:val="auto"/>
              </w:rPr>
              <w:t>101.INS</w:t>
            </w:r>
          </w:p>
        </w:tc>
        <w:tc>
          <w:tcPr>
            <w:tcW w:w="79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24"/>
        </w:trPr>
        <w:tc>
          <w:tcPr>
            <w:tcW w:w="1560" w:type="dxa"/>
            <w:vAlign w:val="bottom"/>
            <w:gridSpan w:val="2"/>
          </w:tcPr>
          <w:p>
            <w:pPr>
              <w:ind w:left="460"/>
              <w:spacing w:after="0"/>
              <w:rPr>
                <w:sz w:val="20"/>
                <w:szCs w:val="20"/>
                <w:color w:val="auto"/>
              </w:rPr>
            </w:pPr>
            <w:r>
              <w:rPr>
                <w:rFonts w:ascii="Arial" w:cs="Arial" w:eastAsia="Arial" w:hAnsi="Arial"/>
                <w:sz w:val="18"/>
                <w:szCs w:val="18"/>
                <w:color w:val="auto"/>
              </w:rPr>
              <w:t>101.SCH</w:t>
            </w:r>
          </w:p>
        </w:tc>
        <w:tc>
          <w:tcPr>
            <w:tcW w:w="7960" w:type="dxa"/>
            <w:vAlign w:val="bottom"/>
          </w:tcPr>
          <w:p>
            <w:pPr>
              <w:ind w:left="2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1560" w:type="dxa"/>
            <w:vAlign w:val="bottom"/>
            <w:gridSpan w:val="2"/>
          </w:tcPr>
          <w:p>
            <w:pPr>
              <w:ind w:left="460"/>
              <w:spacing w:after="0"/>
              <w:rPr>
                <w:sz w:val="20"/>
                <w:szCs w:val="20"/>
                <w:color w:val="auto"/>
              </w:rPr>
            </w:pPr>
            <w:r>
              <w:rPr>
                <w:rFonts w:ascii="Arial" w:cs="Arial" w:eastAsia="Arial" w:hAnsi="Arial"/>
                <w:sz w:val="18"/>
                <w:szCs w:val="18"/>
                <w:color w:val="auto"/>
              </w:rPr>
              <w:t>101.CAL</w:t>
            </w:r>
          </w:p>
        </w:tc>
        <w:tc>
          <w:tcPr>
            <w:tcW w:w="7960" w:type="dxa"/>
            <w:vAlign w:val="bottom"/>
          </w:tcPr>
          <w:p>
            <w:pPr>
              <w:ind w:left="2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1560" w:type="dxa"/>
            <w:vAlign w:val="bottom"/>
            <w:gridSpan w:val="2"/>
          </w:tcPr>
          <w:p>
            <w:pPr>
              <w:ind w:left="460"/>
              <w:spacing w:after="0"/>
              <w:rPr>
                <w:sz w:val="20"/>
                <w:szCs w:val="20"/>
                <w:color w:val="auto"/>
              </w:rPr>
            </w:pPr>
            <w:r>
              <w:rPr>
                <w:rFonts w:ascii="Arial" w:cs="Arial" w:eastAsia="Arial" w:hAnsi="Arial"/>
                <w:sz w:val="18"/>
                <w:szCs w:val="18"/>
                <w:color w:val="auto"/>
              </w:rPr>
              <w:t>101.LAB</w:t>
            </w:r>
          </w:p>
        </w:tc>
        <w:tc>
          <w:tcPr>
            <w:tcW w:w="7960" w:type="dxa"/>
            <w:vAlign w:val="bottom"/>
          </w:tcPr>
          <w:p>
            <w:pPr>
              <w:ind w:left="20"/>
              <w:spacing w:after="0"/>
              <w:rPr>
                <w:sz w:val="20"/>
                <w:szCs w:val="20"/>
                <w:color w:val="auto"/>
              </w:rPr>
            </w:pPr>
            <w:r>
              <w:rPr>
                <w:rFonts w:ascii="Arial" w:cs="Arial" w:eastAsia="Arial" w:hAnsi="Arial"/>
                <w:sz w:val="18"/>
                <w:szCs w:val="18"/>
                <w:color w:val="auto"/>
              </w:rPr>
              <w:t>XBRL Taxonomy Label Linkbase</w:t>
            </w:r>
          </w:p>
        </w:tc>
      </w:tr>
      <w:tr>
        <w:trPr>
          <w:trHeight w:val="324"/>
        </w:trPr>
        <w:tc>
          <w:tcPr>
            <w:tcW w:w="1560" w:type="dxa"/>
            <w:vAlign w:val="bottom"/>
            <w:gridSpan w:val="2"/>
          </w:tcPr>
          <w:p>
            <w:pPr>
              <w:ind w:left="460"/>
              <w:spacing w:after="0"/>
              <w:rPr>
                <w:sz w:val="20"/>
                <w:szCs w:val="20"/>
                <w:color w:val="auto"/>
              </w:rPr>
            </w:pPr>
            <w:r>
              <w:rPr>
                <w:rFonts w:ascii="Arial" w:cs="Arial" w:eastAsia="Arial" w:hAnsi="Arial"/>
                <w:sz w:val="18"/>
                <w:szCs w:val="18"/>
                <w:color w:val="auto"/>
              </w:rPr>
              <w:t>101.PRE</w:t>
            </w:r>
          </w:p>
        </w:tc>
        <w:tc>
          <w:tcPr>
            <w:tcW w:w="79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560" w:type="dxa"/>
            <w:vAlign w:val="bottom"/>
            <w:gridSpan w:val="2"/>
          </w:tcPr>
          <w:p>
            <w:pPr>
              <w:ind w:left="460"/>
              <w:spacing w:after="0"/>
              <w:rPr>
                <w:sz w:val="20"/>
                <w:szCs w:val="20"/>
                <w:color w:val="auto"/>
              </w:rPr>
            </w:pPr>
            <w:r>
              <w:rPr>
                <w:rFonts w:ascii="Arial" w:cs="Arial" w:eastAsia="Arial" w:hAnsi="Arial"/>
                <w:sz w:val="18"/>
                <w:szCs w:val="18"/>
                <w:color w:val="auto"/>
              </w:rPr>
              <w:t>101.DEF</w:t>
            </w:r>
          </w:p>
        </w:tc>
        <w:tc>
          <w:tcPr>
            <w:tcW w:w="79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960" w:type="dxa"/>
            <w:vAlign w:val="bottom"/>
          </w:tcPr>
          <w:p>
            <w:pPr>
              <w:ind w:left="40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August 8, 2013</w:t>
            </w:r>
          </w:p>
        </w:tc>
        <w:tc>
          <w:tcPr>
            <w:tcW w:w="26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August 8, 2013</w:t>
            </w:r>
          </w:p>
        </w:tc>
        <w:tc>
          <w:tcPr>
            <w:tcW w:w="26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James H. Dorton</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August 8, 2013</w:t>
            </w:r>
          </w:p>
        </w:tc>
        <w:tc>
          <w:tcPr>
            <w:tcW w:w="26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and</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August 8, 2013</w:t>
            </w:r>
          </w:p>
        </w:tc>
        <w:tc>
          <w:tcPr>
            <w:tcW w:w="26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Thomas C. Burwell, Jr.</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22"/>
        </w:trPr>
        <w:tc>
          <w:tcPr>
            <w:tcW w:w="3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560" w:type="dxa"/>
            <w:vAlign w:val="bottom"/>
          </w:tcPr>
          <w:p>
            <w:pPr>
              <w:spacing w:after="0"/>
              <w:rPr>
                <w:sz w:val="24"/>
                <w:szCs w:val="24"/>
                <w:color w:val="auto"/>
              </w:rPr>
            </w:pPr>
          </w:p>
        </w:tc>
        <w:tc>
          <w:tcPr>
            <w:tcW w:w="2620" w:type="dxa"/>
            <w:vAlign w:val="bottom"/>
          </w:tcPr>
          <w:p>
            <w:pPr>
              <w:jc w:val="right"/>
              <w:ind w:right="292"/>
              <w:spacing w:after="0"/>
              <w:rPr>
                <w:sz w:val="20"/>
                <w:szCs w:val="20"/>
                <w:color w:val="auto"/>
              </w:rPr>
            </w:pPr>
            <w:r>
              <w:rPr>
                <w:rFonts w:ascii="Arial" w:cs="Arial" w:eastAsia="Arial" w:hAnsi="Arial"/>
                <w:sz w:val="18"/>
                <w:szCs w:val="18"/>
                <w:color w:val="auto"/>
              </w:rPr>
              <w:t>23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Senior Vice President – Corporate Development and Chief Financial</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 Corporate Development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2019-12-06T11:18:12Z</dcterms:created>
  <dcterms:modified xsi:type="dcterms:W3CDTF">2019-12-06T11:18:12Z</dcterms:modified>
</cp:coreProperties>
</file>