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342"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10-Q</w:t>
      </w:r>
    </w:p>
    <w:p>
      <w:pPr>
        <w:spacing w:after="0" w:line="175" w:lineRule="exact"/>
        <w:rPr>
          <w:sz w:val="24"/>
          <w:szCs w:val="24"/>
          <w:color w:val="auto"/>
        </w:rPr>
      </w:pPr>
    </w:p>
    <w:p>
      <w:pPr>
        <w:ind w:right="4159" w:firstLine="9"/>
        <w:spacing w:after="0" w:line="258" w:lineRule="auto"/>
        <w:tabs>
          <w:tab w:leader="none" w:pos="34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For the quarterly period ended September 30, 2005</w:t>
      </w:r>
    </w:p>
    <w:p>
      <w:pPr>
        <w:spacing w:after="0" w:line="8" w:lineRule="exact"/>
        <w:rPr>
          <w:sz w:val="24"/>
          <w:szCs w:val="24"/>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right="4059" w:firstLine="9"/>
        <w:spacing w:after="0" w:line="258" w:lineRule="auto"/>
        <w:tabs>
          <w:tab w:leader="none" w:pos="1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590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For the transition period from _________ to _________</w:t>
            </w:r>
          </w:p>
        </w:tc>
      </w:tr>
      <w:tr>
        <w:trPr>
          <w:trHeight w:val="501"/>
        </w:trPr>
        <w:tc>
          <w:tcPr>
            <w:tcW w:w="59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Commission File Number 0-23486</w:t>
            </w:r>
          </w:p>
        </w:tc>
      </w:tr>
      <w:tr>
        <w:trPr>
          <w:trHeight w:val="501"/>
        </w:trPr>
        <w:tc>
          <w:tcPr>
            <w:tcW w:w="400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NN, Inc.</w:t>
            </w:r>
          </w:p>
        </w:tc>
        <w:tc>
          <w:tcPr>
            <w:tcW w:w="1900" w:type="dxa"/>
            <w:vAlign w:val="bottom"/>
          </w:tcPr>
          <w:p>
            <w:pPr>
              <w:spacing w:after="0"/>
              <w:rPr>
                <w:sz w:val="24"/>
                <w:szCs w:val="24"/>
                <w:color w:val="auto"/>
              </w:rPr>
            </w:pPr>
          </w:p>
        </w:tc>
      </w:tr>
      <w:tr>
        <w:trPr>
          <w:trHeight w:val="167"/>
        </w:trPr>
        <w:tc>
          <w:tcPr>
            <w:tcW w:w="59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167"/>
        </w:trPr>
        <w:tc>
          <w:tcPr>
            <w:tcW w:w="4000" w:type="dxa"/>
            <w:vAlign w:val="bottom"/>
          </w:tcPr>
          <w:p>
            <w:pPr>
              <w:ind w:left="1040"/>
              <w:spacing w:after="0"/>
              <w:rPr>
                <w:sz w:val="20"/>
                <w:szCs w:val="20"/>
                <w:color w:val="auto"/>
              </w:rPr>
            </w:pPr>
            <w:r>
              <w:rPr>
                <w:rFonts w:ascii="Courier New" w:cs="Courier New" w:eastAsia="Courier New" w:hAnsi="Courier New"/>
                <w:sz w:val="14"/>
                <w:szCs w:val="14"/>
                <w:color w:val="auto"/>
              </w:rPr>
              <w:t>Delaware</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62-1096725</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Identification Number)</w:t>
            </w:r>
          </w:p>
        </w:tc>
      </w:tr>
      <w:tr>
        <w:trPr>
          <w:trHeight w:val="334"/>
        </w:trPr>
        <w:tc>
          <w:tcPr>
            <w:tcW w:w="400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2000 Waters Edge Drive</w:t>
            </w:r>
          </w:p>
        </w:tc>
        <w:tc>
          <w:tcPr>
            <w:tcW w:w="1900" w:type="dxa"/>
            <w:vAlign w:val="bottom"/>
          </w:tcPr>
          <w:p>
            <w:pPr>
              <w:spacing w:after="0"/>
              <w:rPr>
                <w:sz w:val="24"/>
                <w:szCs w:val="24"/>
                <w:color w:val="auto"/>
              </w:rPr>
            </w:pPr>
          </w:p>
        </w:tc>
      </w:tr>
      <w:tr>
        <w:trPr>
          <w:trHeight w:val="167"/>
        </w:trPr>
        <w:tc>
          <w:tcPr>
            <w:tcW w:w="400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Building C, Suite 12</w:t>
            </w:r>
          </w:p>
        </w:tc>
        <w:tc>
          <w:tcPr>
            <w:tcW w:w="1900" w:type="dxa"/>
            <w:vAlign w:val="bottom"/>
          </w:tcPr>
          <w:p>
            <w:pPr>
              <w:spacing w:after="0"/>
              <w:rPr>
                <w:sz w:val="14"/>
                <w:szCs w:val="14"/>
                <w:color w:val="auto"/>
              </w:rPr>
            </w:pPr>
          </w:p>
        </w:tc>
      </w:tr>
      <w:tr>
        <w:trPr>
          <w:trHeight w:val="167"/>
        </w:trPr>
        <w:tc>
          <w:tcPr>
            <w:tcW w:w="590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Johnson City, Tennessee 37604</w:t>
            </w:r>
          </w:p>
        </w:tc>
      </w:tr>
      <w:tr>
        <w:trPr>
          <w:trHeight w:val="167"/>
        </w:trPr>
        <w:tc>
          <w:tcPr>
            <w:tcW w:w="59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(Address of principal executive offices, including zip code)</w:t>
            </w:r>
          </w:p>
        </w:tc>
      </w:tr>
      <w:tr>
        <w:trPr>
          <w:trHeight w:val="334"/>
        </w:trPr>
        <w:tc>
          <w:tcPr>
            <w:tcW w:w="400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(423) 743-9151</w:t>
            </w:r>
          </w:p>
        </w:tc>
        <w:tc>
          <w:tcPr>
            <w:tcW w:w="1900" w:type="dxa"/>
            <w:vAlign w:val="bottom"/>
          </w:tcPr>
          <w:p>
            <w:pPr>
              <w:spacing w:after="0"/>
              <w:rPr>
                <w:sz w:val="24"/>
                <w:szCs w:val="24"/>
                <w:color w:val="auto"/>
              </w:rPr>
            </w:pPr>
          </w:p>
        </w:tc>
      </w:tr>
      <w:tr>
        <w:trPr>
          <w:trHeight w:val="167"/>
        </w:trPr>
        <w:tc>
          <w:tcPr>
            <w:tcW w:w="59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(Registrant's telephone number, including area code)</w:t>
            </w:r>
          </w:p>
        </w:tc>
      </w:tr>
    </w:tbl>
    <w:p>
      <w:pPr>
        <w:spacing w:after="0" w:line="338" w:lineRule="exact"/>
        <w:rPr>
          <w:sz w:val="24"/>
          <w:szCs w:val="24"/>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the  preceding 12</w:t>
            </w:r>
          </w:p>
        </w:tc>
        <w:tc>
          <w:tcPr>
            <w:tcW w:w="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months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 such</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shorter</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period that the</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registrant  was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required  to file</w:t>
            </w:r>
          </w:p>
        </w:tc>
        <w:tc>
          <w:tcPr>
            <w:tcW w:w="6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such</w:t>
            </w:r>
          </w:p>
        </w:tc>
        <w:tc>
          <w:tcPr>
            <w:tcW w:w="2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reports),  and  (2) has  been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subject</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to such</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filing</w:t>
            </w:r>
          </w:p>
        </w:tc>
      </w:tr>
      <w:tr>
        <w:trPr>
          <w:trHeight w:val="167"/>
        </w:trPr>
        <w:tc>
          <w:tcPr>
            <w:tcW w:w="2480" w:type="dxa"/>
            <w:vAlign w:val="bottom"/>
            <w:gridSpan w:val="4"/>
          </w:tcPr>
          <w:p>
            <w:pPr>
              <w:spacing w:after="0"/>
              <w:rPr>
                <w:sz w:val="20"/>
                <w:szCs w:val="20"/>
                <w:color w:val="auto"/>
              </w:rPr>
            </w:pPr>
            <w:r>
              <w:rPr>
                <w:rFonts w:ascii="Courier New" w:cs="Courier New" w:eastAsia="Courier New" w:hAnsi="Courier New"/>
                <w:sz w:val="14"/>
                <w:szCs w:val="14"/>
                <w:color w:val="auto"/>
              </w:rPr>
              <w:t>requirements for the past 90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Yes |X|</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No |_|</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Indicate by check</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mark</w:t>
            </w:r>
          </w:p>
        </w:tc>
        <w:tc>
          <w:tcPr>
            <w:tcW w:w="2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whether the registrant</w:t>
            </w:r>
          </w:p>
        </w:tc>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is an accelerated filer (as</w:t>
            </w:r>
          </w:p>
        </w:tc>
        <w:tc>
          <w:tcPr>
            <w:tcW w:w="580" w:type="dxa"/>
            <w:vAlign w:val="bottom"/>
          </w:tcPr>
          <w:p>
            <w:pPr>
              <w:spacing w:after="0"/>
              <w:rPr>
                <w:sz w:val="24"/>
                <w:szCs w:val="24"/>
                <w:color w:val="auto"/>
              </w:rPr>
            </w:pPr>
          </w:p>
        </w:tc>
      </w:tr>
      <w:tr>
        <w:trPr>
          <w:trHeight w:val="167"/>
        </w:trPr>
        <w:tc>
          <w:tcPr>
            <w:tcW w:w="2140" w:type="dxa"/>
            <w:vAlign w:val="bottom"/>
            <w:gridSpan w:val="3"/>
          </w:tcPr>
          <w:p>
            <w:pPr>
              <w:spacing w:after="0"/>
              <w:rPr>
                <w:sz w:val="20"/>
                <w:szCs w:val="20"/>
                <w:color w:val="auto"/>
              </w:rPr>
            </w:pPr>
            <w:r>
              <w:rPr>
                <w:rFonts w:ascii="Courier New" w:cs="Courier New" w:eastAsia="Courier New" w:hAnsi="Courier New"/>
                <w:sz w:val="14"/>
                <w:szCs w:val="14"/>
                <w:color w:val="auto"/>
              </w:rPr>
              <w:t>defined in Rule 12b-2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Exchange Act).</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Yes |X|</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No |_|</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As of October 31,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2005</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there</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were 17,206,072</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shares of</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registrant's</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stock, par value $0.01</w:t>
            </w:r>
          </w:p>
        </w:tc>
        <w:tc>
          <w:tcPr>
            <w:tcW w:w="2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per share, outstanding.</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5700" w:type="dxa"/>
            <w:vAlign w:val="bottom"/>
          </w:tcPr>
          <w:p>
            <w:pPr>
              <w:ind w:left="2560"/>
              <w:spacing w:after="0"/>
              <w:rPr>
                <w:sz w:val="20"/>
                <w:szCs w:val="20"/>
                <w:color w:val="auto"/>
              </w:rPr>
            </w:pPr>
            <w:r>
              <w:rPr>
                <w:rFonts w:ascii="Courier New" w:cs="Courier New" w:eastAsia="Courier New" w:hAnsi="Courier New"/>
                <w:sz w:val="14"/>
                <w:szCs w:val="14"/>
                <w:color w:val="auto"/>
              </w:rPr>
              <w:t>INDEX</w:t>
            </w:r>
          </w:p>
        </w:tc>
        <w:tc>
          <w:tcPr>
            <w:tcW w:w="420" w:type="dxa"/>
            <w:vAlign w:val="bottom"/>
          </w:tcPr>
          <w:p>
            <w:pPr>
              <w:spacing w:after="0"/>
              <w:rPr>
                <w:sz w:val="14"/>
                <w:szCs w:val="14"/>
                <w:color w:val="auto"/>
              </w:rPr>
            </w:pPr>
          </w:p>
        </w:tc>
      </w:tr>
      <w:tr>
        <w:trPr>
          <w:trHeight w:val="501"/>
        </w:trPr>
        <w:tc>
          <w:tcPr>
            <w:tcW w:w="740" w:type="dxa"/>
            <w:vAlign w:val="bottom"/>
          </w:tcPr>
          <w:p>
            <w:pPr>
              <w:spacing w:after="0"/>
              <w:rPr>
                <w:sz w:val="24"/>
                <w:szCs w:val="24"/>
                <w:color w:val="auto"/>
              </w:rPr>
            </w:pPr>
          </w:p>
        </w:tc>
        <w:tc>
          <w:tcPr>
            <w:tcW w:w="6120" w:type="dxa"/>
            <w:vAlign w:val="bottom"/>
            <w:gridSpan w:val="2"/>
          </w:tcPr>
          <w:p>
            <w:pPr>
              <w:ind w:left="5440"/>
              <w:spacing w:after="0"/>
              <w:rPr>
                <w:sz w:val="20"/>
                <w:szCs w:val="20"/>
                <w:color w:val="auto"/>
              </w:rPr>
            </w:pPr>
            <w:r>
              <w:rPr>
                <w:rFonts w:ascii="Courier New" w:cs="Courier New" w:eastAsia="Courier New" w:hAnsi="Courier New"/>
                <w:sz w:val="14"/>
                <w:szCs w:val="14"/>
                <w:color w:val="auto"/>
                <w:w w:val="98"/>
              </w:rPr>
              <w:t>Page No.</w:t>
            </w:r>
          </w:p>
        </w:tc>
      </w:tr>
      <w:tr>
        <w:trPr>
          <w:trHeight w:val="167"/>
        </w:trPr>
        <w:tc>
          <w:tcPr>
            <w:tcW w:w="740" w:type="dxa"/>
            <w:vAlign w:val="bottom"/>
          </w:tcPr>
          <w:p>
            <w:pPr>
              <w:spacing w:after="0"/>
              <w:rPr>
                <w:sz w:val="14"/>
                <w:szCs w:val="14"/>
                <w:color w:val="auto"/>
              </w:rPr>
            </w:pPr>
          </w:p>
        </w:tc>
        <w:tc>
          <w:tcPr>
            <w:tcW w:w="6120" w:type="dxa"/>
            <w:vAlign w:val="bottom"/>
            <w:gridSpan w:val="2"/>
          </w:tcPr>
          <w:p>
            <w:pPr>
              <w:ind w:left="5440"/>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Financial Information</w:t>
            </w:r>
          </w:p>
        </w:tc>
        <w:tc>
          <w:tcPr>
            <w:tcW w:w="420" w:type="dxa"/>
            <w:vAlign w:val="bottom"/>
          </w:tcPr>
          <w:p>
            <w:pPr>
              <w:spacing w:after="0"/>
              <w:rPr>
                <w:sz w:val="14"/>
                <w:szCs w:val="1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w:t>
            </w:r>
          </w:p>
        </w:tc>
        <w:tc>
          <w:tcPr>
            <w:tcW w:w="420" w:type="dxa"/>
            <w:vAlign w:val="bottom"/>
          </w:tcPr>
          <w:p>
            <w:pPr>
              <w:spacing w:after="0"/>
              <w:rPr>
                <w:sz w:val="24"/>
                <w:szCs w:val="24"/>
                <w:color w:val="auto"/>
              </w:rPr>
            </w:pPr>
          </w:p>
        </w:tc>
      </w:tr>
      <w:tr>
        <w:trPr>
          <w:trHeight w:val="334"/>
        </w:trPr>
        <w:tc>
          <w:tcPr>
            <w:tcW w:w="74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Consolidated Statements of Income and Comprehensive Income</w:t>
            </w:r>
          </w:p>
        </w:tc>
        <w:tc>
          <w:tcPr>
            <w:tcW w:w="4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for the three and nine months ended September 30, 2005</w:t>
            </w:r>
          </w:p>
        </w:tc>
        <w:tc>
          <w:tcPr>
            <w:tcW w:w="42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and 2004 (unaudited)............................................</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334"/>
        </w:trPr>
        <w:tc>
          <w:tcPr>
            <w:tcW w:w="74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Condensed Consolidated Balance Sheets at September 30, 2005</w:t>
            </w:r>
          </w:p>
        </w:tc>
        <w:tc>
          <w:tcPr>
            <w:tcW w:w="4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and December 31, 2004 (unaudited) ..............................</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334"/>
        </w:trPr>
        <w:tc>
          <w:tcPr>
            <w:tcW w:w="74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Consolidated Statements of Changes in Stockholders' Equity for</w:t>
            </w:r>
          </w:p>
        </w:tc>
        <w:tc>
          <w:tcPr>
            <w:tcW w:w="4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the nine months ended September 30, 2005 and 2004 (unaudited)...</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334"/>
        </w:trPr>
        <w:tc>
          <w:tcPr>
            <w:tcW w:w="74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Consolidated Statements of Cash Flows for the nine months</w:t>
            </w:r>
          </w:p>
        </w:tc>
        <w:tc>
          <w:tcPr>
            <w:tcW w:w="4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ended September 30, 2005 and 2004 (unaudited)...................</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334"/>
        </w:trPr>
        <w:tc>
          <w:tcPr>
            <w:tcW w:w="74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Notes to Consolidated Financial Statements (unaudited)............</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42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Condition and Results of Operations............................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14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23</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Controls and Procedures..........................................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Other Information</w:t>
            </w:r>
          </w:p>
        </w:tc>
        <w:tc>
          <w:tcPr>
            <w:tcW w:w="42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Legal Proceedings................................................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Changes in Securities and Use of Proceeds........................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Defaults Upon Senior Securities..................................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25</w:t>
            </w:r>
          </w:p>
        </w:tc>
      </w:tr>
    </w:tbl>
    <w:p>
      <w:pPr>
        <w:sectPr>
          <w:pgSz w:w="11900" w:h="16838" w:orient="portrait"/>
          <w:cols w:equalWidth="0" w:num="1">
            <w:col w:w="10239"/>
          </w:cols>
          <w:pgMar w:left="220" w:top="23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Other Information................................................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Exhibits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334"/>
        </w:trPr>
        <w:tc>
          <w:tcPr>
            <w:tcW w:w="6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Signatures................................................................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26</w:t>
            </w:r>
          </w:p>
        </w:tc>
      </w:tr>
      <w:tr>
        <w:trPr>
          <w:trHeight w:val="501"/>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1</w:t>
            </w:r>
          </w:p>
        </w:tc>
        <w:tc>
          <w:tcPr>
            <w:tcW w:w="160" w:type="dxa"/>
            <w:vAlign w:val="bottom"/>
          </w:tcPr>
          <w:p>
            <w:pPr>
              <w:spacing w:after="0"/>
              <w:rPr>
                <w:sz w:val="24"/>
                <w:szCs w:val="24"/>
                <w:color w:val="auto"/>
              </w:rPr>
            </w:pPr>
          </w:p>
        </w:tc>
      </w:tr>
    </w:tbl>
    <w:p>
      <w:pPr>
        <w:sectPr>
          <w:pgSz w:w="11900" w:h="16838" w:orient="portrait"/>
          <w:cols w:equalWidth="0" w:num="1">
            <w:col w:w="10239"/>
          </w:cols>
          <w:pgMar w:left="220" w:top="308" w:right="1440" w:bottom="1440" w:gutter="0" w:footer="0" w:header="0"/>
        </w:sectPr>
      </w:pPr>
    </w:p>
    <w:bookmarkStart w:id="2" w:name="page3"/>
    <w:bookmarkEnd w:id="2"/>
    <w:p>
      <w:pPr>
        <w:ind w:left="2260"/>
        <w:spacing w:after="0"/>
        <w:rPr>
          <w:sz w:val="20"/>
          <w:szCs w:val="20"/>
          <w:color w:val="auto"/>
        </w:rPr>
      </w:pPr>
      <w:r>
        <w:rPr>
          <w:rFonts w:ascii="Courier New" w:cs="Courier New" w:eastAsia="Courier New" w:hAnsi="Courier New"/>
          <w:sz w:val="14"/>
          <w:szCs w:val="14"/>
          <w:color w:val="auto"/>
        </w:rPr>
        <w:t>PART I. FINANCIAL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Statements of Income and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ind w:left="3040"/>
              <w:spacing w:after="0"/>
              <w:rPr>
                <w:sz w:val="20"/>
                <w:szCs w:val="20"/>
                <w:color w:val="auto"/>
              </w:rPr>
            </w:pPr>
            <w:r>
              <w:rPr>
                <w:rFonts w:ascii="Courier New" w:cs="Courier New" w:eastAsia="Courier New" w:hAnsi="Courier New"/>
                <w:sz w:val="14"/>
                <w:szCs w:val="14"/>
                <w:color w:val="auto"/>
              </w:rPr>
              <w:t>(Unaudited)</w:t>
            </w: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8"/>
        </w:trPr>
        <w:tc>
          <w:tcPr>
            <w:tcW w:w="4520" w:type="dxa"/>
            <w:vAlign w:val="bottom"/>
          </w:tcPr>
          <w:p>
            <w:pPr>
              <w:spacing w:after="0"/>
              <w:rPr>
                <w:sz w:val="24"/>
                <w:szCs w:val="24"/>
                <w:color w:val="auto"/>
              </w:rPr>
            </w:pPr>
          </w:p>
        </w:tc>
        <w:tc>
          <w:tcPr>
            <w:tcW w:w="27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Three Months Ended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5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c>
          <w:tcPr>
            <w:tcW w:w="8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(Thousands of Dollars, Except Per Share Data)</w:t>
            </w:r>
          </w:p>
        </w:tc>
        <w:tc>
          <w:tcPr>
            <w:tcW w:w="19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2004</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$74,998</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$72,917</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$ 245,500</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$ 225,815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Cost of products sold (exclusive of depreciation</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shown separately below)</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58,177</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57,263</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191,848</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176,590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7,180</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7,126</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21,961</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22,309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3,998</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12,302</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11,918</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Loss on disposal of assets</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5,643</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4,529</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19,383</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14,998</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640" w:type="dxa"/>
            <w:vAlign w:val="bottom"/>
          </w:tcPr>
          <w:p>
            <w:pPr>
              <w:spacing w:after="0"/>
              <w:rPr>
                <w:sz w:val="24"/>
                <w:szCs w:val="2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967</w:t>
            </w:r>
          </w:p>
        </w:tc>
        <w:tc>
          <w:tcPr>
            <w:tcW w:w="5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w:t>
            </w:r>
          </w:p>
        </w:tc>
        <w:tc>
          <w:tcPr>
            <w:tcW w:w="600" w:type="dxa"/>
            <w:vAlign w:val="bottom"/>
          </w:tcPr>
          <w:p>
            <w:pPr>
              <w:spacing w:after="0"/>
              <w:rPr>
                <w:sz w:val="24"/>
                <w:szCs w:val="2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2,976</w:t>
            </w:r>
          </w:p>
        </w:tc>
        <w:tc>
          <w:tcPr>
            <w:tcW w:w="6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(286)</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4,623</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3,605</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16,693</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12,281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2,066</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6,801</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4,926</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2,557</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2,152</w:t>
            </w:r>
          </w:p>
        </w:tc>
        <w:tc>
          <w:tcPr>
            <w:tcW w:w="6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9,892</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7,355</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Unrealized holding gain on securities,</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480" w:type="dxa"/>
            <w:vAlign w:val="bottom"/>
          </w:tcPr>
          <w:p>
            <w:pPr>
              <w:ind w:left="700"/>
              <w:spacing w:after="0"/>
              <w:rPr>
                <w:sz w:val="20"/>
                <w:szCs w:val="20"/>
                <w:color w:val="auto"/>
              </w:rPr>
            </w:pPr>
            <w:r>
              <w:rPr>
                <w:rFonts w:ascii="Courier New" w:cs="Courier New" w:eastAsia="Courier New" w:hAnsi="Courier New"/>
                <w:sz w:val="14"/>
                <w:szCs w:val="14"/>
                <w:color w:val="auto"/>
              </w:rPr>
              <w:t>net of tax</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6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w:t>
            </w:r>
          </w:p>
        </w:tc>
        <w:tc>
          <w:tcPr>
            <w:tcW w:w="6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w:t>
            </w:r>
          </w:p>
        </w:tc>
        <w:tc>
          <w:tcPr>
            <w:tcW w:w="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(10,425)</w:t>
            </w:r>
          </w:p>
        </w:tc>
        <w:tc>
          <w:tcPr>
            <w:tcW w:w="6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(1,304)</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 (loss)</w:t>
            </w:r>
          </w:p>
        </w:tc>
        <w:tc>
          <w:tcPr>
            <w:tcW w:w="64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$2,097</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$ 3,336</w:t>
            </w:r>
          </w:p>
        </w:tc>
        <w:tc>
          <w:tcPr>
            <w:tcW w:w="60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(606)</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$ 6,051</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Basic income per common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0.44</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640" w:type="dxa"/>
            <w:vAlign w:val="bottom"/>
          </w:tcPr>
          <w:p>
            <w:pPr>
              <w:spacing w:after="0"/>
              <w:rPr>
                <w:sz w:val="24"/>
                <w:szCs w:val="2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17,191</w:t>
            </w:r>
          </w:p>
        </w:tc>
        <w:tc>
          <w:tcPr>
            <w:tcW w:w="5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16,767</w:t>
            </w:r>
          </w:p>
        </w:tc>
        <w:tc>
          <w:tcPr>
            <w:tcW w:w="600" w:type="dxa"/>
            <w:vAlign w:val="bottom"/>
          </w:tcPr>
          <w:p>
            <w:pPr>
              <w:spacing w:after="0"/>
              <w:rPr>
                <w:sz w:val="24"/>
                <w:szCs w:val="2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16,963</w:t>
            </w:r>
          </w:p>
        </w:tc>
        <w:tc>
          <w:tcPr>
            <w:tcW w:w="6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16,721</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Diluted income per common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0.57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0.43</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640" w:type="dxa"/>
            <w:vAlign w:val="bottom"/>
          </w:tcPr>
          <w:p>
            <w:pPr>
              <w:spacing w:after="0"/>
              <w:rPr>
                <w:sz w:val="24"/>
                <w:szCs w:val="2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17,522</w:t>
            </w:r>
          </w:p>
        </w:tc>
        <w:tc>
          <w:tcPr>
            <w:tcW w:w="5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17,135</w:t>
            </w:r>
          </w:p>
        </w:tc>
        <w:tc>
          <w:tcPr>
            <w:tcW w:w="600" w:type="dxa"/>
            <w:vAlign w:val="bottom"/>
          </w:tcPr>
          <w:p>
            <w:pPr>
              <w:spacing w:after="0"/>
              <w:rPr>
                <w:sz w:val="24"/>
                <w:szCs w:val="2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17,286</w:t>
            </w:r>
          </w:p>
        </w:tc>
        <w:tc>
          <w:tcPr>
            <w:tcW w:w="6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17,142</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0.24</w:t>
            </w:r>
          </w:p>
        </w:tc>
      </w:tr>
      <w:tr>
        <w:trPr>
          <w:trHeight w:val="167"/>
        </w:trPr>
        <w:tc>
          <w:tcPr>
            <w:tcW w:w="448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See accompanying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1440" w:gutter="0" w:footer="0" w:header="0"/>
        </w:sectPr>
      </w:pPr>
    </w:p>
    <w:bookmarkStart w:id="3" w:name="page4"/>
    <w:bookmarkEnd w:id="3"/>
    <w:p>
      <w:pPr>
        <w:jc w:val="center"/>
        <w:ind w:right="3279"/>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342" w:lineRule="exact"/>
        <w:rPr>
          <w:sz w:val="20"/>
          <w:szCs w:val="20"/>
          <w:color w:val="auto"/>
        </w:rPr>
      </w:pPr>
    </w:p>
    <w:p>
      <w:pPr>
        <w:ind w:left="6340"/>
        <w:spacing w:after="0"/>
        <w:tabs>
          <w:tab w:leader="none" w:pos="850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spacing w:after="0"/>
        <w:tabs>
          <w:tab w:leader="none" w:pos="6680" w:val="left"/>
          <w:tab w:leader="none" w:pos="884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8" w:lineRule="exact"/>
        <w:rPr>
          <w:sz w:val="20"/>
          <w:szCs w:val="20"/>
          <w:color w:val="auto"/>
        </w:rPr>
      </w:pPr>
    </w:p>
    <w:p>
      <w:pPr>
        <w:ind w:left="6440"/>
        <w:spacing w:after="0"/>
        <w:tabs>
          <w:tab w:leader="none" w:pos="8500" w:val="left"/>
        </w:tabs>
        <w:rPr>
          <w:sz w:val="20"/>
          <w:szCs w:val="20"/>
          <w:color w:val="auto"/>
        </w:rPr>
      </w:pP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(Unaudited)</w:t>
      </w:r>
    </w:p>
    <w:p>
      <w:pPr>
        <w:spacing w:after="0" w:line="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10,772</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52,981</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51,597</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35,051</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35,629</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Income tax receivable</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2,468</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4,401</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8,541</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5,939</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106,748</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108,338</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12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115,930</w:t>
            </w:r>
          </w:p>
        </w:tc>
        <w:tc>
          <w:tcPr>
            <w:tcW w:w="1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131,169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41,932</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44,457</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6,197</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5,905</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$ 270,807</w:t>
            </w: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$ 289,869</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36,092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45,217</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and wages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13,835</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16,332</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4,714</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1,599</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Current maturities of long-term debt</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6,319</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7,160</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4,658</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4,123</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65,618</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74,431</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w:t>
            </w:r>
          </w:p>
        </w:tc>
        <w:tc>
          <w:tcPr>
            <w:tcW w:w="212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16,715</w:t>
            </w:r>
          </w:p>
        </w:tc>
        <w:tc>
          <w:tcPr>
            <w:tcW w:w="1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17,857</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61,481</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Accrued pension and other</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13,018</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14,931</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w:t>
            </w:r>
          </w:p>
        </w:tc>
        <w:tc>
          <w:tcPr>
            <w:tcW w:w="21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156,832</w:t>
            </w:r>
          </w:p>
        </w:tc>
        <w:tc>
          <w:tcPr>
            <w:tcW w:w="1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174,729</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12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113,975</w:t>
            </w:r>
          </w:p>
        </w:tc>
        <w:tc>
          <w:tcPr>
            <w:tcW w:w="1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115,140</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$ 270,807</w:t>
            </w: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$ 289,869</w:t>
            </w:r>
          </w:p>
        </w:tc>
      </w:tr>
      <w:tr>
        <w:trPr>
          <w:trHeight w:val="167"/>
        </w:trPr>
        <w:tc>
          <w:tcPr>
            <w:tcW w:w="4920" w:type="dxa"/>
            <w:vAlign w:val="bottom"/>
          </w:tcPr>
          <w:p>
            <w:pPr>
              <w:spacing w:after="0"/>
              <w:rPr>
                <w:sz w:val="14"/>
                <w:szCs w:val="14"/>
                <w:color w:val="auto"/>
              </w:rPr>
            </w:pPr>
          </w:p>
        </w:tc>
        <w:tc>
          <w:tcPr>
            <w:tcW w:w="3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See accompanying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1440" w:gutter="0" w:footer="0" w:header="0"/>
        </w:sectPr>
      </w:pPr>
    </w:p>
    <w:bookmarkStart w:id="4" w:name="page5"/>
    <w:bookmarkEnd w:id="4"/>
    <w:p>
      <w:pPr>
        <w:jc w:val="center"/>
        <w:ind w:right="4580"/>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p>
      <w:pPr>
        <w:ind w:left="8940"/>
        <w:spacing w:after="0"/>
        <w:rPr>
          <w:sz w:val="20"/>
          <w:szCs w:val="20"/>
          <w:color w:val="auto"/>
        </w:rPr>
      </w:pPr>
      <w:r>
        <w:rPr>
          <w:rFonts w:ascii="Courier New" w:cs="Courier New" w:eastAsia="Courier New" w:hAnsi="Courier New"/>
          <w:sz w:val="14"/>
          <w:szCs w:val="14"/>
          <w:color w:val="auto"/>
        </w:rPr>
        <w:t>Accumulated</w:t>
      </w:r>
    </w:p>
    <w:p>
      <w:pPr>
        <w:spacing w:after="0" w:line="8" w:lineRule="exact"/>
        <w:rPr>
          <w:sz w:val="20"/>
          <w:szCs w:val="20"/>
          <w:color w:val="auto"/>
        </w:rPr>
      </w:pPr>
    </w:p>
    <w:p>
      <w:pPr>
        <w:ind w:left="4260"/>
        <w:spacing w:after="0"/>
        <w:tabs>
          <w:tab w:leader="none" w:pos="6320" w:val="left"/>
          <w:tab w:leader="none" w:pos="91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Other</w:t>
      </w:r>
    </w:p>
    <w:p>
      <w:pPr>
        <w:spacing w:after="0" w:line="8" w:lineRule="exact"/>
        <w:rPr>
          <w:sz w:val="20"/>
          <w:szCs w:val="20"/>
          <w:color w:val="auto"/>
        </w:rPr>
      </w:pPr>
    </w:p>
    <w:p>
      <w:pPr>
        <w:ind w:left="3920"/>
        <w:spacing w:after="0"/>
        <w:tabs>
          <w:tab w:leader="none" w:pos="5200" w:val="left"/>
          <w:tab w:leader="none" w:pos="6420" w:val="left"/>
          <w:tab w:leader="none" w:pos="7720" w:val="left"/>
          <w:tab w:leader="none" w:pos="884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paid in</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Comprehensive</w:t>
      </w:r>
    </w:p>
    <w:p>
      <w:pPr>
        <w:spacing w:after="0" w:line="8" w:lineRule="exact"/>
        <w:rPr>
          <w:sz w:val="20"/>
          <w:szCs w:val="20"/>
          <w:color w:val="auto"/>
        </w:rPr>
      </w:pPr>
    </w:p>
    <w:p>
      <w:pPr>
        <w:spacing w:after="0"/>
        <w:tabs>
          <w:tab w:leader="none" w:pos="3980" w:val="left"/>
          <w:tab w:leader="none" w:pos="5200" w:val="left"/>
          <w:tab w:leader="none" w:pos="6420" w:val="left"/>
          <w:tab w:leader="none" w:pos="7720" w:val="left"/>
          <w:tab w:leader="none" w:pos="8840" w:val="left"/>
          <w:tab w:leader="none" w:pos="10660" w:val="left"/>
        </w:tabs>
        <w:rPr>
          <w:sz w:val="20"/>
          <w:szCs w:val="20"/>
          <w:color w:val="auto"/>
        </w:rPr>
      </w:pPr>
      <w:r>
        <w:rPr>
          <w:rFonts w:ascii="Courier New" w:cs="Courier New" w:eastAsia="Courier New" w:hAnsi="Courier New"/>
          <w:sz w:val="14"/>
          <w:szCs w:val="14"/>
          <w:color w:val="auto"/>
        </w:rPr>
        <w:t>(Thousands of Dollars and Shares)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Income (Loss)</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Balance, January 1, 2004</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$ 52,960</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$ 43,931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$ 9,409</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$ 106,468</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7,355</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(4,016)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(4,016)</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(1,304)</w:t>
            </w:r>
          </w:p>
        </w:tc>
      </w:tr>
      <w:tr>
        <w:trPr>
          <w:trHeight w:val="167"/>
        </w:trPr>
        <w:tc>
          <w:tcPr>
            <w:tcW w:w="356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Balance, September 30, 2004</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16,772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$ 53,390</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$ 47,270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$ 108,933</w:t>
            </w:r>
          </w:p>
        </w:tc>
      </w:tr>
      <w:tr>
        <w:trPr>
          <w:trHeight w:val="167"/>
        </w:trPr>
        <w:tc>
          <w:tcPr>
            <w:tcW w:w="356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Balance, January 1, 2005</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16,777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$ 53,423</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$ 45,676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$ 15,873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$ 115,140</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3,529</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3,534</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9,892</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(4,093)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(4,093)</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Unrealized holding loss on available</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700"/>
              <w:spacing w:after="0"/>
              <w:rPr>
                <w:sz w:val="20"/>
                <w:szCs w:val="20"/>
                <w:color w:val="auto"/>
              </w:rPr>
            </w:pPr>
            <w:r>
              <w:rPr>
                <w:rFonts w:ascii="Courier New" w:cs="Courier New" w:eastAsia="Courier New" w:hAnsi="Courier New"/>
                <w:sz w:val="14"/>
                <w:szCs w:val="14"/>
                <w:color w:val="auto"/>
              </w:rPr>
              <w:t>for sale securities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(10,425)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(10,425)</w:t>
            </w:r>
          </w:p>
        </w:tc>
      </w:tr>
      <w:tr>
        <w:trPr>
          <w:trHeight w:val="167"/>
        </w:trPr>
        <w:tc>
          <w:tcPr>
            <w:tcW w:w="356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Balance, September 30, 2005</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17,206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$ 56,952</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$ 51,475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$ 5,375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$ 113,975</w:t>
            </w:r>
          </w:p>
        </w:tc>
      </w:tr>
      <w:tr>
        <w:trPr>
          <w:trHeight w:val="167"/>
        </w:trPr>
        <w:tc>
          <w:tcPr>
            <w:tcW w:w="356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See accompanying notes.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620" w:right="139" w:bottom="1440" w:gutter="0" w:footer="0" w:header="0"/>
        </w:sectPr>
      </w:pPr>
    </w:p>
    <w:bookmarkStart w:id="5" w:name="page6"/>
    <w:bookmarkEnd w:id="5"/>
    <w:p>
      <w:pPr>
        <w:jc w:val="center"/>
        <w:ind w:right="3279"/>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740" w:type="dxa"/>
            <w:vAlign w:val="bottom"/>
          </w:tcPr>
          <w:p>
            <w:pPr>
              <w:spacing w:after="0"/>
              <w:rPr>
                <w:sz w:val="14"/>
                <w:szCs w:val="14"/>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3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$ 9,892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$ 7,355</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by operating</w:t>
            </w: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activities:</w:t>
            </w: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11,918</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debt issue costs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Write-off of unamortized debt issue costs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Loss on disposal of property, plant and equipment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on notes receivable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 from issuance of restricted stock</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(5,022)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(9,609)</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3,587</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(6,976)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4,897</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Income tax receivable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2,079</w:t>
            </w:r>
          </w:p>
        </w:tc>
      </w:tr>
      <w:tr>
        <w:trPr>
          <w:trHeight w:val="167"/>
        </w:trPr>
        <w:tc>
          <w:tcPr>
            <w:tcW w:w="67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2,299</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ind w:left="80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10,258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21,976</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(8,370)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(7,999)</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disposals of property, plant and equipment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ind w:left="800"/>
              <w:spacing w:after="0"/>
              <w:rPr>
                <w:sz w:val="20"/>
                <w:szCs w:val="20"/>
                <w:color w:val="auto"/>
              </w:rPr>
            </w:pPr>
            <w:r>
              <w:rPr>
                <w:rFonts w:ascii="Courier New" w:cs="Courier New" w:eastAsia="Courier New" w:hAnsi="Courier New"/>
                <w:sz w:val="14"/>
                <w:szCs w:val="14"/>
                <w:color w:val="auto"/>
              </w:rPr>
              <w:t>Net cash used by investing activities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(8,339)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(7,948)</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long-term debt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Increase in cash from reclassification of book overdraft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Debt issue costs paid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(771)</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(44,642)</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debt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issuance of stock</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w:t>
            </w:r>
          </w:p>
        </w:tc>
      </w:tr>
      <w:tr>
        <w:trPr>
          <w:trHeight w:val="167"/>
        </w:trPr>
        <w:tc>
          <w:tcPr>
            <w:tcW w:w="670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(4,016)</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ind w:left="800"/>
              <w:spacing w:after="0"/>
              <w:rPr>
                <w:sz w:val="20"/>
                <w:szCs w:val="20"/>
                <w:color w:val="auto"/>
              </w:rPr>
            </w:pPr>
            <w:r>
              <w:rPr>
                <w:rFonts w:ascii="Courier New" w:cs="Courier New" w:eastAsia="Courier New" w:hAnsi="Courier New"/>
                <w:sz w:val="14"/>
                <w:szCs w:val="14"/>
                <w:color w:val="auto"/>
              </w:rPr>
              <w:t>Net cash used by financing activities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(10,998)</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 cash equivalents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Net Change in Cash and Cash Equivalents</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2,795</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4,978</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$ 7,707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$ 7,773</w:t>
            </w:r>
          </w:p>
        </w:tc>
      </w:tr>
      <w:tr>
        <w:trPr>
          <w:trHeight w:val="167"/>
        </w:trPr>
        <w:tc>
          <w:tcPr>
            <w:tcW w:w="6700" w:type="dxa"/>
            <w:vAlign w:val="bottom"/>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See accompanying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6" w:name="page7"/>
    <w:bookmarkEnd w:id="6"/>
    <w:p>
      <w:pPr>
        <w:jc w:val="center"/>
        <w:ind w:right="3279"/>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(unaudited)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1.</w:t>
        <w:tab/>
        <w:t>Interim Financial Statements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our independent registered public accounting firm, except that the balance sheet at December 31, 2004 is derived from the Company's audited financial statements. In the opinion of the Company's management, the financial statements reflect all adjustments necessary to present fairly the results of operations for the three and nine month periods ended September 30, 2005 and 2004, the Company's financial position at September 30, 2005 and December 31, 2004, and the cash flows for the nine month periods ended September 30, 2005 and 2004.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2004 which we filed with the Securities and Exchange Commission on March 16, 2005.</w:t>
      </w:r>
    </w:p>
    <w:p>
      <w:pPr>
        <w:spacing w:after="0" w:line="33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results for the first, second, and third quarters of 2005 and for the nine month period ended September 30, 2005 are not necessarily indicative of results for the year ending December 31, 2005 or any other future results.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2.</w:t>
        <w:tab/>
        <w:t>Derivative Financial Instruments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As of September 30, 2005, the fair value of the swap was approximately $71,000, which is recorded in other current liabilities. The change in fair value during the three and nine month periods ended September 30, 2005 was a loss of approximately $37,000 and a loss of approximately $97,000, respectively, which have been included as components of other (income) expense. The change in fair value during the three and nine month periods ended September 30, 2004 was a loss of approximately $11,000 and a gain of approximately $73,000, respectively.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Note 3. Inventories</w:t>
      </w:r>
    </w:p>
    <w:p>
      <w:pPr>
        <w:spacing w:after="0" w:line="175" w:lineRule="exact"/>
        <w:rPr>
          <w:sz w:val="20"/>
          <w:szCs w:val="20"/>
          <w:color w:val="auto"/>
        </w:rPr>
      </w:pPr>
    </w:p>
    <w:p>
      <w:pPr>
        <w:jc w:val="both"/>
        <w:ind w:right="4080"/>
        <w:spacing w:after="0" w:line="258" w:lineRule="auto"/>
        <w:rPr>
          <w:sz w:val="20"/>
          <w:szCs w:val="20"/>
          <w:color w:val="auto"/>
        </w:rPr>
      </w:pPr>
      <w:r>
        <w:rPr>
          <w:rFonts w:ascii="Courier New" w:cs="Courier New" w:eastAsia="Courier New" w:hAnsi="Courier New"/>
          <w:sz w:val="14"/>
          <w:szCs w:val="14"/>
          <w:color w:val="auto"/>
        </w:rPr>
        <w:t>Inventories are stated at the lower of cost or market. Cost is determined using the first-in, first-out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000" w:type="dxa"/>
            <w:vAlign w:val="bottom"/>
          </w:tcPr>
          <w:p>
            <w:pPr>
              <w:spacing w:after="0"/>
              <w:rPr>
                <w:sz w:val="14"/>
                <w:szCs w:val="14"/>
                <w:color w:val="auto"/>
              </w:rPr>
            </w:pPr>
          </w:p>
        </w:tc>
        <w:tc>
          <w:tcPr>
            <w:tcW w:w="27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2005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00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9,011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8,584</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9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6,356</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9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20,935</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22,334</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Less inventory reserves</w:t>
            </w:r>
          </w:p>
        </w:tc>
        <w:tc>
          <w:tcPr>
            <w:tcW w:w="19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(1,445)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(1,645)</w:t>
            </w:r>
          </w:p>
        </w:tc>
      </w:tr>
      <w:tr>
        <w:trPr>
          <w:trHeight w:val="167"/>
        </w:trPr>
        <w:tc>
          <w:tcPr>
            <w:tcW w:w="300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35,051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$ 35,629</w:t>
            </w:r>
          </w:p>
        </w:tc>
      </w:tr>
      <w:tr>
        <w:trPr>
          <w:trHeight w:val="167"/>
        </w:trPr>
        <w:tc>
          <w:tcPr>
            <w:tcW w:w="300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Inventories on consignment at customer locations as of September 30, 2005 and December 31, 2004 totaled $4.2 and $3.8 million, respectively.</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4.</w:t>
        <w:tab/>
        <w:t>Net Income Per Share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08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Three months ended</w:t>
            </w:r>
          </w:p>
        </w:tc>
        <w:tc>
          <w:tcPr>
            <w:tcW w:w="30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4960" w:type="dxa"/>
            <w:vAlign w:val="bottom"/>
          </w:tcPr>
          <w:p>
            <w:pPr>
              <w:spacing w:after="0"/>
              <w:rPr>
                <w:sz w:val="14"/>
                <w:szCs w:val="14"/>
                <w:color w:val="auto"/>
              </w:rPr>
            </w:pPr>
          </w:p>
        </w:tc>
        <w:tc>
          <w:tcPr>
            <w:tcW w:w="308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September 30,</w:t>
            </w:r>
          </w:p>
        </w:tc>
        <w:tc>
          <w:tcPr>
            <w:tcW w:w="300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(Thousands of Dollars, Except Share and Per Share Data)</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2005</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$ 2,557</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$ 2,152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$ 9,892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$ 7,355</w:t>
            </w:r>
          </w:p>
        </w:tc>
      </w:tr>
      <w:tr>
        <w:trPr>
          <w:trHeight w:val="167"/>
        </w:trPr>
        <w:tc>
          <w:tcPr>
            <w:tcW w:w="496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4960" w:type="dxa"/>
            <w:vAlign w:val="bottom"/>
          </w:tcPr>
          <w:p>
            <w:pPr>
              <w:spacing w:after="0"/>
              <w:rPr>
                <w:sz w:val="20"/>
                <w:szCs w:val="20"/>
                <w:color w:val="auto"/>
              </w:rPr>
            </w:pPr>
            <w:r>
              <w:rPr>
                <w:rFonts w:ascii="Courier New" w:cs="Courier New" w:eastAsia="Courier New" w:hAnsi="Courier New"/>
                <w:sz w:val="14"/>
                <w:szCs w:val="14"/>
                <w:color w:val="auto"/>
              </w:rPr>
              <w:t>Weighted average basic shares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17,191,122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16,767,092</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16,963,201</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16,720,515</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330,640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367,414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322,528</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421,633</w:t>
            </w:r>
          </w:p>
        </w:tc>
      </w:tr>
      <w:tr>
        <w:trPr>
          <w:trHeight w:val="167"/>
        </w:trPr>
        <w:tc>
          <w:tcPr>
            <w:tcW w:w="496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Weighted average dilutive shares outstanding</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17,521,762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17,134,506</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17,285,729</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17,142,148</w:t>
            </w:r>
          </w:p>
        </w:tc>
      </w:tr>
      <w:tr>
        <w:trPr>
          <w:trHeight w:val="167"/>
        </w:trPr>
        <w:tc>
          <w:tcPr>
            <w:tcW w:w="496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$ 0.15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$ 0.13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$ 0.58</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$ 0.44</w:t>
            </w:r>
          </w:p>
        </w:tc>
      </w:tr>
      <w:tr>
        <w:trPr>
          <w:trHeight w:val="167"/>
        </w:trPr>
        <w:tc>
          <w:tcPr>
            <w:tcW w:w="496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Diluted net income per share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$ 0.15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$ 0.13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$ 0.57</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$ 0.43</w:t>
            </w:r>
          </w:p>
        </w:tc>
      </w:tr>
      <w:tr>
        <w:trPr>
          <w:trHeight w:val="167"/>
        </w:trPr>
        <w:tc>
          <w:tcPr>
            <w:tcW w:w="496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4080"/>
        <w:spacing w:after="0" w:line="254" w:lineRule="auto"/>
        <w:rPr>
          <w:sz w:val="20"/>
          <w:szCs w:val="20"/>
          <w:color w:val="auto"/>
        </w:rPr>
      </w:pPr>
      <w:r>
        <w:rPr>
          <w:rFonts w:ascii="Courier New" w:cs="Courier New" w:eastAsia="Courier New" w:hAnsi="Courier New"/>
          <w:sz w:val="14"/>
          <w:szCs w:val="14"/>
          <w:color w:val="auto"/>
        </w:rPr>
        <w:t>Excluded from the shares outstanding for each of the periods ended September 30, 2005 and 2004 were 344,000 and 438,000 antidilutive options, respectively, which had exercise prices of $12.62 as of September 30, 2005 and as of September 30, 2004.</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5.</w:t>
        <w:tab/>
        <w:t>Segment Information</w:t>
      </w:r>
    </w:p>
    <w:p>
      <w:pPr>
        <w:spacing w:after="0" w:line="175" w:lineRule="exact"/>
        <w:rPr>
          <w:sz w:val="20"/>
          <w:szCs w:val="20"/>
          <w:color w:val="auto"/>
        </w:rPr>
      </w:pPr>
    </w:p>
    <w:p>
      <w:pPr>
        <w:jc w:val="both"/>
        <w:ind w:right="4080"/>
        <w:spacing w:after="0" w:line="252" w:lineRule="auto"/>
        <w:rPr>
          <w:sz w:val="20"/>
          <w:szCs w:val="20"/>
          <w:color w:val="auto"/>
        </w:rPr>
      </w:pPr>
      <w:r>
        <w:rPr>
          <w:rFonts w:ascii="Courier New" w:cs="Courier New" w:eastAsia="Courier New" w:hAnsi="Courier New"/>
          <w:sz w:val="14"/>
          <w:szCs w:val="14"/>
          <w:color w:val="auto"/>
        </w:rPr>
        <w:t>During 2005 and 2004, our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roller and metal cage manufacturing facilities located in Kilkenny, Ireland; Eltmann, Germany; Pinerolo, Italy; Kysucke Nove Mesto, Slovakia (which began production in the second quarter of 2004); and Veenendaal, The Netherlands ("Veenendaal").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and fiber optic markets. Delta is engaged principally in the production of engineered bearing seals used principally in automotive, industrial, agricultural, mining and aerospace applications.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040"/>
          </w:cols>
          <w:pgMar w:left="220" w:top="620" w:right="639" w:bottom="1440" w:gutter="0" w:footer="0" w:header="0"/>
        </w:sectPr>
      </w:pPr>
    </w:p>
    <w:bookmarkStart w:id="8" w:name="page9"/>
    <w:bookmarkEnd w:id="8"/>
    <w:p>
      <w:pPr>
        <w:jc w:val="both"/>
        <w:ind w:right="3640"/>
        <w:spacing w:after="0" w:line="253" w:lineRule="auto"/>
        <w:rPr>
          <w:sz w:val="20"/>
          <w:szCs w:val="20"/>
          <w:color w:val="auto"/>
        </w:rPr>
      </w:pPr>
      <w:r>
        <w:rPr>
          <w:rFonts w:ascii="Courier New" w:cs="Courier New" w:eastAsia="Courier New" w:hAnsi="Courier New"/>
          <w:sz w:val="14"/>
          <w:szCs w:val="14"/>
          <w:color w:val="auto"/>
        </w:rPr>
        <w:t>The accounting policies of each segment are the same as those described in the summary of significant accounting policies in our Annual Report on Form 10-K for the fiscal year ended December 31, 2004. We evaluate segment performance based on profit or loss from operations before income taxes. We account for inter-segment sales and transfers at current market prices; however, we did not have any material inter-segment transactions during the three or nine month periods ended September 30, 2005 or 2004.</w:t>
      </w:r>
    </w:p>
    <w:p>
      <w:pPr>
        <w:spacing w:after="0" w:line="332"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4"/>
          <w:szCs w:val="14"/>
          <w:color w:val="auto"/>
        </w:rPr>
        <w:t>Three Months Ended September 30,</w:t>
      </w:r>
    </w:p>
    <w:p>
      <w:pPr>
        <w:spacing w:after="0" w:line="8" w:lineRule="exact"/>
        <w:rPr>
          <w:sz w:val="20"/>
          <w:szCs w:val="20"/>
          <w:color w:val="auto"/>
        </w:rPr>
      </w:pPr>
    </w:p>
    <w:p>
      <w:pPr>
        <w:ind w:left="4260"/>
        <w:spacing w:after="0"/>
        <w:tabs>
          <w:tab w:leader="none" w:pos="82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780"/>
        <w:spacing w:after="0"/>
        <w:tabs>
          <w:tab w:leader="none" w:pos="5200" w:val="left"/>
          <w:tab w:leader="none" w:pos="6680" w:val="left"/>
          <w:tab w:leader="none" w:pos="9180" w:val="left"/>
        </w:tabs>
        <w:rPr>
          <w:sz w:val="20"/>
          <w:szCs w:val="20"/>
          <w:color w:val="auto"/>
        </w:rPr>
      </w:pP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Plastic and</w:t>
      </w:r>
      <w:r>
        <w:rPr>
          <w:sz w:val="20"/>
          <w:szCs w:val="20"/>
          <w:color w:val="auto"/>
        </w:rPr>
        <w:tab/>
      </w: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Plastic and</w:t>
      </w:r>
    </w:p>
    <w:p>
      <w:pPr>
        <w:spacing w:after="0" w:line="8" w:lineRule="exact"/>
        <w:rPr>
          <w:sz w:val="20"/>
          <w:szCs w:val="20"/>
          <w:color w:val="auto"/>
        </w:rPr>
      </w:pPr>
    </w:p>
    <w:p>
      <w:pPr>
        <w:ind w:left="2880"/>
        <w:spacing w:after="0"/>
        <w:tabs>
          <w:tab w:leader="none" w:pos="3900" w:val="left"/>
          <w:tab w:leader="none" w:pos="5460" w:val="left"/>
          <w:tab w:leader="none" w:pos="6760" w:val="left"/>
          <w:tab w:leader="none" w:pos="7880" w:val="left"/>
          <w:tab w:leader="none" w:pos="9440" w:val="left"/>
        </w:tabs>
        <w:rPr>
          <w:sz w:val="20"/>
          <w:szCs w:val="20"/>
          <w:color w:val="auto"/>
        </w:rPr>
      </w:pPr>
      <w:r>
        <w:rPr>
          <w:rFonts w:ascii="Courier New" w:cs="Courier New" w:eastAsia="Courier New" w:hAnsi="Courier New"/>
          <w:sz w:val="14"/>
          <w:szCs w:val="14"/>
          <w:color w:val="auto"/>
        </w:rPr>
        <w:t>Ball &amp;</w:t>
      </w:r>
      <w:r>
        <w:rPr>
          <w:sz w:val="20"/>
          <w:szCs w:val="20"/>
          <w:color w:val="auto"/>
        </w:rPr>
        <w:tab/>
      </w:r>
      <w:r>
        <w:rPr>
          <w:rFonts w:ascii="Courier New" w:cs="Courier New" w:eastAsia="Courier New" w:hAnsi="Courier New"/>
          <w:sz w:val="14"/>
          <w:szCs w:val="14"/>
          <w:color w:val="auto"/>
        </w:rPr>
        <w:t>NN Europe</w:t>
      </w:r>
      <w:r>
        <w:rPr>
          <w:sz w:val="20"/>
          <w:szCs w:val="20"/>
          <w:color w:val="auto"/>
        </w:rPr>
        <w:tab/>
      </w:r>
      <w:r>
        <w:rPr>
          <w:rFonts w:ascii="Courier New" w:cs="Courier New" w:eastAsia="Courier New" w:hAnsi="Courier New"/>
          <w:sz w:val="14"/>
          <w:szCs w:val="14"/>
          <w:color w:val="auto"/>
        </w:rPr>
        <w:t>Rubber</w:t>
      </w:r>
      <w:r>
        <w:rPr>
          <w:sz w:val="20"/>
          <w:szCs w:val="20"/>
          <w:color w:val="auto"/>
        </w:rPr>
        <w:tab/>
      </w:r>
      <w:r>
        <w:rPr>
          <w:rFonts w:ascii="Courier New" w:cs="Courier New" w:eastAsia="Courier New" w:hAnsi="Courier New"/>
          <w:sz w:val="14"/>
          <w:szCs w:val="14"/>
          <w:color w:val="auto"/>
        </w:rPr>
        <w:t>Ball &amp;</w:t>
      </w:r>
      <w:r>
        <w:rPr>
          <w:sz w:val="20"/>
          <w:szCs w:val="20"/>
          <w:color w:val="auto"/>
        </w:rPr>
        <w:tab/>
      </w:r>
      <w:r>
        <w:rPr>
          <w:rFonts w:ascii="Courier New" w:cs="Courier New" w:eastAsia="Courier New" w:hAnsi="Courier New"/>
          <w:sz w:val="14"/>
          <w:szCs w:val="14"/>
          <w:color w:val="auto"/>
        </w:rPr>
        <w:t>NN Europe</w:t>
      </w:r>
      <w:r>
        <w:rPr>
          <w:sz w:val="20"/>
          <w:szCs w:val="20"/>
          <w:color w:val="auto"/>
        </w:rPr>
        <w:tab/>
      </w:r>
      <w:r>
        <w:rPr>
          <w:rFonts w:ascii="Courier New" w:cs="Courier New" w:eastAsia="Courier New" w:hAnsi="Courier New"/>
          <w:sz w:val="14"/>
          <w:szCs w:val="14"/>
          <w:color w:val="auto"/>
        </w:rPr>
        <w:t>Rubber</w:t>
      </w:r>
    </w:p>
    <w:p>
      <w:pPr>
        <w:spacing w:after="0" w:line="8" w:lineRule="exact"/>
        <w:rPr>
          <w:sz w:val="20"/>
          <w:szCs w:val="20"/>
          <w:color w:val="auto"/>
        </w:rPr>
      </w:pPr>
    </w:p>
    <w:p>
      <w:pPr>
        <w:spacing w:after="0"/>
        <w:tabs>
          <w:tab w:leader="none" w:pos="2860" w:val="left"/>
          <w:tab w:leader="none" w:pos="3980" w:val="left"/>
          <w:tab w:leader="none" w:pos="5200" w:val="left"/>
          <w:tab w:leader="none" w:pos="6680" w:val="left"/>
          <w:tab w:leader="none" w:pos="7880" w:val="left"/>
          <w:tab w:leader="none" w:pos="918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Roller</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Components</w:t>
      </w:r>
      <w:r>
        <w:rPr>
          <w:sz w:val="20"/>
          <w:szCs w:val="20"/>
          <w:color w:val="auto"/>
        </w:rPr>
        <w:tab/>
      </w:r>
      <w:r>
        <w:rPr>
          <w:rFonts w:ascii="Courier New" w:cs="Courier New" w:eastAsia="Courier New" w:hAnsi="Courier New"/>
          <w:sz w:val="14"/>
          <w:szCs w:val="14"/>
          <w:color w:val="auto"/>
        </w:rPr>
        <w:t>Roller</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Components</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from external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$ 16,444</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$ 43,749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$ 14,805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$ 14,440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$ 45,485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$ 12,992</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Pretax profit (loss)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53,585</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159,566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57,656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51,818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160,594</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57,279</w:t>
            </w:r>
          </w:p>
        </w:tc>
      </w:tr>
      <w:tr>
        <w:trPr>
          <w:trHeight w:val="501"/>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Nine Months Ended September 30,</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4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8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4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Domestic</w:t>
            </w:r>
          </w:p>
        </w:tc>
        <w:tc>
          <w:tcPr>
            <w:tcW w:w="114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Plastic and</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Domestic</w:t>
            </w:r>
          </w:p>
        </w:tc>
        <w:tc>
          <w:tcPr>
            <w:tcW w:w="108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Plastic and</w:t>
            </w:r>
          </w:p>
        </w:tc>
      </w:tr>
      <w:tr>
        <w:trPr>
          <w:trHeight w:val="167"/>
        </w:trPr>
        <w:tc>
          <w:tcPr>
            <w:tcW w:w="240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Ball &amp;</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NN Europe</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Rubber</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Ball &amp;</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NN Europe</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Rubber</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Roller</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Segment</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Components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Roller</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Segment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Components</w:t>
            </w:r>
          </w:p>
        </w:tc>
      </w:tr>
    </w:tbl>
    <w:p>
      <w:pPr>
        <w:spacing w:after="0" w:line="4"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from external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customers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$ 48,879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$152,460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$ 44,161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$ 43,417</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$ 143,926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$ 38,472</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Pretax</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13,553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2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53,585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159,566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57,656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51,818</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160,594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57,279</w:t>
            </w:r>
          </w:p>
        </w:tc>
      </w:tr>
    </w:tbl>
    <w:p>
      <w:pPr>
        <w:spacing w:after="0" w:line="338" w:lineRule="exact"/>
        <w:rPr>
          <w:sz w:val="20"/>
          <w:szCs w:val="20"/>
          <w:color w:val="auto"/>
        </w:rPr>
      </w:pPr>
    </w:p>
    <w:p>
      <w:pPr>
        <w:jc w:val="both"/>
        <w:ind w:right="3640"/>
        <w:spacing w:after="0" w:line="258" w:lineRule="auto"/>
        <w:rPr>
          <w:sz w:val="20"/>
          <w:szCs w:val="20"/>
          <w:color w:val="auto"/>
        </w:rPr>
      </w:pPr>
      <w:r>
        <w:rPr>
          <w:rFonts w:ascii="Courier New" w:cs="Courier New" w:eastAsia="Courier New" w:hAnsi="Courier New"/>
          <w:sz w:val="14"/>
          <w:szCs w:val="14"/>
          <w:color w:val="auto"/>
        </w:rPr>
        <w:t>For the year ended December 31, 2004 sales to our largest customers SKF and INA were 47.9% and 13.7%, respectively.</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6.</w:t>
        <w:tab/>
        <w:t>Acquisitions</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During 2004, we formed a wholly-owned subsidiary, NN Precision Bearing Products Company, LTD, ("NN Asia"). This subsidiary, which is expected to begin precision ball production during the fourth quarter of 2005, will be located in the Kunshan Economic and Technology Development Zone, Jiangsu, The People's Republic of China and is a component of our strategy to globally expand our manufacturing base. The costs incurred as a result of this start-up for the nine month periods ended September 30, 2005 and 2004 of approximately $0.6 million and $0.3 million, respectively, were classified as selling, general and administrative expense and are included in the Domestic Ball and Roller Segment.</w:t>
      </w:r>
    </w:p>
    <w:p>
      <w:pPr>
        <w:spacing w:after="0" w:line="164" w:lineRule="exact"/>
        <w:rPr>
          <w:sz w:val="20"/>
          <w:szCs w:val="20"/>
          <w:color w:val="auto"/>
        </w:rPr>
      </w:pPr>
    </w:p>
    <w:p>
      <w:pPr>
        <w:jc w:val="both"/>
        <w:ind w:right="3640"/>
        <w:spacing w:after="0" w:line="255" w:lineRule="auto"/>
        <w:rPr>
          <w:sz w:val="20"/>
          <w:szCs w:val="20"/>
          <w:color w:val="auto"/>
        </w:rPr>
      </w:pPr>
      <w:r>
        <w:rPr>
          <w:rFonts w:ascii="Courier New" w:cs="Courier New" w:eastAsia="Courier New" w:hAnsi="Courier New"/>
          <w:sz w:val="14"/>
          <w:szCs w:val="14"/>
          <w:color w:val="auto"/>
        </w:rPr>
        <w:t>On July 22, 2005, we acquired an adjacent building to the existing building in Kysucke Nove Mesto, Slovakia for approximately 1.2 million Euros ($1.4 million), which will allow for future growth in manufacturing capacity.</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7.</w:t>
        <w:tab/>
        <w:t>Pensions</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132R revises employers' disclosures about pension plans and other postretirement benefit plans. This pronouncement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600"/>
          </w:cols>
          <w:pgMar w:left="220" w:top="620" w:right="1079" w:bottom="1440" w:gutter="0" w:footer="0" w:header="0"/>
        </w:sectPr>
      </w:pPr>
    </w:p>
    <w:bookmarkStart w:id="9" w:name="page10"/>
    <w:bookmarkEnd w:id="9"/>
    <w:p>
      <w:pPr>
        <w:jc w:val="both"/>
        <w:ind w:right="3279"/>
        <w:spacing w:after="0" w:line="253" w:lineRule="auto"/>
        <w:rPr>
          <w:sz w:val="20"/>
          <w:szCs w:val="20"/>
          <w:color w:val="auto"/>
        </w:rPr>
      </w:pPr>
      <w:r>
        <w:rPr>
          <w:rFonts w:ascii="Courier New" w:cs="Courier New" w:eastAsia="Courier New" w:hAnsi="Courier New"/>
          <w:sz w:val="14"/>
          <w:szCs w:val="14"/>
          <w:color w:val="auto"/>
        </w:rPr>
        <w:t>SFAS No. 132R requires additional disclosures to those in the original Statement 132 about the assets, obligations, cash flows, and net periodic benefit cost of defined benefit pension plans and other defined benefit postretirement plans. At September 30, 2005, we have complied with the disclosure requirements of SFAS No. 132R. We have a defined benefit pension plan covering the employees at our Eltmann, Germany facility. The benefits are based on the expected years of service including the rate of compensation increase. The plan is unfunded. There were no prior service costs recognized in the nine months ended September 30, 2005 and September 30, 2004.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Net Periodic Pension Cost: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56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Three months ended</w:t>
            </w:r>
          </w:p>
        </w:tc>
        <w:tc>
          <w:tcPr>
            <w:tcW w:w="27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780" w:type="dxa"/>
            <w:vAlign w:val="bottom"/>
          </w:tcPr>
          <w:p>
            <w:pPr>
              <w:spacing w:after="0"/>
              <w:rPr>
                <w:sz w:val="14"/>
                <w:szCs w:val="14"/>
                <w:color w:val="auto"/>
              </w:rPr>
            </w:pPr>
          </w:p>
        </w:tc>
        <w:tc>
          <w:tcPr>
            <w:tcW w:w="256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September 30,</w:t>
            </w:r>
          </w:p>
        </w:tc>
        <w:tc>
          <w:tcPr>
            <w:tcW w:w="27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7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34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1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560" w:type="dxa"/>
            <w:vAlign w:val="bottom"/>
            <w:gridSpan w:val="2"/>
          </w:tcPr>
          <w:p>
            <w:pPr>
              <w:spacing w:after="0"/>
              <w:rPr>
                <w:sz w:val="20"/>
                <w:szCs w:val="20"/>
                <w:color w:val="auto"/>
              </w:rPr>
            </w:pPr>
            <w:r>
              <w:rPr>
                <w:rFonts w:ascii="Courier New" w:cs="Courier New" w:eastAsia="Courier New" w:hAnsi="Courier New"/>
                <w:sz w:val="13"/>
                <w:szCs w:val="13"/>
                <w:color w:val="auto"/>
                <w:w w:val="74"/>
              </w:rPr>
              <w:t>- -----------------------------------------------------------</w:t>
            </w: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24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49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Amortization of net gain</w:t>
            </w:r>
          </w:p>
        </w:tc>
        <w:tc>
          <w:tcPr>
            <w:tcW w:w="7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Net periodic pension cost</w:t>
            </w: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75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$ 84</w:t>
            </w: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$ 252</w:t>
            </w:r>
          </w:p>
        </w:tc>
      </w:tr>
      <w:tr>
        <w:trPr>
          <w:trHeight w:val="167"/>
        </w:trPr>
        <w:tc>
          <w:tcPr>
            <w:tcW w:w="27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3279"/>
        <w:spacing w:after="0" w:line="260" w:lineRule="auto"/>
        <w:rPr>
          <w:sz w:val="20"/>
          <w:szCs w:val="20"/>
          <w:color w:val="auto"/>
        </w:rPr>
      </w:pPr>
      <w:r>
        <w:rPr>
          <w:rFonts w:ascii="Courier New" w:cs="Courier New" w:eastAsia="Courier New" w:hAnsi="Courier New"/>
          <w:sz w:val="14"/>
          <w:szCs w:val="14"/>
          <w:color w:val="auto"/>
        </w:rPr>
        <w:t>We expect to contribute approximately $0.3 million to our pension plan in 2005. As of September 30, 2005, approximately $0.2 million of contributions have been made.</w:t>
      </w:r>
    </w:p>
    <w:p>
      <w:pPr>
        <w:spacing w:after="0" w:line="3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8.</w:t>
        <w:tab/>
        <w:t>New Accounting Pronouncements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March 2005 the FASB issued FASB Interpretation No. 47, "Accounting for Conditional Asset Retirement Obligations" ("FIN 47"). FIN 47 clarifies that the term "conditional asset retirement obligation" as used in FASB Statement No. 143, "Accounting for Asset Retirement Obligations", refers to a legal obligation to perform an asset retirement activity in which the timing and (or) method of settlement are conditional on a future event that may or may not be within the control of the entity. FIN 47 is effective no later than the end of fiscal years ending after December 15, 2005. We are currently evaluating the impacts of FIN 47 on the Company's consolidated financial statements.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 - the requisite service period (usually the vesting period). We are currently evaluating the impacts of SFAS No. 123R on the Company's consolidated financial statements.</w:t>
      </w:r>
    </w:p>
    <w:p>
      <w:pPr>
        <w:spacing w:after="0" w:line="33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November 2004, the FASB issued SFAS No. 151, "Inventory Costs". SFAS No. 151 clarifies the accounting for abnormal amounts of idle facility expense, freight, handling costs and wasted material (spoilage). SFAS No. 151 requires that these items be recognized as current-period charges. In addition, SFAS No. 151 requires that the allocation of fixed production overheads to the costs of conversion be based on the normal capacity of the production facilities. This statement is effective for fiscal years beginning after June 15, 2005. We are currently evaluating the impact of SFAS No. 151 on the company's financial statements.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Deduction for Qualified Domestic Production Activities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We are not yet in a position to determine the net effect of the phase out of the ETI and the phase in of this new deduction on the effective tax rate in future years. We expect to be in a position to finalize our assessment by December 31, 2005.</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Under the guidance in FASB Staff Position No. FAS 109-1, Application of FASB Statement No. 109, "Accounting for Income Taxes," to the Tax Deduction on Qualified Production Activities Provided by the American Jobs Creation Act of 2004, issued and effective on December 21, 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Repatriation of Foreign Earnings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creates a temporary incentive for U.S. corporations to repatriate accumulated income earned abroad by providing an 85 percent dividends received deduction for certain dividends from controlled foreign corporations. This deduction is subject to a number of limitations and uncertainty remains as to how to interpret numerous provisions in the Act. As such, we are not yet in a position to decide on whether, and to what extent, we might repatriate foreign earnings that have not yet been remitted to the U.S. We expect to be in a position to finalize our assessment by December 31, 2005.</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 9.</w:t>
        <w:tab/>
        <w:t>Long-Term Debt and Short-Term Debt</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On May 1, 2003, we entered into a $90.0 million syndicated credit facility with AmSouth Bank ("AmSouth") as the administrative agent and Suntrust Bank as the Euro loan agent for the lenders under which we borrowed $60.4 million and 26.3 million Euros ($29.6 million) (the "$90.0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June 30, 2007 bearing interest at a floating rate equal to LIBOR (3.86% at September 30, 2005) plus an applicable margin of 1.25 to 2.0, a $30.4 million term loan expiring on May 1, 2008, bearing interest at a floating rate equal to LIBOR (3.86% at September 30, 2005) plus an applicable margin of 1.25 to 2.0 and a 26.3 million Euro ($29.6 million) term loan ("26.3 million Euro term loan") expiring on May 1, 2008 which bears interest at a floating rate equal to Euro LIBOR (2.12% at September 30, 2005) plus an applicable margin of 1.25 to 2.0. All amounts owed under the $30.4 million term loan were paid during the second quarter of 2004 with the proceeds from our $40.0 million notes and we no longer have borrowing capacity under that portion of the $90.0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Management of the company believes that we were in compliance with all such covenants as of September 30, 2005. We incurred $1.1 million of related cost as a result of entering into the credit facility. The unamortized balance at September 30, 2005 and December 31, 2004 was $0.4 million and $0.6 million, respectively.</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1" w:name="page12"/>
    <w:bookmarkEnd w:id="11"/>
    <w:p>
      <w:pPr>
        <w:jc w:val="both"/>
        <w:ind w:right="3279"/>
        <w:spacing w:after="0" w:line="252"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"$40.0 million notes"). These notes bear interest at a fixed rate of 4.89% and mature on April 26, 2014. Interest is paid semi-annually. As of September 30, 2005, $40.0 million remained outstanding. Annual principal payments of approximately $5.7 million begin on April 26, 2008 and extend through the date of maturity. Proceeds from this credit facility were used to repay our existing US dollar denominated term loan, $24.0 million, and repay a portion, of our borrowings under our US dollar denominated revolving credit facility, $13.0 million, which are both components of our $90.0 million credit facility, and to repay other short term borrowings totaling approximately $4.7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September 30, 2005. The notes are not collateralized except for the pledge of stock of certain foreign subsidiaries. We incurred $0.8 million of related costs as a result of issuing these notes which have been recorded as a component of other non-current assets and are being amortized over the term of the notes. The unamortized balance at September 30, 2005 and December 31, 2004 was $0.7 million and $0.8 million, respectively.</w:t>
      </w:r>
    </w:p>
    <w:p>
      <w:pPr>
        <w:sectPr>
          <w:pgSz w:w="11900" w:h="16838" w:orient="portrait"/>
          <w:cols w:equalWidth="0" w:num="1">
            <w:col w:w="10239"/>
          </w:cols>
          <w:pgMar w:left="220" w:top="620" w:right="1440" w:bottom="1440" w:gutter="0" w:footer="0" w:header="0"/>
        </w:sectPr>
      </w:pPr>
    </w:p>
    <w:p>
      <w:pPr>
        <w:spacing w:after="0" w:line="176" w:lineRule="exact"/>
        <w:rPr>
          <w:sz w:val="20"/>
          <w:szCs w:val="20"/>
          <w:color w:val="auto"/>
        </w:rPr>
      </w:pPr>
    </w:p>
    <w:p>
      <w:pPr>
        <w:spacing w:after="0"/>
        <w:tabs>
          <w:tab w:leader="none" w:pos="500" w:val="left"/>
          <w:tab w:leader="none" w:pos="1640" w:val="left"/>
        </w:tabs>
        <w:rPr>
          <w:sz w:val="20"/>
          <w:szCs w:val="20"/>
          <w:color w:val="auto"/>
        </w:rPr>
      </w:pPr>
      <w:r>
        <w:rPr>
          <w:rFonts w:ascii="Courier New" w:cs="Courier New" w:eastAsia="Courier New" w:hAnsi="Courier New"/>
          <w:sz w:val="14"/>
          <w:szCs w:val="14"/>
          <w:color w:val="auto"/>
        </w:rPr>
        <w:t>Debt</w:t>
        <w:tab/>
        <w:t>outstanding</w:t>
        <w:tab/>
        <w:t>under the various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agreements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September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2005 and</w:t>
      </w:r>
    </w:p>
    <w:p>
      <w:pPr>
        <w:spacing w:after="0" w:line="8" w:lineRule="exact"/>
        <w:rPr>
          <w:sz w:val="20"/>
          <w:szCs w:val="20"/>
          <w:color w:val="auto"/>
        </w:rPr>
      </w:pPr>
    </w:p>
    <w:p>
      <w:pPr>
        <w:sectPr>
          <w:pgSz w:w="11900" w:h="16838" w:orient="portrait"/>
          <w:cols w:equalWidth="0" w:num="5">
            <w:col w:w="3140" w:space="160"/>
            <w:col w:w="880" w:space="160"/>
            <w:col w:w="440" w:space="180"/>
            <w:col w:w="780" w:space="180"/>
            <w:col w:w="43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December 31, 2004 was as follows:</w:t>
      </w:r>
    </w:p>
    <w:p>
      <w:pPr>
        <w:spacing w:after="0" w:line="342" w:lineRule="exact"/>
        <w:rPr>
          <w:sz w:val="20"/>
          <w:szCs w:val="20"/>
          <w:color w:val="auto"/>
        </w:rPr>
      </w:pPr>
    </w:p>
    <w:p>
      <w:pPr>
        <w:ind w:left="800"/>
        <w:spacing w:after="0"/>
        <w:tabs>
          <w:tab w:leader="none" w:pos="4760" w:val="left"/>
          <w:tab w:leader="none" w:pos="650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5220"/>
        <w:spacing w:after="0"/>
        <w:tabs>
          <w:tab w:leader="none" w:pos="68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$90 million credit facility:</w:t>
      </w:r>
    </w:p>
    <w:p>
      <w:pPr>
        <w:spacing w:after="0" w:line="8" w:lineRule="exact"/>
        <w:rPr>
          <w:sz w:val="20"/>
          <w:szCs w:val="20"/>
          <w:color w:val="auto"/>
        </w:rPr>
      </w:pPr>
    </w:p>
    <w:p>
      <w:pPr>
        <w:ind w:left="1140"/>
        <w:spacing w:after="0"/>
        <w:tabs>
          <w:tab w:leader="none" w:pos="5460" w:val="left"/>
          <w:tab w:leader="none" w:pos="7100" w:val="left"/>
        </w:tabs>
        <w:rPr>
          <w:sz w:val="20"/>
          <w:szCs w:val="20"/>
          <w:color w:val="auto"/>
        </w:rPr>
      </w:pPr>
      <w:r>
        <w:rPr>
          <w:rFonts w:ascii="Courier New" w:cs="Courier New" w:eastAsia="Courier New" w:hAnsi="Courier New"/>
          <w:sz w:val="14"/>
          <w:szCs w:val="14"/>
          <w:color w:val="auto"/>
        </w:rPr>
        <w:t>Current maturities of long-term debt</w:t>
      </w:r>
      <w:r>
        <w:rPr>
          <w:sz w:val="20"/>
          <w:szCs w:val="20"/>
          <w:color w:val="auto"/>
        </w:rPr>
        <w:tab/>
      </w:r>
      <w:r>
        <w:rPr>
          <w:rFonts w:ascii="Courier New" w:cs="Courier New" w:eastAsia="Courier New" w:hAnsi="Courier New"/>
          <w:sz w:val="14"/>
          <w:szCs w:val="14"/>
          <w:color w:val="auto"/>
        </w:rPr>
        <w:t>$ 6,319</w:t>
      </w:r>
      <w:r>
        <w:rPr>
          <w:sz w:val="20"/>
          <w:szCs w:val="20"/>
          <w:color w:val="auto"/>
        </w:rPr>
        <w:tab/>
      </w:r>
      <w:r>
        <w:rPr>
          <w:rFonts w:ascii="Courier New" w:cs="Courier New" w:eastAsia="Courier New" w:hAnsi="Courier New"/>
          <w:sz w:val="14"/>
          <w:szCs w:val="14"/>
          <w:color w:val="auto"/>
        </w:rPr>
        <w:t>$ 7,160</w:t>
      </w:r>
    </w:p>
    <w:p>
      <w:pPr>
        <w:spacing w:after="0" w:line="8" w:lineRule="exact"/>
        <w:rPr>
          <w:sz w:val="20"/>
          <w:szCs w:val="20"/>
          <w:color w:val="auto"/>
        </w:rPr>
      </w:pPr>
    </w:p>
    <w:p>
      <w:pPr>
        <w:ind w:left="1140"/>
        <w:spacing w:after="0"/>
        <w:tabs>
          <w:tab w:leader="none" w:pos="5540" w:val="left"/>
          <w:tab w:leader="none" w:pos="7200" w:val="left"/>
        </w:tabs>
        <w:rPr>
          <w:sz w:val="20"/>
          <w:szCs w:val="20"/>
          <w:color w:val="auto"/>
        </w:rPr>
      </w:pPr>
      <w:r>
        <w:rPr>
          <w:rFonts w:ascii="Courier New" w:cs="Courier New" w:eastAsia="Courier New" w:hAnsi="Courier New"/>
          <w:sz w:val="14"/>
          <w:szCs w:val="14"/>
          <w:color w:val="auto"/>
        </w:rPr>
        <w:t>Long-term debt</w:t>
      </w:r>
      <w:r>
        <w:rPr>
          <w:sz w:val="20"/>
          <w:szCs w:val="20"/>
          <w:color w:val="auto"/>
        </w:rPr>
        <w:tab/>
      </w:r>
      <w:r>
        <w:rPr>
          <w:rFonts w:ascii="Courier New" w:cs="Courier New" w:eastAsia="Courier New" w:hAnsi="Courier New"/>
          <w:sz w:val="14"/>
          <w:szCs w:val="14"/>
          <w:color w:val="auto"/>
        </w:rPr>
        <w:t>21,481</w:t>
      </w:r>
      <w:r>
        <w:rPr>
          <w:sz w:val="20"/>
          <w:szCs w:val="20"/>
          <w:color w:val="auto"/>
        </w:rPr>
        <w:tab/>
      </w:r>
      <w:r>
        <w:rPr>
          <w:rFonts w:ascii="Courier New" w:cs="Courier New" w:eastAsia="Courier New" w:hAnsi="Courier New"/>
          <w:sz w:val="14"/>
          <w:szCs w:val="14"/>
          <w:color w:val="auto"/>
        </w:rPr>
        <w:t>27,510</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5460" w:val="left"/>
          <w:tab w:leader="none" w:pos="71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$27,800</w:t>
      </w:r>
      <w:r>
        <w:rPr>
          <w:sz w:val="20"/>
          <w:szCs w:val="20"/>
          <w:color w:val="auto"/>
        </w:rPr>
        <w:tab/>
      </w:r>
      <w:r>
        <w:rPr>
          <w:rFonts w:ascii="Courier New" w:cs="Courier New" w:eastAsia="Courier New" w:hAnsi="Courier New"/>
          <w:sz w:val="14"/>
          <w:szCs w:val="14"/>
          <w:color w:val="auto"/>
        </w:rPr>
        <w:t>$34,670</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$40 million notes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Long-term debt</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960"/>
        <w:spacing w:after="0"/>
        <w:tabs>
          <w:tab w:leader="none" w:pos="1300" w:val="left"/>
          <w:tab w:leader="none" w:pos="2600" w:val="left"/>
          <w:tab w:leader="none" w:pos="294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r>
    </w:p>
    <w:p>
      <w:pPr>
        <w:spacing w:after="0" w:line="8" w:lineRule="exact"/>
        <w:rPr>
          <w:sz w:val="20"/>
          <w:szCs w:val="20"/>
          <w:color w:val="auto"/>
        </w:rPr>
      </w:pPr>
    </w:p>
    <w:p>
      <w:pPr>
        <w:ind w:left="960"/>
        <w:spacing w:after="0"/>
        <w:tabs>
          <w:tab w:leader="none" w:pos="2600" w:val="left"/>
        </w:tabs>
        <w:rPr>
          <w:sz w:val="20"/>
          <w:szCs w:val="20"/>
          <w:color w:val="auto"/>
        </w:rPr>
      </w:pPr>
      <w:r>
        <w:rPr>
          <w:rFonts w:ascii="Courier New" w:cs="Courier New" w:eastAsia="Courier New" w:hAnsi="Courier New"/>
          <w:sz w:val="14"/>
          <w:szCs w:val="14"/>
          <w:color w:val="auto"/>
        </w:rPr>
        <w:t>40,000</w:t>
      </w:r>
      <w:r>
        <w:rPr>
          <w:sz w:val="20"/>
          <w:szCs w:val="20"/>
          <w:color w:val="auto"/>
        </w:rPr>
        <w:tab/>
      </w:r>
      <w:r>
        <w:rPr>
          <w:rFonts w:ascii="Courier New" w:cs="Courier New" w:eastAsia="Courier New" w:hAnsi="Courier New"/>
          <w:sz w:val="14"/>
          <w:szCs w:val="14"/>
          <w:color w:val="auto"/>
        </w:rPr>
        <w:t>40,000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$40,000</w:t>
      </w:r>
      <w:r>
        <w:rPr>
          <w:sz w:val="20"/>
          <w:szCs w:val="20"/>
          <w:color w:val="auto"/>
        </w:rPr>
        <w:tab/>
      </w:r>
      <w:r>
        <w:rPr>
          <w:rFonts w:ascii="Courier New" w:cs="Courier New" w:eastAsia="Courier New" w:hAnsi="Courier New"/>
          <w:sz w:val="14"/>
          <w:szCs w:val="14"/>
          <w:color w:val="auto"/>
        </w:rPr>
        <w:t>$40,000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260" w:space="340"/>
            <w:col w:w="5639"/>
          </w:cols>
          <w:pgMar w:left="220" w:top="620" w:right="1440" w:bottom="1440" w:gutter="0" w:footer="0" w:header="0"/>
          <w:type w:val="continuous"/>
        </w:sectPr>
      </w:pPr>
    </w:p>
    <w:p>
      <w:pPr>
        <w:spacing w:after="0" w:line="14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fair value of our fixed rate long-term borrowings are estimated using discounted cash flow analysis based on our incremental borrowing rates for similar types of borrowing arrangements. We estimate the fair value of the $40 million notes to be $38.5 million at September 30, 2005 and $40.4 million at December 31, 2004.</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As a result of the Company's cash management system, checks issued but not presented to the banks for payment may create negative book cash balances. Such negative balances are included in accounts payable and totaled $2.3 million and $0.4 as of September 30, 2005, and December 31, 2004,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Goodwill</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changes in the carrying amount of goodwill for the nine month period ended September 30, 2005 and the twelve month period ended December 31, 2004 are as follows:</w:t>
      </w:r>
    </w:p>
    <w:p>
      <w:pPr>
        <w:spacing w:after="0" w:line="329"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Plastic and</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Rubber</w:t>
      </w:r>
    </w:p>
    <w:p>
      <w:pPr>
        <w:spacing w:after="0" w:line="8" w:lineRule="exact"/>
        <w:rPr>
          <w:sz w:val="20"/>
          <w:szCs w:val="20"/>
          <w:color w:val="auto"/>
        </w:rPr>
      </w:pPr>
    </w:p>
    <w:p>
      <w:pPr>
        <w:ind w:left="4960"/>
        <w:spacing w:after="0"/>
        <w:tabs>
          <w:tab w:leader="none" w:pos="6680" w:val="left"/>
        </w:tabs>
        <w:rPr>
          <w:sz w:val="20"/>
          <w:szCs w:val="20"/>
          <w:color w:val="auto"/>
        </w:rPr>
      </w:pPr>
      <w:r>
        <w:rPr>
          <w:rFonts w:ascii="Courier New" w:cs="Courier New" w:eastAsia="Courier New" w:hAnsi="Courier New"/>
          <w:sz w:val="14"/>
          <w:szCs w:val="14"/>
          <w:color w:val="auto"/>
        </w:rPr>
        <w:t>Components</w:t>
      </w:r>
      <w:r>
        <w:rPr>
          <w:sz w:val="20"/>
          <w:szCs w:val="20"/>
          <w:color w:val="auto"/>
        </w:rPr>
        <w:tab/>
      </w:r>
      <w:r>
        <w:rPr>
          <w:rFonts w:ascii="Courier New" w:cs="Courier New" w:eastAsia="Courier New" w:hAnsi="Courier New"/>
          <w:sz w:val="14"/>
          <w:szCs w:val="14"/>
          <w:color w:val="auto"/>
        </w:rPr>
        <w:t>NN Europe</w:t>
      </w:r>
    </w:p>
    <w:p>
      <w:pPr>
        <w:spacing w:after="0" w:line="8" w:lineRule="exact"/>
        <w:rPr>
          <w:sz w:val="20"/>
          <w:szCs w:val="20"/>
          <w:color w:val="auto"/>
        </w:rPr>
      </w:pPr>
    </w:p>
    <w:p>
      <w:pPr>
        <w:spacing w:after="0"/>
        <w:tabs>
          <w:tab w:leader="none" w:pos="5100" w:val="left"/>
          <w:tab w:leader="none" w:pos="6760" w:val="left"/>
          <w:tab w:leader="none" w:pos="832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of January 1, 2004</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$17,138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$42,893</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Currency</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impacts</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1,564</w:t>
            </w:r>
          </w:p>
        </w:tc>
      </w:tr>
      <w:tr>
        <w:trPr>
          <w:trHeight w:val="167"/>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of December 31, 2004</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$18,702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$44,457</w:t>
            </w:r>
          </w:p>
        </w:tc>
      </w:tr>
      <w:tr>
        <w:trPr>
          <w:trHeight w:val="167"/>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of January 1, 2005</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$18,702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$44,457</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Currency</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impacts</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(2,525)</w:t>
            </w:r>
          </w:p>
        </w:tc>
      </w:tr>
      <w:tr>
        <w:trPr>
          <w:trHeight w:val="167"/>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of September 30, 2005</w:t>
            </w:r>
          </w:p>
        </w:tc>
        <w:tc>
          <w:tcPr>
            <w:tcW w:w="3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$16,177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$41,932</w:t>
            </w:r>
          </w:p>
        </w:tc>
      </w:tr>
      <w:tr>
        <w:trPr>
          <w:trHeight w:val="167"/>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Note 11. Stock Compensation</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Auditing Practices Board ("APB") Opinion No. 25 and, accordingly, have not recorded compensation expense for the three and nine month periods ended September 30, 2005 and September 30, 2004, except as related to stock options accounted for under the variable method of accounting and for restricted stock awards issued in third quarter (see below). Had compensation cost for our stock compensation plan been determined based on the fair value at the option grant dates, our net income and earnings per share would have been changed to the pro-forma amounts indicated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Three months ended</w:t>
            </w:r>
          </w:p>
        </w:tc>
        <w:tc>
          <w:tcPr>
            <w:tcW w:w="26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September 30,</w:t>
            </w:r>
          </w:p>
        </w:tc>
        <w:tc>
          <w:tcPr>
            <w:tcW w:w="26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4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Net income - as reported</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$2,557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$ 9,892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$ 7,355</w:t>
            </w:r>
          </w:p>
        </w:tc>
      </w:tr>
      <w:tr>
        <w:trPr>
          <w:trHeight w:val="16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income, net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r>
      <w:tr>
        <w:trPr>
          <w:trHeight w:val="16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costs, net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that would have been</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included in net income if the fair value</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method had been applied</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Net income - pro-forma</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$2,489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$9,477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$6,827</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 - as reported</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$ 0.15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$ 0.58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$ 0.44</w:t>
            </w:r>
          </w:p>
        </w:tc>
      </w:tr>
      <w:tr>
        <w:trPr>
          <w:trHeight w:val="16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income, net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costs, net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that would have been</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included in net income if the fair value</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method had been applied</w:t>
            </w:r>
          </w:p>
        </w:tc>
        <w:tc>
          <w:tcPr>
            <w:tcW w:w="7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 - pro-forma</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$ 0.14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$ 0.55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$ 0.41</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share-assuming dilution - as</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78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$ 0.15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$ 0.57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$ 0.43</w:t>
            </w:r>
          </w:p>
        </w:tc>
      </w:tr>
      <w:tr>
        <w:trPr>
          <w:trHeight w:val="334"/>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income, net of</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(0.01)</w:t>
            </w:r>
          </w:p>
        </w:tc>
      </w:tr>
      <w:tr>
        <w:trPr>
          <w:trHeight w:val="16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based compensation costs, net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that would have been</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included in net income if the fair value</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method had been applied</w:t>
            </w:r>
          </w:p>
        </w:tc>
        <w:tc>
          <w:tcPr>
            <w:tcW w:w="7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(0.02)</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 assuming dilution-pro-</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forma</w:t>
            </w:r>
          </w:p>
        </w:tc>
        <w:tc>
          <w:tcPr>
            <w:tcW w:w="278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$ 0.14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$ 0.54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$ 0.40</w:t>
            </w:r>
          </w:p>
        </w:tc>
      </w:tr>
      <w:tr>
        <w:trPr>
          <w:trHeight w:val="167"/>
        </w:trPr>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The fair value of each option grant was  estimated</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based on</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actual</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information</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available   through</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September  30,  2005  and  2004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using</w:t>
            </w:r>
          </w:p>
        </w:tc>
        <w:tc>
          <w:tcPr>
            <w:tcW w:w="2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the  Black  Scholes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option-pricing model with the following assumptions: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Term</w:t>
            </w:r>
          </w:p>
        </w:tc>
        <w:tc>
          <w:tcPr>
            <w:tcW w:w="2780" w:type="dxa"/>
            <w:vAlign w:val="bottom"/>
          </w:tcPr>
          <w:p>
            <w:pPr>
              <w:ind w:left="620"/>
              <w:spacing w:after="0"/>
              <w:rPr>
                <w:sz w:val="20"/>
                <w:szCs w:val="20"/>
                <w:color w:val="auto"/>
              </w:rPr>
            </w:pPr>
            <w:r>
              <w:rPr>
                <w:rFonts w:ascii="Courier New" w:cs="Courier New" w:eastAsia="Courier New" w:hAnsi="Courier New"/>
                <w:sz w:val="14"/>
                <w:szCs w:val="14"/>
                <w:color w:val="auto"/>
              </w:rPr>
              <w:t>- Vesting period</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73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Risk free interest rate - 4.18% and 3.50% at September 30, 2005 and 2004,</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27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respectively</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Dividend yield</w:t>
            </w:r>
          </w:p>
        </w:tc>
        <w:tc>
          <w:tcPr>
            <w:tcW w:w="556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- 2.67% and 2.79% at September 30, 2005 and 2004,</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27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respectively</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Volatility</w:t>
            </w:r>
          </w:p>
        </w:tc>
        <w:tc>
          <w:tcPr>
            <w:tcW w:w="556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- 45.31% and 48.88% at September 30, 2005 and 2004,</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27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respectively</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1740" w:type="dxa"/>
            <w:vAlign w:val="bottom"/>
          </w:tcPr>
          <w:p>
            <w:pPr>
              <w:spacing w:after="0"/>
              <w:rPr>
                <w:sz w:val="24"/>
                <w:szCs w:val="24"/>
                <w:color w:val="auto"/>
              </w:rPr>
            </w:pPr>
          </w:p>
        </w:tc>
        <w:tc>
          <w:tcPr>
            <w:tcW w:w="27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3" w:name="page14"/>
    <w:bookmarkEnd w:id="13"/>
    <w:p>
      <w:pPr>
        <w:jc w:val="both"/>
        <w:ind w:right="780"/>
        <w:spacing w:after="0" w:line="254" w:lineRule="auto"/>
        <w:rPr>
          <w:sz w:val="20"/>
          <w:szCs w:val="20"/>
          <w:color w:val="auto"/>
        </w:rPr>
      </w:pPr>
      <w:r>
        <w:rPr>
          <w:rFonts w:ascii="Courier New" w:cs="Courier New" w:eastAsia="Courier New" w:hAnsi="Courier New"/>
          <w:sz w:val="14"/>
          <w:szCs w:val="14"/>
          <w:color w:val="auto"/>
        </w:rPr>
        <w:t>We issued 53,000 shares of restricted stock awards to certain senior management employees in the third quarter of 2005. The stock price at the date of issuance was $12.70. Compensation expense related to the issuance is being recognized ratably over the three year vesting period and approximated $103,000 for the third quarter of 2005.</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Commitments</w:t>
      </w:r>
    </w:p>
    <w:p>
      <w:pPr>
        <w:spacing w:after="0" w:line="175" w:lineRule="exact"/>
        <w:rPr>
          <w:sz w:val="20"/>
          <w:szCs w:val="20"/>
          <w:color w:val="auto"/>
        </w:rPr>
      </w:pPr>
    </w:p>
    <w:p>
      <w:pPr>
        <w:jc w:val="both"/>
        <w:ind w:right="780"/>
        <w:spacing w:after="0" w:line="253" w:lineRule="auto"/>
        <w:rPr>
          <w:sz w:val="20"/>
          <w:szCs w:val="20"/>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agreement satisfied the requirements of a capital lease at June 1, 2004, and we anticipate recording the lease as a capital lease in our consolidated financial statements as of October 1, 2005, when our possession of the building commences. Accordingly, as of September 30, 2005,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includes fair value buy-out provisions, and we maintain the option to extend the lease term under the same terms and conditions as the original agreement.</w:t>
      </w:r>
    </w:p>
    <w:p>
      <w:pPr>
        <w:spacing w:after="0" w:line="330" w:lineRule="exact"/>
        <w:rPr>
          <w:sz w:val="20"/>
          <w:szCs w:val="20"/>
          <w:color w:val="auto"/>
        </w:rPr>
      </w:pPr>
    </w:p>
    <w:p>
      <w:pPr>
        <w:jc w:val="both"/>
        <w:ind w:right="780"/>
        <w:spacing w:after="0" w:line="254" w:lineRule="auto"/>
        <w:rPr>
          <w:sz w:val="20"/>
          <w:szCs w:val="20"/>
          <w:color w:val="auto"/>
        </w:rPr>
      </w:pPr>
      <w:r>
        <w:rPr>
          <w:rFonts w:ascii="Courier New" w:cs="Courier New" w:eastAsia="Courier New" w:hAnsi="Courier New"/>
          <w:sz w:val="14"/>
          <w:szCs w:val="14"/>
          <w:color w:val="auto"/>
        </w:rPr>
        <w:t>On October 7, 2005, we entered into an areement with SNR Roulements ("SNR") to purchase all of SNR's internal precision ball producing equipment for approximately 5.0 million Euros ($6.0 million). As part of the agreement, we entered into a five year supply agreement to provide SNR with an additional $9.0 million of annual ball requirements.</w:t>
      </w:r>
    </w:p>
    <w:p>
      <w:pPr>
        <w:spacing w:after="0" w:line="32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13.</w:t>
        <w:tab/>
        <w:t>Restructuring Charges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Eltmann, Germany Restructuring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780"/>
        <w:spacing w:after="0" w:line="253" w:lineRule="auto"/>
        <w:rPr>
          <w:sz w:val="20"/>
          <w:szCs w:val="20"/>
          <w:color w:val="auto"/>
        </w:rPr>
      </w:pPr>
      <w:r>
        <w:rPr>
          <w:rFonts w:ascii="Courier New" w:cs="Courier New" w:eastAsia="Courier New" w:hAnsi="Courier New"/>
          <w:sz w:val="14"/>
          <w:szCs w:val="14"/>
          <w:color w:val="auto"/>
        </w:rPr>
        <w:t>During the fourth quarter of 2004, the Company's NN Europe subsidiary, a component of our NN Europe Segment, announced a reduction in staffing at our Eltmann, Germany ball production facility. This restructuring affected approximately 86 employees and is expected to be completed during 2005. As a result, we recorded restructuring charges of approximately 1.7 million Euros ($2.3 million) related to severance costs of approximately $2.1 million and other related charges of approximately $0.2 million. The workforce reduction is a result of our continuing strategy of rationalizing our global manufacturing capacity and the transfer of production principally to our facility in Kysucke Nove Mesto, Slovakia. The charges were recorded in restructuring and impairment costs, a component of income from operations in the fourth quarter of 2004.</w:t>
      </w:r>
    </w:p>
    <w:p>
      <w:pPr>
        <w:spacing w:after="0" w:line="164" w:lineRule="exact"/>
        <w:rPr>
          <w:sz w:val="20"/>
          <w:szCs w:val="20"/>
          <w:color w:val="auto"/>
        </w:rPr>
      </w:pPr>
    </w:p>
    <w:p>
      <w:pPr>
        <w:jc w:val="both"/>
        <w:ind w:right="780"/>
        <w:spacing w:after="0" w:line="255" w:lineRule="auto"/>
        <w:rPr>
          <w:sz w:val="20"/>
          <w:szCs w:val="20"/>
          <w:color w:val="auto"/>
        </w:rPr>
      </w:pPr>
      <w:r>
        <w:rPr>
          <w:rFonts w:ascii="Courier New" w:cs="Courier New" w:eastAsia="Courier New" w:hAnsi="Courier New"/>
          <w:sz w:val="14"/>
          <w:szCs w:val="14"/>
          <w:color w:val="auto"/>
        </w:rPr>
        <w:t>The following summarizes the restructuring charges related to the restructuring at the Company's Eltmann, Germany facility for the twelve months ended December 31, 2004 and the nine months ended September 30, 2005:</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Twelve months ended December 31, 2004</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248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Reserve</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248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Balance at</w:t>
            </w:r>
          </w:p>
        </w:tc>
        <w:tc>
          <w:tcPr>
            <w:tcW w:w="13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Paid in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Currency</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(In Thousands of Dollars)</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01/01/04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Charges</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Impacts</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Severance and other</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employee costs</w:t>
            </w: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$ 2,290</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$ 2,290</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Nine months ended September 30, 2005</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4"/>
        </w:trPr>
        <w:tc>
          <w:tcPr>
            <w:tcW w:w="248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Reserve</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248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Balance at</w:t>
            </w:r>
          </w:p>
        </w:tc>
        <w:tc>
          <w:tcPr>
            <w:tcW w:w="13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Paid in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Currency</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(In Thousands of Dollars)</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01/01/05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Charges</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2005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Impacts</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Severance and other</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employee costs</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$ 2,290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 (683)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(211)</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$ 2,290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 (683)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(211)</w:t>
            </w:r>
          </w:p>
        </w:tc>
      </w:tr>
      <w:tr>
        <w:trPr>
          <w:trHeight w:val="167"/>
        </w:trPr>
        <w:tc>
          <w:tcPr>
            <w:tcW w:w="2480" w:type="dxa"/>
            <w:vAlign w:val="bottom"/>
          </w:tcPr>
          <w:p>
            <w:pPr>
              <w:spacing w:after="0"/>
              <w:rPr>
                <w:sz w:val="14"/>
                <w:szCs w:val="14"/>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48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Balance at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12/31/04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2,290</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2,290</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Reserve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Balance at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09/30/05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1,396</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1,396</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740" w:space="420"/>
            <w:col w:w="2079"/>
          </w:cols>
          <w:pgMar w:left="220" w:top="620" w:right="1440" w:bottom="1440" w:gutter="0" w:footer="0" w:header="0"/>
        </w:sectPr>
      </w:pPr>
    </w:p>
    <w:bookmarkStart w:id="14" w:name="page15"/>
    <w:bookmarkEnd w:id="14"/>
    <w:p>
      <w:pPr>
        <w:ind w:right="3279"/>
        <w:spacing w:after="0" w:line="258" w:lineRule="auto"/>
        <w:rPr>
          <w:sz w:val="20"/>
          <w:szCs w:val="20"/>
          <w:color w:val="auto"/>
        </w:rPr>
      </w:pPr>
      <w:r>
        <w:rPr>
          <w:rFonts w:ascii="Courier New" w:cs="Courier New" w:eastAsia="Courier New" w:hAnsi="Courier New"/>
          <w:sz w:val="14"/>
          <w:szCs w:val="14"/>
          <w:color w:val="auto"/>
        </w:rPr>
        <w:t>We expect to pay all amounts during 2005 and no additional charges are expected to be incurred related to the 2004 restructuring program.</w:t>
      </w:r>
    </w:p>
    <w:p>
      <w:pPr>
        <w:spacing w:after="0" w:line="200" w:lineRule="exact"/>
        <w:rPr>
          <w:sz w:val="20"/>
          <w:szCs w:val="20"/>
          <w:color w:val="auto"/>
        </w:rPr>
      </w:pPr>
    </w:p>
    <w:p>
      <w:pPr>
        <w:spacing w:after="0" w:line="294"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 and Management Focus</w:t>
      </w:r>
    </w:p>
    <w:p>
      <w:pPr>
        <w:spacing w:after="0" w:line="175" w:lineRule="exact"/>
        <w:rPr>
          <w:sz w:val="20"/>
          <w:szCs w:val="20"/>
          <w:color w:val="auto"/>
        </w:rPr>
      </w:pPr>
    </w:p>
    <w:p>
      <w:pPr>
        <w:ind w:left="260" w:right="3799"/>
        <w:spacing w:after="0" w:line="258" w:lineRule="auto"/>
        <w:rPr>
          <w:sz w:val="20"/>
          <w:szCs w:val="20"/>
          <w:color w:val="auto"/>
        </w:rPr>
      </w:pPr>
      <w:r>
        <w:rPr>
          <w:rFonts w:ascii="Courier New" w:cs="Courier New" w:eastAsia="Courier New" w:hAnsi="Courier New"/>
          <w:sz w:val="14"/>
          <w:szCs w:val="14"/>
          <w:color w:val="auto"/>
        </w:rPr>
        <w:t>Our strategy and management focus is based upon the following long-term objectives:</w:t>
      </w:r>
    </w:p>
    <w:p>
      <w:pPr>
        <w:spacing w:after="0" w:line="160" w:lineRule="exact"/>
        <w:rPr>
          <w:sz w:val="20"/>
          <w:szCs w:val="20"/>
          <w:color w:val="auto"/>
        </w:rPr>
      </w:pPr>
    </w:p>
    <w:p>
      <w:pPr>
        <w:ind w:left="520" w:right="3379" w:hanging="251"/>
        <w:spacing w:after="0" w:line="25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Captive growth, providing a competitive and attractive alternative to the operations of our global customers</w:t>
      </w:r>
    </w:p>
    <w:p>
      <w:pPr>
        <w:spacing w:after="0" w:line="159"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Expansion of our bearing product offering, and</w:t>
      </w:r>
    </w:p>
    <w:p>
      <w:pPr>
        <w:spacing w:after="0" w:line="175" w:lineRule="exact"/>
        <w:rPr>
          <w:rFonts w:ascii="Courier New" w:cs="Courier New" w:eastAsia="Courier New" w:hAnsi="Courier New"/>
          <w:sz w:val="14"/>
          <w:szCs w:val="14"/>
          <w:color w:val="auto"/>
        </w:rPr>
      </w:pPr>
    </w:p>
    <w:p>
      <w:pPr>
        <w:ind w:left="520" w:right="3539" w:hanging="251"/>
        <w:spacing w:after="0" w:line="25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expansion of our manufacturing base to better address the global requirements of our customers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Management generally focuses on these trends and relevant market indicators:</w:t>
      </w:r>
    </w:p>
    <w:p>
      <w:pPr>
        <w:spacing w:after="0" w:line="175" w:lineRule="exact"/>
        <w:rPr>
          <w:sz w:val="20"/>
          <w:szCs w:val="20"/>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industrial growth and economics</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automotive production rates</w:t>
      </w:r>
    </w:p>
    <w:p>
      <w:pPr>
        <w:spacing w:after="0" w:line="175" w:lineRule="exact"/>
        <w:rPr>
          <w:rFonts w:ascii="Courier New" w:cs="Courier New" w:eastAsia="Courier New" w:hAnsi="Courier New"/>
          <w:sz w:val="14"/>
          <w:szCs w:val="14"/>
          <w:color w:val="auto"/>
        </w:rPr>
      </w:pPr>
    </w:p>
    <w:p>
      <w:pPr>
        <w:ind w:left="520" w:right="3459" w:hanging="251"/>
        <w:spacing w:after="0" w:line="25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subject to the global inflationary environment, including, but not limited to:</w:t>
      </w:r>
    </w:p>
    <w:p>
      <w:pPr>
        <w:spacing w:after="0" w:line="159" w:lineRule="exact"/>
        <w:rPr>
          <w:rFonts w:ascii="Courier New" w:cs="Courier New" w:eastAsia="Courier New" w:hAnsi="Courier New"/>
          <w:sz w:val="14"/>
          <w:szCs w:val="14"/>
          <w:color w:val="auto"/>
        </w:rPr>
      </w:pPr>
    </w:p>
    <w:p>
      <w:pPr>
        <w:ind w:left="960" w:hanging="257"/>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w:t>
      </w:r>
    </w:p>
    <w:p>
      <w:pPr>
        <w:spacing w:after="0" w:line="175" w:lineRule="exact"/>
        <w:rPr>
          <w:rFonts w:ascii="Courier New" w:cs="Courier New" w:eastAsia="Courier New" w:hAnsi="Courier New"/>
          <w:sz w:val="14"/>
          <w:szCs w:val="14"/>
          <w:color w:val="auto"/>
        </w:rPr>
      </w:pPr>
    </w:p>
    <w:p>
      <w:pPr>
        <w:ind w:left="960" w:hanging="257"/>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Wages and benefits, including health care costs</w:t>
      </w:r>
    </w:p>
    <w:p>
      <w:pPr>
        <w:spacing w:after="0" w:line="175" w:lineRule="exact"/>
        <w:rPr>
          <w:rFonts w:ascii="Courier New" w:cs="Courier New" w:eastAsia="Courier New" w:hAnsi="Courier New"/>
          <w:sz w:val="14"/>
          <w:szCs w:val="14"/>
          <w:color w:val="auto"/>
        </w:rPr>
      </w:pPr>
    </w:p>
    <w:p>
      <w:pPr>
        <w:ind w:left="960" w:hanging="257"/>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compliance</w:t>
      </w:r>
    </w:p>
    <w:p>
      <w:pPr>
        <w:spacing w:after="0" w:line="175" w:lineRule="exact"/>
        <w:rPr>
          <w:rFonts w:ascii="Courier New" w:cs="Courier New" w:eastAsia="Courier New" w:hAnsi="Courier New"/>
          <w:sz w:val="14"/>
          <w:szCs w:val="14"/>
          <w:color w:val="auto"/>
        </w:rPr>
      </w:pPr>
    </w:p>
    <w:p>
      <w:pPr>
        <w:ind w:left="960" w:hanging="257"/>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Energy</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 Availability</w:t>
      </w:r>
    </w:p>
    <w:p>
      <w:pPr>
        <w:spacing w:after="0" w:line="175" w:lineRule="exact"/>
        <w:rPr>
          <w:rFonts w:ascii="Courier New" w:cs="Courier New" w:eastAsia="Courier New" w:hAnsi="Courier New"/>
          <w:sz w:val="14"/>
          <w:szCs w:val="14"/>
          <w:color w:val="auto"/>
        </w:rPr>
      </w:pPr>
    </w:p>
    <w:p>
      <w:pPr>
        <w:ind w:left="520" w:right="3719" w:hanging="251"/>
        <w:spacing w:after="0" w:line="25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related to manufacturing's geographic migration of competitive manufacturing</w:t>
      </w:r>
    </w:p>
    <w:p>
      <w:pPr>
        <w:spacing w:after="0" w:line="159"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environment for United States public companies</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and exchange rate movements and trends</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levels and expectations</w:t>
      </w:r>
    </w:p>
    <w:p>
      <w:pPr>
        <w:spacing w:after="0" w:line="175" w:lineRule="exact"/>
        <w:rPr>
          <w:sz w:val="20"/>
          <w:szCs w:val="20"/>
          <w:color w:val="auto"/>
        </w:rPr>
      </w:pPr>
    </w:p>
    <w:p>
      <w:pPr>
        <w:ind w:left="260" w:right="3639"/>
        <w:spacing w:after="0" w:line="258" w:lineRule="auto"/>
        <w:rPr>
          <w:sz w:val="20"/>
          <w:szCs w:val="20"/>
          <w:color w:val="auto"/>
        </w:rPr>
      </w:pPr>
      <w:r>
        <w:rPr>
          <w:rFonts w:ascii="Courier New" w:cs="Courier New" w:eastAsia="Courier New" w:hAnsi="Courier New"/>
          <w:sz w:val="14"/>
          <w:szCs w:val="14"/>
          <w:color w:val="auto"/>
        </w:rPr>
        <w:t>Management generally focuses on the following key indicators of operating performance:</w:t>
      </w:r>
    </w:p>
    <w:p>
      <w:pPr>
        <w:spacing w:after="0" w:line="160" w:lineRule="exact"/>
        <w:rPr>
          <w:sz w:val="20"/>
          <w:szCs w:val="20"/>
          <w:color w:val="auto"/>
        </w:rPr>
      </w:pPr>
    </w:p>
    <w:p>
      <w:pPr>
        <w:ind w:left="520" w:hanging="25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growth</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products sold levels</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levels</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175"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 and capital spending</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Our core business is the manufacture and sale of high quality, precision steel balls and rollers. In 2004, sales of balls and rollers accounted for approximately 77% of the Company's total net sales with 59% and 18% of sales from balls and rollers, respectively. Sales of metal bearing retainers accounted for 6% and sales of precision molded plastic and rubber parts accounted for the remaining 17%.</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5" w:name="page16"/>
    <w:bookmarkEnd w:id="15"/>
    <w:p>
      <w:pPr>
        <w:jc w:val="both"/>
        <w:ind w:right="3279"/>
        <w:spacing w:after="0" w:line="253" w:lineRule="auto"/>
        <w:rPr>
          <w:sz w:val="20"/>
          <w:szCs w:val="20"/>
          <w:color w:val="auto"/>
        </w:rPr>
      </w:pPr>
      <w:r>
        <w:rPr>
          <w:rFonts w:ascii="Courier New" w:cs="Courier New" w:eastAsia="Courier New" w:hAnsi="Courier New"/>
          <w:sz w:val="14"/>
          <w:szCs w:val="14"/>
          <w:color w:val="auto"/>
        </w:rPr>
        <w:t>Since our formation in 1980, we have grown primarily through the displacement of captive ball manufacturing operations of domestic and international bearing manufacturers resulting in increased sales 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Three Months Ended September 30, 2005 Compared to the Three Months Ended September 30, 2004</w:t>
      </w:r>
    </w:p>
    <w:p>
      <w:pPr>
        <w:spacing w:after="0" w:line="160"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Net Sales. Net sales increased by approximately $2.1 million, or 2.9%, from $72.9 million for the third quarter of 2004 to $75.0 million for the third quarter of 2005. By segment, sales decreased $1.7 million, increased $1.8 million and increased $2.0 million for the NN Europe Segment, Plastic and Rubber Components Segment, and the Domestic Ball and Roller Segment, respectively. Within the NN Europe Segment, the net decrease was composed of an approximate $0.1 million increase related to the impact of currency exchange rates, an increase of approximately $0.6 million related to price adjustments associated with raw material pass through, and approximately $2.4 million related to decreased product demand. Within the Plastics and Rubber Components Segment, approximately $1.6 million of the increase was related to increased product demand and approximately $0.2 million was related to price adjustments associated with raw material pass through. Within the Domestic Ball and Roller Segment, approximately $1.2 million was related to price adjustments associated with raw material pass through, approximately $1.1 was related to favorable mix principally due to higher demand for rollers, offset by approximately $0.3 million related to decreased demand for balls.</w:t>
      </w:r>
    </w:p>
    <w:p>
      <w:pPr>
        <w:spacing w:after="0" w:line="173"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Cost of Products Sold (exclusive of depreciation). Cost of products sold increased by approximately $0.9 million, or 1.6%, from $57.3 million for the third quarter of 2004 to $58.2 million for the third quarter of 2005. By segment, cost of products sold increased $0.7 million, decreased $1.4 million and increased $1.6 million for the Plastics and Rubber Components Segment, the</w:t>
      </w:r>
    </w:p>
    <w:p>
      <w:pPr>
        <w:spacing w:after="0" w:line="2" w:lineRule="exact"/>
        <w:rPr>
          <w:sz w:val="20"/>
          <w:szCs w:val="20"/>
          <w:color w:val="auto"/>
        </w:rPr>
      </w:pPr>
    </w:p>
    <w:p>
      <w:pPr>
        <w:jc w:val="both"/>
        <w:ind w:right="3279" w:firstLine="9"/>
        <w:spacing w:after="0" w:line="253" w:lineRule="auto"/>
        <w:tabs>
          <w:tab w:leader="none" w:pos="2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Segment and the Domestic Ball and Roller Segment, respectively. Within the Plastics and Rubber Components Segment, approximately $1.2 million was related to increased volume and approximately $0.4 million was related to increased material costs offset by $0.9 million of decreased cost associated with manufacturing efficiencies. Within the NN Europe Segment, approximately $2.1 million was related to decreased volume and approximately $0.8 to increased material costs offset by manufacturing efficiencies of approximately $0.1 million. Within the Domestic Ball and Roller Segment, approximately $1.0 million was related to increased material cost, approximately $0.7 million was related to higher spending on labor, maintenance cost, production supplies, transportation fuel surcharges, offset by approximately $0.1 million in decreased volume. As a percentage of net sales, cost of products sold decreased from 78.5% during the third quarter of 2004 to 77.6% during the third quarter of 2005.</w:t>
      </w:r>
    </w:p>
    <w:p>
      <w:pPr>
        <w:spacing w:after="0" w:line="33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price of steel has risen over the last twelve to eighteen months with the potential for prices for the remainder of 2005 to reflect even greater increases. The increase is principally due to general increases in global demand and, more recently, due to China's increased consumption of steel. This has had the impact of increasing steel prices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Unless we can continue to pass these increases through to our customers, income from operations, net income and cash flow from operations will be adversely affected.</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approximately $0.1 million, or 0.8%, from $7.1 million during the third quarter of 2004 to $7.2 million during the third quarter of 2005. By segment, selling, general and administrative expenses decreased approximately $0.4 million, decreased by approximately $0.2 million, and increased approximately $0.7 million for the NN Europe Segment, Plastics and Rubber Components Segment, and the Domestic Ball and Roller Segment, respectively. Within the NN Europe Segment, the decrease was principally related to lower consulting costs of approximately $0.1 million and lower administrative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6" w:name="page17"/>
    <w:bookmarkEnd w:id="16"/>
    <w:p>
      <w:pPr>
        <w:jc w:val="both"/>
        <w:ind w:right="3279"/>
        <w:spacing w:after="0" w:line="253" w:lineRule="auto"/>
        <w:rPr>
          <w:sz w:val="20"/>
          <w:szCs w:val="20"/>
          <w:color w:val="auto"/>
        </w:rPr>
      </w:pPr>
      <w:r>
        <w:rPr>
          <w:rFonts w:ascii="Courier New" w:cs="Courier New" w:eastAsia="Courier New" w:hAnsi="Courier New"/>
          <w:sz w:val="14"/>
          <w:szCs w:val="14"/>
          <w:color w:val="auto"/>
        </w:rPr>
        <w:t>costs of approximately $0.3 million. Within the Domestic Ball and Roller Segment the increase was principally related to the impact of recording a reserve for the Delphi Corporation outstanding accounts receivable balance of approximately $0.2 million, higher salary cost of approximately $0.3 million, and higher China start-up cost of approximately $0.2 million. Within the Plastics and Rubber Components Segment, the decrease was principally related to a non-recurring severance cost paid in the third quarter of 2004. As a percentage of net sales, selling, general and administrative expenses decreased from 9.8% during the third quarter of 2004 to 9.6% during the third quarter of 2005.</w:t>
      </w:r>
    </w:p>
    <w:p>
      <w:pPr>
        <w:spacing w:after="0" w:line="164"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Depreciation and Amortization. Depreciation and amortization expenses were flat compared to the third quarter of 2004 from $4.0 million for the third quarter of 2004 to $4.0 million for the third quarter of 2005. As a percentage of net sales, depreciation and amortization expense decreased from 5.5% during the third quarter of 2004 to 5.3% during the third quarter of 2005.</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Interest Expense, Net. Interest expense decreased by approximately $0.1 million, or 12.2%, from $1.1 million in the third quarter of 2004 to $1.0 million in the third quarter of 2005. The reduction was due to debt reduction in the third quarter. See "Liquidity and Capital Resources".</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Net Income. Net income increased by approximately $0.4 million, or 18.8%, from $2.2 million in the third quarter of 2004 to $2.6 million in the third quarter of 2005. As a percentage of net sales, net income increased from 3.0% during the third quarter of 2004 to 3.4% during the third quarter of 2005.</w:t>
      </w:r>
    </w:p>
    <w:p>
      <w:pPr>
        <w:spacing w:after="0" w:line="163"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Nine Months Ended September 30, 2005 Compared to the Nine Months Ended September 30, 2004</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Net Sales. Net sales increased by approximately $19.7 million, or 8.7%, from $225.8 million for the first nine months of 2004 to $245.5 million for the first nine months of 2005. By segment, sales increased $8.5 million, $5.7 million and $5.5 million for the NN Europe Segment, the Plastic and Rubber Components Segment and the Domestic Ball and Roller Segment, respectively. Within the NN Europe Segment, approximately $5.4 million of the increase was related to the impact of currency exchange rates, approximately $2.5 million of the increase was related to price adjustments associated with raw material pass through, and approximately $0.6 million related to increased product demand. Within the Plastic and Rubber Components Segment, approximately $4.7 million of the increase was related to increased product demand and approximately $1.0 million was related to price adjustments associated with raw material pass through. Within the Domestic Ball and Roller Segment, approximately $3.3 million of the increase was related to price adjustments associated with raw material pass through and approximately $2.2 million was volume due to higher demand for rollers.</w:t>
      </w:r>
    </w:p>
    <w:p>
      <w:pPr>
        <w:spacing w:after="0" w:line="330"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Cost of Products Sold (exclusive of depreciation). Cost of products sold increased by approximately $15.3 million, or 8.6%, from $176.6 million for the first nine months of 2004 to $191.8 million for the first nine months of 2005. By segment, cost of products sold increased $6.1 million, $5.2 million and $4.0 million for the NN Europe Segment, the Plastics and Rubber Components Segment and the Domestic Ball and Roller Segment, respectively. Within the NN Europe Segment, approximately $4.4 million of the increase was related to the impact of currency exchange rates, approximately $4.4 million was related to increased material costs, and approximately $0.7 million was due to increased volume. These increases were offset by approximately $3.4 million of productivity improvements mainly in labor savings and in lower production cost of cages. Within the Plastics and Rubber Components Segment, approximately $3.7 million was related to increased volume and approximately $2.5 million was related to increases in raw material costs. Offsetting these increases were productivity improvements of $1.0 million. Within the Domestic Ball and Roller Segment, approximately $1.9 million of the increase was related to increased material cost, approximately $0.6 million related to increased volume and approximately $1.5 million of the increase was related to transportation fuel surcharges, and higher spending in maintenance, labor cost, and production supplies. As a percentage of net sales, cost of products sold decreased from 78.2% during first nine months of 2004 to 78.1% during the first nine months of 2005.</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decreased by approximately $0.3 million, or 1.6%, from $22.3 million during the first nine months of 2004 to $22.0 million during the first nine months of 2005. By segment, selling, general and administrative expenses decreased $0.6 million, increased $0.6 million and decreased $0.3 million for the NN Europe Segment, Domestic Ball and Roller Segment and the Plastic and Rubber Components Segment, respectively. Within the NN Europe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7" w:name="page18"/>
    <w:bookmarkEnd w:id="17"/>
    <w:p>
      <w:pPr>
        <w:jc w:val="both"/>
        <w:ind w:right="3279"/>
        <w:spacing w:after="0" w:line="253" w:lineRule="auto"/>
        <w:rPr>
          <w:sz w:val="20"/>
          <w:szCs w:val="20"/>
          <w:color w:val="auto"/>
        </w:rPr>
      </w:pPr>
      <w:r>
        <w:rPr>
          <w:rFonts w:ascii="Courier New" w:cs="Courier New" w:eastAsia="Courier New" w:hAnsi="Courier New"/>
          <w:sz w:val="14"/>
          <w:szCs w:val="14"/>
          <w:color w:val="auto"/>
        </w:rPr>
        <w:t>Segment, the decrease was related principally to lower consulting and salary costs of approximately $1.0 million, offset by the negative impact of foreign currency exchange rates of approximately $0.4 million. Increased expenses at the Ball and Roller Segment were due primarily to the start-up costs in China $0.4 million and the impact of recording a reserve for the Delphi Corporation outstanding accounts receivable balance of $0.2 million. Within the Plastics and Rubber Components Segment, the decrease was principally related to a nonrecurring severance cost paid in 2004. As a percentage of net sales, selling, general and administrative expenses decreased from 9.9% during the first nine months of 2004 to 8.9% during the first nine months of 2005.</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by approximately $0.4 million or 3.2% from $11.9 million for the first nine months of 2004 to $12.3 million for the first nine months of 2005. The increase of approximately $0.4 million was attributable to the NN Europe Segment. The impact of foreign currency exchange rates accounted for $0.3 million of the increase and the remainder was a result of capital investments in machinery and equipment. As a percentage of net sales, depreciation and amortization expense decreased from 5.3% for the first nine months of 2004 to 5.0% for the first nine months of 2005.</w:t>
      </w:r>
    </w:p>
    <w:p>
      <w:pPr>
        <w:spacing w:after="0" w:line="33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Interest Expense, Net. Interest expense increased by approximately $0.1 million from $2.9 million in the first nine months of 2004 to $3.0 million in the first nine months of 2005. The increase was principally related to increased market interest rates. See "Liquidity and Capital Resources".</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Net Income. Net income increased by approximately $2.5 million, or 34.5%, from $7.4 million in the first nine months of 2004 to $9.9 million in the first nine months of 2005. As a percentage of net sales, net income increased from 3.3% during the first nine months of 2004 to 4.0% during the first nine months of 2005.</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On May 1, 2003, we entered into a $90.0 million syndicated credit facility with AmSouth Bank ("AmSouth") as the administrative agent and Suntrust Bank as the Euro loan agent for the lenders under which we borrowed $60.4 million and 26.3 million Euros ($29.6 million) (the "$90.0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June 30, 2007 bearing interest at a floating rate equal to LIBOR (3.86% at September 30, 2005) plus an applicable margin of 1.25 to 2.0, a $30.4 million term loan expiring on May 1, 2008, bearing interest at a floating rate equal to LIBOR (3.86% at September 30, 2005) plus an applicable margin of 1.25 to 2.0 and a 26.3 million Euro ($29.6 million) term loan ("26.3 million Euro term loan") expiring on May 1, 2008 which bears interest at a floating rate equal to Euro LIBOR (2.12% at September 30, 2005) plus an applicable margin of 1.25 to 2.0. All amounts owed under the $30.4 million term loan were paid during the second quarter of 2004 with the proceeds from our $40.0 million notes and we no longer have borrowing capacity under that portion of the $90.0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September 30, 2005.</w:t>
      </w:r>
    </w:p>
    <w:p>
      <w:pPr>
        <w:spacing w:after="0" w:line="34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"$40.0 million notes"). These notes bear interest at a fixed rate of 4.89% and mature on April 26, 2014. Interest is paid semi-annually. As of September 30, 2005, $40.0 million remained outstanding. Annual principal payments of approximately $5.7 million begin on April 26, 2008 and extend through the date of maturity. Proceeds from this credit facility were used to repay our existing US dollar denominated term loan, $24.0 million, and repay a portion of our borrowings under our US dollar denominated revolving credit facility, $13.0 million, which are both components of our $90.0 million credit facility, and to repay other short term borrowings totaling approximately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8" w:name="page19"/>
    <w:bookmarkEnd w:id="18"/>
    <w:p>
      <w:pPr>
        <w:jc w:val="both"/>
        <w:ind w:right="3279"/>
        <w:spacing w:after="0" w:line="253" w:lineRule="auto"/>
        <w:rPr>
          <w:sz w:val="20"/>
          <w:szCs w:val="20"/>
          <w:color w:val="auto"/>
        </w:rPr>
      </w:pPr>
      <w:r>
        <w:rPr>
          <w:rFonts w:ascii="Courier New" w:cs="Courier New" w:eastAsia="Courier New" w:hAnsi="Courier New"/>
          <w:sz w:val="14"/>
          <w:szCs w:val="14"/>
          <w:color w:val="auto"/>
        </w:rPr>
        <w:t>$4.7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September 30, 2005.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w:t>
      </w:r>
    </w:p>
    <w:p>
      <w:pPr>
        <w:spacing w:after="0" w:line="331"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Amounts outstanding under the $90.0 million credit facility and the $40.0 million note as of September 30, 2005 were $27.8 million and $40.0 million, respectively. See Note 9 of the Notes to Consolidated Financial Statements.</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(consignment)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September 30, 2005, no currency hedges were in place. In addition, a strengthening of the U.S. dollar and/or Euro against foreign currencies could impair our ability to compete with international competitors for foreign as well as domestic sales.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offset by accounts payable, was $41.2 million at September 30, 2005 as compared to $33.9 million at December 31, 2004. The ratio of current assets to current liabilities increased from 1.46:1 at December 31, 2004 to 1.63:1 at September 30, 2005. Cash flow from operations totaled $10.3 million during the first nine months of 2005, compared with $21.9 million during the first nine months of 2004. The primary reason for the reduction in operating cash flow was a decrease in accounts payable of $7.2 million versus an increase of $4.9 million in 2004.</w:t>
      </w:r>
    </w:p>
    <w:p>
      <w:pPr>
        <w:spacing w:after="0" w:line="33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October 8, 2005, Delphi Corporation filed Chapter 11 bankruptcy for its U.S. based companies. We have reserved substantially all of the receivable balance with Delphi at September 30, 2005. The balance totals $0.2 million. We continue to ship to Delphi under normal terms as we believe they have post-bankruptcy financing adequate to meet current purchases from vendors. We have filed to reclaim our goods shipped 10 days prior to the filing and have filed for preferred vendor status.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During 2005, we announced plans to spend approximately $17.0 million on capital expenditures of which $9.1 million is related primarily to equipment, process upgrades, and replacements and approximately $7.9 million principally related to geographic expansion of our manufacturing base. We now believe that the total capital expenditure for the year will be between $12.0 million and $15.0 million based on re-evaluation of needs in 2005. Of these amounts approximately $8.4 million has been spent through September 30, 2005.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September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Euro</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 in the NN Europe Segment, except Slovakia whose functional currency is the Slovak Koruna. Slovakia joined the European Union in May 2004, and the country is expected to adopt the Euro as its currency within several years.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Seasonality and Fluctuation in Quarterly Results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Our net sales historically have been of a seasonal nature due to a significant portion of our sales to European customers that cease or significantly slow production during the month of August.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and Changes in Prices</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Prices for 52100 Steel, engineered resins and other raw materials purchased by us are subject to material change, see "Management's Discussion and Analysis of Financial Condition and Results of Operations - Overview and Management Focus". For example, due to an increase in worldwide demand for 52100 Steel and the decrease in the value of the United States dollar relative to foreign currencies, we experienced an increase in the price of 52100 Steel and may experience difficulty in obtaining an adequate supply of 52100 Steel from our existing suppliers. In our U.S. operations, our typical pricing arrangements with steel suppliers are subject to adjustment once every six months. Our NN Europe Segment has entered into long term agreements with its primary steel supplier which provide for standard terms and conditions and annual pricing adjustments to offset material price fluctuations in steel and quarterly scrap surcharge adjustments. We typically reserve the right to increase product prices periodically in the event of increases in its raw material costs. In the past, we have been able to minimize the impact on its operations resulting from the 52100 Steel price fluctuations by taking such measures. However, by contract, material price changes in any given year are passed along with price adjustments in January of the following year. Certain sales agreements are in effect with SKF and INA, which provide for minimum purchase quantities and specified, annual sales price adjustments that may be modified up or down for changes in material costs. These agreements expire during 2006.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Our significant accounting policies, including the assumptions and judgments underlying them, are disclosed in our Annual Report on Form 10-K, for the fiscal year ended December 31, 2004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our business operations, financial condition and results of operations. There can be no assurance that actual results will not significantly differ from the estimates used in these critical accounting policies.</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Accounts Receivable. Substantially all of our accounts receivable are due primarily from the served markets: bearing manufacturers, automotive industry, electronics, industrial, agricultural and aerospace.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we could experience additional unexpected credit losses.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using the first-in, first-out method. Our inventories are not generally subject to obsolescence due to spoilage or expiring product life cycles. We operate generally as a make-to-order business; however, we also stock products for certain customers in order to meet delivery schedules. While management believes that adequate write-downs for inventory obsolescence have been made in the Consolidated Financial Statements, we could experience additional inventory write-downs in the future.</w:t>
      </w:r>
    </w:p>
    <w:p>
      <w:pPr>
        <w:spacing w:after="0" w:line="16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Acquisitions and Acquired Intangibles. For new acquisitions, we use estimates, assumptions and appraisals to allocate the purchase price to the assets acquired and to determine the amount of goodwill. These estimates are based on market analysis and comparisons to similar assets. Annual tests are required to be performed to assess whether recorded goodwill is impaired. The annual tests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0" w:name="page21"/>
    <w:bookmarkEnd w:id="20"/>
    <w:p>
      <w:pPr>
        <w:jc w:val="both"/>
        <w:ind w:right="3279"/>
        <w:spacing w:after="0" w:line="253" w:lineRule="auto"/>
        <w:rPr>
          <w:sz w:val="20"/>
          <w:szCs w:val="20"/>
          <w:color w:val="auto"/>
        </w:rPr>
      </w:pPr>
      <w:r>
        <w:rPr>
          <w:rFonts w:ascii="Courier New" w:cs="Courier New" w:eastAsia="Courier New" w:hAnsi="Courier New"/>
          <w:sz w:val="14"/>
          <w:szCs w:val="14"/>
          <w:color w:val="auto"/>
        </w:rPr>
        <w:t>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Impairment of Long-Lived Assets. Our long-lived assets include property, plant and equipment. The recoverability of the long-lived assets is dependent on the performance of the companies which we have acquired, as well as volatility inherent in the external markets for these acquisitions. In assessing potential impairment for these assets, we will consider these factors as well as forecasted financial performance. Future adverse changes in market conditions or adverse operating results of the underlying assets could result in having to record additional impairment charges not previously recognized.</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Pension and Post-Retirement Obligations. We use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We use an independent actuary to calculate the periodic pension and post-retirement expense and obligations based upon these assumptions and actual employee census data.</w:t>
      </w:r>
    </w:p>
    <w:p>
      <w:pPr>
        <w:spacing w:after="0" w:line="33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Cautionary Statements for Purposes of the "Safe Harbor" Provisions of the Private Securities Litigation Reform Act of 1995</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wish to caution readers that this report contains, and our future filings, press releases and oral statements made by our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the our prior filings. The differences could be caused by a number of factors or combination of factors including, but not limited to, the risk factors described below.</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demand for our products is cyclical, which could adversely impact our revenues.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6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We depend on a very limited number of foreign sources for our primary raw material and are subject to risks of shortages and price fluctuation.</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our operating and financial results.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1" w:name="page22"/>
    <w:bookmarkEnd w:id="21"/>
    <w:p>
      <w:pPr>
        <w:jc w:val="both"/>
        <w:ind w:right="3279"/>
        <w:spacing w:after="0" w:line="258" w:lineRule="auto"/>
        <w:rPr>
          <w:sz w:val="20"/>
          <w:szCs w:val="20"/>
          <w:color w:val="auto"/>
        </w:rPr>
      </w:pPr>
      <w:r>
        <w:rPr>
          <w:rFonts w:ascii="Courier New" w:cs="Courier New" w:eastAsia="Courier New" w:hAnsi="Courier New"/>
          <w:sz w:val="14"/>
          <w:szCs w:val="14"/>
          <w:color w:val="auto"/>
        </w:rPr>
        <w:t>We depend heavily on a relatively limited number of customers, and the loss of any major customer would have a material adverse effect on our business.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Sales to various U.S. and foreign divisions of SKF, which is one of the largest bearing manufacturers in the world, accounted for approximately 48% of consolidated net sales in 2004, and sales to INA accounted for approximately 14% of consolidated net sales in 2004. During 2004, our ten largest customers accounted for approximately 81% of our consolidated net sales. None of our other customers individually accounted for more than 5% of our consolidated net sales for 2004. The loss of all or a substantial portion of sales to these customers would cause us to lose a substantial portion of our revenue and would lower our profit margin and cash flows from operations.</w:t>
      </w:r>
    </w:p>
    <w:p>
      <w:pPr>
        <w:spacing w:after="0" w:line="164"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We operate in and sell products to customers outside the U.S. and are subject to several related risks.</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62" w:lineRule="exact"/>
        <w:rPr>
          <w:sz w:val="20"/>
          <w:szCs w:val="20"/>
          <w:color w:val="auto"/>
        </w:rPr>
      </w:pPr>
    </w:p>
    <w:p>
      <w:pPr>
        <w:ind w:left="700" w:hanging="344"/>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foreign currency fluctuations;</w:t>
      </w:r>
    </w:p>
    <w:p>
      <w:pPr>
        <w:spacing w:after="0" w:line="175" w:lineRule="exact"/>
        <w:rPr>
          <w:rFonts w:ascii="Courier New" w:cs="Courier New" w:eastAsia="Courier New" w:hAnsi="Courier New"/>
          <w:sz w:val="14"/>
          <w:szCs w:val="14"/>
          <w:color w:val="auto"/>
        </w:rPr>
      </w:pPr>
    </w:p>
    <w:p>
      <w:pPr>
        <w:ind w:left="700" w:right="3279" w:hanging="344"/>
        <w:spacing w:after="0" w:line="258" w:lineRule="auto"/>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trade, monetary and fiscal policies, laws and regulations, and other activities of governments, agencies and similar organizations;</w:t>
      </w:r>
    </w:p>
    <w:p>
      <w:pPr>
        <w:spacing w:after="0" w:line="159"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trade restrictions or prohibitions;</w:t>
      </w:r>
    </w:p>
    <w:p>
      <w:pPr>
        <w:spacing w:after="0" w:line="175"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5"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import or other duties or taxes; and</w:t>
      </w:r>
    </w:p>
    <w:p>
      <w:pPr>
        <w:spacing w:after="0" w:line="175" w:lineRule="exact"/>
        <w:rPr>
          <w:rFonts w:ascii="Courier New" w:cs="Courier New" w:eastAsia="Courier New" w:hAnsi="Courier New"/>
          <w:sz w:val="14"/>
          <w:szCs w:val="14"/>
          <w:color w:val="auto"/>
        </w:rPr>
      </w:pPr>
    </w:p>
    <w:p>
      <w:pPr>
        <w:jc w:val="both"/>
        <w:ind w:left="700" w:right="4059" w:hanging="344"/>
        <w:spacing w:after="0" w:line="258" w:lineRule="auto"/>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6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 costs and difficulties of integrating acquired business could impede our future growth.</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We may not be able to continue to make the acquisitions necessary for us to realize our growth strategy.</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Europe with our two largest bearing customers, SKF and INA/FAG, in 2000 and acquired our bearing seal operations in 2001. During 2002, we purchased INA/FAG's minority interest in NN Europe and on May 2, 2003 we acquired SKF's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2" w:name="page23"/>
    <w:bookmarkEnd w:id="22"/>
    <w:p>
      <w:pPr>
        <w:jc w:val="both"/>
        <w:ind w:right="3279"/>
        <w:spacing w:after="0" w:line="253" w:lineRule="auto"/>
        <w:rPr>
          <w:sz w:val="20"/>
          <w:szCs w:val="20"/>
          <w:color w:val="auto"/>
        </w:rPr>
      </w:pPr>
      <w:r>
        <w:rPr>
          <w:rFonts w:ascii="Courier New" w:cs="Courier New" w:eastAsia="Courier New" w:hAnsi="Courier New"/>
          <w:sz w:val="14"/>
          <w:szCs w:val="14"/>
          <w:color w:val="auto"/>
        </w:rPr>
        <w:t>minority interest in NN 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64"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Our growth strategy depends on outsourcing, and if the industry trend toward outsourcing does not continue, our business could be adversely affected.</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33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Our market is highly competitive and many of our competitors have significant advantages that could adversely affect our business.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4"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production capacity we have added over the last several years has at times resulted in our having more capacity than we need, causing our operating costs to be higher than expected.</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price of our common stock may be volatile.</w:t>
      </w:r>
    </w:p>
    <w:p>
      <w:pPr>
        <w:spacing w:after="0" w:line="175" w:lineRule="exact"/>
        <w:rPr>
          <w:sz w:val="20"/>
          <w:szCs w:val="20"/>
          <w:color w:val="auto"/>
        </w:rPr>
      </w:pPr>
    </w:p>
    <w:p>
      <w:pPr>
        <w:jc w:val="both"/>
        <w:ind w:right="3279"/>
        <w:spacing w:after="0" w:line="260" w:lineRule="auto"/>
        <w:rPr>
          <w:sz w:val="20"/>
          <w:szCs w:val="20"/>
          <w:color w:val="auto"/>
        </w:rPr>
      </w:pPr>
      <w:r>
        <w:rPr>
          <w:rFonts w:ascii="Courier New" w:cs="Courier New" w:eastAsia="Courier New" w:hAnsi="Courier New"/>
          <w:sz w:val="14"/>
          <w:szCs w:val="14"/>
          <w:color w:val="auto"/>
        </w:rPr>
        <w:t>The market price of our common stock could be subject to significant fluctuations and may decline. Among the factors that could affect our stock price are:</w:t>
      </w:r>
    </w:p>
    <w:p>
      <w:pPr>
        <w:spacing w:after="0" w:line="324" w:lineRule="exact"/>
        <w:rPr>
          <w:sz w:val="20"/>
          <w:szCs w:val="20"/>
          <w:color w:val="auto"/>
        </w:rPr>
      </w:pPr>
    </w:p>
    <w:p>
      <w:pPr>
        <w:ind w:left="700" w:hanging="344"/>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operating and financial performance and prospects;</w:t>
      </w:r>
    </w:p>
    <w:p>
      <w:pPr>
        <w:spacing w:after="0" w:line="175" w:lineRule="exact"/>
        <w:rPr>
          <w:rFonts w:ascii="Courier New" w:cs="Courier New" w:eastAsia="Courier New" w:hAnsi="Courier New"/>
          <w:sz w:val="14"/>
          <w:szCs w:val="14"/>
          <w:color w:val="auto"/>
        </w:rPr>
      </w:pPr>
    </w:p>
    <w:p>
      <w:pPr>
        <w:ind w:left="700" w:right="3379" w:hanging="344"/>
        <w:spacing w:after="0" w:line="258"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9" w:lineRule="exact"/>
        <w:rPr>
          <w:rFonts w:ascii="Courier New" w:cs="Courier New" w:eastAsia="Courier New" w:hAnsi="Courier New"/>
          <w:sz w:val="14"/>
          <w:szCs w:val="14"/>
          <w:color w:val="auto"/>
        </w:rPr>
      </w:pPr>
    </w:p>
    <w:p>
      <w:pPr>
        <w:ind w:left="700" w:right="3719" w:hanging="344"/>
        <w:spacing w:after="0" w:line="258"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revenue or earnings estimates or publication of research reports by analysts;</w:t>
      </w:r>
    </w:p>
    <w:p>
      <w:pPr>
        <w:spacing w:after="0" w:line="159"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any member of our senior management team;</w:t>
      </w:r>
    </w:p>
    <w:p>
      <w:pPr>
        <w:spacing w:after="0" w:line="175"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speculation in the press or investment community;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3" w:name="page24"/>
    <w:bookmarkEnd w:id="23"/>
    <w:p>
      <w:pPr>
        <w:ind w:left="700" w:right="3719" w:hanging="344"/>
        <w:spacing w:after="0" w:line="258"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actions by us or our competitors, such as acquisitions or restructurings;</w:t>
      </w:r>
    </w:p>
    <w:p>
      <w:pPr>
        <w:spacing w:after="0" w:line="159"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our common stock by stockholders;</w:t>
      </w:r>
    </w:p>
    <w:p>
      <w:pPr>
        <w:spacing w:after="0" w:line="175" w:lineRule="exact"/>
        <w:rPr>
          <w:rFonts w:ascii="Courier New" w:cs="Courier New" w:eastAsia="Courier New" w:hAnsi="Courier New"/>
          <w:sz w:val="14"/>
          <w:szCs w:val="14"/>
          <w:color w:val="auto"/>
        </w:rPr>
      </w:pPr>
    </w:p>
    <w:p>
      <w:pPr>
        <w:ind w:left="700" w:hanging="344"/>
        <w:spacing w:after="0"/>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market conditions; and</w:t>
      </w:r>
    </w:p>
    <w:p>
      <w:pPr>
        <w:spacing w:after="0" w:line="175" w:lineRule="exact"/>
        <w:rPr>
          <w:rFonts w:ascii="Courier New" w:cs="Courier New" w:eastAsia="Courier New" w:hAnsi="Courier New"/>
          <w:sz w:val="14"/>
          <w:szCs w:val="14"/>
          <w:color w:val="auto"/>
        </w:rPr>
      </w:pPr>
    </w:p>
    <w:p>
      <w:pPr>
        <w:ind w:left="700" w:right="3899" w:hanging="344"/>
        <w:spacing w:after="0" w:line="258"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international economic, legal and regulatory factors unrelated to our performance.</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Provisions in our charter documents and Delaware law may inhibit a takeover, which could adversely affect the value of our common stock.</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3"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00" w:lineRule="exact"/>
        <w:rPr>
          <w:sz w:val="20"/>
          <w:szCs w:val="20"/>
          <w:color w:val="auto"/>
        </w:rPr>
      </w:pPr>
    </w:p>
    <w:p>
      <w:pPr>
        <w:spacing w:after="0" w:line="29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September 30, 2005, we had $19.9 million outstanding under the domestic credit facilities, $40.0 million aggregate principal amount of senior notes outstanding and NN Europe had 6.6 million Euro ($7.9 million) outstanding under the Euro term loan. See Note 9 of the Notes to Consolidated Financial Statements. At September 30, 2005, a one-percent increase in the interest rate charged on our outstanding borrowings under our credit facilities, that are subject to variable interest rates, would result in interest expense increasing annually by approximately $0.3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4" w:name="page25"/>
    <w:bookmarkEnd w:id="24"/>
    <w:p>
      <w:pPr>
        <w:jc w:val="both"/>
        <w:ind w:right="3279"/>
        <w:spacing w:after="0" w:line="253" w:lineRule="auto"/>
        <w:rPr>
          <w:sz w:val="20"/>
          <w:szCs w:val="20"/>
          <w:color w:val="auto"/>
        </w:rPr>
      </w:pPr>
      <w:r>
        <w:rPr>
          <w:rFonts w:ascii="Courier New" w:cs="Courier New" w:eastAsia="Courier New" w:hAnsi="Courier New"/>
          <w:sz w:val="14"/>
          <w:szCs w:val="14"/>
          <w:color w:val="auto"/>
        </w:rPr>
        <w:t>debt over the life of the swap. This original debt was repaid in May 2003, however, the swap remains pursuant to its original terms. On May 1, 2003, we entered into the $90.0 million credit facility. This new financing arrangement replaced our prior credit facility with AmSouth and NN Europe's credit facility with Hypo Vereinsbank Luxembourg, S.A. On April 26, 2004, we issued $40.0 million of aggregate principal amounts of senior notes in a private placement, replacing a portion of our $90.0 million credit facility,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or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September 30, 2005.</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Controls and Procedures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As of September 30, 2005, we carried out an evaluation, under the supervision and with the participation of our management, including our Chief Executive Officer and Chief Financial Officer, of the effectiveness of the design and operation of our disclosure controls and procedures pursuant to Rule 13a-14 and 15d-14 of the Securities Exchange Act of 1934 (the "Exchange Act"). Based upon that evaluation, our management, including the Chief Executive Officer and Chief Financial Officer, concluded that our disclosure controls and procedures are effective.</w:t>
      </w:r>
    </w:p>
    <w:p>
      <w:pPr>
        <w:spacing w:after="0" w:line="33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Legal Proceedings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All of our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Change in Securities and Use of Proceeds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Other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p>
      <w:pPr>
        <w:ind w:left="1140" w:hanging="523"/>
        <w:spacing w:after="0"/>
        <w:tabs>
          <w:tab w:leader="none" w:pos="11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175" w:lineRule="exact"/>
        <w:rPr>
          <w:sz w:val="20"/>
          <w:szCs w:val="20"/>
          <w:color w:val="auto"/>
        </w:rPr>
      </w:pPr>
    </w:p>
    <w:p>
      <w:pPr>
        <w:ind w:left="1140" w:right="3279" w:hanging="520"/>
        <w:spacing w:after="0" w:line="258" w:lineRule="auto"/>
        <w:tabs>
          <w:tab w:leader="none" w:pos="1120" w:val="left"/>
        </w:tabs>
        <w:rPr>
          <w:sz w:val="20"/>
          <w:szCs w:val="20"/>
          <w:color w:val="auto"/>
        </w:rPr>
      </w:pPr>
      <w:r>
        <w:rPr>
          <w:rFonts w:ascii="Courier New" w:cs="Courier New" w:eastAsia="Courier New" w:hAnsi="Courier New"/>
          <w:sz w:val="14"/>
          <w:szCs w:val="14"/>
          <w:color w:val="auto"/>
        </w:rPr>
        <w:t>31.1</w:t>
        <w:tab/>
        <w:t>Certification of Chief Executive Officer pursuant to Section 302 of Sarbanes-Oxley Act.</w:t>
      </w:r>
    </w:p>
    <w:p>
      <w:pPr>
        <w:spacing w:after="0" w:line="160" w:lineRule="exact"/>
        <w:rPr>
          <w:sz w:val="20"/>
          <w:szCs w:val="20"/>
          <w:color w:val="auto"/>
        </w:rPr>
      </w:pPr>
    </w:p>
    <w:p>
      <w:pPr>
        <w:ind w:left="1140" w:right="3279" w:hanging="520"/>
        <w:spacing w:after="0" w:line="258" w:lineRule="auto"/>
        <w:tabs>
          <w:tab w:leader="none" w:pos="1120" w:val="left"/>
        </w:tabs>
        <w:rPr>
          <w:sz w:val="20"/>
          <w:szCs w:val="20"/>
          <w:color w:val="auto"/>
        </w:rPr>
      </w:pPr>
      <w:r>
        <w:rPr>
          <w:rFonts w:ascii="Courier New" w:cs="Courier New" w:eastAsia="Courier New" w:hAnsi="Courier New"/>
          <w:sz w:val="14"/>
          <w:szCs w:val="14"/>
          <w:color w:val="auto"/>
        </w:rPr>
        <w:t>31.2</w:t>
        <w:tab/>
        <w:t>Certification of Chief Financial Officer pursuant to Section 302 of Sarbanes-Oxley Act.</w:t>
      </w:r>
    </w:p>
    <w:p>
      <w:pPr>
        <w:spacing w:after="0" w:line="160" w:lineRule="exact"/>
        <w:rPr>
          <w:sz w:val="20"/>
          <w:szCs w:val="20"/>
          <w:color w:val="auto"/>
        </w:rPr>
      </w:pPr>
    </w:p>
    <w:p>
      <w:pPr>
        <w:ind w:left="1140" w:right="3279" w:hanging="520"/>
        <w:spacing w:after="0" w:line="258" w:lineRule="auto"/>
        <w:tabs>
          <w:tab w:leader="none" w:pos="1120" w:val="left"/>
        </w:tabs>
        <w:rPr>
          <w:sz w:val="20"/>
          <w:szCs w:val="20"/>
          <w:color w:val="auto"/>
        </w:rPr>
      </w:pPr>
      <w:r>
        <w:rPr>
          <w:rFonts w:ascii="Courier New" w:cs="Courier New" w:eastAsia="Courier New" w:hAnsi="Courier New"/>
          <w:sz w:val="14"/>
          <w:szCs w:val="14"/>
          <w:color w:val="auto"/>
        </w:rPr>
        <w:t>32.1</w:t>
        <w:tab/>
        <w:t>Certification of Chief Executive Officer pursuant to Section 906 of Sarbanes-Oxley Act.</w:t>
      </w:r>
    </w:p>
    <w:p>
      <w:pPr>
        <w:spacing w:after="0" w:line="160" w:lineRule="exact"/>
        <w:rPr>
          <w:sz w:val="20"/>
          <w:szCs w:val="20"/>
          <w:color w:val="auto"/>
        </w:rPr>
      </w:pPr>
    </w:p>
    <w:p>
      <w:pPr>
        <w:ind w:left="1140" w:right="3279" w:hanging="520"/>
        <w:spacing w:after="0" w:line="258" w:lineRule="auto"/>
        <w:tabs>
          <w:tab w:leader="none" w:pos="1120" w:val="left"/>
        </w:tabs>
        <w:rPr>
          <w:sz w:val="20"/>
          <w:szCs w:val="20"/>
          <w:color w:val="auto"/>
        </w:rPr>
      </w:pPr>
      <w:r>
        <w:rPr>
          <w:rFonts w:ascii="Courier New" w:cs="Courier New" w:eastAsia="Courier New" w:hAnsi="Courier New"/>
          <w:sz w:val="14"/>
          <w:szCs w:val="14"/>
          <w:color w:val="auto"/>
        </w:rPr>
        <w:t>32.2</w:t>
        <w:tab/>
        <w:t>Certification of Chief Financial Officer pursuant to Section 906 of Sarbanes-Oxley Act.</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Reports on Form 8-K</w:t>
      </w:r>
    </w:p>
    <w:p>
      <w:pPr>
        <w:spacing w:after="0" w:line="175" w:lineRule="exact"/>
        <w:rPr>
          <w:sz w:val="20"/>
          <w:szCs w:val="20"/>
          <w:color w:val="auto"/>
        </w:rPr>
      </w:pPr>
    </w:p>
    <w:p>
      <w:pPr>
        <w:jc w:val="both"/>
        <w:ind w:left="620" w:right="3459"/>
        <w:spacing w:after="0" w:line="260" w:lineRule="auto"/>
        <w:rPr>
          <w:sz w:val="20"/>
          <w:szCs w:val="20"/>
          <w:color w:val="auto"/>
        </w:rPr>
      </w:pPr>
      <w:r>
        <w:rPr>
          <w:rFonts w:ascii="Courier New" w:cs="Courier New" w:eastAsia="Courier New" w:hAnsi="Courier New"/>
          <w:sz w:val="14"/>
          <w:szCs w:val="14"/>
          <w:color w:val="auto"/>
        </w:rPr>
        <w:t>We furnished a Form 8-K, in response to Items 2.02 and 9.01 on August 10, 2005 announcing an amendment to the press release issued on July 28, 2005</w:t>
      </w:r>
    </w:p>
    <w:p>
      <w:pPr>
        <w:spacing w:after="0" w:line="324" w:lineRule="exact"/>
        <w:rPr>
          <w:sz w:val="20"/>
          <w:szCs w:val="20"/>
          <w:color w:val="auto"/>
        </w:rPr>
      </w:pPr>
    </w:p>
    <w:p>
      <w:pPr>
        <w:jc w:val="both"/>
        <w:ind w:left="620" w:right="3459"/>
        <w:spacing w:after="0" w:line="258" w:lineRule="auto"/>
        <w:rPr>
          <w:sz w:val="20"/>
          <w:szCs w:val="20"/>
          <w:color w:val="auto"/>
        </w:rPr>
      </w:pPr>
      <w:r>
        <w:rPr>
          <w:rFonts w:ascii="Courier New" w:cs="Courier New" w:eastAsia="Courier New" w:hAnsi="Courier New"/>
          <w:sz w:val="14"/>
          <w:szCs w:val="14"/>
          <w:color w:val="auto"/>
        </w:rPr>
        <w:t>We furnished a Form 8-K, in response to Items 2.02 and 9.01 on July 28, 2005 announcing earnings for the second quarter of 2005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6" w:name="page27"/>
    <w:bookmarkEnd w:id="26"/>
    <w:p>
      <w:pPr>
        <w:ind w:left="304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87" w:right="1440" w:bottom="1440" w:gutter="0" w:footer="0" w:header="0"/>
        </w:sectPr>
      </w:pPr>
    </w:p>
    <w:p>
      <w:pPr>
        <w:spacing w:after="0" w:line="342"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80"/>
        <w:spacing w:after="0"/>
        <w:tabs>
          <w:tab w:leader="none" w:pos="940" w:val="left"/>
          <w:tab w:leader="none" w:pos="1620" w:val="left"/>
          <w:tab w:leader="none" w:pos="224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8" w:lineRule="exact"/>
        <w:rPr>
          <w:sz w:val="20"/>
          <w:szCs w:val="20"/>
          <w:color w:val="auto"/>
        </w:rPr>
      </w:pPr>
    </w:p>
    <w:p>
      <w:pPr>
        <w:spacing w:after="0"/>
        <w:tabs>
          <w:tab w:leader="none" w:pos="66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80" w:lineRule="exact"/>
        <w:rPr>
          <w:sz w:val="20"/>
          <w:szCs w:val="20"/>
          <w:color w:val="auto"/>
        </w:rPr>
      </w:pPr>
    </w:p>
    <w:p>
      <w:pPr>
        <w:sectPr>
          <w:pgSz w:w="11900" w:h="16838" w:orient="portrait"/>
          <w:cols w:equalWidth="0" w:num="2">
            <w:col w:w="4340" w:space="100"/>
            <w:col w:w="5799"/>
          </w:cols>
          <w:pgMar w:left="220" w:top="787" w:right="1440" w:bottom="1440" w:gutter="0" w:footer="0" w:header="0"/>
          <w:type w:val="continuous"/>
        </w:sectPr>
      </w:pPr>
    </w:p>
    <w:p>
      <w:pPr>
        <w:spacing w:after="0" w:line="29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NN,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(Registrant)</w:t>
      </w:r>
    </w:p>
    <w:p>
      <w:pPr>
        <w:spacing w:after="0" w:line="342" w:lineRule="exact"/>
        <w:rPr>
          <w:sz w:val="20"/>
          <w:szCs w:val="20"/>
          <w:color w:val="auto"/>
        </w:rPr>
      </w:pPr>
    </w:p>
    <w:p>
      <w:pPr>
        <w:spacing w:after="0"/>
        <w:tabs>
          <w:tab w:leader="none" w:pos="780" w:val="left"/>
          <w:tab w:leader="none" w:pos="4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November 8, 2005</w:t>
      </w:r>
      <w:r>
        <w:rPr>
          <w:sz w:val="20"/>
          <w:szCs w:val="20"/>
          <w:color w:val="auto"/>
        </w:rPr>
        <w:tab/>
      </w:r>
      <w:r>
        <w:rPr>
          <w:rFonts w:ascii="Courier New" w:cs="Courier New" w:eastAsia="Courier New" w:hAnsi="Courier New"/>
          <w:sz w:val="14"/>
          <w:szCs w:val="14"/>
          <w:color w:val="auto"/>
        </w:rPr>
        <w:t>/s/ Roderick R. Baty</w:t>
      </w:r>
    </w:p>
    <w:p>
      <w:pPr>
        <w:spacing w:after="0" w:line="8" w:lineRule="exact"/>
        <w:rPr>
          <w:sz w:val="20"/>
          <w:szCs w:val="20"/>
          <w:color w:val="auto"/>
        </w:rPr>
      </w:pPr>
    </w:p>
    <w:p>
      <w:pPr>
        <w:ind w:left="620"/>
        <w:spacing w:after="0"/>
        <w:tabs>
          <w:tab w:leader="none" w:pos="3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Roderick R. Baty,</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Chairman, President and</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(Duly Authorized Officer)</w:t>
      </w:r>
    </w:p>
    <w:p>
      <w:pPr>
        <w:spacing w:after="0" w:line="342" w:lineRule="exact"/>
        <w:rPr>
          <w:sz w:val="20"/>
          <w:szCs w:val="20"/>
          <w:color w:val="auto"/>
        </w:rPr>
      </w:pPr>
    </w:p>
    <w:p>
      <w:pPr>
        <w:spacing w:after="0"/>
        <w:tabs>
          <w:tab w:leader="none" w:pos="780" w:val="left"/>
          <w:tab w:leader="none" w:pos="4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November 8, 2005</w:t>
      </w:r>
      <w:r>
        <w:rPr>
          <w:sz w:val="20"/>
          <w:szCs w:val="20"/>
          <w:color w:val="auto"/>
        </w:rPr>
        <w:tab/>
      </w:r>
      <w:r>
        <w:rPr>
          <w:rFonts w:ascii="Courier New" w:cs="Courier New" w:eastAsia="Courier New" w:hAnsi="Courier New"/>
          <w:sz w:val="14"/>
          <w:szCs w:val="14"/>
          <w:color w:val="auto"/>
        </w:rPr>
        <w:t>/s/ James H. Dorton</w:t>
      </w:r>
    </w:p>
    <w:p>
      <w:pPr>
        <w:spacing w:after="0" w:line="8" w:lineRule="exact"/>
        <w:rPr>
          <w:sz w:val="20"/>
          <w:szCs w:val="20"/>
          <w:color w:val="auto"/>
        </w:rPr>
      </w:pPr>
    </w:p>
    <w:p>
      <w:pPr>
        <w:ind w:left="620"/>
        <w:spacing w:after="0"/>
        <w:tabs>
          <w:tab w:leader="none" w:pos="3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James H. Dorton</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Vice President - Corporate Development 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(Principal Financial Officer)</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(Duly Authorized Officer)</w:t>
      </w:r>
    </w:p>
    <w:p>
      <w:pPr>
        <w:spacing w:after="0" w:line="342" w:lineRule="exact"/>
        <w:rPr>
          <w:sz w:val="20"/>
          <w:szCs w:val="20"/>
          <w:color w:val="auto"/>
        </w:rPr>
      </w:pPr>
    </w:p>
    <w:p>
      <w:pPr>
        <w:spacing w:after="0"/>
        <w:tabs>
          <w:tab w:leader="none" w:pos="780" w:val="left"/>
          <w:tab w:leader="none" w:pos="45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November 8, 2005</w:t>
      </w:r>
      <w:r>
        <w:rPr>
          <w:sz w:val="20"/>
          <w:szCs w:val="20"/>
          <w:color w:val="auto"/>
        </w:rPr>
        <w:tab/>
      </w:r>
      <w:r>
        <w:rPr>
          <w:rFonts w:ascii="Courier New" w:cs="Courier New" w:eastAsia="Courier New" w:hAnsi="Courier New"/>
          <w:sz w:val="14"/>
          <w:szCs w:val="14"/>
          <w:color w:val="auto"/>
        </w:rPr>
        <w:t>/s/ William C. Kelly, Jr.</w:t>
      </w:r>
    </w:p>
    <w:p>
      <w:pPr>
        <w:spacing w:after="0" w:line="8" w:lineRule="exact"/>
        <w:rPr>
          <w:sz w:val="20"/>
          <w:szCs w:val="20"/>
          <w:color w:val="auto"/>
        </w:rPr>
      </w:pPr>
    </w:p>
    <w:p>
      <w:pPr>
        <w:ind w:left="620"/>
        <w:spacing w:after="0"/>
        <w:tabs>
          <w:tab w:leader="none" w:pos="3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William C. Kelly, Jr.,</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Vice President 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Chief Administrative Officer</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(Duly Authorized Officer)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7" w:right="1440" w:bottom="1440" w:gutter="0" w:footer="0" w:header="0"/>
          <w:type w:val="continuous"/>
        </w:sectPr>
      </w:pPr>
    </w:p>
    <w:bookmarkStart w:id="27" w:name="page28"/>
    <w:bookmarkEnd w:id="27"/>
    <w:p>
      <w:pPr>
        <w:ind w:left="5820"/>
        <w:spacing w:after="0"/>
        <w:rPr>
          <w:sz w:val="20"/>
          <w:szCs w:val="20"/>
          <w:color w:val="auto"/>
        </w:rPr>
      </w:pPr>
      <w:r>
        <w:rPr>
          <w:rFonts w:ascii="Courier New" w:cs="Courier New" w:eastAsia="Courier New" w:hAnsi="Courier New"/>
          <w:sz w:val="14"/>
          <w:szCs w:val="14"/>
          <w:color w:val="auto"/>
        </w:rPr>
        <w:t>Exhibit 31.1</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CERTIFICATIONS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Roderick R. Baty, certify that:</w:t>
      </w:r>
    </w:p>
    <w:p>
      <w:pPr>
        <w:spacing w:after="0" w:line="175" w:lineRule="exact"/>
        <w:rPr>
          <w:sz w:val="20"/>
          <w:szCs w:val="20"/>
          <w:color w:val="auto"/>
        </w:rPr>
      </w:pPr>
    </w:p>
    <w:p>
      <w:pPr>
        <w:ind w:left="440" w:hanging="431"/>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NN, Inc.;</w:t>
      </w:r>
    </w:p>
    <w:p>
      <w:pPr>
        <w:spacing w:after="0" w:line="17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Courier New" w:cs="Courier New" w:eastAsia="Courier New" w:hAnsi="Courier New"/>
          <w:sz w:val="14"/>
          <w:szCs w:val="14"/>
          <w:color w:val="auto"/>
        </w:rPr>
      </w:pPr>
    </w:p>
    <w:p>
      <w:pPr>
        <w:jc w:val="both"/>
        <w:ind w:left="880" w:right="3279" w:hanging="437"/>
        <w:spacing w:after="0" w:line="254"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3"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jc w:val="both"/>
        <w:ind w:left="880" w:right="3279" w:hanging="437"/>
        <w:spacing w:after="0" w:line="254"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jc w:val="both"/>
        <w:ind w:left="880" w:right="3279" w:hanging="437"/>
        <w:spacing w:after="0" w:line="255"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Date:</w:t>
        <w:tab/>
        <w:t>November 8, 2005</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 Roderick R. Baty</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Roderick R. Baty</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39"/>
          </w:cols>
          <w:pgMar w:left="220" w:top="620" w:right="1440" w:bottom="1440" w:gutter="0" w:footer="0" w:header="0"/>
        </w:sectPr>
      </w:pPr>
    </w:p>
    <w:bookmarkStart w:id="28" w:name="page29"/>
    <w:bookmarkEnd w:id="28"/>
    <w:p>
      <w:pPr>
        <w:ind w:left="5660"/>
        <w:spacing w:after="0"/>
        <w:rPr>
          <w:sz w:val="20"/>
          <w:szCs w:val="20"/>
          <w:color w:val="auto"/>
        </w:rPr>
      </w:pPr>
      <w:r>
        <w:rPr>
          <w:rFonts w:ascii="Courier New" w:cs="Courier New" w:eastAsia="Courier New" w:hAnsi="Courier New"/>
          <w:sz w:val="14"/>
          <w:szCs w:val="14"/>
          <w:color w:val="auto"/>
        </w:rPr>
        <w:t>Exhibit 31.2</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CERTIFICATIONS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James H. Dorton, certify that:</w:t>
      </w:r>
    </w:p>
    <w:p>
      <w:pPr>
        <w:spacing w:after="0" w:line="175" w:lineRule="exact"/>
        <w:rPr>
          <w:sz w:val="20"/>
          <w:szCs w:val="20"/>
          <w:color w:val="auto"/>
        </w:rPr>
      </w:pPr>
    </w:p>
    <w:p>
      <w:pPr>
        <w:ind w:left="440" w:hanging="431"/>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NN, Inc.;</w:t>
      </w:r>
    </w:p>
    <w:p>
      <w:pPr>
        <w:spacing w:after="0" w:line="17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Courier New" w:cs="Courier New" w:eastAsia="Courier New" w:hAnsi="Courier New"/>
          <w:sz w:val="14"/>
          <w:szCs w:val="14"/>
          <w:color w:val="auto"/>
        </w:rPr>
      </w:pPr>
    </w:p>
    <w:p>
      <w:pPr>
        <w:jc w:val="both"/>
        <w:ind w:left="880" w:right="3279" w:hanging="437"/>
        <w:spacing w:after="0" w:line="254"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3" w:lineRule="exact"/>
        <w:rPr>
          <w:rFonts w:ascii="Courier New" w:cs="Courier New" w:eastAsia="Courier New" w:hAnsi="Courier New"/>
          <w:sz w:val="14"/>
          <w:szCs w:val="14"/>
          <w:color w:val="auto"/>
        </w:rPr>
      </w:pPr>
    </w:p>
    <w:p>
      <w:pPr>
        <w:jc w:val="both"/>
        <w:ind w:left="880" w:right="3279" w:hanging="437"/>
        <w:spacing w:after="0" w:line="253"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jc w:val="both"/>
        <w:ind w:left="880" w:right="3279" w:hanging="437"/>
        <w:spacing w:after="0" w:line="254"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jc w:val="both"/>
        <w:ind w:left="880" w:right="3279" w:hanging="437"/>
        <w:spacing w:after="0" w:line="255"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620"/>
        <w:spacing w:after="0"/>
        <w:rPr>
          <w:sz w:val="20"/>
          <w:szCs w:val="20"/>
          <w:color w:val="auto"/>
        </w:rPr>
      </w:pPr>
      <w:r>
        <w:rPr>
          <w:rFonts w:ascii="Courier New" w:cs="Courier New" w:eastAsia="Courier New" w:hAnsi="Courier New"/>
          <w:sz w:val="14"/>
          <w:szCs w:val="14"/>
          <w:color w:val="auto"/>
        </w:rPr>
        <w:t>November 8, 2005</w:t>
      </w:r>
    </w:p>
    <w:p>
      <w:pPr>
        <w:spacing w:after="0" w:line="8" w:lineRule="exact"/>
        <w:rPr>
          <w:sz w:val="20"/>
          <w:szCs w:val="20"/>
          <w:color w:val="auto"/>
        </w:rPr>
      </w:pPr>
    </w:p>
    <w:p>
      <w:pPr>
        <w:jc w:val="center"/>
        <w:ind w:right="1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H. Dorton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 Dorton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3">
            <w:col w:w="440" w:space="80"/>
            <w:col w:w="3200" w:space="720"/>
            <w:col w:w="5799"/>
          </w:cols>
          <w:pgMar w:left="220" w:top="620" w:right="1440" w:bottom="1440" w:gutter="0" w:footer="0" w:header="0"/>
          <w:type w:val="continuous"/>
        </w:sectPr>
      </w:pPr>
    </w:p>
    <w:bookmarkStart w:id="29" w:name="page30"/>
    <w:bookmarkEnd w:id="29"/>
    <w:p>
      <w:pPr>
        <w:ind w:left="5660"/>
        <w:spacing w:after="0"/>
        <w:rPr>
          <w:sz w:val="20"/>
          <w:szCs w:val="20"/>
          <w:color w:val="auto"/>
        </w:rPr>
      </w:pPr>
      <w:r>
        <w:rPr>
          <w:rFonts w:ascii="Courier New" w:cs="Courier New" w:eastAsia="Courier New" w:hAnsi="Courier New"/>
          <w:sz w:val="14"/>
          <w:szCs w:val="14"/>
          <w:color w:val="auto"/>
        </w:rPr>
        <w:t>Exhibit 32.1</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CERTIFICATION OF CHIEF EXECUTIVE OFFICER PURSUANT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787"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1360"/>
        <w:spacing w:after="0"/>
        <w:rPr>
          <w:sz w:val="20"/>
          <w:szCs w:val="20"/>
          <w:color w:val="auto"/>
        </w:rPr>
      </w:pPr>
      <w:r>
        <w:rPr>
          <w:rFonts w:ascii="Courier New" w:cs="Courier New" w:eastAsia="Courier New" w:hAnsi="Courier New"/>
          <w:sz w:val="14"/>
          <w:szCs w:val="14"/>
          <w:color w:val="auto"/>
        </w:rPr>
        <w:t>November 8, 2005</w:t>
      </w:r>
    </w:p>
    <w:p>
      <w:pPr>
        <w:spacing w:after="0" w:line="8" w:lineRule="exact"/>
        <w:rPr>
          <w:sz w:val="20"/>
          <w:szCs w:val="20"/>
          <w:color w:val="auto"/>
        </w:rPr>
      </w:pPr>
    </w:p>
    <w:p>
      <w:pPr>
        <w:jc w:val="center"/>
        <w:ind w:right="1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3">
            <w:col w:w="440" w:space="80"/>
            <w:col w:w="2940" w:space="720"/>
            <w:col w:w="6059"/>
          </w:cols>
          <w:pgMar w:left="220" w:top="787" w:right="1440" w:bottom="1440" w:gutter="0" w:footer="0" w:header="0"/>
          <w:type w:val="continuous"/>
        </w:sectPr>
      </w:pPr>
    </w:p>
    <w:p>
      <w:pPr>
        <w:spacing w:after="0" w:line="14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787" w:right="1440" w:bottom="1440" w:gutter="0" w:footer="0" w:header="0"/>
          <w:type w:val="continuous"/>
        </w:sectPr>
      </w:pPr>
    </w:p>
    <w:bookmarkStart w:id="30" w:name="page31"/>
    <w:bookmarkEnd w:id="30"/>
    <w:p>
      <w:pPr>
        <w:ind w:left="5740"/>
        <w:spacing w:after="0"/>
        <w:rPr>
          <w:sz w:val="20"/>
          <w:szCs w:val="20"/>
          <w:color w:val="auto"/>
        </w:rPr>
      </w:pPr>
      <w:r>
        <w:rPr>
          <w:rFonts w:ascii="Courier New" w:cs="Courier New" w:eastAsia="Courier New" w:hAnsi="Courier New"/>
          <w:sz w:val="14"/>
          <w:szCs w:val="14"/>
          <w:color w:val="auto"/>
        </w:rPr>
        <w:t>Exhibit 32.2</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CERTIFICATION OF CHIEF FINANCIAL OFFICER PURSUANT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787"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1540"/>
        <w:spacing w:after="0"/>
        <w:rPr>
          <w:sz w:val="20"/>
          <w:szCs w:val="20"/>
          <w:color w:val="auto"/>
        </w:rPr>
      </w:pPr>
      <w:r>
        <w:rPr>
          <w:rFonts w:ascii="Courier New" w:cs="Courier New" w:eastAsia="Courier New" w:hAnsi="Courier New"/>
          <w:sz w:val="14"/>
          <w:szCs w:val="14"/>
          <w:color w:val="auto"/>
        </w:rPr>
        <w:t>November 8, 2005</w:t>
      </w:r>
    </w:p>
    <w:p>
      <w:pPr>
        <w:spacing w:after="0" w:line="8" w:lineRule="exact"/>
        <w:rPr>
          <w:sz w:val="20"/>
          <w:szCs w:val="20"/>
          <w:color w:val="auto"/>
        </w:rPr>
      </w:pPr>
    </w:p>
    <w:p>
      <w:pPr>
        <w:jc w:val="center"/>
        <w:ind w:right="1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H. Dorton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 Dorton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ectPr>
          <w:pgSz w:w="11900" w:h="16838" w:orient="portrait"/>
          <w:cols w:equalWidth="0" w:num="3">
            <w:col w:w="440" w:space="0"/>
            <w:col w:w="3280" w:space="720"/>
            <w:col w:w="5799"/>
          </w:cols>
          <w:pgMar w:left="220" w:top="787" w:right="1440" w:bottom="1440" w:gutter="0" w:footer="0" w:header="0"/>
          <w:type w:val="continuous"/>
        </w:sectPr>
      </w:pPr>
    </w:p>
    <w:p>
      <w:pPr>
        <w:jc w:val="both"/>
        <w:ind w:right="3279"/>
        <w:spacing w:after="0" w:line="255"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7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upperLetter"/>
      <w:start w:val="40"/>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2019-12-11T23:47:03Z</dcterms:created>
  <dcterms:modified xsi:type="dcterms:W3CDTF">2019-12-11T23:47:03Z</dcterms:modified>
</cp:coreProperties>
</file>