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263" w:lineRule="exact"/>
        <w:rPr>
          <w:sz w:val="24"/>
          <w:szCs w:val="24"/>
          <w:color w:val="auto"/>
        </w:rPr>
      </w:pPr>
    </w:p>
    <w:p>
      <w:pPr>
        <w:jc w:val="center"/>
        <w:ind w:right="2480"/>
        <w:spacing w:after="0"/>
        <w:rPr>
          <w:sz w:val="20"/>
          <w:szCs w:val="20"/>
          <w:color w:val="auto"/>
        </w:rPr>
      </w:pPr>
      <w:r>
        <w:rPr>
          <w:rFonts w:ascii="Arial" w:cs="Arial" w:eastAsia="Arial" w:hAnsi="Arial"/>
          <w:sz w:val="17"/>
          <w:szCs w:val="17"/>
          <w:b w:val="1"/>
          <w:bCs w:val="1"/>
          <w:color w:val="auto"/>
        </w:rPr>
        <w:t>x ANNUAL REPORT PURSUANT TO SECTION 13 OR 15(d) OF THE SECURITIES EXCHANGE ACT OF 1934</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460" w:right="2060" w:hanging="4452"/>
        <w:spacing w:after="0" w:line="532" w:lineRule="auto"/>
        <w:tabs>
          <w:tab w:leader="none" w:pos="22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ind w:left="44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0-23486</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NN,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820" w:type="dxa"/>
        <w:tblCellMar>
          <w:top w:w="0" w:type="dxa"/>
          <w:left w:w="0" w:type="dxa"/>
          <w:bottom w:w="0" w:type="dxa"/>
          <w:right w:w="0" w:type="dxa"/>
        </w:tblCellMar>
      </w:tblPr>
      <w:tr>
        <w:trPr>
          <w:trHeight w:val="220"/>
        </w:trPr>
        <w:tc>
          <w:tcPr>
            <w:tcW w:w="4060" w:type="dxa"/>
            <w:vAlign w:val="bottom"/>
          </w:tcPr>
          <w:p>
            <w:pPr>
              <w:ind w:left="1220"/>
              <w:spacing w:after="0"/>
              <w:rPr>
                <w:sz w:val="20"/>
                <w:szCs w:val="20"/>
                <w:color w:val="auto"/>
              </w:rPr>
            </w:pPr>
            <w:r>
              <w:rPr>
                <w:rFonts w:ascii="Arial" w:cs="Arial" w:eastAsia="Arial" w:hAnsi="Arial"/>
                <w:sz w:val="18"/>
                <w:szCs w:val="18"/>
                <w:b w:val="1"/>
                <w:bCs w:val="1"/>
                <w:color w:val="auto"/>
              </w:rPr>
              <w:t>Delaware</w:t>
            </w:r>
          </w:p>
        </w:tc>
        <w:tc>
          <w:tcPr>
            <w:tcW w:w="3360" w:type="dxa"/>
            <w:vAlign w:val="bottom"/>
          </w:tcPr>
          <w:p>
            <w:pPr>
              <w:jc w:val="right"/>
              <w:ind w:right="75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(State or other jurisdiction of incorporation or</w:t>
            </w:r>
          </w:p>
        </w:tc>
        <w:tc>
          <w:tcPr>
            <w:tcW w:w="3360" w:type="dxa"/>
            <w:vAlign w:val="bottom"/>
            <w:vMerge w:val="restart"/>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4060" w:type="dxa"/>
            <w:vAlign w:val="bottom"/>
            <w:vMerge w:val="restart"/>
          </w:tcPr>
          <w:p>
            <w:pPr>
              <w:jc w:val="center"/>
              <w:ind w:right="733"/>
              <w:spacing w:after="0"/>
              <w:rPr>
                <w:sz w:val="20"/>
                <w:szCs w:val="20"/>
                <w:color w:val="auto"/>
              </w:rPr>
            </w:pPr>
            <w:r>
              <w:rPr>
                <w:rFonts w:ascii="Arial" w:cs="Arial" w:eastAsia="Arial" w:hAnsi="Arial"/>
                <w:sz w:val="18"/>
                <w:szCs w:val="18"/>
                <w:color w:val="auto"/>
                <w:w w:val="92"/>
              </w:rPr>
              <w:t>organization)</w:t>
            </w: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6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4060" w:type="dxa"/>
            <w:vAlign w:val="bottom"/>
          </w:tcPr>
          <w:p>
            <w:pPr>
              <w:jc w:val="center"/>
              <w:ind w:right="733"/>
              <w:spacing w:after="0"/>
              <w:rPr>
                <w:sz w:val="20"/>
                <w:szCs w:val="20"/>
                <w:color w:val="auto"/>
              </w:rPr>
            </w:pPr>
            <w:r>
              <w:rPr>
                <w:rFonts w:ascii="Arial" w:cs="Arial" w:eastAsia="Arial" w:hAnsi="Arial"/>
                <w:sz w:val="16"/>
                <w:szCs w:val="16"/>
                <w:b w:val="1"/>
                <w:bCs w:val="1"/>
                <w:color w:val="auto"/>
                <w:w w:val="92"/>
              </w:rPr>
              <w:t>2000 Waters Edge Drive</w:t>
            </w:r>
          </w:p>
        </w:tc>
        <w:tc>
          <w:tcPr>
            <w:tcW w:w="3360" w:type="dxa"/>
            <w:vAlign w:val="bottom"/>
            <w:vMerge w:val="restart"/>
          </w:tcPr>
          <w:p>
            <w:pPr>
              <w:jc w:val="right"/>
              <w:ind w:right="101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02"/>
        </w:trPr>
        <w:tc>
          <w:tcPr>
            <w:tcW w:w="4060" w:type="dxa"/>
            <w:vAlign w:val="bottom"/>
          </w:tcPr>
          <w:p>
            <w:pPr>
              <w:jc w:val="center"/>
              <w:ind w:right="733"/>
              <w:spacing w:after="0"/>
              <w:rPr>
                <w:sz w:val="20"/>
                <w:szCs w:val="20"/>
                <w:color w:val="auto"/>
              </w:rPr>
            </w:pPr>
            <w:r>
              <w:rPr>
                <w:rFonts w:ascii="Arial" w:cs="Arial" w:eastAsia="Arial" w:hAnsi="Arial"/>
                <w:sz w:val="16"/>
                <w:szCs w:val="16"/>
                <w:b w:val="1"/>
                <w:bCs w:val="1"/>
                <w:color w:val="auto"/>
                <w:w w:val="87"/>
              </w:rPr>
              <w:t>Johnson City, Tennessee</w:t>
            </w: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jc w:val="center"/>
              <w:ind w:right="733"/>
              <w:spacing w:after="0"/>
              <w:rPr>
                <w:sz w:val="20"/>
                <w:szCs w:val="20"/>
                <w:color w:val="auto"/>
              </w:rPr>
            </w:pPr>
            <w:r>
              <w:rPr>
                <w:rFonts w:ascii="Arial" w:cs="Arial" w:eastAsia="Arial" w:hAnsi="Arial"/>
                <w:sz w:val="18"/>
                <w:szCs w:val="18"/>
                <w:color w:val="auto"/>
                <w:w w:val="92"/>
              </w:rPr>
              <w:t>(Address of principal executive offices)</w:t>
            </w:r>
          </w:p>
        </w:tc>
        <w:tc>
          <w:tcPr>
            <w:tcW w:w="3360" w:type="dxa"/>
            <w:vAlign w:val="bottom"/>
          </w:tcPr>
          <w:p>
            <w:pPr>
              <w:jc w:val="center"/>
              <w:ind w:left="71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(423) 743-9151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40" w:type="dxa"/>
            <w:vAlign w:val="bottom"/>
            <w:gridSpan w:val="2"/>
          </w:tcPr>
          <w:p>
            <w:pPr>
              <w:jc w:val="center"/>
              <w:ind w:right="1120"/>
              <w:spacing w:after="0"/>
              <w:rPr>
                <w:sz w:val="20"/>
                <w:szCs w:val="20"/>
                <w:color w:val="auto"/>
              </w:rPr>
            </w:pPr>
            <w:r>
              <w:rPr>
                <w:rFonts w:ascii="Arial" w:cs="Arial" w:eastAsia="Arial" w:hAnsi="Arial"/>
                <w:sz w:val="18"/>
                <w:szCs w:val="18"/>
                <w:color w:val="auto"/>
                <w:w w:val="96"/>
              </w:rPr>
              <w:t>Title of</w:t>
            </w:r>
          </w:p>
        </w:tc>
        <w:tc>
          <w:tcPr>
            <w:tcW w:w="4260" w:type="dxa"/>
            <w:vAlign w:val="bottom"/>
            <w:gridSpan w:val="3"/>
          </w:tcPr>
          <w:p>
            <w:pPr>
              <w:jc w:val="center"/>
              <w:ind w:left="1690"/>
              <w:spacing w:after="0"/>
              <w:rPr>
                <w:sz w:val="20"/>
                <w:szCs w:val="20"/>
                <w:color w:val="auto"/>
              </w:rPr>
            </w:pPr>
            <w:r>
              <w:rPr>
                <w:rFonts w:ascii="Arial" w:cs="Arial" w:eastAsia="Arial" w:hAnsi="Arial"/>
                <w:sz w:val="18"/>
                <w:szCs w:val="18"/>
                <w:color w:val="auto"/>
                <w:w w:val="88"/>
              </w:rPr>
              <w:t>Name of each exchange</w:t>
            </w:r>
          </w:p>
        </w:tc>
      </w:tr>
      <w:tr>
        <w:trPr>
          <w:trHeight w:val="184"/>
        </w:trPr>
        <w:tc>
          <w:tcPr>
            <w:tcW w:w="9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20" w:type="dxa"/>
            <w:vAlign w:val="bottom"/>
          </w:tcPr>
          <w:p>
            <w:pPr>
              <w:jc w:val="center"/>
              <w:spacing w:after="0" w:line="184" w:lineRule="exact"/>
              <w:rPr>
                <w:sz w:val="20"/>
                <w:szCs w:val="20"/>
                <w:color w:val="auto"/>
              </w:rPr>
            </w:pPr>
            <w:r>
              <w:rPr>
                <w:rFonts w:ascii="Arial" w:cs="Arial" w:eastAsia="Arial" w:hAnsi="Arial"/>
                <w:sz w:val="18"/>
                <w:szCs w:val="18"/>
                <w:color w:val="auto"/>
                <w:w w:val="84"/>
              </w:rPr>
              <w:t>each class</w:t>
            </w:r>
          </w:p>
        </w:tc>
        <w:tc>
          <w:tcPr>
            <w:tcW w:w="1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60" w:type="dxa"/>
            <w:vAlign w:val="bottom"/>
            <w:gridSpan w:val="2"/>
          </w:tcPr>
          <w:p>
            <w:pPr>
              <w:jc w:val="center"/>
              <w:ind w:right="580"/>
              <w:spacing w:after="0" w:line="184" w:lineRule="exact"/>
              <w:rPr>
                <w:sz w:val="20"/>
                <w:szCs w:val="20"/>
                <w:color w:val="auto"/>
              </w:rPr>
            </w:pPr>
            <w:r>
              <w:rPr>
                <w:rFonts w:ascii="Arial" w:cs="Arial" w:eastAsia="Arial" w:hAnsi="Arial"/>
                <w:sz w:val="18"/>
                <w:szCs w:val="18"/>
                <w:color w:val="auto"/>
                <w:w w:val="88"/>
              </w:rPr>
              <w:t>on which registered</w:t>
            </w: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7"/>
        </w:trPr>
        <w:tc>
          <w:tcPr>
            <w:tcW w:w="980" w:type="dxa"/>
            <w:vAlign w:val="bottom"/>
          </w:tcPr>
          <w:p>
            <w:pPr>
              <w:spacing w:after="0"/>
              <w:rPr>
                <w:sz w:val="18"/>
                <w:szCs w:val="18"/>
                <w:color w:val="auto"/>
              </w:rPr>
            </w:pPr>
          </w:p>
        </w:tc>
        <w:tc>
          <w:tcPr>
            <w:tcW w:w="394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0"/>
              </w:rPr>
              <w:t>Common Stock, par value $.01</w:t>
            </w:r>
          </w:p>
        </w:tc>
        <w:tc>
          <w:tcPr>
            <w:tcW w:w="4260" w:type="dxa"/>
            <w:vAlign w:val="bottom"/>
            <w:gridSpan w:val="3"/>
          </w:tcPr>
          <w:p>
            <w:pPr>
              <w:jc w:val="center"/>
              <w:ind w:left="1690"/>
              <w:spacing w:after="0"/>
              <w:rPr>
                <w:sz w:val="20"/>
                <w:szCs w:val="20"/>
                <w:color w:val="auto"/>
              </w:rPr>
            </w:pPr>
            <w:r>
              <w:rPr>
                <w:rFonts w:ascii="Arial" w:cs="Arial" w:eastAsia="Arial" w:hAnsi="Arial"/>
                <w:sz w:val="18"/>
                <w:szCs w:val="18"/>
                <w:color w:val="auto"/>
                <w:w w:val="95"/>
              </w:rPr>
              <w:t>The NASDAQ Stock Market LLC</w:t>
            </w:r>
          </w:p>
        </w:tc>
      </w:tr>
      <w:tr>
        <w:trPr>
          <w:trHeight w:val="441"/>
        </w:trPr>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100" w:type="dxa"/>
            <w:vAlign w:val="bottom"/>
            <w:gridSpan w:val="5"/>
          </w:tcPr>
          <w:p>
            <w:pPr>
              <w:jc w:val="center"/>
              <w:ind w:right="840"/>
              <w:spacing w:after="0"/>
              <w:rPr>
                <w:sz w:val="20"/>
                <w:szCs w:val="20"/>
                <w:color w:val="auto"/>
              </w:rPr>
            </w:pPr>
            <w:r>
              <w:rPr>
                <w:rFonts w:ascii="Arial" w:cs="Arial" w:eastAsia="Arial" w:hAnsi="Arial"/>
                <w:sz w:val="18"/>
                <w:szCs w:val="18"/>
                <w:color w:val="auto"/>
                <w:w w:val="90"/>
              </w:rPr>
              <w:t>Securities registered pursuant to Section 12(g) of the Act:</w:t>
            </w:r>
          </w:p>
        </w:tc>
      </w:tr>
      <w:tr>
        <w:trPr>
          <w:trHeight w:val="220"/>
        </w:trPr>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60" w:type="dxa"/>
            <w:vAlign w:val="bottom"/>
            <w:gridSpan w:val="3"/>
          </w:tcPr>
          <w:p>
            <w:pPr>
              <w:jc w:val="center"/>
              <w:ind w:right="2660"/>
              <w:spacing w:after="0"/>
              <w:rPr>
                <w:sz w:val="20"/>
                <w:szCs w:val="20"/>
                <w:color w:val="auto"/>
              </w:rPr>
            </w:pPr>
            <w:r>
              <w:rPr>
                <w:rFonts w:ascii="Arial" w:cs="Arial" w:eastAsia="Arial" w:hAnsi="Arial"/>
                <w:sz w:val="18"/>
                <w:szCs w:val="18"/>
                <w:b w:val="1"/>
                <w:bCs w:val="1"/>
                <w:color w:val="auto"/>
                <w:w w:val="88"/>
              </w:rPr>
              <w:t>None</w:t>
            </w:r>
          </w:p>
        </w:tc>
      </w:tr>
      <w:tr>
        <w:trPr>
          <w:trHeight w:val="230"/>
        </w:trPr>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60" w:type="dxa"/>
            <w:vAlign w:val="bottom"/>
            <w:gridSpan w:val="3"/>
          </w:tcPr>
          <w:p>
            <w:pPr>
              <w:jc w:val="center"/>
              <w:ind w:right="2660"/>
              <w:spacing w:after="0"/>
              <w:rPr>
                <w:sz w:val="20"/>
                <w:szCs w:val="20"/>
                <w:color w:val="auto"/>
              </w:rPr>
            </w:pPr>
            <w:r>
              <w:rPr>
                <w:rFonts w:ascii="Arial" w:cs="Arial" w:eastAsia="Arial" w:hAnsi="Arial"/>
                <w:sz w:val="18"/>
                <w:szCs w:val="18"/>
                <w:color w:val="auto"/>
                <w:w w:val="92"/>
              </w:rPr>
              <w:t>(Title of class)</w:t>
            </w:r>
          </w:p>
        </w:tc>
      </w:tr>
      <w:tr>
        <w:trPr>
          <w:trHeight w:val="412"/>
        </w:trPr>
        <w:tc>
          <w:tcPr>
            <w:tcW w:w="9180" w:type="dxa"/>
            <w:vAlign w:val="bottom"/>
            <w:gridSpan w:val="7"/>
          </w:tcPr>
          <w:p>
            <w:pPr>
              <w:spacing w:after="0"/>
              <w:rPr>
                <w:sz w:val="20"/>
                <w:szCs w:val="20"/>
                <w:color w:val="auto"/>
              </w:rPr>
            </w:pPr>
            <w:r>
              <w:rPr>
                <w:rFonts w:ascii="Arial" w:cs="Arial" w:eastAsia="Arial" w:hAnsi="Arial"/>
                <w:sz w:val="18"/>
                <w:szCs w:val="18"/>
                <w:color w:val="auto"/>
                <w:w w:val="98"/>
              </w:rPr>
              <w:t>Indicate by check mark if the registrant is a well-known seasoned issuer, as defined in Rule 405 of the Securities Act.</w:t>
            </w:r>
          </w:p>
        </w:tc>
      </w:tr>
      <w:tr>
        <w:trPr>
          <w:trHeight w:val="283"/>
        </w:trPr>
        <w:tc>
          <w:tcPr>
            <w:tcW w:w="9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940" w:type="dxa"/>
            <w:vAlign w:val="bottom"/>
            <w:gridSpan w:val="3"/>
          </w:tcPr>
          <w:p>
            <w:pPr>
              <w:ind w:left="480"/>
              <w:spacing w:after="0"/>
              <w:rPr>
                <w:sz w:val="20"/>
                <w:szCs w:val="20"/>
                <w:color w:val="auto"/>
              </w:rPr>
            </w:pPr>
            <w:r>
              <w:rPr>
                <w:rFonts w:ascii="Arial" w:cs="Arial" w:eastAsia="Arial" w:hAnsi="Arial"/>
                <w:sz w:val="18"/>
                <w:szCs w:val="18"/>
                <w:color w:val="auto"/>
              </w:rPr>
              <w:t>No x</w:t>
            </w: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92"/>
        </w:trPr>
        <w:tc>
          <w:tcPr>
            <w:tcW w:w="9180" w:type="dxa"/>
            <w:vAlign w:val="bottom"/>
            <w:gridSpan w:val="7"/>
          </w:tcPr>
          <w:p>
            <w:pPr>
              <w:spacing w:after="0"/>
              <w:rPr>
                <w:sz w:val="20"/>
                <w:szCs w:val="20"/>
                <w:color w:val="auto"/>
              </w:rPr>
            </w:pPr>
            <w:r>
              <w:rPr>
                <w:rFonts w:ascii="Arial" w:cs="Arial" w:eastAsia="Arial" w:hAnsi="Arial"/>
                <w:sz w:val="18"/>
                <w:szCs w:val="18"/>
                <w:color w:val="auto"/>
                <w:w w:val="97"/>
              </w:rPr>
              <w:t>Indicate by check mark if the registrant is not required to file reports pursuant to Section 13 or Section 15(d) of the Act.</w:t>
            </w:r>
          </w:p>
        </w:tc>
      </w:tr>
      <w:tr>
        <w:trPr>
          <w:trHeight w:val="283"/>
        </w:trPr>
        <w:tc>
          <w:tcPr>
            <w:tcW w:w="9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940" w:type="dxa"/>
            <w:vAlign w:val="bottom"/>
            <w:gridSpan w:val="3"/>
          </w:tcPr>
          <w:p>
            <w:pPr>
              <w:ind w:left="480"/>
              <w:spacing w:after="0"/>
              <w:rPr>
                <w:sz w:val="20"/>
                <w:szCs w:val="20"/>
                <w:color w:val="auto"/>
              </w:rPr>
            </w:pPr>
            <w:r>
              <w:rPr>
                <w:rFonts w:ascii="Arial" w:cs="Arial" w:eastAsia="Arial" w:hAnsi="Arial"/>
                <w:sz w:val="18"/>
                <w:szCs w:val="18"/>
                <w:color w:val="auto"/>
              </w:rPr>
              <w:t>No x</w:t>
            </w: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13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41" w:lineRule="exact"/>
        <w:rPr>
          <w:sz w:val="24"/>
          <w:szCs w:val="24"/>
          <w:color w:val="auto"/>
        </w:rPr>
      </w:pPr>
    </w:p>
    <w:p>
      <w:pPr>
        <w:jc w:val="both"/>
        <w:spacing w:after="0" w:line="24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x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 not check if a smaller reporting company)</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8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2008, based on the closing price on the NASDAQ Stock Market LLC on that date was approximately $222,308,972.</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March 31, 2009 was 16,267,924.</w:t>
      </w:r>
    </w:p>
    <w:p>
      <w:pPr>
        <w:sectPr>
          <w:pgSz w:w="11900" w:h="16838" w:orient="portrait"/>
          <w:cols w:equalWidth="0" w:num="1">
            <w:col w:w="11420"/>
          </w:cols>
          <w:pgMar w:left="240" w:top="544" w:right="239" w:bottom="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Portions of the Proxy Statement with respect to the 2009 Annual Meeting of Stockholders are incorporated by reference in Part III, Items 10 to 14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p>
      <w:pPr>
        <w:jc w:val="both"/>
        <w:spacing w:after="0" w:line="301" w:lineRule="auto"/>
        <w:rPr>
          <w:sz w:val="20"/>
          <w:szCs w:val="20"/>
          <w:color w:val="auto"/>
        </w:rPr>
      </w:pPr>
      <w:r>
        <w:rPr>
          <w:rFonts w:ascii="Arial" w:cs="Arial" w:eastAsia="Arial" w:hAnsi="Arial"/>
          <w:sz w:val="19"/>
          <w:szCs w:val="19"/>
          <w:b w:val="1"/>
          <w:bCs w:val="1"/>
          <w:color w:val="auto"/>
        </w:rPr>
        <w:t>EXPLANATORY NOTE</w:t>
      </w:r>
      <w:r>
        <w:rPr>
          <w:rFonts w:ascii="Arial" w:cs="Arial" w:eastAsia="Arial" w:hAnsi="Arial"/>
          <w:sz w:val="19"/>
          <w:szCs w:val="19"/>
          <w:color w:val="auto"/>
        </w:rPr>
        <w:t>: This amendment to registrant's Annual Report on Form 10-K for the year ended December 31, 2008 is</w:t>
      </w:r>
      <w:r>
        <w:rPr>
          <w:rFonts w:ascii="Arial" w:cs="Arial" w:eastAsia="Arial" w:hAnsi="Arial"/>
          <w:sz w:val="19"/>
          <w:szCs w:val="19"/>
          <w:b w:val="1"/>
          <w:bCs w:val="1"/>
          <w:color w:val="auto"/>
        </w:rPr>
        <w:t xml:space="preserve"> </w:t>
      </w:r>
      <w:r>
        <w:rPr>
          <w:rFonts w:ascii="Arial" w:cs="Arial" w:eastAsia="Arial" w:hAnsi="Arial"/>
          <w:sz w:val="19"/>
          <w:szCs w:val="19"/>
          <w:color w:val="auto"/>
        </w:rPr>
        <w:t>being filed to include the "conformed" signature of PriceWaterhouseCoopers to its report and its consent, both of which were dated March 31, 2009, which conformed signatures were inadvertently omitted from the original filing on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2649220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04" w:right="319" w:bottom="1440" w:gutter="0" w:footer="0" w:header="0"/>
        </w:sectPr>
      </w:pPr>
    </w:p>
    <w:bookmarkStart w:id="3" w:name="page4"/>
    <w:bookmarkEnd w:id="3"/>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45"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 xml:space="preserve">In our opinion, the accompanying consolidated balance sheets, and the related consolidated statements of income (loss) and comprehensive income (loss), of changes in stockholders' equity and of cash flows present fairly, in all material respects, the financial position NN, Inc. and its subsidiaries at December 31, 2008 and December 31, 2007, and the results of their operations and their cash flows for each of the three years in the period ended December 31, 2008 in conformity with accounting principles generally accepted in the United States of America. Also in our opinion, the Company maintained, in all material respects, effective internal control over financial reporting as of December 31, 2008, based on criteria established in </w:t>
      </w:r>
      <w:r>
        <w:rPr>
          <w:rFonts w:ascii="Arial" w:cs="Arial" w:eastAsia="Arial" w:hAnsi="Arial"/>
          <w:sz w:val="19"/>
          <w:szCs w:val="19"/>
          <w:i w:val="1"/>
          <w:iCs w:val="1"/>
          <w:color w:val="auto"/>
        </w:rPr>
        <w:t>Internal Control -</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Integrated Framework </w:t>
      </w:r>
      <w:r>
        <w:rPr>
          <w:rFonts w:ascii="Arial" w:cs="Arial" w:eastAsia="Arial" w:hAnsi="Arial"/>
          <w:sz w:val="19"/>
          <w:szCs w:val="19"/>
          <w:color w:val="auto"/>
        </w:rPr>
        <w:t>issued by the Committee of Sponsoring Organizations of the Treadway Commission (COSO).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32"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As discussed in Note 8 to the consolidated financial statements, the Company changed the manner in which it accounts for defined benefit plans effective December 31, 2006. As discussed in Note 13 to the consolidated financial statements, the Company changed the manner in which it accounts for uncertain tax positions as of January 1, 2007.</w:t>
      </w:r>
    </w:p>
    <w:p>
      <w:pPr>
        <w:spacing w:after="0" w:line="194"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14, 2009</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Roderick R. Baty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Chairman, Chief Executive Officer,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14, 2009</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 Corporate Development and</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14, 2009</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INDEX TO EXHIBITS</w:t>
      </w:r>
    </w:p>
    <w:p>
      <w:pPr>
        <w:spacing w:after="0" w:line="19" w:lineRule="exact"/>
        <w:rPr>
          <w:sz w:val="20"/>
          <w:szCs w:val="20"/>
          <w:color w:val="auto"/>
        </w:rPr>
      </w:pPr>
    </w:p>
    <w:p>
      <w:pPr>
        <w:ind w:left="960" w:hanging="314"/>
        <w:spacing w:after="0" w:line="259" w:lineRule="auto"/>
        <w:rPr>
          <w:sz w:val="20"/>
          <w:szCs w:val="20"/>
          <w:color w:val="auto"/>
        </w:rPr>
      </w:pPr>
      <w:r>
        <w:rPr>
          <w:rFonts w:ascii="Arial" w:cs="Arial" w:eastAsia="Arial" w:hAnsi="Arial"/>
          <w:sz w:val="18"/>
          <w:szCs w:val="18"/>
          <w:color w:val="auto"/>
        </w:rPr>
        <w:t>2.1 Asset Purchase Agreement dated April 14, 2003 among SKF Holding Maatschappij Holland B.V., SKF B.V., NN, Inc. and NN Netherlands B.V. (incorporated by reference to Exhibit 2.1 of Form 8-K filed on May 16, 2003)</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3.1Restated Certificate of Incorporation of the Company (incorporated by reference to Exhibit 3.1 of the Company’s Registration Statement No.</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333-89950 on Form S-3 filed June 6, 2002)</w:t>
      </w:r>
    </w:p>
    <w:p>
      <w:pPr>
        <w:spacing w:after="0" w:line="211" w:lineRule="exact"/>
        <w:rPr>
          <w:sz w:val="20"/>
          <w:szCs w:val="20"/>
          <w:color w:val="auto"/>
        </w:rPr>
      </w:pPr>
    </w:p>
    <w:p>
      <w:pPr>
        <w:ind w:left="1080" w:right="380" w:hanging="314"/>
        <w:spacing w:after="0" w:line="277" w:lineRule="auto"/>
        <w:rPr>
          <w:sz w:val="20"/>
          <w:szCs w:val="20"/>
          <w:color w:val="auto"/>
        </w:rPr>
      </w:pPr>
      <w:r>
        <w:rPr>
          <w:rFonts w:ascii="Arial" w:cs="Arial" w:eastAsia="Arial" w:hAnsi="Arial"/>
          <w:sz w:val="18"/>
          <w:szCs w:val="18"/>
          <w:color w:val="auto"/>
        </w:rPr>
        <w:t>3.2 Restated By-Laws of the Company (incorporated by reference to Exchibit 3.2 of the Company's Registration Statement No. 333-89950 on Form S-3 filed June 6, 2002)</w:t>
      </w:r>
    </w:p>
    <w:p>
      <w:pPr>
        <w:spacing w:after="0" w:line="170" w:lineRule="exact"/>
        <w:rPr>
          <w:sz w:val="20"/>
          <w:szCs w:val="20"/>
          <w:color w:val="auto"/>
        </w:rPr>
      </w:pPr>
    </w:p>
    <w:p>
      <w:pPr>
        <w:ind w:left="1080" w:right="380" w:hanging="314"/>
        <w:spacing w:after="0" w:line="308" w:lineRule="auto"/>
        <w:rPr>
          <w:sz w:val="20"/>
          <w:szCs w:val="20"/>
          <w:color w:val="auto"/>
        </w:rPr>
      </w:pPr>
      <w:r>
        <w:rPr>
          <w:rFonts w:ascii="Arial" w:cs="Arial" w:eastAsia="Arial" w:hAnsi="Arial"/>
          <w:sz w:val="17"/>
          <w:szCs w:val="17"/>
          <w:color w:val="auto"/>
        </w:rPr>
        <w:t>3.3 Form of Certificate of Designation of Series A Junior Participating Preferred Stock on NN, Inc., as filed with the Secretary of the State of Delaware on December 15, 2008 (incorporated by reference to the Company's Form 8-K filed December 18, 2008)</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 Amendments to the Restated By-Laws of NN, Inc. (incorporated by reference to the Company's Form 8-K filed December 18, 2008)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0540" w:type="dxa"/>
            <w:vAlign w:val="bottom"/>
          </w:tcPr>
          <w:p>
            <w:pPr>
              <w:ind w:left="140"/>
              <w:spacing w:after="0"/>
              <w:rPr>
                <w:sz w:val="20"/>
                <w:szCs w:val="20"/>
                <w:color w:val="auto"/>
              </w:rPr>
            </w:pPr>
            <w:r>
              <w:rPr>
                <w:rFonts w:ascii="Arial" w:cs="Arial" w:eastAsia="Arial" w:hAnsi="Arial"/>
                <w:sz w:val="18"/>
                <w:szCs w:val="18"/>
                <w:color w:val="auto"/>
                <w:w w:val="91"/>
              </w:rPr>
              <w:t>The specimen stock certificate representing the Company’s Common Stock, par value $0.01 per share (incorporated by reference to Exhibit 4.1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540" w:type="dxa"/>
            <w:vAlign w:val="bottom"/>
          </w:tcPr>
          <w:p>
            <w:pPr>
              <w:ind w:left="140"/>
              <w:spacing w:after="0"/>
              <w:rPr>
                <w:sz w:val="20"/>
                <w:szCs w:val="20"/>
                <w:color w:val="auto"/>
              </w:rPr>
            </w:pPr>
            <w:r>
              <w:rPr>
                <w:rFonts w:ascii="Arial" w:cs="Arial" w:eastAsia="Arial" w:hAnsi="Arial"/>
                <w:sz w:val="18"/>
                <w:szCs w:val="18"/>
                <w:color w:val="auto"/>
              </w:rPr>
              <w:t>of the Company’s Registration Statement No. 333-89950 on Form S-3 filed June 6, 2002)</w:t>
            </w:r>
          </w:p>
        </w:tc>
        <w:tc>
          <w:tcPr>
            <w:tcW w:w="0" w:type="dxa"/>
            <w:vAlign w:val="bottom"/>
          </w:tcPr>
          <w:p>
            <w:pPr>
              <w:spacing w:after="0"/>
              <w:rPr>
                <w:sz w:val="1"/>
                <w:szCs w:val="1"/>
                <w:color w:val="auto"/>
              </w:rPr>
            </w:pPr>
          </w:p>
        </w:tc>
      </w:tr>
      <w:tr>
        <w:trPr>
          <w:trHeight w:val="445"/>
        </w:trPr>
        <w:tc>
          <w:tcPr>
            <w:tcW w:w="11420" w:type="dxa"/>
            <w:vAlign w:val="bottom"/>
            <w:gridSpan w:val="2"/>
          </w:tcPr>
          <w:p>
            <w:pPr>
              <w:ind w:left="820"/>
              <w:spacing w:after="0"/>
              <w:rPr>
                <w:sz w:val="20"/>
                <w:szCs w:val="20"/>
                <w:color w:val="auto"/>
              </w:rPr>
            </w:pPr>
            <w:r>
              <w:rPr>
                <w:rFonts w:ascii="Arial" w:cs="Arial" w:eastAsia="Arial" w:hAnsi="Arial"/>
                <w:sz w:val="18"/>
                <w:szCs w:val="18"/>
                <w:color w:val="auto"/>
              </w:rPr>
              <w:t>4.2Article IV, Article V (Sections 3 through 6), Article VI (Section 2) and Article VII (Sections 1 and 3) of the Restated Certificate of</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160"/>
              <w:spacing w:after="0"/>
              <w:rPr>
                <w:sz w:val="20"/>
                <w:szCs w:val="20"/>
                <w:color w:val="auto"/>
              </w:rPr>
            </w:pPr>
            <w:r>
              <w:rPr>
                <w:rFonts w:ascii="Arial" w:cs="Arial" w:eastAsia="Arial" w:hAnsi="Arial"/>
                <w:sz w:val="18"/>
                <w:szCs w:val="18"/>
                <w:color w:val="auto"/>
              </w:rPr>
              <w:t>Incorporation of the Company (included in Exhibit 3.1)</w:t>
            </w:r>
          </w:p>
        </w:tc>
        <w:tc>
          <w:tcPr>
            <w:tcW w:w="0" w:type="dxa"/>
            <w:vAlign w:val="bottom"/>
          </w:tcPr>
          <w:p>
            <w:pPr>
              <w:spacing w:after="0"/>
              <w:rPr>
                <w:sz w:val="1"/>
                <w:szCs w:val="1"/>
                <w:color w:val="auto"/>
              </w:rPr>
            </w:pPr>
          </w:p>
        </w:tc>
      </w:tr>
      <w:tr>
        <w:trPr>
          <w:trHeight w:val="459"/>
        </w:trPr>
        <w:tc>
          <w:tcPr>
            <w:tcW w:w="880" w:type="dxa"/>
            <w:vAlign w:val="bottom"/>
            <w:vMerge w:val="restart"/>
          </w:tcPr>
          <w:p>
            <w:pPr>
              <w:spacing w:after="0"/>
              <w:rPr>
                <w:sz w:val="20"/>
                <w:szCs w:val="20"/>
                <w:color w:val="auto"/>
              </w:rPr>
            </w:pPr>
            <w:r>
              <w:rPr>
                <w:rFonts w:ascii="Arial" w:cs="Arial" w:eastAsia="Arial" w:hAnsi="Arial"/>
                <w:sz w:val="18"/>
                <w:szCs w:val="18"/>
                <w:color w:val="auto"/>
              </w:rPr>
              <w:t>4.3</w:t>
            </w:r>
          </w:p>
        </w:tc>
        <w:tc>
          <w:tcPr>
            <w:tcW w:w="10540" w:type="dxa"/>
            <w:vAlign w:val="bottom"/>
          </w:tcPr>
          <w:p>
            <w:pPr>
              <w:ind w:left="100"/>
              <w:spacing w:after="0"/>
              <w:rPr>
                <w:sz w:val="20"/>
                <w:szCs w:val="20"/>
                <w:color w:val="auto"/>
              </w:rPr>
            </w:pPr>
            <w:r>
              <w:rPr>
                <w:rFonts w:ascii="Arial" w:cs="Arial" w:eastAsia="Arial" w:hAnsi="Arial"/>
                <w:sz w:val="18"/>
                <w:szCs w:val="18"/>
                <w:color w:val="auto"/>
                <w:w w:val="94"/>
              </w:rPr>
              <w:t>Article II (Sections 7 and 12), Article III (Sections 2 and 15) and Article VI of the Restated By-Laws of the Company (included in Exhibit 3.2)</w:t>
            </w: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10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420" w:type="dxa"/>
            <w:vAlign w:val="bottom"/>
            <w:gridSpan w:val="2"/>
          </w:tcPr>
          <w:p>
            <w:pPr>
              <w:ind w:left="660"/>
              <w:spacing w:after="0"/>
              <w:rPr>
                <w:sz w:val="20"/>
                <w:szCs w:val="20"/>
                <w:color w:val="auto"/>
              </w:rPr>
            </w:pPr>
            <w:r>
              <w:rPr>
                <w:rFonts w:ascii="Arial" w:cs="Arial" w:eastAsia="Arial" w:hAnsi="Arial"/>
                <w:sz w:val="18"/>
                <w:szCs w:val="18"/>
                <w:color w:val="auto"/>
                <w:w w:val="93"/>
              </w:rPr>
              <w:t>4.4 Rights Agreement, dated as of December 16, 2008, by and between NN, Inc. and Computershare Trust Company, N.A., including the form of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w w:val="95"/>
              </w:rPr>
              <w:t>Certificate of Designation, the Form of Right, Certificate and the Summary of Rights to Purchase attached thereto as Exhibits A, B and C,</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rPr>
              <w:t>respectively (incorporated by reference to the Company's Form 8-K filed December 18, 2008)</w:t>
            </w:r>
          </w:p>
        </w:tc>
        <w:tc>
          <w:tcPr>
            <w:tcW w:w="0" w:type="dxa"/>
            <w:vAlign w:val="bottom"/>
          </w:tcPr>
          <w:p>
            <w:pPr>
              <w:spacing w:after="0"/>
              <w:rPr>
                <w:sz w:val="1"/>
                <w:szCs w:val="1"/>
                <w:color w:val="auto"/>
              </w:rPr>
            </w:pPr>
          </w:p>
        </w:tc>
      </w:tr>
      <w:tr>
        <w:trPr>
          <w:trHeight w:val="445"/>
        </w:trPr>
        <w:tc>
          <w:tcPr>
            <w:tcW w:w="880" w:type="dxa"/>
            <w:vAlign w:val="bottom"/>
          </w:tcPr>
          <w:p>
            <w:pPr>
              <w:ind w:left="540"/>
              <w:spacing w:after="0"/>
              <w:rPr>
                <w:sz w:val="20"/>
                <w:szCs w:val="20"/>
                <w:color w:val="auto"/>
              </w:rPr>
            </w:pPr>
            <w:r>
              <w:rPr>
                <w:rFonts w:ascii="Arial" w:cs="Arial" w:eastAsia="Arial" w:hAnsi="Arial"/>
                <w:sz w:val="18"/>
                <w:szCs w:val="18"/>
                <w:color w:val="auto"/>
                <w:w w:val="91"/>
              </w:rPr>
              <w:t>10.1</w:t>
            </w:r>
          </w:p>
        </w:tc>
        <w:tc>
          <w:tcPr>
            <w:tcW w:w="10540" w:type="dxa"/>
            <w:vAlign w:val="bottom"/>
          </w:tcPr>
          <w:p>
            <w:pPr>
              <w:ind w:left="60"/>
              <w:spacing w:after="0"/>
              <w:rPr>
                <w:sz w:val="20"/>
                <w:szCs w:val="20"/>
                <w:color w:val="auto"/>
              </w:rPr>
            </w:pPr>
            <w:r>
              <w:rPr>
                <w:rFonts w:ascii="Arial" w:cs="Arial" w:eastAsia="Arial" w:hAnsi="Arial"/>
                <w:sz w:val="18"/>
                <w:szCs w:val="18"/>
                <w:color w:val="auto"/>
                <w:w w:val="92"/>
              </w:rPr>
              <w:t>NN, Inc. Stock Incentive Plan and Form of Incentive Stock Option Agreement pursuant to the Plan (incorporated by reference to Exhibit 10.1 of</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60"/>
              <w:spacing w:after="0"/>
              <w:rPr>
                <w:sz w:val="20"/>
                <w:szCs w:val="20"/>
                <w:color w:val="auto"/>
              </w:rPr>
            </w:pPr>
            <w:r>
              <w:rPr>
                <w:rFonts w:ascii="Arial" w:cs="Arial" w:eastAsia="Arial" w:hAnsi="Arial"/>
                <w:sz w:val="18"/>
                <w:szCs w:val="18"/>
                <w:color w:val="auto"/>
              </w:rPr>
              <w:t>the Company’s Registration Statement No. 333-89950 on Form S-3/A filed July 15, 2002)*</w:t>
            </w:r>
          </w:p>
        </w:tc>
        <w:tc>
          <w:tcPr>
            <w:tcW w:w="0" w:type="dxa"/>
            <w:vAlign w:val="bottom"/>
          </w:tcPr>
          <w:p>
            <w:pPr>
              <w:spacing w:after="0"/>
              <w:rPr>
                <w:sz w:val="1"/>
                <w:szCs w:val="1"/>
                <w:color w:val="auto"/>
              </w:rPr>
            </w:pPr>
          </w:p>
        </w:tc>
      </w:tr>
      <w:tr>
        <w:trPr>
          <w:trHeight w:val="445"/>
        </w:trPr>
        <w:tc>
          <w:tcPr>
            <w:tcW w:w="880" w:type="dxa"/>
            <w:vAlign w:val="bottom"/>
          </w:tcPr>
          <w:p>
            <w:pPr>
              <w:ind w:left="520"/>
              <w:spacing w:after="0"/>
              <w:rPr>
                <w:sz w:val="20"/>
                <w:szCs w:val="20"/>
                <w:color w:val="auto"/>
              </w:rPr>
            </w:pPr>
            <w:r>
              <w:rPr>
                <w:rFonts w:ascii="Arial" w:cs="Arial" w:eastAsia="Arial" w:hAnsi="Arial"/>
                <w:sz w:val="18"/>
                <w:szCs w:val="18"/>
                <w:color w:val="auto"/>
                <w:w w:val="96"/>
              </w:rPr>
              <w:t>10.2</w:t>
            </w:r>
          </w:p>
        </w:tc>
        <w:tc>
          <w:tcPr>
            <w:tcW w:w="10540" w:type="dxa"/>
            <w:vAlign w:val="bottom"/>
          </w:tcPr>
          <w:p>
            <w:pPr>
              <w:ind w:left="40"/>
              <w:spacing w:after="0"/>
              <w:rPr>
                <w:sz w:val="20"/>
                <w:szCs w:val="20"/>
                <w:color w:val="auto"/>
              </w:rPr>
            </w:pPr>
            <w:r>
              <w:rPr>
                <w:rFonts w:ascii="Arial" w:cs="Arial" w:eastAsia="Arial" w:hAnsi="Arial"/>
                <w:sz w:val="18"/>
                <w:szCs w:val="18"/>
                <w:color w:val="auto"/>
                <w:w w:val="93"/>
              </w:rPr>
              <w:t>Amendment No. 1 to the NN, Inc. Stock Incentive Plan (incorporated by reference to Exhibit 4.6 of the Company’s Registration Statement No.</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40"/>
              <w:spacing w:after="0"/>
              <w:rPr>
                <w:sz w:val="20"/>
                <w:szCs w:val="20"/>
                <w:color w:val="auto"/>
              </w:rPr>
            </w:pPr>
            <w:r>
              <w:rPr>
                <w:rFonts w:ascii="Arial" w:cs="Arial" w:eastAsia="Arial" w:hAnsi="Arial"/>
                <w:sz w:val="18"/>
                <w:szCs w:val="18"/>
                <w:color w:val="auto"/>
              </w:rPr>
              <w:t>333-50934 on Form S-8 filed on November 30, 2000)*</w:t>
            </w:r>
          </w:p>
        </w:tc>
        <w:tc>
          <w:tcPr>
            <w:tcW w:w="0" w:type="dxa"/>
            <w:vAlign w:val="bottom"/>
          </w:tcPr>
          <w:p>
            <w:pPr>
              <w:spacing w:after="0"/>
              <w:rPr>
                <w:sz w:val="1"/>
                <w:szCs w:val="1"/>
                <w:color w:val="auto"/>
              </w:rPr>
            </w:pPr>
          </w:p>
        </w:tc>
      </w:tr>
      <w:tr>
        <w:trPr>
          <w:trHeight w:val="445"/>
        </w:trPr>
        <w:tc>
          <w:tcPr>
            <w:tcW w:w="880" w:type="dxa"/>
            <w:vAlign w:val="bottom"/>
          </w:tcPr>
          <w:p>
            <w:pPr>
              <w:ind w:left="500"/>
              <w:spacing w:after="0"/>
              <w:rPr>
                <w:sz w:val="20"/>
                <w:szCs w:val="20"/>
                <w:color w:val="auto"/>
              </w:rPr>
            </w:pPr>
            <w:r>
              <w:rPr>
                <w:rFonts w:ascii="Arial" w:cs="Arial" w:eastAsia="Arial" w:hAnsi="Arial"/>
                <w:sz w:val="18"/>
                <w:szCs w:val="18"/>
                <w:color w:val="auto"/>
              </w:rPr>
              <w:t>10.3</w:t>
            </w:r>
          </w:p>
        </w:tc>
        <w:tc>
          <w:tcPr>
            <w:tcW w:w="10540" w:type="dxa"/>
            <w:vAlign w:val="bottom"/>
          </w:tcPr>
          <w:p>
            <w:pPr>
              <w:ind w:left="40"/>
              <w:spacing w:after="0"/>
              <w:rPr>
                <w:sz w:val="20"/>
                <w:szCs w:val="20"/>
                <w:color w:val="auto"/>
              </w:rPr>
            </w:pPr>
            <w:r>
              <w:rPr>
                <w:rFonts w:ascii="Arial" w:cs="Arial" w:eastAsia="Arial" w:hAnsi="Arial"/>
                <w:sz w:val="18"/>
                <w:szCs w:val="18"/>
                <w:color w:val="auto"/>
                <w:w w:val="93"/>
              </w:rPr>
              <w:t>Amendment No. 2 to the NN, Inc. Stock Incentive Plan (incorporated by reference to Exhibit 4.7 of the Company’s Registration Statement No.</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40"/>
              <w:spacing w:after="0"/>
              <w:rPr>
                <w:sz w:val="20"/>
                <w:szCs w:val="20"/>
                <w:color w:val="auto"/>
              </w:rPr>
            </w:pPr>
            <w:r>
              <w:rPr>
                <w:rFonts w:ascii="Arial" w:cs="Arial" w:eastAsia="Arial" w:hAnsi="Arial"/>
                <w:sz w:val="18"/>
                <w:szCs w:val="18"/>
                <w:color w:val="auto"/>
              </w:rPr>
              <w:t>333-69588 on Form S-8 filed on September 18, 2001)*</w:t>
            </w:r>
          </w:p>
        </w:tc>
        <w:tc>
          <w:tcPr>
            <w:tcW w:w="0" w:type="dxa"/>
            <w:vAlign w:val="bottom"/>
          </w:tcPr>
          <w:p>
            <w:pPr>
              <w:spacing w:after="0"/>
              <w:rPr>
                <w:sz w:val="1"/>
                <w:szCs w:val="1"/>
                <w:color w:val="auto"/>
              </w:rPr>
            </w:pPr>
          </w:p>
        </w:tc>
      </w:tr>
      <w:tr>
        <w:trPr>
          <w:trHeight w:val="445"/>
        </w:trPr>
        <w:tc>
          <w:tcPr>
            <w:tcW w:w="880" w:type="dxa"/>
            <w:vAlign w:val="bottom"/>
          </w:tcPr>
          <w:p>
            <w:pPr>
              <w:ind w:left="520"/>
              <w:spacing w:after="0"/>
              <w:rPr>
                <w:sz w:val="20"/>
                <w:szCs w:val="20"/>
                <w:color w:val="auto"/>
              </w:rPr>
            </w:pPr>
            <w:r>
              <w:rPr>
                <w:rFonts w:ascii="Arial" w:cs="Arial" w:eastAsia="Arial" w:hAnsi="Arial"/>
                <w:sz w:val="18"/>
                <w:szCs w:val="18"/>
                <w:color w:val="auto"/>
                <w:w w:val="96"/>
              </w:rPr>
              <w:t>10.4</w:t>
            </w:r>
          </w:p>
        </w:tc>
        <w:tc>
          <w:tcPr>
            <w:tcW w:w="10540" w:type="dxa"/>
            <w:vAlign w:val="bottom"/>
          </w:tcPr>
          <w:p>
            <w:pPr>
              <w:ind w:left="40"/>
              <w:spacing w:after="0"/>
              <w:rPr>
                <w:sz w:val="20"/>
                <w:szCs w:val="20"/>
                <w:color w:val="auto"/>
              </w:rPr>
            </w:pPr>
            <w:r>
              <w:rPr>
                <w:rFonts w:ascii="Arial" w:cs="Arial" w:eastAsia="Arial" w:hAnsi="Arial"/>
                <w:sz w:val="18"/>
                <w:szCs w:val="18"/>
                <w:color w:val="auto"/>
                <w:w w:val="91"/>
              </w:rPr>
              <w:t>Amendment No. 3 to NN, Inc. Stock Incentive Plan as ratified by the shareholders on May 15, 2003 amending the Plan to permit the issuance of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540" w:type="dxa"/>
            <w:vAlign w:val="bottom"/>
          </w:tcPr>
          <w:p>
            <w:pPr>
              <w:ind w:left="40"/>
              <w:spacing w:after="0"/>
              <w:rPr>
                <w:sz w:val="20"/>
                <w:szCs w:val="20"/>
                <w:color w:val="auto"/>
              </w:rPr>
            </w:pPr>
            <w:r>
              <w:rPr>
                <w:rFonts w:ascii="Arial" w:cs="Arial" w:eastAsia="Arial" w:hAnsi="Arial"/>
                <w:sz w:val="18"/>
                <w:szCs w:val="18"/>
                <w:color w:val="auto"/>
                <w:w w:val="91"/>
              </w:rPr>
              <w:t>awards under the Plan to directors of the Company (incorporated by reference to Exhibit 10-1 of the Company's Quarterly Report on Form 10-Q</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40"/>
              <w:spacing w:after="0"/>
              <w:rPr>
                <w:sz w:val="20"/>
                <w:szCs w:val="20"/>
                <w:color w:val="auto"/>
              </w:rPr>
            </w:pPr>
            <w:r>
              <w:rPr>
                <w:rFonts w:ascii="Arial" w:cs="Arial" w:eastAsia="Arial" w:hAnsi="Arial"/>
                <w:sz w:val="18"/>
                <w:szCs w:val="18"/>
                <w:color w:val="auto"/>
              </w:rPr>
              <w:t>filed August 14, 2003)*</w:t>
            </w:r>
          </w:p>
        </w:tc>
        <w:tc>
          <w:tcPr>
            <w:tcW w:w="0" w:type="dxa"/>
            <w:vAlign w:val="bottom"/>
          </w:tcPr>
          <w:p>
            <w:pPr>
              <w:spacing w:after="0"/>
              <w:rPr>
                <w:sz w:val="1"/>
                <w:szCs w:val="1"/>
                <w:color w:val="auto"/>
              </w:rPr>
            </w:pPr>
          </w:p>
        </w:tc>
      </w:tr>
      <w:tr>
        <w:trPr>
          <w:trHeight w:val="445"/>
        </w:trPr>
        <w:tc>
          <w:tcPr>
            <w:tcW w:w="880" w:type="dxa"/>
            <w:vAlign w:val="bottom"/>
          </w:tcPr>
          <w:p>
            <w:pPr>
              <w:ind w:left="520"/>
              <w:spacing w:after="0"/>
              <w:rPr>
                <w:sz w:val="20"/>
                <w:szCs w:val="20"/>
                <w:color w:val="auto"/>
              </w:rPr>
            </w:pPr>
            <w:r>
              <w:rPr>
                <w:rFonts w:ascii="Arial" w:cs="Arial" w:eastAsia="Arial" w:hAnsi="Arial"/>
                <w:sz w:val="18"/>
                <w:szCs w:val="18"/>
                <w:color w:val="auto"/>
                <w:w w:val="96"/>
              </w:rPr>
              <w:t>10.5</w:t>
            </w:r>
          </w:p>
        </w:tc>
        <w:tc>
          <w:tcPr>
            <w:tcW w:w="10540" w:type="dxa"/>
            <w:vAlign w:val="bottom"/>
          </w:tcPr>
          <w:p>
            <w:pPr>
              <w:ind w:left="40"/>
              <w:spacing w:after="0"/>
              <w:rPr>
                <w:sz w:val="20"/>
                <w:szCs w:val="20"/>
                <w:color w:val="auto"/>
              </w:rPr>
            </w:pPr>
            <w:r>
              <w:rPr>
                <w:rFonts w:ascii="Arial" w:cs="Arial" w:eastAsia="Arial" w:hAnsi="Arial"/>
                <w:sz w:val="18"/>
                <w:szCs w:val="18"/>
                <w:color w:val="auto"/>
                <w:w w:val="95"/>
              </w:rPr>
              <w:t>Form of Indemnification Agreement (incorporated by reference to Exhibit 10.6 of the Company’s Registration Statement No. 333-89950 on</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540" w:type="dxa"/>
            <w:vAlign w:val="bottom"/>
          </w:tcPr>
          <w:p>
            <w:pPr>
              <w:ind w:left="40"/>
              <w:spacing w:after="0"/>
              <w:rPr>
                <w:sz w:val="20"/>
                <w:szCs w:val="20"/>
                <w:color w:val="auto"/>
              </w:rPr>
            </w:pPr>
            <w:r>
              <w:rPr>
                <w:rFonts w:ascii="Arial" w:cs="Arial" w:eastAsia="Arial" w:hAnsi="Arial"/>
                <w:sz w:val="18"/>
                <w:szCs w:val="18"/>
                <w:color w:val="auto"/>
              </w:rPr>
              <w:t>Form S-3/A filed July 15, 2002)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00" w:hanging="404"/>
        <w:spacing w:after="0" w:line="277" w:lineRule="auto"/>
        <w:rPr>
          <w:sz w:val="20"/>
          <w:szCs w:val="20"/>
          <w:color w:val="auto"/>
        </w:rPr>
      </w:pPr>
      <w:r>
        <w:rPr>
          <w:rFonts w:ascii="Arial" w:cs="Arial" w:eastAsia="Arial" w:hAnsi="Arial"/>
          <w:sz w:val="18"/>
          <w:szCs w:val="18"/>
          <w:color w:val="auto"/>
        </w:rPr>
        <w:t>10.6 Form of Stock Option Agreement, dated December 7, 1998, between the Company and the non-employee directors of the Company (incorporated by reference to Exhibit 10.15 of the Company’s Annual Report on Form 10-K filed March 31, 1999)*</w:t>
      </w:r>
    </w:p>
    <w:p>
      <w:pPr>
        <w:spacing w:after="0" w:line="197" w:lineRule="exact"/>
        <w:rPr>
          <w:sz w:val="20"/>
          <w:szCs w:val="20"/>
          <w:color w:val="auto"/>
        </w:rPr>
      </w:pPr>
    </w:p>
    <w:p>
      <w:pPr>
        <w:ind w:left="920" w:hanging="404"/>
        <w:spacing w:after="0" w:line="277" w:lineRule="auto"/>
        <w:rPr>
          <w:sz w:val="20"/>
          <w:szCs w:val="20"/>
          <w:color w:val="auto"/>
        </w:rPr>
      </w:pPr>
      <w:r>
        <w:rPr>
          <w:rFonts w:ascii="Arial" w:cs="Arial" w:eastAsia="Arial" w:hAnsi="Arial"/>
          <w:sz w:val="18"/>
          <w:szCs w:val="18"/>
          <w:color w:val="auto"/>
        </w:rPr>
        <w:t>10.7 Elective Deferred Compensation Plan, dated February 26, 1999 (incorporated by reference to Exhibit 10.16 of the Company’s Annual Report on Form 10-K filed March 31, 1999)*</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10.8 NN, Inc. 2005 Stock Incentive Plan (incorporated by reference to the Company's Form S-8 filed December 16, 2005)*</w:t>
      </w:r>
    </w:p>
    <w:p>
      <w:pPr>
        <w:spacing w:after="0" w:line="252" w:lineRule="exact"/>
        <w:rPr>
          <w:sz w:val="20"/>
          <w:szCs w:val="20"/>
          <w:color w:val="auto"/>
        </w:rPr>
      </w:pPr>
    </w:p>
    <w:p>
      <w:pPr>
        <w:ind w:left="920" w:hanging="404"/>
        <w:spacing w:after="0" w:line="277" w:lineRule="auto"/>
        <w:rPr>
          <w:sz w:val="20"/>
          <w:szCs w:val="20"/>
          <w:color w:val="auto"/>
        </w:rPr>
      </w:pPr>
      <w:r>
        <w:rPr>
          <w:rFonts w:ascii="Arial" w:cs="Arial" w:eastAsia="Arial" w:hAnsi="Arial"/>
          <w:sz w:val="18"/>
          <w:szCs w:val="18"/>
          <w:color w:val="auto"/>
        </w:rPr>
        <w:t>10.9 Executive Employment Agreement, dated August 21, 2006, between the Company and Roderick R. Baty (incorporated by reference to the Company's Form 8-K filed August 24, 2006)*</w:t>
      </w:r>
    </w:p>
    <w:p>
      <w:pPr>
        <w:spacing w:after="0" w:line="197" w:lineRule="exact"/>
        <w:rPr>
          <w:sz w:val="20"/>
          <w:szCs w:val="20"/>
          <w:color w:val="auto"/>
        </w:rPr>
      </w:pPr>
    </w:p>
    <w:p>
      <w:pPr>
        <w:ind w:left="920" w:right="20" w:hanging="494"/>
        <w:spacing w:after="0" w:line="277" w:lineRule="auto"/>
        <w:rPr>
          <w:sz w:val="20"/>
          <w:szCs w:val="20"/>
          <w:color w:val="auto"/>
        </w:rPr>
      </w:pPr>
      <w:r>
        <w:rPr>
          <w:rFonts w:ascii="Arial" w:cs="Arial" w:eastAsia="Arial" w:hAnsi="Arial"/>
          <w:sz w:val="18"/>
          <w:szCs w:val="18"/>
          <w:color w:val="auto"/>
        </w:rPr>
        <w:t>10.10 Executive Employment Agreement, dated August 21, 2006, between the Company and James H. Dorton (incorporated by reference to the Company's Form 8-K filed August 24, 2006)*</w:t>
      </w:r>
    </w:p>
    <w:p>
      <w:pPr>
        <w:spacing w:after="0" w:line="197" w:lineRule="exact"/>
        <w:rPr>
          <w:sz w:val="20"/>
          <w:szCs w:val="20"/>
          <w:color w:val="auto"/>
        </w:rPr>
      </w:pPr>
    </w:p>
    <w:p>
      <w:pPr>
        <w:ind w:left="900" w:hanging="487"/>
        <w:spacing w:after="0" w:line="277" w:lineRule="auto"/>
        <w:rPr>
          <w:sz w:val="20"/>
          <w:szCs w:val="20"/>
          <w:color w:val="auto"/>
        </w:rPr>
      </w:pPr>
      <w:r>
        <w:rPr>
          <w:rFonts w:ascii="Arial" w:cs="Arial" w:eastAsia="Arial" w:hAnsi="Arial"/>
          <w:sz w:val="18"/>
          <w:szCs w:val="18"/>
          <w:color w:val="auto"/>
        </w:rPr>
        <w:t>10.11 Executive Employment Agreement, dated August 21, 2006, between the Company and Nicola Trombetti (incorporated by reference to the Company's Form 8-K filed August 24,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 w:name="page8"/>
    <w:bookmarkEnd w:id="7"/>
    <w:p>
      <w:pPr>
        <w:ind w:left="60" w:hanging="494"/>
        <w:spacing w:after="0" w:line="277" w:lineRule="auto"/>
        <w:rPr>
          <w:sz w:val="20"/>
          <w:szCs w:val="20"/>
          <w:color w:val="auto"/>
        </w:rPr>
      </w:pPr>
      <w:r>
        <w:rPr>
          <w:rFonts w:ascii="Arial" w:cs="Arial" w:eastAsia="Arial" w:hAnsi="Arial"/>
          <w:sz w:val="18"/>
          <w:szCs w:val="18"/>
          <w:color w:val="auto"/>
        </w:rPr>
        <w:t>10.12 Executive Employment Agreement, dated August 21, 2006, between the Company and Thomas McKown (incorporated by reference to the Company's Form 8-K filed August 24, 2006)*</w:t>
      </w:r>
    </w:p>
    <w:p>
      <w:pPr>
        <w:spacing w:after="0" w:line="197" w:lineRule="exact"/>
        <w:rPr>
          <w:sz w:val="20"/>
          <w:szCs w:val="20"/>
          <w:color w:val="auto"/>
        </w:rPr>
      </w:pPr>
    </w:p>
    <w:p>
      <w:pPr>
        <w:ind w:left="40" w:hanging="494"/>
        <w:spacing w:after="0" w:line="277" w:lineRule="auto"/>
        <w:rPr>
          <w:sz w:val="20"/>
          <w:szCs w:val="20"/>
          <w:color w:val="auto"/>
        </w:rPr>
      </w:pPr>
      <w:r>
        <w:rPr>
          <w:rFonts w:ascii="Arial" w:cs="Arial" w:eastAsia="Arial" w:hAnsi="Arial"/>
          <w:sz w:val="18"/>
          <w:szCs w:val="18"/>
          <w:color w:val="auto"/>
        </w:rPr>
        <w:t>10.13 Executive Employment Agreement, dated August 21, 2006, between the Company and James Anderson (incorporated by reference to the Company's Form 8-K filed August 24, 2006)*</w:t>
      </w:r>
    </w:p>
    <w:p>
      <w:pPr>
        <w:spacing w:after="0" w:line="197" w:lineRule="exact"/>
        <w:rPr>
          <w:sz w:val="20"/>
          <w:szCs w:val="20"/>
          <w:color w:val="auto"/>
        </w:rPr>
      </w:pPr>
    </w:p>
    <w:p>
      <w:pPr>
        <w:ind w:left="40" w:right="20" w:hanging="494"/>
        <w:spacing w:after="0" w:line="277" w:lineRule="auto"/>
        <w:rPr>
          <w:sz w:val="20"/>
          <w:szCs w:val="20"/>
          <w:color w:val="auto"/>
        </w:rPr>
      </w:pPr>
      <w:r>
        <w:rPr>
          <w:rFonts w:ascii="Arial" w:cs="Arial" w:eastAsia="Arial" w:hAnsi="Arial"/>
          <w:sz w:val="18"/>
          <w:szCs w:val="18"/>
          <w:color w:val="auto"/>
        </w:rPr>
        <w:t>10.14 Executive Employment Agreement, dated August 21, 2006, between the Company and David M. Gilson (incorporated by reference to the Company's Form 8-K filed October 3, 2006)*</w:t>
      </w:r>
    </w:p>
    <w:p>
      <w:pPr>
        <w:spacing w:after="0" w:line="197" w:lineRule="exact"/>
        <w:rPr>
          <w:sz w:val="20"/>
          <w:szCs w:val="20"/>
          <w:color w:val="auto"/>
        </w:rPr>
      </w:pPr>
    </w:p>
    <w:p>
      <w:pPr>
        <w:ind w:left="40" w:hanging="494"/>
        <w:spacing w:after="0" w:line="277" w:lineRule="auto"/>
        <w:rPr>
          <w:sz w:val="20"/>
          <w:szCs w:val="20"/>
          <w:color w:val="auto"/>
        </w:rPr>
      </w:pPr>
      <w:r>
        <w:rPr>
          <w:rFonts w:ascii="Arial" w:cs="Arial" w:eastAsia="Arial" w:hAnsi="Arial"/>
          <w:sz w:val="18"/>
          <w:szCs w:val="18"/>
          <w:color w:val="auto"/>
        </w:rPr>
        <w:t>10.15 Executive Employment Agreement, dated August 21, 2006, between the Company and Thomas G. Zupan (incorporated by reference to the Company's Form 8-K filed December 6, 2006)*</w:t>
      </w:r>
    </w:p>
    <w:p>
      <w:pPr>
        <w:spacing w:after="0" w:line="197" w:lineRule="exact"/>
        <w:rPr>
          <w:sz w:val="20"/>
          <w:szCs w:val="20"/>
          <w:color w:val="auto"/>
        </w:rPr>
      </w:pPr>
    </w:p>
    <w:p>
      <w:pPr>
        <w:jc w:val="both"/>
        <w:ind w:left="40" w:hanging="494"/>
        <w:spacing w:after="0" w:line="277" w:lineRule="auto"/>
        <w:rPr>
          <w:sz w:val="20"/>
          <w:szCs w:val="20"/>
          <w:color w:val="auto"/>
        </w:rPr>
      </w:pPr>
      <w:r>
        <w:rPr>
          <w:rFonts w:ascii="Arial" w:cs="Arial" w:eastAsia="Arial" w:hAnsi="Arial"/>
          <w:sz w:val="18"/>
          <w:szCs w:val="18"/>
          <w:color w:val="auto"/>
        </w:rPr>
        <w:t>10.16 Executive Employment Agreement, dated August 21, 2006, between the Company and Frank T. Gentry (incorporated by reference to Company's Current Report on Form 8-K filed August 24, 2006)*</w:t>
      </w:r>
    </w:p>
    <w:p>
      <w:pPr>
        <w:spacing w:after="0" w:line="197" w:lineRule="exact"/>
        <w:rPr>
          <w:sz w:val="20"/>
          <w:szCs w:val="20"/>
          <w:color w:val="auto"/>
        </w:rPr>
      </w:pPr>
    </w:p>
    <w:p>
      <w:pPr>
        <w:jc w:val="both"/>
        <w:ind w:left="40" w:right="20" w:hanging="494"/>
        <w:spacing w:after="0" w:line="277" w:lineRule="auto"/>
        <w:rPr>
          <w:sz w:val="20"/>
          <w:szCs w:val="20"/>
          <w:color w:val="auto"/>
        </w:rPr>
      </w:pPr>
      <w:r>
        <w:rPr>
          <w:rFonts w:ascii="Arial" w:cs="Arial" w:eastAsia="Arial" w:hAnsi="Arial"/>
          <w:sz w:val="18"/>
          <w:szCs w:val="18"/>
          <w:color w:val="auto"/>
        </w:rPr>
        <w:t>10.17 Executive Employment Agreement, dated August 21, 2006, between the Company and Robert R. Sams (incorporated by reference to the Company's Current Report on Form 8-K filed August 21, 2006)*</w:t>
      </w:r>
    </w:p>
    <w:p>
      <w:pPr>
        <w:spacing w:after="0" w:line="197" w:lineRule="exact"/>
        <w:rPr>
          <w:sz w:val="20"/>
          <w:szCs w:val="20"/>
          <w:color w:val="auto"/>
        </w:rPr>
      </w:pPr>
    </w:p>
    <w:p>
      <w:pPr>
        <w:jc w:val="both"/>
        <w:ind w:hanging="494"/>
        <w:spacing w:after="0" w:line="277" w:lineRule="auto"/>
        <w:rPr>
          <w:sz w:val="20"/>
          <w:szCs w:val="20"/>
          <w:color w:val="auto"/>
        </w:rPr>
      </w:pPr>
      <w:r>
        <w:rPr>
          <w:rFonts w:ascii="Arial" w:cs="Arial" w:eastAsia="Arial" w:hAnsi="Arial"/>
          <w:sz w:val="18"/>
          <w:szCs w:val="18"/>
          <w:color w:val="auto"/>
        </w:rPr>
        <w:t>10.18 Executive Employment Agreement dated August 21, 2006, between the Company and William C. Kelly, Jr. (incorporated by reference to the Company's Current Report on Form 8-K filed August 24, 2006)*</w:t>
      </w:r>
    </w:p>
    <w:p>
      <w:pPr>
        <w:spacing w:after="0" w:line="197" w:lineRule="exact"/>
        <w:rPr>
          <w:sz w:val="20"/>
          <w:szCs w:val="20"/>
          <w:color w:val="auto"/>
        </w:rPr>
      </w:pPr>
    </w:p>
    <w:p>
      <w:pPr>
        <w:jc w:val="both"/>
        <w:ind w:hanging="494"/>
        <w:spacing w:after="0" w:line="277" w:lineRule="auto"/>
        <w:rPr>
          <w:sz w:val="20"/>
          <w:szCs w:val="20"/>
          <w:color w:val="auto"/>
        </w:rPr>
      </w:pPr>
      <w:r>
        <w:rPr>
          <w:rFonts w:ascii="Arial" w:cs="Arial" w:eastAsia="Arial" w:hAnsi="Arial"/>
          <w:sz w:val="18"/>
          <w:szCs w:val="18"/>
          <w:color w:val="auto"/>
        </w:rPr>
        <w:t>10.19 NN Euroball, ApS Shareholder Agreement dated April 6, 2000 among NN, Inc., AB SKF and FAG Kugelfischer Georg ShaferAG (incorporated by reference to Exhibit 10.26 of the Company's Annual Report on Form 10-K filed March 29, 2002)</w:t>
      </w:r>
    </w:p>
    <w:p>
      <w:pPr>
        <w:spacing w:after="0" w:line="197" w:lineRule="exact"/>
        <w:rPr>
          <w:sz w:val="20"/>
          <w:szCs w:val="20"/>
          <w:color w:val="auto"/>
        </w:rPr>
      </w:pPr>
    </w:p>
    <w:p>
      <w:pPr>
        <w:jc w:val="both"/>
        <w:ind w:left="20" w:hanging="494"/>
        <w:spacing w:after="0" w:line="255" w:lineRule="auto"/>
        <w:rPr>
          <w:sz w:val="20"/>
          <w:szCs w:val="20"/>
          <w:color w:val="auto"/>
        </w:rPr>
      </w:pPr>
      <w:r>
        <w:rPr>
          <w:rFonts w:ascii="Arial" w:cs="Arial" w:eastAsia="Arial" w:hAnsi="Arial"/>
          <w:sz w:val="18"/>
          <w:szCs w:val="18"/>
          <w:color w:val="auto"/>
        </w:rPr>
        <w:t>10.20 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 (incorporated by reference to Exhibit 10.26 of the Company's Annual Report on Form 10-K filed March 31, 2003)</w:t>
      </w:r>
    </w:p>
    <w:p>
      <w:pPr>
        <w:spacing w:after="0" w:line="220" w:lineRule="exact"/>
        <w:rPr>
          <w:sz w:val="20"/>
          <w:szCs w:val="20"/>
          <w:color w:val="auto"/>
        </w:rPr>
      </w:pPr>
    </w:p>
    <w:p>
      <w:pPr>
        <w:jc w:val="both"/>
        <w:ind w:left="40" w:hanging="494"/>
        <w:spacing w:after="0" w:line="276" w:lineRule="auto"/>
        <w:rPr>
          <w:sz w:val="20"/>
          <w:szCs w:val="20"/>
          <w:color w:val="auto"/>
        </w:rPr>
      </w:pPr>
      <w:r>
        <w:rPr>
          <w:rFonts w:ascii="Arial" w:cs="Arial" w:eastAsia="Arial" w:hAnsi="Arial"/>
          <w:sz w:val="17"/>
          <w:szCs w:val="17"/>
          <w:color w:val="auto"/>
        </w:rPr>
        <w:t>10.21 Supply Agreement between NN Euroball ApS and AB SKF dated April 6, 2000.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 (incorporated by reference to Exhibit 10.3 of the Company's Quarterly Report on Form 10-Q filed August 14, 2003)</w:t>
      </w:r>
    </w:p>
    <w:p>
      <w:pPr>
        <w:spacing w:after="0" w:line="200" w:lineRule="exact"/>
        <w:rPr>
          <w:sz w:val="20"/>
          <w:szCs w:val="20"/>
          <w:color w:val="auto"/>
        </w:rPr>
      </w:pPr>
    </w:p>
    <w:p>
      <w:pPr>
        <w:jc w:val="both"/>
        <w:ind w:left="40" w:hanging="494"/>
        <w:spacing w:after="0" w:line="255" w:lineRule="auto"/>
        <w:rPr>
          <w:sz w:val="20"/>
          <w:szCs w:val="20"/>
          <w:color w:val="auto"/>
        </w:rPr>
      </w:pPr>
      <w:r>
        <w:rPr>
          <w:rFonts w:ascii="Arial" w:cs="Arial" w:eastAsia="Arial" w:hAnsi="Arial"/>
          <w:sz w:val="18"/>
          <w:szCs w:val="18"/>
          <w:color w:val="auto"/>
        </w:rPr>
        <w:t>10.22 Global Supply Agreement among NN, Inc., NN Netherlands B.V. and SKF Holding Maatschappij Holland B.V. dated April 14, 2003.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brackets([*])(incorporated by reference to Exhibit 10.4 of the Company's Quarterly Report on Form 10-Q filed August 14, 2003)</w:t>
      </w:r>
    </w:p>
    <w:p>
      <w:pPr>
        <w:spacing w:after="0" w:line="220" w:lineRule="exact"/>
        <w:rPr>
          <w:sz w:val="20"/>
          <w:szCs w:val="20"/>
          <w:color w:val="auto"/>
        </w:rPr>
      </w:pPr>
    </w:p>
    <w:p>
      <w:pPr>
        <w:jc w:val="both"/>
        <w:ind w:left="40" w:hanging="494"/>
        <w:spacing w:after="0" w:line="264" w:lineRule="auto"/>
        <w:rPr>
          <w:sz w:val="20"/>
          <w:szCs w:val="20"/>
          <w:color w:val="auto"/>
        </w:rPr>
      </w:pPr>
      <w:r>
        <w:rPr>
          <w:rFonts w:ascii="Arial" w:cs="Arial" w:eastAsia="Arial" w:hAnsi="Arial"/>
          <w:sz w:val="18"/>
          <w:szCs w:val="18"/>
          <w:color w:val="auto"/>
        </w:rPr>
        <w:t>10.23 Note Purchase Agreement dated April 22, 2004 among NN, Inc. as the Borrower and its Subsidiary Guarantors and the Prudential Insurance Company of America as Agent for the Purchase. (incorporated by reference to Exhibit 10.28 of the Company's Annual Report on Form 10-K filed March 16, 2005)</w:t>
      </w:r>
    </w:p>
    <w:p>
      <w:pPr>
        <w:spacing w:after="0" w:line="208" w:lineRule="exact"/>
        <w:rPr>
          <w:sz w:val="20"/>
          <w:szCs w:val="20"/>
          <w:color w:val="auto"/>
        </w:rPr>
      </w:pPr>
    </w:p>
    <w:p>
      <w:pPr>
        <w:jc w:val="both"/>
        <w:ind w:left="40" w:hanging="494"/>
        <w:spacing w:after="0" w:line="259" w:lineRule="auto"/>
        <w:rPr>
          <w:sz w:val="20"/>
          <w:szCs w:val="20"/>
          <w:color w:val="auto"/>
        </w:rPr>
      </w:pPr>
      <w:r>
        <w:rPr>
          <w:rFonts w:ascii="Arial" w:cs="Arial" w:eastAsia="Arial" w:hAnsi="Arial"/>
          <w:sz w:val="18"/>
          <w:szCs w:val="18"/>
          <w:color w:val="auto"/>
        </w:rPr>
        <w:t>10.24 Second Amended and Restated Note Purchase and Shelf Agreement dated as of March 13, 2009, among NN, Inc. and The Prudential Insurance Company of America, Prudential Retirement Insurancce and Annuity Company, American Bankers Life Assurance Company of Florida, Inc., Farmers New World Life Insurance Company and Time Insurance Company (incorporated by reference to the Company's Form 8-K filed March 17, 2009)</w:t>
      </w:r>
    </w:p>
    <w:p>
      <w:pPr>
        <w:spacing w:after="0" w:line="214" w:lineRule="exact"/>
        <w:rPr>
          <w:sz w:val="20"/>
          <w:szCs w:val="20"/>
          <w:color w:val="auto"/>
        </w:rPr>
      </w:pPr>
    </w:p>
    <w:p>
      <w:pPr>
        <w:jc w:val="both"/>
        <w:ind w:left="40" w:hanging="494"/>
        <w:spacing w:after="0" w:line="264" w:lineRule="auto"/>
        <w:rPr>
          <w:sz w:val="20"/>
          <w:szCs w:val="20"/>
          <w:color w:val="auto"/>
        </w:rPr>
      </w:pPr>
      <w:r>
        <w:rPr>
          <w:rFonts w:ascii="Arial" w:cs="Arial" w:eastAsia="Arial" w:hAnsi="Arial"/>
          <w:sz w:val="18"/>
          <w:szCs w:val="18"/>
          <w:color w:val="auto"/>
        </w:rPr>
        <w:t>10.25 Amended and Restated Credit Agreement dated as of March 13, 2009 among NN, Inc., and the Lenders as named therein, KeyBank National Association as Lead Arranger, Book Runner and Administrative Agent, and Regions Bank, as Swing Line Lender (incorporated by reference to the Company's Current Report on Form 8-K filed March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362585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1080" w:top="368" w:right="239" w:bottom="1440" w:gutter="0" w:footer="0" w:header="0"/>
        </w:sectPr>
      </w:pPr>
    </w:p>
    <w:bookmarkStart w:id="8" w:name="page9"/>
    <w:bookmarkEnd w:id="8"/>
    <w:p>
      <w:pPr>
        <w:ind w:left="1140"/>
        <w:spacing w:after="0"/>
        <w:tabs>
          <w:tab w:leader="none" w:pos="220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List of Subsidiaries of the Company.</w:t>
      </w:r>
    </w:p>
    <w:p>
      <w:pPr>
        <w:spacing w:after="0" w:line="233"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2"/>
          <w:szCs w:val="22"/>
          <w:color w:val="auto"/>
        </w:rPr>
        <w:t>Consent of Independent Registered Public Accounting Firm</w:t>
      </w:r>
    </w:p>
    <w:p>
      <w:pPr>
        <w:spacing w:after="0" w:line="24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of Chief Executive Officer pursuant to Section 302 of Sarbanes-Oxley Act</w:t>
      </w:r>
    </w:p>
    <w:p>
      <w:pPr>
        <w:spacing w:after="0" w:line="27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of Chief Financial Officer pursuant to Section 302 of Sarbanes-Oxley Act</w:t>
      </w:r>
    </w:p>
    <w:p>
      <w:pPr>
        <w:spacing w:after="0" w:line="27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27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600" w:hanging="59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ectPr>
          <w:pgSz w:w="11900" w:h="16838" w:orient="portrait"/>
          <w:cols w:equalWidth="0" w:num="1">
            <w:col w:w="10219"/>
          </w:cols>
          <w:pgMar w:left="240" w:top="604"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23.1</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4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333-130395, No. 333-50934, No. 33-87572, and No. 333-69588) of NN, Inc. of our report dated March 31, 2009 relating to the financial statements and the effectiveness of internal control over financial reporting, which appears in this Form 10-K.</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/s/PricewaterhouseCoopers LLP</w:t>
      </w:r>
    </w:p>
    <w:p>
      <w:pPr>
        <w:spacing w:after="0" w:line="238" w:lineRule="auto"/>
        <w:rPr>
          <w:sz w:val="20"/>
          <w:szCs w:val="20"/>
          <w:color w:val="auto"/>
        </w:rPr>
      </w:pPr>
      <w:r>
        <w:rPr>
          <w:rFonts w:ascii="Arial" w:cs="Arial" w:eastAsia="Arial" w:hAnsi="Arial"/>
          <w:sz w:val="22"/>
          <w:szCs w:val="22"/>
          <w:color w:val="auto"/>
        </w:rPr>
        <w:t>Greensboro, North Carolina</w:t>
      </w:r>
    </w:p>
    <w:p>
      <w:pPr>
        <w:spacing w:after="0"/>
        <w:rPr>
          <w:sz w:val="20"/>
          <w:szCs w:val="20"/>
          <w:color w:val="auto"/>
        </w:rPr>
      </w:pPr>
      <w:r>
        <w:rPr>
          <w:rFonts w:ascii="Arial" w:cs="Arial" w:eastAsia="Arial" w:hAnsi="Arial"/>
          <w:sz w:val="22"/>
          <w:szCs w:val="22"/>
          <w:color w:val="auto"/>
        </w:rPr>
        <w:t>March 31, 2009</w:t>
      </w:r>
    </w:p>
    <w:p>
      <w:pPr>
        <w:sectPr>
          <w:pgSz w:w="11900" w:h="16838" w:orient="portrait"/>
          <w:cols w:equalWidth="0" w:num="1">
            <w:col w:w="11420"/>
          </w:cols>
          <w:pgMar w:left="240" w:top="355" w:right="239" w:bottom="1440" w:gutter="0" w:footer="0" w:header="0"/>
        </w:sectPr>
      </w:pPr>
    </w:p>
    <w:bookmarkStart w:id="10" w:name="page11"/>
    <w:bookmarkEnd w:id="10"/>
    <w:p>
      <w:pPr>
        <w:ind w:left="1054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52" w:lineRule="exact"/>
        <w:rPr>
          <w:sz w:val="20"/>
          <w:szCs w:val="20"/>
          <w:color w:val="auto"/>
        </w:rPr>
      </w:pPr>
    </w:p>
    <w:p>
      <w:pPr>
        <w:ind w:left="340" w:hanging="24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9260" w:type="dxa"/>
            <w:vAlign w:val="bottom"/>
            <w:gridSpan w:val="2"/>
          </w:tcPr>
          <w:p>
            <w:pPr>
              <w:ind w:left="80"/>
              <w:spacing w:after="0"/>
              <w:rPr>
                <w:sz w:val="20"/>
                <w:szCs w:val="20"/>
                <w:color w:val="auto"/>
              </w:rPr>
            </w:pPr>
            <w:r>
              <w:rPr>
                <w:rFonts w:ascii="Arial" w:cs="Arial" w:eastAsia="Arial" w:hAnsi="Arial"/>
                <w:sz w:val="18"/>
                <w:szCs w:val="18"/>
                <w:color w:val="auto"/>
              </w:rPr>
              <w:t>April 14, 2009</w:t>
            </w: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w w:val="95"/>
              </w:rPr>
              <w:t>Signature:</w:t>
            </w:r>
          </w:p>
        </w:tc>
        <w:tc>
          <w:tcPr>
            <w:tcW w:w="52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/s/Roderick R. Baty</w:t>
            </w:r>
          </w:p>
        </w:tc>
      </w:tr>
      <w:tr>
        <w:trPr>
          <w:trHeight w:val="48"/>
        </w:trPr>
        <w:tc>
          <w:tcPr>
            <w:tcW w:w="800" w:type="dxa"/>
            <w:vAlign w:val="bottom"/>
          </w:tcPr>
          <w:p>
            <w:pPr>
              <w:spacing w:after="0"/>
              <w:rPr>
                <w:sz w:val="4"/>
                <w:szCs w:val="4"/>
                <w:color w:val="auto"/>
              </w:rPr>
            </w:pPr>
          </w:p>
        </w:tc>
        <w:tc>
          <w:tcPr>
            <w:tcW w:w="5280" w:type="dxa"/>
            <w:vAlign w:val="bottom"/>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02"/>
        </w:trPr>
        <w:tc>
          <w:tcPr>
            <w:tcW w:w="8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Name: Roderick R. Baty</w:t>
            </w:r>
          </w:p>
        </w:tc>
      </w:tr>
      <w:tr>
        <w:trPr>
          <w:trHeight w:val="216"/>
        </w:trPr>
        <w:tc>
          <w:tcPr>
            <w:tcW w:w="8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Chairman, Chief Executive Officer, and</w:t>
            </w:r>
          </w:p>
        </w:tc>
      </w:tr>
      <w:tr>
        <w:trPr>
          <w:trHeight w:val="230"/>
        </w:trPr>
        <w:tc>
          <w:tcPr>
            <w:tcW w:w="8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420"/>
          </w:cols>
          <w:pgMar w:left="240" w:top="368" w:right="239" w:bottom="1440" w:gutter="0" w:footer="0" w:header="0"/>
        </w:sectPr>
      </w:pPr>
    </w:p>
    <w:bookmarkStart w:id="11" w:name="page12"/>
    <w:bookmarkEnd w:id="11"/>
    <w:p>
      <w:pPr>
        <w:ind w:left="10540"/>
        <w:spacing w:after="0"/>
        <w:rPr>
          <w:sz w:val="20"/>
          <w:szCs w:val="20"/>
          <w:color w:val="auto"/>
        </w:rPr>
      </w:pPr>
      <w:r>
        <w:rPr>
          <w:rFonts w:ascii="Arial" w:cs="Arial" w:eastAsia="Arial" w:hAnsi="Arial"/>
          <w:sz w:val="16"/>
          <w:szCs w:val="16"/>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 EXCHANGE ACT OF 1934, AS AMENDED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52" w:lineRule="exact"/>
        <w:rPr>
          <w:sz w:val="20"/>
          <w:szCs w:val="20"/>
          <w:color w:val="auto"/>
        </w:rPr>
      </w:pPr>
    </w:p>
    <w:p>
      <w:pPr>
        <w:ind w:left="340" w:hanging="24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9240" w:type="dxa"/>
            <w:vAlign w:val="bottom"/>
            <w:gridSpan w:val="2"/>
          </w:tcPr>
          <w:p>
            <w:pPr>
              <w:ind w:left="60"/>
              <w:spacing w:after="0"/>
              <w:rPr>
                <w:sz w:val="20"/>
                <w:szCs w:val="20"/>
                <w:color w:val="auto"/>
              </w:rPr>
            </w:pPr>
            <w:r>
              <w:rPr>
                <w:rFonts w:ascii="Arial" w:cs="Arial" w:eastAsia="Arial" w:hAnsi="Arial"/>
                <w:sz w:val="18"/>
                <w:szCs w:val="18"/>
                <w:color w:val="auto"/>
              </w:rPr>
              <w:t>April 14, 2009</w:t>
            </w:r>
          </w:p>
        </w:tc>
      </w:tr>
      <w:tr>
        <w:trPr>
          <w:trHeight w:val="480"/>
        </w:trPr>
        <w:tc>
          <w:tcPr>
            <w:tcW w:w="820" w:type="dxa"/>
            <w:vAlign w:val="bottom"/>
          </w:tcPr>
          <w:p>
            <w:pPr>
              <w:spacing w:after="0"/>
              <w:rPr>
                <w:sz w:val="20"/>
                <w:szCs w:val="20"/>
                <w:color w:val="auto"/>
              </w:rPr>
            </w:pPr>
            <w:r>
              <w:rPr>
                <w:rFonts w:ascii="Arial" w:cs="Arial" w:eastAsia="Arial" w:hAnsi="Arial"/>
                <w:sz w:val="18"/>
                <w:szCs w:val="18"/>
                <w:color w:val="auto"/>
                <w:w w:val="97"/>
              </w:rPr>
              <w:t>Signature:</w:t>
            </w:r>
          </w:p>
        </w:tc>
        <w:tc>
          <w:tcPr>
            <w:tcW w:w="9240" w:type="dxa"/>
            <w:vAlign w:val="bottom"/>
            <w:gridSpan w:val="2"/>
          </w:tcPr>
          <w:p>
            <w:pPr>
              <w:ind w:left="4900"/>
              <w:spacing w:after="0"/>
              <w:rPr>
                <w:sz w:val="20"/>
                <w:szCs w:val="20"/>
                <w:color w:val="auto"/>
              </w:rPr>
            </w:pPr>
            <w:r>
              <w:rPr>
                <w:rFonts w:ascii="Arial" w:cs="Arial" w:eastAsia="Arial" w:hAnsi="Arial"/>
                <w:sz w:val="18"/>
                <w:szCs w:val="18"/>
                <w:color w:val="auto"/>
              </w:rPr>
              <w:t>By: /s/ James H. Dorton</w:t>
            </w:r>
          </w:p>
        </w:tc>
      </w:tr>
      <w:tr>
        <w:trPr>
          <w:trHeight w:val="202"/>
        </w:trPr>
        <w:tc>
          <w:tcPr>
            <w:tcW w:w="8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James H. Dorton</w:t>
            </w:r>
          </w:p>
        </w:tc>
      </w:tr>
      <w:tr>
        <w:trPr>
          <w:trHeight w:val="216"/>
        </w:trPr>
        <w:tc>
          <w:tcPr>
            <w:tcW w:w="8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8"/>
              </w:rPr>
              <w:t>Title: Vice President - Corporate Development and</w:t>
            </w:r>
          </w:p>
        </w:tc>
      </w:tr>
      <w:tr>
        <w:trPr>
          <w:trHeight w:val="230"/>
        </w:trPr>
        <w:tc>
          <w:tcPr>
            <w:tcW w:w="8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980" w:type="dxa"/>
            <w:vAlign w:val="bottom"/>
          </w:tcPr>
          <w:p>
            <w:pPr>
              <w:ind w:left="4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2008,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14, 2009</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2008,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14, 2009</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28987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 Corporate Development and Chief Financial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2019-12-10T12:14:12Z</dcterms:created>
  <dcterms:modified xsi:type="dcterms:W3CDTF">2019-12-10T12:14:12Z</dcterms:modified>
</cp:coreProperties>
</file>