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154"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75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8750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You are cordially invited to attend the 2017 Annual Meeting of Stockholders of NN, Inc., which will be held on Friday, May 19, 2017, at 9:30 a.m., local time, at the Marriott Harbor Beach Resort &amp; Spa, 3030 Holiday Drive, Fort Lauderdale, Florida 33316.</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Stockholders will be asked to vote on the matters described in the enclosed Proxy Statement. You are urged to read the Proxy Statement carefully before voting.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vote on the matters brought before the Annual Meeting by: (i) completing and mailing the enclosed proxy card; (ii) telephone; (iii) Internet; or</w:t>
      </w:r>
    </w:p>
    <w:p>
      <w:pPr>
        <w:spacing w:after="0" w:line="46" w:lineRule="exact"/>
        <w:rPr>
          <w:sz w:val="20"/>
          <w:szCs w:val="20"/>
          <w:color w:val="auto"/>
        </w:rPr>
      </w:pPr>
    </w:p>
    <w:p>
      <w:pPr>
        <w:ind w:firstLine="8"/>
        <w:spacing w:after="0" w:line="261"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appearing in person and voting at the Annual Meeting. Voting instructions are printed on your proxy card. </w:t>
      </w:r>
      <w:r>
        <w:rPr>
          <w:rFonts w:ascii="Arial" w:cs="Arial" w:eastAsia="Arial" w:hAnsi="Arial"/>
          <w:sz w:val="18"/>
          <w:szCs w:val="18"/>
          <w:b w:val="1"/>
          <w:bCs w:val="1"/>
          <w:color w:val="auto"/>
        </w:rPr>
        <w:t>Your vote is important. We encourage you to</w:t>
      </w:r>
      <w:r>
        <w:rPr>
          <w:rFonts w:ascii="Arial" w:cs="Arial" w:eastAsia="Arial" w:hAnsi="Arial"/>
          <w:sz w:val="18"/>
          <w:szCs w:val="18"/>
          <w:color w:val="auto"/>
        </w:rPr>
        <w:t xml:space="preserve"> </w:t>
      </w:r>
      <w:r>
        <w:rPr>
          <w:rFonts w:ascii="Arial" w:cs="Arial" w:eastAsia="Arial" w:hAnsi="Arial"/>
          <w:sz w:val="18"/>
          <w:szCs w:val="18"/>
          <w:b w:val="1"/>
          <w:bCs w:val="1"/>
          <w:color w:val="auto"/>
        </w:rPr>
        <w:t>vote by proxy, even if you plan to attend the Annual Meeting.</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29476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440" w:right="239" w:bottom="1440" w:gutter="0" w:footer="0" w:header="0"/>
        </w:sectPr>
      </w:pPr>
    </w:p>
    <w:bookmarkStart w:id="3" w:name="page4"/>
    <w:bookmarkEnd w:id="3"/>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289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Johnson City, Tennessee 37604</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Notice is hereby given that the Annual Meeting of Stockholders of NN, Inc., a Delaware corporation, will be held on Friday, May 19, 2017, at 9:30 a.m., local time, at the Marriott Harbor Beach Resort &amp; Spa, 3030 Holiday Drive, Fort Lauderdale, FL 33316 for the following purposes:</w:t>
      </w:r>
    </w:p>
    <w:p>
      <w:pPr>
        <w:spacing w:after="0" w:line="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the two Class I directors named herein to serve for a term of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Cast an advisory (non-binding) vote to approve the compensation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Cast an advisory (non-binding) vote to set the frequency of future advisory votes on executive compensation;</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Cast an advisory vote to ratify the selection of PricewaterhouseCoopers LLP as our registered independent public accounting firm for the fiscal year ending December 31, 2017;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on any other business as properly may come before the Annual Meeting.</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Board of Directors recommends a vote “FOR” Items 1, 2 and 4, and for any business that may properly come before the Annual Meeting, and a vote for “ONE YEAR” for Item 3, pursuant to the discretion of the appointed proxies. Details regarding each of the first four items are contained in the accompanying Proxy Statement.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record date for the Annual Meeting is March 20, 2017. If you hold shares of our common stock at the close of business on March 20, 2017, you are entitled to vote at the Annual Meeting.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VOTE IS VERY IMPORTANT.</w:t>
      </w:r>
    </w:p>
    <w:p>
      <w:pPr>
        <w:spacing w:after="0" w:line="225"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269365" cy="506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693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Johnson City, Tennessee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7, 2017</w:t>
      </w:r>
    </w:p>
    <w:p>
      <w:pPr>
        <w:spacing w:after="0" w:line="207" w:lineRule="exact"/>
        <w:rPr>
          <w:sz w:val="20"/>
          <w:szCs w:val="20"/>
          <w:color w:val="auto"/>
        </w:rPr>
      </w:pPr>
    </w:p>
    <w:p>
      <w:pPr>
        <w:jc w:val="center"/>
        <w:ind w:left="280" w:right="2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19,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Proxy Statement for the Annual Meeting is available at </w:t>
      </w:r>
      <w:r>
        <w:rPr>
          <w:rFonts w:ascii="Arial" w:cs="Arial" w:eastAsia="Arial" w:hAnsi="Arial"/>
          <w:sz w:val="18"/>
          <w:szCs w:val="18"/>
          <w:i w:val="1"/>
          <w:iCs w:val="1"/>
          <w:color w:val="auto"/>
        </w:rPr>
        <w:t>www.proxyvote.com.</w:t>
      </w:r>
    </w:p>
    <w:p>
      <w:pPr>
        <w:sectPr>
          <w:pgSz w:w="11900" w:h="16838" w:orient="portrait"/>
          <w:cols w:equalWidth="0" w:num="1">
            <w:col w:w="11400"/>
          </w:cols>
          <w:pgMar w:left="240" w:top="1440" w:right="259" w:bottom="1440" w:gutter="0" w:footer="0" w:header="0"/>
        </w:sectPr>
      </w:pPr>
    </w:p>
    <w:bookmarkStart w:id="4" w:name="page5"/>
    <w:bookmarkEnd w:id="4"/>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111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11136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firstLine="443"/>
        <w:spacing w:after="0" w:line="259"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2016, please review our Annual Report on Form 10-K for the year ended December 31, 2016, which was filed with the Securities and Exchange Commission, or the SEC, on March 16,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Annual Meeting Information</w:t>
      </w:r>
    </w:p>
    <w:p>
      <w:pPr>
        <w:sectPr>
          <w:pgSz w:w="11900" w:h="16838" w:orient="portrait"/>
          <w:cols w:equalWidth="0" w:num="1">
            <w:col w:w="10960"/>
          </w:cols>
          <w:pgMar w:left="440" w:top="1440" w:right="4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 and Date: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9:30 a.m., local time on Friday, May 19, 2017</w:t>
      </w:r>
    </w:p>
    <w:p>
      <w:pPr>
        <w:spacing w:after="0" w:line="140" w:lineRule="exact"/>
        <w:rPr>
          <w:sz w:val="20"/>
          <w:szCs w:val="20"/>
          <w:color w:val="auto"/>
        </w:rPr>
      </w:pPr>
    </w:p>
    <w:p>
      <w:pPr>
        <w:sectPr>
          <w:pgSz w:w="11900" w:h="16838" w:orient="portrait"/>
          <w:cols w:equalWidth="0" w:num="2">
            <w:col w:w="1180" w:space="720"/>
            <w:col w:w="9060"/>
          </w:cols>
          <w:pgMar w:left="440" w:top="1440" w:right="49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Marriott Harbor Beach Resort &amp; Spa, 3030 Holiday Drive, Fort Lauderdale, Florida 33316</w:t>
      </w:r>
    </w:p>
    <w:p>
      <w:pPr>
        <w:spacing w:after="0" w:line="140" w:lineRule="exact"/>
        <w:rPr>
          <w:sz w:val="20"/>
          <w:szCs w:val="20"/>
          <w:color w:val="auto"/>
        </w:rPr>
      </w:pPr>
    </w:p>
    <w:p>
      <w:pPr>
        <w:sectPr>
          <w:pgSz w:w="11900" w:h="16838" w:orient="portrait"/>
          <w:cols w:equalWidth="0" w:num="2">
            <w:col w:w="1180" w:space="720"/>
            <w:col w:w="9060"/>
          </w:cols>
          <w:pgMar w:left="440" w:top="1440" w:right="4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20, 2017</w:t>
      </w:r>
    </w:p>
    <w:p>
      <w:pPr>
        <w:spacing w:after="0" w:line="140" w:lineRule="exact"/>
        <w:rPr>
          <w:sz w:val="20"/>
          <w:szCs w:val="20"/>
          <w:color w:val="auto"/>
        </w:rPr>
      </w:pPr>
    </w:p>
    <w:p>
      <w:pPr>
        <w:sectPr>
          <w:pgSz w:w="11900" w:h="16838" w:orient="portrait"/>
          <w:cols w:equalWidth="0" w:num="2">
            <w:col w:w="1180" w:space="720"/>
            <w:col w:w="9060"/>
          </w:cols>
          <w:pgMar w:left="440" w:top="1440" w:right="4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Voting:</w:t>
      </w:r>
    </w:p>
    <w:p>
      <w:pPr>
        <w:spacing w:after="0" w:line="20" w:lineRule="exact"/>
        <w:rPr>
          <w:sz w:val="20"/>
          <w:szCs w:val="20"/>
          <w:color w:val="auto"/>
        </w:rPr>
      </w:pPr>
      <w:r>
        <w:rPr>
          <w:sz w:val="20"/>
          <w:szCs w:val="20"/>
          <w:color w:val="auto"/>
        </w:rPr>
        <w:br w:type="column"/>
      </w:r>
    </w:p>
    <w:p>
      <w:pPr>
        <w:jc w:val="both"/>
        <w:ind w:right="220"/>
        <w:spacing w:after="0" w:line="264" w:lineRule="auto"/>
        <w:rPr>
          <w:sz w:val="20"/>
          <w:szCs w:val="20"/>
          <w:color w:val="auto"/>
        </w:rPr>
      </w:pPr>
      <w:r>
        <w:rPr>
          <w:rFonts w:ascii="Arial" w:cs="Arial" w:eastAsia="Arial" w:hAnsi="Arial"/>
          <w:sz w:val="18"/>
          <w:szCs w:val="18"/>
          <w:color w:val="auto"/>
        </w:rPr>
        <w:t>Stockholders as of the record date are entitled to vote. Each share of common stock is entitled to one vote for each director nominee and one vote for each other proposal to be voted on. On the record date, there were 27,387,981 shares of common stock issued and outstanding and entitled to vote at the Annual Meeting.</w:t>
      </w:r>
    </w:p>
    <w:p>
      <w:pPr>
        <w:spacing w:after="0" w:line="200" w:lineRule="exact"/>
        <w:rPr>
          <w:sz w:val="20"/>
          <w:szCs w:val="20"/>
          <w:color w:val="auto"/>
        </w:rPr>
      </w:pPr>
    </w:p>
    <w:p>
      <w:pPr>
        <w:sectPr>
          <w:pgSz w:w="11900" w:h="16838" w:orient="portrait"/>
          <w:cols w:equalWidth="0" w:num="2">
            <w:col w:w="1180" w:space="720"/>
            <w:col w:w="9060"/>
          </w:cols>
          <w:pgMar w:left="440" w:top="1440" w:right="49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right="20" w:firstLine="443"/>
        <w:spacing w:after="0" w:line="277" w:lineRule="auto"/>
        <w:rPr>
          <w:sz w:val="20"/>
          <w:szCs w:val="20"/>
          <w:color w:val="auto"/>
        </w:rPr>
      </w:pPr>
      <w:r>
        <w:rPr>
          <w:rFonts w:ascii="Arial" w:cs="Arial" w:eastAsia="Arial" w:hAnsi="Arial"/>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76" w:lineRule="exact"/>
        <w:rPr>
          <w:sz w:val="20"/>
          <w:szCs w:val="20"/>
          <w:color w:val="auto"/>
        </w:rPr>
      </w:pPr>
    </w:p>
    <w:p>
      <w:pPr>
        <w:ind w:left="1420" w:hanging="545"/>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1420" w:hanging="545"/>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1420" w:hanging="545"/>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1420" w:hanging="545"/>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25" w:lineRule="exact"/>
        <w:rPr>
          <w:sz w:val="20"/>
          <w:szCs w:val="20"/>
          <w:color w:val="auto"/>
        </w:rPr>
      </w:pPr>
    </w:p>
    <w:p>
      <w:pPr>
        <w:ind w:right="300" w:firstLine="443"/>
        <w:spacing w:after="0" w:line="277" w:lineRule="auto"/>
        <w:rPr>
          <w:sz w:val="20"/>
          <w:szCs w:val="20"/>
          <w:color w:val="auto"/>
        </w:rPr>
      </w:pPr>
      <w:r>
        <w:rPr>
          <w:rFonts w:ascii="Arial" w:cs="Arial" w:eastAsia="Arial" w:hAnsi="Arial"/>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 for Annual Meeting</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Proposal</w:t>
            </w:r>
          </w:p>
        </w:tc>
        <w:tc>
          <w:tcPr>
            <w:tcW w:w="340" w:type="dxa"/>
            <w:vAlign w:val="bottom"/>
          </w:tcPr>
          <w:p>
            <w:pPr>
              <w:spacing w:after="0"/>
              <w:rPr>
                <w:sz w:val="14"/>
                <w:szCs w:val="14"/>
                <w:color w:val="auto"/>
              </w:rPr>
            </w:pPr>
          </w:p>
        </w:tc>
        <w:tc>
          <w:tcPr>
            <w:tcW w:w="7200" w:type="dxa"/>
            <w:vAlign w:val="bottom"/>
            <w:gridSpan w:val="2"/>
            <w:vMerge w:val="restart"/>
          </w:tcPr>
          <w:p>
            <w:pPr>
              <w:ind w:left="2800"/>
              <w:spacing w:after="0"/>
              <w:rPr>
                <w:sz w:val="20"/>
                <w:szCs w:val="20"/>
                <w:color w:val="auto"/>
              </w:rPr>
            </w:pPr>
            <w:r>
              <w:rPr>
                <w:rFonts w:ascii="Arial" w:cs="Arial" w:eastAsia="Arial" w:hAnsi="Arial"/>
                <w:sz w:val="14"/>
                <w:szCs w:val="14"/>
                <w:b w:val="1"/>
                <w:bCs w:val="1"/>
                <w:color w:val="auto"/>
              </w:rPr>
              <w:t>Proposal Description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8"/>
        </w:trPr>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200" w:type="dxa"/>
            <w:vAlign w:val="bottom"/>
            <w:gridSpan w:val="2"/>
            <w:vMerge w:val="continue"/>
          </w:tcPr>
          <w:p>
            <w:pPr>
              <w:spacing w:after="0"/>
              <w:rPr>
                <w:sz w:val="15"/>
                <w:szCs w:val="15"/>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Recommendation</w:t>
            </w:r>
          </w:p>
        </w:tc>
        <w:tc>
          <w:tcPr>
            <w:tcW w:w="0" w:type="dxa"/>
            <w:vAlign w:val="bottom"/>
          </w:tcPr>
          <w:p>
            <w:pPr>
              <w:spacing w:after="0"/>
              <w:rPr>
                <w:sz w:val="1"/>
                <w:szCs w:val="1"/>
                <w:color w:val="auto"/>
              </w:rPr>
            </w:pPr>
          </w:p>
        </w:tc>
      </w:tr>
      <w:tr>
        <w:trPr>
          <w:trHeight w:val="217"/>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3"/>
              </w:rPr>
              <w:t>Proposal</w:t>
            </w:r>
          </w:p>
        </w:tc>
        <w:tc>
          <w:tcPr>
            <w:tcW w:w="640" w:type="dxa"/>
            <w:vAlign w:val="bottom"/>
          </w:tcPr>
          <w:p>
            <w:pPr>
              <w:ind w:left="140"/>
              <w:spacing w:after="0" w:line="190" w:lineRule="exact"/>
              <w:rPr>
                <w:sz w:val="20"/>
                <w:szCs w:val="20"/>
                <w:color w:val="auto"/>
              </w:rPr>
            </w:pPr>
            <w:r>
              <w:rPr>
                <w:rFonts w:ascii="Arial" w:cs="Arial" w:eastAsia="Arial" w:hAnsi="Arial"/>
                <w:sz w:val="18"/>
                <w:szCs w:val="18"/>
                <w:color w:val="auto"/>
              </w:rPr>
              <w:t>I</w:t>
            </w:r>
          </w:p>
        </w:tc>
        <w:tc>
          <w:tcPr>
            <w:tcW w:w="340" w:type="dxa"/>
            <w:vAlign w:val="bottom"/>
          </w:tcPr>
          <w:p>
            <w:pPr>
              <w:spacing w:after="0"/>
              <w:rPr>
                <w:sz w:val="18"/>
                <w:szCs w:val="18"/>
                <w:color w:val="auto"/>
              </w:rPr>
            </w:pPr>
          </w:p>
        </w:tc>
        <w:tc>
          <w:tcPr>
            <w:tcW w:w="6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Election of the two Class I directors named herein to serve for a term of three years</w:t>
            </w:r>
          </w:p>
        </w:tc>
        <w:tc>
          <w:tcPr>
            <w:tcW w:w="28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r>
        <w:trPr>
          <w:trHeight w:val="310"/>
        </w:trPr>
        <w:tc>
          <w:tcPr>
            <w:tcW w:w="1180" w:type="dxa"/>
            <w:vAlign w:val="bottom"/>
            <w:gridSpan w:val="2"/>
          </w:tcPr>
          <w:p>
            <w:pPr>
              <w:spacing w:after="0"/>
              <w:rPr>
                <w:sz w:val="20"/>
                <w:szCs w:val="20"/>
                <w:color w:val="auto"/>
              </w:rPr>
            </w:pPr>
            <w:r>
              <w:rPr>
                <w:rFonts w:ascii="Arial" w:cs="Arial" w:eastAsia="Arial" w:hAnsi="Arial"/>
                <w:sz w:val="18"/>
                <w:szCs w:val="18"/>
                <w:color w:val="auto"/>
              </w:rPr>
              <w:t>Proposal II</w:t>
            </w:r>
          </w:p>
        </w:tc>
        <w:tc>
          <w:tcPr>
            <w:tcW w:w="7540" w:type="dxa"/>
            <w:vAlign w:val="bottom"/>
            <w:gridSpan w:val="3"/>
          </w:tcPr>
          <w:p>
            <w:pPr>
              <w:ind w:left="340"/>
              <w:spacing w:after="0"/>
              <w:rPr>
                <w:sz w:val="20"/>
                <w:szCs w:val="20"/>
                <w:color w:val="auto"/>
              </w:rPr>
            </w:pPr>
            <w:r>
              <w:rPr>
                <w:rFonts w:ascii="Arial" w:cs="Arial" w:eastAsia="Arial" w:hAnsi="Arial"/>
                <w:sz w:val="18"/>
                <w:szCs w:val="18"/>
                <w:color w:val="auto"/>
              </w:rPr>
              <w:t>Advisory (non-binding) vote to approve the compensation of our named executive officers</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r>
        <w:trPr>
          <w:trHeight w:val="310"/>
        </w:trPr>
        <w:tc>
          <w:tcPr>
            <w:tcW w:w="1180" w:type="dxa"/>
            <w:vAlign w:val="bottom"/>
            <w:gridSpan w:val="2"/>
          </w:tcPr>
          <w:p>
            <w:pPr>
              <w:spacing w:after="0"/>
              <w:rPr>
                <w:sz w:val="20"/>
                <w:szCs w:val="20"/>
                <w:color w:val="auto"/>
              </w:rPr>
            </w:pPr>
            <w:r>
              <w:rPr>
                <w:rFonts w:ascii="Arial" w:cs="Arial" w:eastAsia="Arial" w:hAnsi="Arial"/>
                <w:sz w:val="18"/>
                <w:szCs w:val="18"/>
                <w:color w:val="auto"/>
              </w:rPr>
              <w:t>Proposal III</w:t>
            </w:r>
          </w:p>
        </w:tc>
        <w:tc>
          <w:tcPr>
            <w:tcW w:w="7540" w:type="dxa"/>
            <w:vAlign w:val="bottom"/>
            <w:gridSpan w:val="3"/>
          </w:tcPr>
          <w:p>
            <w:pPr>
              <w:ind w:left="340"/>
              <w:spacing w:after="0"/>
              <w:rPr>
                <w:sz w:val="20"/>
                <w:szCs w:val="20"/>
                <w:color w:val="auto"/>
              </w:rPr>
            </w:pPr>
            <w:r>
              <w:rPr>
                <w:rFonts w:ascii="Arial" w:cs="Arial" w:eastAsia="Arial" w:hAnsi="Arial"/>
                <w:sz w:val="18"/>
                <w:szCs w:val="18"/>
                <w:color w:val="auto"/>
              </w:rPr>
              <w:t>Advisory (non-binding) vote to set the frequency of future advisory votes on executive</w:t>
            </w:r>
          </w:p>
        </w:tc>
        <w:tc>
          <w:tcPr>
            <w:tcW w:w="1460" w:type="dxa"/>
            <w:vAlign w:val="bottom"/>
          </w:tcPr>
          <w:p>
            <w:pPr>
              <w:jc w:val="center"/>
              <w:spacing w:after="0"/>
              <w:rPr>
                <w:sz w:val="20"/>
                <w:szCs w:val="20"/>
                <w:color w:val="auto"/>
              </w:rPr>
            </w:pPr>
            <w:r>
              <w:rPr>
                <w:rFonts w:ascii="Arial" w:cs="Arial" w:eastAsia="Arial" w:hAnsi="Arial"/>
                <w:sz w:val="18"/>
                <w:szCs w:val="18"/>
                <w:color w:val="auto"/>
              </w:rPr>
              <w:t>“ONE YEAR”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8"/>
                <w:szCs w:val="18"/>
                <w:color w:val="auto"/>
              </w:rPr>
              <w:t>compensation</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80" w:type="dxa"/>
            <w:vAlign w:val="bottom"/>
            <w:gridSpan w:val="2"/>
          </w:tcPr>
          <w:p>
            <w:pPr>
              <w:spacing w:after="0"/>
              <w:rPr>
                <w:sz w:val="20"/>
                <w:szCs w:val="20"/>
                <w:color w:val="auto"/>
              </w:rPr>
            </w:pPr>
            <w:r>
              <w:rPr>
                <w:rFonts w:ascii="Arial" w:cs="Arial" w:eastAsia="Arial" w:hAnsi="Arial"/>
                <w:sz w:val="18"/>
                <w:szCs w:val="18"/>
                <w:color w:val="auto"/>
              </w:rPr>
              <w:t>Proposal IV</w:t>
            </w:r>
          </w:p>
        </w:tc>
        <w:tc>
          <w:tcPr>
            <w:tcW w:w="7540" w:type="dxa"/>
            <w:vAlign w:val="bottom"/>
            <w:gridSpan w:val="3"/>
          </w:tcPr>
          <w:p>
            <w:pPr>
              <w:ind w:left="340"/>
              <w:spacing w:after="0"/>
              <w:rPr>
                <w:sz w:val="20"/>
                <w:szCs w:val="20"/>
                <w:color w:val="auto"/>
              </w:rPr>
            </w:pPr>
            <w:r>
              <w:rPr>
                <w:rFonts w:ascii="Arial" w:cs="Arial" w:eastAsia="Arial" w:hAnsi="Arial"/>
                <w:sz w:val="18"/>
                <w:szCs w:val="18"/>
                <w:color w:val="auto"/>
              </w:rPr>
              <w:t>Advisory vote to ratify the selection of PricewaterhouseCoopers LLP as our registered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540" w:type="dxa"/>
            <w:vAlign w:val="bottom"/>
            <w:gridSpan w:val="3"/>
          </w:tcPr>
          <w:p>
            <w:pPr>
              <w:ind w:left="340"/>
              <w:spacing w:after="0"/>
              <w:rPr>
                <w:sz w:val="20"/>
                <w:szCs w:val="20"/>
                <w:color w:val="auto"/>
              </w:rPr>
            </w:pPr>
            <w:r>
              <w:rPr>
                <w:rFonts w:ascii="Arial" w:cs="Arial" w:eastAsia="Arial" w:hAnsi="Arial"/>
                <w:sz w:val="18"/>
                <w:szCs w:val="18"/>
                <w:color w:val="auto"/>
              </w:rPr>
              <w:t>independent public accounting firm</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1440" w:right="499" w:bottom="1440" w:gutter="0" w:footer="0" w:header="0"/>
          <w:type w:val="continuous"/>
        </w:sectPr>
      </w:pPr>
    </w:p>
    <w:bookmarkStart w:id="5" w:name="page6"/>
    <w:bookmarkEnd w:id="5"/>
    <w:p>
      <w:pPr>
        <w:ind w:lef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35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335905"/>
                    </a:xfrm>
                    <a:prstGeom prst="rect">
                      <a:avLst/>
                    </a:prstGeom>
                    <a:noFill/>
                  </pic:spPr>
                </pic:pic>
              </a:graphicData>
            </a:graphic>
          </wp:anchor>
        </w:drawing>
        <w:t>Director Nominees</w:t>
      </w:r>
    </w:p>
    <w:p>
      <w:pPr>
        <w:spacing w:after="0" w:line="121" w:lineRule="exact"/>
        <w:rPr>
          <w:sz w:val="20"/>
          <w:szCs w:val="20"/>
          <w:color w:val="auto"/>
        </w:rPr>
      </w:pPr>
    </w:p>
    <w:p>
      <w:pPr>
        <w:ind w:left="443"/>
        <w:spacing w:after="0"/>
        <w:rPr>
          <w:sz w:val="20"/>
          <w:szCs w:val="20"/>
          <w:color w:val="auto"/>
        </w:rPr>
      </w:pPr>
      <w:r>
        <w:rPr>
          <w:rFonts w:ascii="Arial" w:cs="Arial" w:eastAsia="Arial" w:hAnsi="Arial"/>
          <w:sz w:val="18"/>
          <w:szCs w:val="18"/>
          <w:color w:val="auto"/>
        </w:rPr>
        <w:t>The following table provides summary information about each director nominee to be voted on at the Annual Meeting:</w:t>
      </w:r>
    </w:p>
    <w:p>
      <w:pPr>
        <w:spacing w:after="0" w:line="231"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Age</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Director</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Position</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Committee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Independent</w:t>
            </w:r>
          </w:p>
        </w:tc>
        <w:tc>
          <w:tcPr>
            <w:tcW w:w="0" w:type="dxa"/>
            <w:vAlign w:val="bottom"/>
          </w:tcPr>
          <w:p>
            <w:pPr>
              <w:spacing w:after="0"/>
              <w:rPr>
                <w:sz w:val="1"/>
                <w:szCs w:val="1"/>
                <w:color w:val="auto"/>
              </w:rPr>
            </w:pPr>
          </w:p>
        </w:tc>
      </w:tr>
      <w:tr>
        <w:trPr>
          <w:trHeight w:val="158"/>
        </w:trPr>
        <w:tc>
          <w:tcPr>
            <w:tcW w:w="664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Since</w:t>
            </w:r>
          </w:p>
        </w:tc>
        <w:tc>
          <w:tcPr>
            <w:tcW w:w="960" w:type="dxa"/>
            <w:vAlign w:val="bottom"/>
            <w:gridSpan w:val="2"/>
            <w:vMerge w:val="continue"/>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 xml:space="preserve">Memberships </w:t>
            </w:r>
            <w:r>
              <w:rPr>
                <w:rFonts w:ascii="Arial" w:cs="Arial" w:eastAsia="Arial" w:hAnsi="Arial"/>
                <w:sz w:val="12"/>
                <w:szCs w:val="12"/>
                <w:b w:val="1"/>
                <w:bCs w:val="1"/>
                <w:color w:val="auto"/>
                <w:w w:val="93"/>
              </w:rPr>
              <w:t>(1)</w:t>
            </w: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Carey A. Smith</w:t>
            </w:r>
          </w:p>
        </w:tc>
        <w:tc>
          <w:tcPr>
            <w:tcW w:w="2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53</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Nominee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30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1997</w:t>
            </w:r>
          </w:p>
        </w:tc>
        <w:tc>
          <w:tcPr>
            <w:tcW w:w="3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CC, GC</w:t>
            </w:r>
          </w:p>
        </w:tc>
        <w:tc>
          <w:tcPr>
            <w:tcW w:w="7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3" w:hanging="423"/>
        <w:spacing w:after="0"/>
        <w:tabs>
          <w:tab w:leader="none" w:pos="42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 </w:t>
      </w:r>
      <w:r>
        <w:rPr>
          <w:rFonts w:ascii="Arial" w:cs="Arial" w:eastAsia="Arial" w:hAnsi="Arial"/>
          <w:sz w:val="18"/>
          <w:szCs w:val="18"/>
          <w:color w:val="auto"/>
        </w:rPr>
        <w:t>- Compensation Committee;</w:t>
      </w:r>
      <w:r>
        <w:rPr>
          <w:rFonts w:ascii="Arial" w:cs="Arial" w:eastAsia="Arial" w:hAnsi="Arial"/>
          <w:sz w:val="18"/>
          <w:szCs w:val="18"/>
          <w:b w:val="1"/>
          <w:bCs w:val="1"/>
          <w:i w:val="1"/>
          <w:iCs w:val="1"/>
          <w:color w:val="auto"/>
        </w:rPr>
        <w:t xml:space="preserve"> GC </w:t>
      </w:r>
      <w:r>
        <w:rPr>
          <w:rFonts w:ascii="Arial" w:cs="Arial" w:eastAsia="Arial" w:hAnsi="Arial"/>
          <w:sz w:val="18"/>
          <w:szCs w:val="18"/>
          <w:color w:val="auto"/>
        </w:rPr>
        <w:t>– Governance Committee</w:t>
      </w:r>
    </w:p>
    <w:p>
      <w:pPr>
        <w:spacing w:after="0" w:line="32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Corporate Governance Summary</w:t>
      </w:r>
    </w:p>
    <w:p>
      <w:pPr>
        <w:spacing w:after="0" w:line="121" w:lineRule="exact"/>
        <w:rPr>
          <w:sz w:val="20"/>
          <w:szCs w:val="20"/>
          <w:color w:val="auto"/>
        </w:rPr>
      </w:pPr>
    </w:p>
    <w:p>
      <w:pPr>
        <w:ind w:left="3" w:right="100" w:firstLine="885"/>
        <w:spacing w:after="0" w:line="342" w:lineRule="auto"/>
        <w:rPr>
          <w:sz w:val="20"/>
          <w:szCs w:val="20"/>
          <w:color w:val="auto"/>
        </w:rPr>
      </w:pPr>
      <w:r>
        <w:rPr>
          <w:rFonts w:ascii="Arial" w:cs="Arial" w:eastAsia="Arial" w:hAnsi="Arial"/>
          <w:sz w:val="16"/>
          <w:szCs w:val="16"/>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29" w:lineRule="exact"/>
        <w:rPr>
          <w:sz w:val="20"/>
          <w:szCs w:val="20"/>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independent directors, except for our Chief Executive Officer;</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presiding Chairman of the Board of Directors;</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Standing committees consist entirely of independent directors;</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oversight by our Board of Directors and our standing committees;</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compensation driven by pay-for-performance philosophy;</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Majority voting for uncontested director elections;</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Limits on directors’ service on other public company boards and audit committees;</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 compensation recoupment (clawback) policy applicable to any equity awards issued under our compensation plans;</w:t>
      </w:r>
    </w:p>
    <w:p>
      <w:pPr>
        <w:spacing w:after="0" w:line="130" w:lineRule="exact"/>
        <w:rPr>
          <w:rFonts w:ascii="Arial" w:cs="Arial" w:eastAsia="Arial" w:hAnsi="Arial"/>
          <w:sz w:val="18"/>
          <w:szCs w:val="18"/>
          <w:color w:val="auto"/>
        </w:rPr>
      </w:pPr>
    </w:p>
    <w:p>
      <w:pPr>
        <w:ind w:left="863" w:hanging="43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and executive stock ownership guidelines; and</w:t>
      </w:r>
    </w:p>
    <w:p>
      <w:pPr>
        <w:spacing w:after="0" w:line="130" w:lineRule="exact"/>
        <w:rPr>
          <w:rFonts w:ascii="Arial" w:cs="Arial" w:eastAsia="Arial" w:hAnsi="Arial"/>
          <w:sz w:val="18"/>
          <w:szCs w:val="18"/>
          <w:color w:val="auto"/>
        </w:rPr>
      </w:pPr>
    </w:p>
    <w:p>
      <w:pPr>
        <w:ind w:left="863" w:right="200" w:hanging="431"/>
        <w:spacing w:after="0" w:line="277" w:lineRule="auto"/>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Engagement of compensation consultant, Willis Towers Watson, to support our efforts of further aligning executive compensation with our stockholders’ interests.</w:t>
      </w:r>
    </w:p>
    <w:p>
      <w:pPr>
        <w:spacing w:after="0" w:line="247" w:lineRule="exact"/>
        <w:rPr>
          <w:sz w:val="20"/>
          <w:szCs w:val="20"/>
          <w:color w:val="auto"/>
        </w:rPr>
      </w:pPr>
    </w:p>
    <w:p>
      <w:pPr>
        <w:ind w:left="123" w:right="12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1063"/>
          </w:cols>
          <w:pgMar w:left="437" w:top="459" w:right="399" w:bottom="1440" w:gutter="0" w:footer="0" w:header="0"/>
        </w:sectPr>
      </w:pPr>
    </w:p>
    <w:bookmarkStart w:id="6" w:name="page7"/>
    <w:bookmarkEnd w:id="6"/>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8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289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2017 ANNUAL MEETING OF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Johnson City, Tennessee 37604</w:t>
      </w:r>
    </w:p>
    <w:p>
      <w:pPr>
        <w:spacing w:after="0" w:line="21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Proxies are being solicited by the board of directors of NN, Inc., or the Board, in connection with the 2017 Annual Meeting of Stockholders of NN, Inc., or the Annual Meeting. Your vote is very important. For this reason, our Board is requesting that you allow your shares to be represented at the Annual Meeting by the proxies named on the enclosed proxy card. In connection with our solicitation of proxies, we are mailing this proxy statement for the Annual Meeting, or this Proxy Statement, the enclosed proxy card and our 2016 Annual Report on Form 10-K to all stockholders beginning on or about April 7, 2017.</w:t>
      </w:r>
    </w:p>
    <w:p>
      <w:pPr>
        <w:spacing w:after="0" w:line="18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In this Proxy Statement, terms such as “NN,” the “Company,” “we,” “us” and “our” refer to NN, Inc. The mailing address of our executive office is 207 Mockingbird Lane, Johnson City, Tennessee 37604. Our website is </w:t>
      </w:r>
      <w:r>
        <w:rPr>
          <w:rFonts w:ascii="Arial" w:cs="Arial" w:eastAsia="Arial" w:hAnsi="Arial"/>
          <w:sz w:val="18"/>
          <w:szCs w:val="18"/>
          <w:i w:val="1"/>
          <w:iCs w:val="1"/>
          <w:color w:val="auto"/>
        </w:rPr>
        <w:t>www.nninc.com</w:t>
      </w:r>
      <w:r>
        <w:rPr>
          <w:rFonts w:ascii="Arial" w:cs="Arial" w:eastAsia="Arial" w:hAnsi="Arial"/>
          <w:sz w:val="18"/>
          <w:szCs w:val="18"/>
          <w:color w:val="auto"/>
        </w:rPr>
        <w:t>. Information from our website is not incorporated by reference into any portion of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Date, Time and Location</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Annual Meeting will be held on Friday, May 19, 2017 at 9:30 a.m., local time, at the Marriott Harbor Beach Resort &amp; Spa, 3030 Holiday Drive, Fort Lauderdale, Florida 33316.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Stockholders of record of our common stock, par value $0.01 per share, or the common stock, as of the close of business on March 20, 2017, or the Record Date, will be entitled to vote at the Annual Meeting. On the Record Date, 27,387,981 shares of common stock were issued and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87" w:lineRule="exact"/>
        <w:rPr>
          <w:sz w:val="20"/>
          <w:szCs w:val="20"/>
          <w:color w:val="auto"/>
        </w:rPr>
      </w:pPr>
    </w:p>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Stockholders of Record</w:t>
      </w:r>
    </w:p>
    <w:p>
      <w:pPr>
        <w:spacing w:after="0" w:line="121"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ectPr>
          <w:pgSz w:w="11900" w:h="16838" w:orient="portrait"/>
          <w:cols w:equalWidth="0" w:num="1">
            <w:col w:w="11380"/>
          </w:cols>
          <w:pgMar w:left="240" w:top="1440" w:right="279" w:bottom="1440" w:gutter="0" w:footer="0" w:header="0"/>
        </w:sectPr>
      </w:pPr>
    </w:p>
    <w:bookmarkStart w:id="7" w:name="page8"/>
    <w:bookmarkEnd w:id="7"/>
    <w:p>
      <w:pPr>
        <w:ind w:right="14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vote by proxy and your proxy card is incomplete, or if you do not provide instructions with respect to any of the proposals, the appointed proxy will vote “FOR” Proposal I </w:t>
      </w:r>
      <w:r>
        <w:rPr>
          <w:rFonts w:ascii="Arial" w:cs="Arial" w:eastAsia="Arial" w:hAnsi="Arial"/>
          <w:sz w:val="16"/>
          <w:szCs w:val="16"/>
          <w:i w:val="1"/>
          <w:iCs w:val="1"/>
          <w:color w:val="auto"/>
        </w:rPr>
        <w:t>(Election of Directors)</w:t>
      </w:r>
      <w:r>
        <w:rPr>
          <w:rFonts w:ascii="Arial" w:cs="Arial" w:eastAsia="Arial" w:hAnsi="Arial"/>
          <w:sz w:val="16"/>
          <w:szCs w:val="16"/>
          <w:color w:val="auto"/>
        </w:rPr>
        <w:t xml:space="preserve">, Proposal II </w:t>
      </w:r>
      <w:r>
        <w:rPr>
          <w:rFonts w:ascii="Arial" w:cs="Arial" w:eastAsia="Arial" w:hAnsi="Arial"/>
          <w:sz w:val="16"/>
          <w:szCs w:val="16"/>
          <w:i w:val="1"/>
          <w:iCs w:val="1"/>
          <w:color w:val="auto"/>
        </w:rPr>
        <w:t>(Advisory (Non-Binding) Vote to Approve the Compensation of our Named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Officers), </w:t>
      </w:r>
      <w:r>
        <w:rPr>
          <w:rFonts w:ascii="Arial" w:cs="Arial" w:eastAsia="Arial" w:hAnsi="Arial"/>
          <w:sz w:val="16"/>
          <w:szCs w:val="16"/>
          <w:color w:val="auto"/>
        </w:rPr>
        <w:t>Proposal III</w:t>
      </w:r>
      <w:r>
        <w:rPr>
          <w:rFonts w:ascii="Arial" w:cs="Arial" w:eastAsia="Arial" w:hAnsi="Arial"/>
          <w:sz w:val="16"/>
          <w:szCs w:val="16"/>
          <w:i w:val="1"/>
          <w:iCs w:val="1"/>
          <w:color w:val="auto"/>
        </w:rPr>
        <w:t xml:space="preserve"> (Advisory (Non-Binding) Vote to Set the Frequency of Future Advisory Votes on Executive Compensation)</w:t>
      </w:r>
      <w:r>
        <w:rPr>
          <w:rFonts w:ascii="Arial" w:cs="Arial" w:eastAsia="Arial" w:hAnsi="Arial"/>
          <w:sz w:val="16"/>
          <w:szCs w:val="16"/>
          <w:color w:val="auto"/>
        </w:rPr>
        <w:t>, and Proposal</w:t>
      </w:r>
    </w:p>
    <w:p>
      <w:pPr>
        <w:ind w:right="400"/>
        <w:spacing w:after="0" w:line="255"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(Ratification of Selection of our Registered Independent Public Accounting Firm),</w:t>
      </w:r>
      <w:r>
        <w:rPr>
          <w:rFonts w:ascii="Arial" w:cs="Arial" w:eastAsia="Arial" w:hAnsi="Arial"/>
          <w:sz w:val="18"/>
          <w:szCs w:val="18"/>
          <w:color w:val="auto"/>
        </w:rPr>
        <w:t xml:space="preserve"> pursuant to the appointed proxy’s discretion for any other business properly brought before the Annual Meeting. If your proxy card is unclear as to how you intended to vote (</w:t>
      </w:r>
      <w:r>
        <w:rPr>
          <w:rFonts w:ascii="Arial" w:cs="Arial" w:eastAsia="Arial" w:hAnsi="Arial"/>
          <w:sz w:val="18"/>
          <w:szCs w:val="18"/>
          <w:i w:val="1"/>
          <w:iCs w:val="1"/>
          <w:color w:val="auto"/>
        </w:rPr>
        <w:t>e.g.</w:t>
      </w:r>
      <w:r>
        <w:rPr>
          <w:rFonts w:ascii="Arial" w:cs="Arial" w:eastAsia="Arial" w:hAnsi="Arial"/>
          <w:sz w:val="18"/>
          <w:szCs w:val="18"/>
          <w:color w:val="auto"/>
        </w:rPr>
        <w:t>, multiple selections are made for one proposal), your proxy will be voted pursuant to the discretion of the appointed proxy.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Beneficial Owners</w:t>
      </w:r>
    </w:p>
    <w:p>
      <w:pPr>
        <w:spacing w:after="0" w:line="121"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6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IV </w:t>
      </w:r>
      <w:r>
        <w:rPr>
          <w:rFonts w:ascii="Arial" w:cs="Arial" w:eastAsia="Arial" w:hAnsi="Arial"/>
          <w:sz w:val="17"/>
          <w:szCs w:val="17"/>
          <w:i w:val="1"/>
          <w:iCs w:val="1"/>
          <w:color w:val="auto"/>
        </w:rPr>
        <w:t>(Ratification of Selection of our Registered Independent Public Accounting Firm)</w:t>
      </w:r>
      <w:r>
        <w:rPr>
          <w:rFonts w:ascii="Arial" w:cs="Arial" w:eastAsia="Arial" w:hAnsi="Arial"/>
          <w:sz w:val="17"/>
          <w:szCs w:val="17"/>
          <w:color w:val="auto"/>
        </w:rPr>
        <w:t xml:space="preserve">; however, that organization will not be permitted to vote your shares on Proposal I </w:t>
      </w:r>
      <w:r>
        <w:rPr>
          <w:rFonts w:ascii="Arial" w:cs="Arial" w:eastAsia="Arial" w:hAnsi="Arial"/>
          <w:sz w:val="17"/>
          <w:szCs w:val="17"/>
          <w:i w:val="1"/>
          <w:iCs w:val="1"/>
          <w:color w:val="auto"/>
        </w:rPr>
        <w:t>(Election of Directors),</w:t>
      </w:r>
      <w:r>
        <w:rPr>
          <w:rFonts w:ascii="Arial" w:cs="Arial" w:eastAsia="Arial" w:hAnsi="Arial"/>
          <w:sz w:val="17"/>
          <w:szCs w:val="17"/>
          <w:color w:val="auto"/>
        </w:rPr>
        <w:t xml:space="preserve"> Proposal II </w:t>
      </w:r>
      <w:r>
        <w:rPr>
          <w:rFonts w:ascii="Arial" w:cs="Arial" w:eastAsia="Arial" w:hAnsi="Arial"/>
          <w:sz w:val="17"/>
          <w:szCs w:val="17"/>
          <w:i w:val="1"/>
          <w:iCs w:val="1"/>
          <w:color w:val="auto"/>
        </w:rPr>
        <w:t>(Advisory (Non-Binding) Vote to Approve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of our Named Executive Officers) </w:t>
      </w:r>
      <w:r>
        <w:rPr>
          <w:rFonts w:ascii="Arial" w:cs="Arial" w:eastAsia="Arial" w:hAnsi="Arial"/>
          <w:sz w:val="17"/>
          <w:szCs w:val="17"/>
          <w:color w:val="auto"/>
        </w:rPr>
        <w:t>or Proposal III</w:t>
      </w:r>
      <w:r>
        <w:rPr>
          <w:rFonts w:ascii="Arial" w:cs="Arial" w:eastAsia="Arial" w:hAnsi="Arial"/>
          <w:sz w:val="17"/>
          <w:szCs w:val="17"/>
          <w:i w:val="1"/>
          <w:iCs w:val="1"/>
          <w:color w:val="auto"/>
        </w:rPr>
        <w:t xml:space="preserve"> (Advisory (Non-Binding) Vote to Set the Frequency of Future Advisory Votes on Executive Compensation)</w:t>
      </w:r>
      <w:r>
        <w:rPr>
          <w:rFonts w:ascii="Arial" w:cs="Arial" w:eastAsia="Arial" w:hAnsi="Arial"/>
          <w:sz w:val="17"/>
          <w:szCs w:val="17"/>
          <w:color w:val="auto"/>
        </w:rPr>
        <w:t>. As a result, if you do not provide voting instructions to the organization maintaining your account, your shares will have no effect on the</w:t>
      </w:r>
      <w:r>
        <w:rPr>
          <w:rFonts w:ascii="Arial" w:cs="Arial" w:eastAsia="Arial" w:hAnsi="Arial"/>
          <w:sz w:val="17"/>
          <w:szCs w:val="17"/>
          <w:i w:val="1"/>
          <w:iCs w:val="1"/>
          <w:color w:val="auto"/>
        </w:rPr>
        <w:t xml:space="preserve"> </w:t>
      </w:r>
      <w:r>
        <w:rPr>
          <w:rFonts w:ascii="Arial" w:cs="Arial" w:eastAsia="Arial" w:hAnsi="Arial"/>
          <w:sz w:val="17"/>
          <w:szCs w:val="17"/>
          <w:color w:val="auto"/>
        </w:rPr>
        <w:t>outcome of the election of directors, the advisory vote to approve the compensation of our named executive officers, or the advisory vote to set the frequency of future advisory votes on executive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27,387,981 shares of common stock outstanding and entitled to vote. Thus, 13,693,991 shares of common stock must be represented by stockholders present in person or by proxy at the Annual Meeting to have a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Process and Majority Voting Standard</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bylaws provide that the number of directors will be determined by the Board, which has set the number at eight.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8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Our bylaws provide for a majority voting standard in uncontested elections. This means that in an election of directors where the number of nominees does not exceed the number of directors to be elected, each director must receive more votes cast “FOR” the nominee than votes cast “AGAINST”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Soliciting Proxies</w:t>
      </w:r>
    </w:p>
    <w:p>
      <w:pPr>
        <w:spacing w:after="0" w:line="12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advisory (non-binding) resolution to approve the compensation of our named executive officers, for “ONE YEAR” for the advisory (non-binding) resolution to set the frequency of future advisory votes on executive compensation, and “FOR” ratification of the selection of PricewaterhouseCoopers LLP to serve as our registered independent public accounting firm for 2017.</w:t>
      </w:r>
    </w:p>
    <w:p>
      <w:pPr>
        <w:spacing w:after="0" w:line="18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1920" w:hanging="440"/>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later date;</w:t>
      </w:r>
    </w:p>
    <w:p>
      <w:pPr>
        <w:spacing w:after="0" w:line="130" w:lineRule="exact"/>
        <w:rPr>
          <w:rFonts w:ascii="Arial" w:cs="Arial" w:eastAsia="Arial" w:hAnsi="Arial"/>
          <w:sz w:val="18"/>
          <w:szCs w:val="18"/>
          <w:color w:val="auto"/>
        </w:rPr>
      </w:pPr>
    </w:p>
    <w:p>
      <w:pPr>
        <w:ind w:left="1920" w:right="440" w:hanging="440"/>
        <w:spacing w:after="0" w:line="277" w:lineRule="auto"/>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NN, Inc., 207 Mockingbird Lane, Johnson City, Tennessee 37604, Attention: Secretary; or</w:t>
      </w:r>
    </w:p>
    <w:p>
      <w:pPr>
        <w:spacing w:after="0" w:line="75" w:lineRule="exact"/>
        <w:rPr>
          <w:rFonts w:ascii="Arial" w:cs="Arial" w:eastAsia="Arial" w:hAnsi="Arial"/>
          <w:sz w:val="18"/>
          <w:szCs w:val="18"/>
          <w:color w:val="auto"/>
        </w:rPr>
      </w:pPr>
    </w:p>
    <w:p>
      <w:pPr>
        <w:ind w:left="1920" w:right="600" w:hanging="440"/>
        <w:spacing w:after="0" w:line="277" w:lineRule="auto"/>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attend the Annual Meeting and notify the election officials that you wish to revoke your proxy and vote in person. Attending the Annual Meeting will not, by itself, revoke your proxy.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your shares are held by a brokerage firm, bank, dealer or similar organization, you should follow the instructions provided by that organization.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121" w:lineRule="exact"/>
        <w:rPr>
          <w:sz w:val="20"/>
          <w:szCs w:val="20"/>
          <w:color w:val="auto"/>
        </w:rPr>
      </w:pPr>
    </w:p>
    <w:p>
      <w:pPr>
        <w:ind w:right="400" w:firstLine="913"/>
        <w:spacing w:after="0" w:line="279" w:lineRule="auto"/>
        <w:rPr>
          <w:sz w:val="20"/>
          <w:szCs w:val="20"/>
          <w:color w:val="auto"/>
        </w:rPr>
      </w:pPr>
      <w:r>
        <w:rPr>
          <w:rFonts w:ascii="Arial" w:cs="Arial" w:eastAsia="Arial" w:hAnsi="Arial"/>
          <w:sz w:val="17"/>
          <w:szCs w:val="17"/>
          <w:b w:val="1"/>
          <w:bCs w:val="1"/>
          <w:i w:val="1"/>
          <w:iCs w:val="1"/>
          <w:color w:val="auto"/>
        </w:rPr>
        <w:t xml:space="preserve">Proposal I: Election of Directors. </w:t>
      </w:r>
      <w:r>
        <w:rPr>
          <w:rFonts w:ascii="Arial" w:cs="Arial" w:eastAsia="Arial" w:hAnsi="Arial"/>
          <w:sz w:val="17"/>
          <w:szCs w:val="17"/>
          <w:color w:val="auto"/>
        </w:rPr>
        <w:t>Directors are elected by a majority of the votes cast in person or by proxy. This means that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votes cast “FOR” the nominee must exceed the votes cast “AGAINST” the nominee. Abstentions and broker non-votes will not be taken into account in determining the outcome of the election. If a nominee fails to receive more “FOR” votes than votes cast “AGAINST,” and is an incumbent director, the nominee is required to tender his or her resignation to the Board of Directors for consideration.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9" w:name="page10"/>
    <w:bookmarkEnd w:id="9"/>
    <w:p>
      <w:pPr>
        <w:jc w:val="both"/>
        <w:ind w:right="180" w:firstLine="913"/>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Proposal II: Advisory (Non-Binding) Vote to Approve the Compensation of our Named Executive Officers. </w:t>
      </w:r>
      <w:r>
        <w:rPr>
          <w:rFonts w:ascii="Arial" w:cs="Arial" w:eastAsia="Arial" w:hAnsi="Arial"/>
          <w:sz w:val="18"/>
          <w:szCs w:val="18"/>
          <w:color w:val="auto"/>
        </w:rPr>
        <w:t>To be approved, this matter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81"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b w:val="1"/>
          <w:bCs w:val="1"/>
          <w:i w:val="1"/>
          <w:iCs w:val="1"/>
          <w:color w:val="auto"/>
        </w:rPr>
        <w:t xml:space="preserve">Proposal III: Advisory (Non-Binding) Vote to Set the Frequency of Future Advisory Votes on Executive Compensation. </w:t>
      </w:r>
      <w:r>
        <w:rPr>
          <w:rFonts w:ascii="Arial" w:cs="Arial" w:eastAsia="Arial" w:hAnsi="Arial"/>
          <w:sz w:val="17"/>
          <w:szCs w:val="17"/>
          <w:color w:val="auto"/>
        </w:rPr>
        <w:t>To be approved,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matter must receive the affirmative vote of the majority of the shares present in person or by proxy and entitled to vote on the matter. Abstentions will have the effect of “no” votes on this matter. A broker non-vote will have no impact on the vote for this proposal.</w:t>
      </w:r>
    </w:p>
    <w:p>
      <w:pPr>
        <w:spacing w:after="0" w:line="166"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b w:val="1"/>
          <w:bCs w:val="1"/>
          <w:i w:val="1"/>
          <w:iCs w:val="1"/>
          <w:color w:val="auto"/>
        </w:rPr>
        <w:t xml:space="preserve">Proposal IV: Ratification of Selection of our Registered Independent Public Accounting Firm. </w:t>
      </w:r>
      <w:r>
        <w:rPr>
          <w:rFonts w:ascii="Arial" w:cs="Arial" w:eastAsia="Arial" w:hAnsi="Arial"/>
          <w:sz w:val="18"/>
          <w:szCs w:val="18"/>
          <w:color w:val="auto"/>
        </w:rPr>
        <w:t>To be approved, this matter must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the majority of the shares present in person or by proxy and entitled to vote on the matter. Abstentions will have the effect of “no” votes on this matter. There will not be a broker non-vote with regard to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Any stockholder proposal intended to be presented at next year’s annual meeting of stockholders, including stockholder nominations for directors, must be received by us at our executive offices not later than December 8, 2017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92"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stockholder’s name and address and, if the stockholder holds for the benefit of another, the name and address of the beneficial owner;</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NN shares owned;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NN derivative securities owned;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stockholder holds any proxy or other right to vote on behalf of another;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short interest in any NN security;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rights to dividends on NN shares that are separated or separable from the underlying NN shares;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proportionate interest in any NN securities held by a general or limited partnership or limited liability company, or similar entity where the stockholder owns some or all of such entity;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performance-related fees to which the stockholder is entitled, based on the increase or decrease of the value of NN’s securities;</w:t>
      </w:r>
    </w:p>
    <w:p>
      <w:pPr>
        <w:spacing w:after="0" w:line="142" w:lineRule="exact"/>
        <w:rPr>
          <w:rFonts w:ascii="Arial" w:cs="Arial" w:eastAsia="Arial" w:hAnsi="Arial"/>
          <w:sz w:val="17"/>
          <w:szCs w:val="17"/>
          <w:color w:val="auto"/>
        </w:rPr>
      </w:pPr>
    </w:p>
    <w:p>
      <w:pPr>
        <w:ind w:left="1460" w:right="3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arrangements, rights or interests in any of the foregoing held by members of the stockholder’s immediate family sharing the same household;</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information reasonably requested by NN.</w:t>
      </w:r>
    </w:p>
    <w:p>
      <w:pPr>
        <w:spacing w:after="0" w:line="225"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Pursuant to our bylaws, proposals of stockholders not intended for inclusion in the proxy statement for the 2018 Annual Meeting of Stockholders must be received by us in writing not less than 90 days and not more than 120 days prior to May 19, 2018 to be considered timely. We also advise you to review our bylaws, which contain additional requirements about advance notice of stockholder proposals and director nominations, including the different notice submission date requirements in the event we do not hold our 2018 Annual Meeting of Stockholders on or between April 19, 2018 and July 18, 2018. All stockholder proposals should be sent to NN, Inc., Attention: Secretary, 207 Mockingbird Lane, Johnson City, Tennessee 37604.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The SEC’s rules regarding the delivery of proxy materials to stockholders permit us to deliver a single copy of these documents to an address shared by two or more of our stockholders. This method of delivery is called “householding,” and can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0" w:name="page11"/>
    <w:bookmarkEnd w:id="10"/>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66"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If you would like to receive more than one set of proxy materials, we will promptly send you additional copies upon written or oral request directed to our Secretary at 207 Mockingbird Lane, Johnson City, Tennessee 37604 or 423-434-8300. The same address and phone number may be used to notify us that you wish to receive a separate set of proxy materials in the future, or to request delivery of a single copy of our proxy materials if you are receiving multiple copies.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2017 Annual Meeting</w:t>
      </w:r>
    </w:p>
    <w:p>
      <w:pPr>
        <w:spacing w:after="0" w:line="12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Preliminary voting results will be announced at the Annual Meeting. Final results will be disclosed in a Current Report on Form 8-K, which can be found on the “Investor Relations” page of our website, </w:t>
      </w:r>
      <w:r>
        <w:rPr>
          <w:rFonts w:ascii="Arial" w:cs="Arial" w:eastAsia="Arial" w:hAnsi="Arial"/>
          <w:sz w:val="18"/>
          <w:szCs w:val="18"/>
          <w:i w:val="1"/>
          <w:iCs w:val="1"/>
          <w:color w:val="auto"/>
        </w:rPr>
        <w:t>www.nninc.com</w:t>
      </w:r>
      <w:r>
        <w:rPr>
          <w:rFonts w:ascii="Arial" w:cs="Arial" w:eastAsia="Arial" w:hAnsi="Arial"/>
          <w:sz w:val="18"/>
          <w:szCs w:val="18"/>
          <w:color w:val="auto"/>
        </w:rPr>
        <w:t>, following the report’s filing the SEC within four business days of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 Election of Directors</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Our Certificate of Incorporation provides for the division of the Board into three classes: Class I, Class II and Class III. Only one class of directors is elected at each annual meeting. Each director elected at an annual meeting serves for a three-year term and until his or her successor is elected and qualified, subject to such director’s earlier death, resignation or removal.</w:t>
      </w:r>
    </w:p>
    <w:p>
      <w:pPr>
        <w:spacing w:after="0" w:line="181"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Two Class I directors will be elected to the Board at the Annual Meeting. The Board has nominated for election Steven T. Warshaw, a current director, and Carey A. Smith, a nominee, to serve as a director. Ms. Smith was nominated for election to the Board at the Board meeting held on March 14, 2017. Ms. Smith, if elected, will replace G. Ronald Morris who will be retiring effective as of the 2017 Annual Meeting.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THE ELECTION OF THE NOMINATED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Directors and the Director Nominees</w:t>
      </w:r>
    </w:p>
    <w:p>
      <w:pPr>
        <w:spacing w:after="0" w:line="121"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40" w:type="dxa"/>
            <w:vAlign w:val="bottom"/>
            <w:vMerge w:val="restart"/>
          </w:tcPr>
          <w:p>
            <w:pPr>
              <w:spacing w:after="0"/>
              <w:rPr>
                <w:sz w:val="14"/>
                <w:szCs w:val="14"/>
                <w:color w:val="auto"/>
              </w:rPr>
            </w:pPr>
          </w:p>
        </w:tc>
        <w:tc>
          <w:tcPr>
            <w:tcW w:w="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Director</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640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7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Since</w:t>
            </w: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Expires</w:t>
            </w:r>
          </w:p>
        </w:tc>
        <w:tc>
          <w:tcPr>
            <w:tcW w:w="22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Dries</w:t>
            </w:r>
          </w:p>
        </w:tc>
        <w:tc>
          <w:tcPr>
            <w:tcW w:w="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65</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2014</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2019</w:t>
            </w:r>
          </w:p>
        </w:tc>
        <w:tc>
          <w:tcPr>
            <w:tcW w:w="22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David K. Floyd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r>
              <w:rPr>
                <w:rFonts w:ascii="Arial" w:cs="Arial" w:eastAsia="Arial" w:hAnsi="Arial"/>
                <w:sz w:val="15"/>
                <w:szCs w:val="15"/>
                <w:color w:val="auto"/>
              </w:rPr>
              <w:t>(1)</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Non-Executive Chairman</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1997</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Brunner</w:t>
            </w:r>
            <w:r>
              <w:rPr>
                <w:rFonts w:ascii="Arial" w:cs="Arial" w:eastAsia="Arial" w:hAnsi="Arial"/>
                <w:sz w:val="15"/>
                <w:szCs w:val="15"/>
                <w:color w:val="auto"/>
              </w:rPr>
              <w:t>(2)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Richard D. Holder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Pugh</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Carey A. Smith</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20"/>
                <w:szCs w:val="20"/>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6620" w:type="dxa"/>
            <w:vAlign w:val="bottom"/>
            <w:gridSpan w:val="2"/>
          </w:tcPr>
          <w:p>
            <w:pPr>
              <w:ind w:left="220"/>
              <w:spacing w:after="0"/>
              <w:rPr>
                <w:sz w:val="20"/>
                <w:szCs w:val="20"/>
                <w:color w:val="auto"/>
              </w:rPr>
            </w:pPr>
            <w:r>
              <w:rPr>
                <w:rFonts w:ascii="Arial" w:cs="Arial" w:eastAsia="Arial" w:hAnsi="Arial"/>
                <w:sz w:val="18"/>
                <w:szCs w:val="18"/>
                <w:color w:val="auto"/>
              </w:rPr>
              <w:t>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previously disclosed, Mr. Morris will retire from the Board effective as of the Annual Meeting.</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 immediately upon Mr. Morris’s retirement as of the Annual Meeting, Mr. Brunner will serve as the Non-Executive Chairman of the Board.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 w:name="page12"/>
    <w:bookmarkEnd w:id="11"/>
    <w:p>
      <w:pPr>
        <w:ind w:right="60" w:firstLine="913"/>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William Dries </w:t>
      </w:r>
      <w:r>
        <w:rPr>
          <w:rFonts w:ascii="Arial" w:cs="Arial" w:eastAsia="Arial" w:hAnsi="Arial"/>
          <w:sz w:val="18"/>
          <w:szCs w:val="18"/>
          <w:color w:val="auto"/>
        </w:rPr>
        <w:t>has been a member of the Board since 2014. Mr. Dries previously served as Senior Vice President and Chief Financial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EnPro Industries, Inc., a publicly held engineered industrial products manufacturer, prior to his retirement in 2011. Before assuming his role at EnPro in June 2002, Mr. Dries was affiliated with EnPro and Goodrich Corporation, the former parent company of EnPro, from September 2001. From 1985 until 2001, Mr. Dries was employed by United Dominion Industries Limited, a machine and instrument manufacturer, where he was Senior Vice President and Chief Financial Officer, having previously served as Manager of Accounting and Senior Vice President of Finance and Controller. Mr. Dries was an audit principal for Ernst &amp; Young in New York for eleven years before joining United Dominion. Mr. Dries is a director of TransDigm Group, Inc., a producer of aircraft components. Mr. Dries brings to the Board financial acumen and extensive experience working with public companies in the precision manufacturing and industrial sectors.</w:t>
      </w:r>
    </w:p>
    <w:p>
      <w:pPr>
        <w:spacing w:after="0" w:line="185"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b w:val="1"/>
          <w:bCs w:val="1"/>
          <w:color w:val="auto"/>
        </w:rPr>
        <w:t xml:space="preserve">David K. Floyd </w:t>
      </w:r>
      <w:r>
        <w:rPr>
          <w:rFonts w:ascii="Arial" w:cs="Arial" w:eastAsia="Arial" w:hAnsi="Arial"/>
          <w:sz w:val="18"/>
          <w:szCs w:val="18"/>
          <w:color w:val="auto"/>
        </w:rPr>
        <w:t>has been a member of the Board since 2016. Since 2012, Mr. Floyd has served as a Group President of Stryker Corporation,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medical technology company. From 2007 to 2011, Mr. Floyd served as the U.S. President, and then Worldwide President, of Johnson &amp; Johnson’s DePuy Orthopaedics. From 2005 to 2007, Mr. Floyd served as the General Manager, and then President, of the Spine Division of Abbott Laboratories. From 2004 to 2005, Mr. Floyd served as the President and Chief Executive Officer of AxioMed Spine Corporation, a medical device manufacturer. From 2000 to 2003, Mr. Floyd was the Vice President, U.S. Market, and then President, of Centerpulse Orthopedics Inc., a medical device manufacturer. Prior to that, Mr. Floyd held various leadership positions in sales, marketing and operations with OrthoLogic Corporation, Sulzer Orthopedics, Inc. and Zimmer, Inc., and has worked in the medical technology industry for over 28 years. Mr. Floyd was also a director of OrthoWorx, a business league founded to support the orthopedic industry, and served as its first Chief Executive Officer from 2011 to 2012. Mr. Floyd brings to the Board broad knowledge of the medical device industry, substantial executive leadership experience and extensive experience with strategy development, commercial operations, and mergers and acquisitions.</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G. Ronald Morris </w:t>
      </w:r>
      <w:r>
        <w:rPr>
          <w:rFonts w:ascii="Arial" w:cs="Arial" w:eastAsia="Arial" w:hAnsi="Arial"/>
          <w:sz w:val="17"/>
          <w:szCs w:val="17"/>
          <w:color w:val="auto"/>
        </w:rPr>
        <w:t>has been a member of the Board since 1994. He was appointed Non-Executive Chairman of the Board on June 3, 2013.</w:t>
      </w:r>
    </w:p>
    <w:p>
      <w:pPr>
        <w:spacing w:after="0" w:line="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Morris retired in 1999 from Western Industries, Inc., a contract manufacturer of metal and plastic products where he served as President, Chief Executive Officer and director since 1991. From 1989 to 1991, Mr. Morris served as Chairman of the board of directors of Integrated Technologies, Inc., a manufacturer of computer software, and from 1988 to1989,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 Mr. Morris has extensive executive leadership and board experience with technology, precision metal, plastic and bearing manufacturers. Mr. Morris brings to the Board substantial knowledge and expertise in product development and global manufacturing. He also brings invaluable insight and perspective to our strategic development. As previously disclosed, Mr. Morris will be retiring effective as of the 2017 Annual Meeting.</w:t>
      </w:r>
    </w:p>
    <w:p>
      <w:pPr>
        <w:spacing w:after="0" w:line="166"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b w:val="1"/>
          <w:bCs w:val="1"/>
          <w:color w:val="auto"/>
        </w:rPr>
        <w:t xml:space="preserve">Steven T. Warshaw </w:t>
      </w:r>
      <w:r>
        <w:rPr>
          <w:rFonts w:ascii="Arial" w:cs="Arial" w:eastAsia="Arial" w:hAnsi="Arial"/>
          <w:sz w:val="17"/>
          <w:szCs w:val="17"/>
          <w:color w:val="auto"/>
        </w:rPr>
        <w:t>has been a member of the Board since 1997. Mr. Warshaw retired in 2005 from M Cubed Technologies, a developer and</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manufacturer of advanced composite materials and ultra-precise electronic components and modules where he served as President and Chief Executive Officer since 2002. Prior to this position, he served as President of Hexcel Schwebel, a global producer of advanced structural materials, from 2000 to 2001. Mr. Warshaw served as Senior Vice President of Photronics, Inc., a global supplier to the semiconductor industry from 1999 to 2000.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to the Board considerable executive experience as well as providing the benefit of service on 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17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 xml:space="preserve">Robert E. Brunner </w:t>
      </w:r>
      <w:r>
        <w:rPr>
          <w:rFonts w:ascii="Arial" w:cs="Arial" w:eastAsia="Arial" w:hAnsi="Arial"/>
          <w:sz w:val="16"/>
          <w:szCs w:val="16"/>
          <w:color w:val="auto"/>
        </w:rPr>
        <w:t>has been a member of the Board since 2012. Mr. Brunner served as Executive Vice President of Illinois Tool Works, Inc., an</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manufacturer of highly engineered fasteners and components, equipment and consumable systems and specialty products, from 2006 until his retirement in 2011. Prior to this position, Mr. Brunner held the position of President, Global Automotive Fasteners from 2005 to 2006 and President, North American Automotive Fasteners from 2003 to 2005. Prior to this position, Mr. Brunner held a variety of positions within Illinois Tool Works, Inc., including positions in general management, operations management and sales &amp; marketing. Mr. Brunner serves on the board of directors of Leggett &amp; Platt, Incorporated, a publicly held diversified manufacturer of engineered components and products and Lindsay Corporation, a publically held global company focusing on providing irrigation and infrastructure solutions. Mr. Brunner brings to the Board broad industry knowledge, executive leadership experience and extensive experience with mergers and acquisitions. Additionally, his public company board experience is a valuable asset to the Board.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12" w:name="page13"/>
    <w:bookmarkEnd w:id="12"/>
    <w:p>
      <w:pPr>
        <w:ind w:firstLine="913"/>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Richard D. Holder </w:t>
      </w:r>
      <w:r>
        <w:rPr>
          <w:rFonts w:ascii="Arial" w:cs="Arial" w:eastAsia="Arial" w:hAnsi="Arial"/>
          <w:sz w:val="18"/>
          <w:szCs w:val="18"/>
          <w:color w:val="auto"/>
        </w:rPr>
        <w:t>has been a member of the Board and President and Chief Executive Officer of the Company since 2013. Prior to joining us,</w:t>
      </w:r>
      <w:r>
        <w:rPr>
          <w:rFonts w:ascii="Arial" w:cs="Arial" w:eastAsia="Arial" w:hAnsi="Arial"/>
          <w:sz w:val="18"/>
          <w:szCs w:val="18"/>
          <w:b w:val="1"/>
          <w:bCs w:val="1"/>
          <w:color w:val="auto"/>
        </w:rPr>
        <w:t xml:space="preserve"> </w:t>
      </w:r>
      <w:r>
        <w:rPr>
          <w:rFonts w:ascii="Arial" w:cs="Arial" w:eastAsia="Arial" w:hAnsi="Arial"/>
          <w:sz w:val="18"/>
          <w:szCs w:val="18"/>
          <w:color w:val="auto"/>
        </w:rPr>
        <w:t>Mr. Holder served as President of the Eaton Electrical Components Group of Eaton Corporation’s Electrical Sector from 2010 to 2013, Executive Vice President of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brings to the Board diverse experience in global supply chain management, operations, strategic development and execution and extensive experience in acquisition strategy and integration.</w:t>
      </w:r>
    </w:p>
    <w:p>
      <w:pPr>
        <w:spacing w:after="0" w:line="185"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b w:val="1"/>
          <w:bCs w:val="1"/>
          <w:color w:val="auto"/>
        </w:rPr>
        <w:t xml:space="preserve">David L. Pugh </w:t>
      </w:r>
      <w:r>
        <w:rPr>
          <w:rFonts w:ascii="Arial" w:cs="Arial" w:eastAsia="Arial" w:hAnsi="Arial"/>
          <w:sz w:val="16"/>
          <w:szCs w:val="16"/>
          <w:color w:val="auto"/>
        </w:rPr>
        <w:t>has been a member of the Board since 2012. Mr. Pugh retired in 2011 as President and Chief Executive Officer and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of Applied Industrial Technologies, a publicly held distributor of industrial products and services. Mr. Pugh joined Applied Industrial Technologies in 1999 as President and Chief Operating Officer. Prior to joining Applied Industrial Technologies, Mr. Pugh served as Senior Vice President of the Industrial Control Group of Rockwell International Corporation, a provider of industrial automation control and information solutions, which he joined in 1994. Prior to joining Rockwell, Mr. Pugh held various positions in sales, marketing and operations at Square D Company, a manufacturer of electrical components, and Westinghouse Electric. Mr. Pugh serves on the board of directors of Applied Industrial Technologies and Hexcel Corporation, a publicly held producer of advanced composites. Mr. Pugh also serves on the board of directors of R.W. Beckett Corporation, a premiere manufacturer of oil and gas burners. Mr. Pugh brings to the Board valuable executive leadership experience as well as specialized operational experience in global bearing distribution. Additionally, Mr. Pugh brings to the Board his previous experience on the board of directors of a publicly held company.</w:t>
      </w:r>
    </w:p>
    <w:p>
      <w:pPr>
        <w:spacing w:after="0" w:line="16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 xml:space="preserve">Carey A. Smith </w:t>
      </w:r>
      <w:r>
        <w:rPr>
          <w:rFonts w:ascii="Arial" w:cs="Arial" w:eastAsia="Arial" w:hAnsi="Arial"/>
          <w:sz w:val="16"/>
          <w:szCs w:val="16"/>
          <w:color w:val="auto"/>
        </w:rPr>
        <w:t>was nominated for election to the Board at the Board meeting held on March 14, 2017. Ms. Smith, if elected, will replace G.</w:t>
      </w:r>
      <w:r>
        <w:rPr>
          <w:rFonts w:ascii="Arial" w:cs="Arial" w:eastAsia="Arial" w:hAnsi="Arial"/>
          <w:sz w:val="16"/>
          <w:szCs w:val="16"/>
          <w:b w:val="1"/>
          <w:bCs w:val="1"/>
          <w:color w:val="auto"/>
        </w:rPr>
        <w:t xml:space="preserve"> </w:t>
      </w:r>
      <w:r>
        <w:rPr>
          <w:rFonts w:ascii="Arial" w:cs="Arial" w:eastAsia="Arial" w:hAnsi="Arial"/>
          <w:sz w:val="16"/>
          <w:szCs w:val="16"/>
          <w:color w:val="auto"/>
        </w:rPr>
        <w:t>Ronald Morris, who will be retiring effective as of the 2017 Annual Meeting. Since November 2016, Ms. Smith has served as the President of the Federal Business Unit of Parsons Corporation, a technology-driven engineering services firm with expertise in infrastructure, physical and cyber security, and health and logistics. From 2011 until 2016, Ms. Smith served in positions of progressive responsibility at Honeywell International Inc., first as the President, Honeywell Technology Solutions Inc., then Vice President, Customer &amp; Product Support for Honeywell Aerospace, and then President, Honeywell Defense &amp; Space. From 1996 to 2011, Ms. Smith worked for Lockheed Martin as the President and Chief Executive Officer for Lockheed Martin Canada, Vice President Business Development and Strategic Planning for the Maritime Systems and Sensors (MS2) Business Unit, Vice President Naval and Maritime Programs, and Vice President Technical Services. From 1994 to 1996, Ms. Smith worked for Loral (which was acquired by Lockheed Martin) as the Director, then Vice President of Business Development and Strategic Planning for MS2. From 1985 to 1994, Ms. Smith served in numerous engineering management, program management and engineering positions at IBM Federal (which was acquired by Loral). In total, Ms. Smith has 31 years of aerospace and defense experience. Ms. Smith is also on the Professional Services Council Board of Directors and serves as the secretary. Ms. Smith brings to the Board deep knowledge of aerospace and defense, including cyber security, substantial executive leadership experience, and extensive global experience with business development, government and commercial operations, and mergers and acquisitions.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In 2016, directors who are not employees of the Company are paid an annual retainer of $140,000, consisting of $70,000 of cash and $70,000 of shares of restricted stock, which vests one year from the date of grant. Our Non-Executive Chairman receives an additional retainer of $30,000, each Chairman of the Audit Committee and the Compensation Committee receives an additional retainer of $10,000 and the Chairman of the Governance Committee receives an additional retainer of $6,000. In 2017, we increased the annual equity retainer to $100,000 of shares of restricted stock and increased the retainer of our Non-Executive Chairman to $50,000. Mr. Holder, our President and Chief Executive Officer, is our only director who is also an employee of the Company. Mr. Holder does not receive any compensation for his service as a director.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3" w:name="page14"/>
    <w:bookmarkEnd w:id="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provides information about the compensation our non-employee directors received during 2016.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 For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Change in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Fees</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and Nonqualified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Earned</w:t>
            </w:r>
          </w:p>
        </w:tc>
        <w:tc>
          <w:tcPr>
            <w:tcW w:w="10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Stock</w:t>
            </w:r>
          </w:p>
        </w:tc>
        <w:tc>
          <w:tcPr>
            <w:tcW w:w="9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Deferred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or Paid</w:t>
            </w:r>
          </w:p>
        </w:tc>
        <w:tc>
          <w:tcPr>
            <w:tcW w:w="10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20" w:type="dxa"/>
            <w:vAlign w:val="bottom"/>
            <w:vMerge w:val="restart"/>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 Cash</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Earnings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920" w:type="dxa"/>
            <w:vAlign w:val="bottom"/>
            <w:vMerge w:val="continue"/>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76,000</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3"/>
              </w:rPr>
              <w:t>70,122</w:t>
            </w: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146,122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80,000</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70,122</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150,122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44,700</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44,695</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89,395</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Mr. Morris</w:t>
            </w:r>
            <w:r>
              <w:rPr>
                <w:rFonts w:ascii="Arial" w:cs="Arial" w:eastAsia="Arial" w:hAnsi="Arial"/>
                <w:sz w:val="15"/>
                <w:szCs w:val="15"/>
                <w:color w:val="auto"/>
              </w:rPr>
              <w:t>(2)</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100,000</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70,122</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12,002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182,124</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70,000</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70,122</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140,122</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80,000</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70,122</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150,122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Werner</w:t>
            </w:r>
            <w:r>
              <w:rPr>
                <w:rFonts w:ascii="Arial" w:cs="Arial" w:eastAsia="Arial" w:hAnsi="Arial"/>
                <w:sz w:val="15"/>
                <w:szCs w:val="15"/>
                <w:color w:val="auto"/>
              </w:rPr>
              <w:t>(3)</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35,000</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9,626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as computed in accordance with the Financial Accounting Standards Board (“FASB”) Accounting Standards Codification (“ASC”) Topic 718, of 6,200 shares of restricted stock awarded on March 16, 2016 to each of Messrs. Brunner, Dries, Morris, Pugh and Warshaw, and of 2,845 shares of restricted stock awarded to Mr. Floyd. The restricted stock awards to directors vest in their entirety beginning on the first anniversary of the date of grant.</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previously disclosed, Mr. Morris will be retiring effective as of the Annual Meeting.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previously disclosed, Mr. Werner retired effective as of May 12, 2016.</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with respect to nonqualified deferred compensation of our directors during 2016.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Director</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Registrant</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40" w:type="dxa"/>
            <w:vAlign w:val="bottom"/>
            <w:vMerge w:val="restart"/>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 Last FY</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Last FY</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FYE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4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88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Mr. Morris</w:t>
            </w:r>
            <w:r>
              <w:rPr>
                <w:rFonts w:ascii="Arial" w:cs="Arial" w:eastAsia="Arial" w:hAnsi="Arial"/>
                <w:sz w:val="15"/>
                <w:szCs w:val="15"/>
                <w:color w:val="auto"/>
              </w:rPr>
              <w:t>(1)</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12,002</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w w:val="95"/>
              </w:rPr>
              <w:t>452,137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Werner</w:t>
            </w:r>
            <w:r>
              <w:rPr>
                <w:rFonts w:ascii="Arial" w:cs="Arial" w:eastAsia="Arial" w:hAnsi="Arial"/>
                <w:sz w:val="15"/>
                <w:szCs w:val="15"/>
                <w:color w:val="auto"/>
              </w:rPr>
              <w:t>(2)</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9,626</w:t>
            </w: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387,749</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previously disclosed, Mr. Morris will be retiring effective as of the Annual Meeting.</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previously disclosed, Mr. Werner retired effective as of May 12,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consists of William Dries who serves as Chairman, and Messrs. Floyd, Morris and Pugh. All members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Audit Committee are independent as defined by Nasdaq rules and Mr. Dries has been designated as the “audit committee financial expert” as defined by Item 407(d) of Regulation S-K. Among other matters described in its charter, the Audit Committee’s primary duties and responsibilities are to:</w:t>
      </w:r>
    </w:p>
    <w:p>
      <w:pPr>
        <w:spacing w:after="0" w:line="52" w:lineRule="exact"/>
        <w:rPr>
          <w:sz w:val="20"/>
          <w:szCs w:val="20"/>
          <w:color w:val="auto"/>
        </w:rPr>
      </w:pPr>
    </w:p>
    <w:p>
      <w:pPr>
        <w:ind w:left="1460" w:right="60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that management has maintained the reliability and integrity of our accounting policies, financial reporting and disclosure practices;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4" w:name="page15"/>
    <w:bookmarkEnd w:id="14"/>
    <w:p>
      <w:pPr>
        <w:ind w:left="1460" w:right="520" w:hanging="547"/>
        <w:spacing w:after="0" w:line="342" w:lineRule="auto"/>
        <w:tabs>
          <w:tab w:leader="none" w:pos="1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29" w:lineRule="exact"/>
        <w:rPr>
          <w:rFonts w:ascii="Arial" w:cs="Arial" w:eastAsia="Arial" w:hAnsi="Arial"/>
          <w:sz w:val="16"/>
          <w:szCs w:val="16"/>
          <w:color w:val="auto"/>
        </w:rPr>
      </w:pPr>
    </w:p>
    <w:p>
      <w:pPr>
        <w:ind w:left="1460" w:right="66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that management has established and maintains processes to assure compliance with all applicable laws, regulations and corporate policies including the Code of Business Conduct and Ethics;</w:t>
      </w:r>
    </w:p>
    <w:p>
      <w:pPr>
        <w:spacing w:after="0" w:line="75" w:lineRule="exact"/>
        <w:rPr>
          <w:rFonts w:ascii="Arial" w:cs="Arial" w:eastAsia="Arial" w:hAnsi="Arial"/>
          <w:sz w:val="18"/>
          <w:szCs w:val="18"/>
          <w:color w:val="auto"/>
        </w:rPr>
      </w:pPr>
    </w:p>
    <w:p>
      <w:pPr>
        <w:ind w:left="1460" w:right="58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our registered independent public accounting firm to conduct the annual audit of the books and accounts of the Company, including the preapproval of all associated fees;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preapprove all permissible non-audit related services provided by the independent auditor;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independence of the independent accounting firm;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oversee that management has designed, implemented and maintains processes to assess and manage enterprise and event risk;</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effectiveness of our accounting and financial controls with our registered independent public accounting firm;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results of our annual audit and our quarterly financial statements;</w:t>
      </w:r>
    </w:p>
    <w:p>
      <w:pPr>
        <w:spacing w:after="0" w:line="153" w:lineRule="exact"/>
        <w:rPr>
          <w:rFonts w:ascii="Arial" w:cs="Arial" w:eastAsia="Arial" w:hAnsi="Arial"/>
          <w:sz w:val="16"/>
          <w:szCs w:val="16"/>
          <w:color w:val="auto"/>
        </w:rPr>
      </w:pPr>
    </w:p>
    <w:p>
      <w:pPr>
        <w:ind w:left="1460" w:right="16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recommend to the Board that the financial statements be included in our Annual Report on Form 10-K and in our Quarterly Reports on Form 10-Q;</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approve earnings press releases; and</w:t>
      </w:r>
    </w:p>
    <w:p>
      <w:pPr>
        <w:spacing w:after="0" w:line="130" w:lineRule="exact"/>
        <w:rPr>
          <w:rFonts w:ascii="Arial" w:cs="Arial" w:eastAsia="Arial" w:hAnsi="Arial"/>
          <w:sz w:val="18"/>
          <w:szCs w:val="18"/>
          <w:color w:val="auto"/>
        </w:rPr>
      </w:pPr>
    </w:p>
    <w:p>
      <w:pPr>
        <w:ind w:left="1460" w:right="42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confidential, anonymous procedures for the receipt, retention and treatment of complaints regarding accounting, internal accounting controls and auditing matters.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Audit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Audit Committee met four times in 2016.</w:t>
      </w:r>
    </w:p>
    <w:p>
      <w:pPr>
        <w:spacing w:after="0" w:line="2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consists of Steven T. Warshaw, who serves as Chairman, and Messrs. Brunner, Dries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Pugh. All members of the Compensation Committee are independent as defined by Nasdaq rules. Among other matters described in its charter, the Compensation Committee’s primary duties and responsibilities are to:</w:t>
      </w:r>
    </w:p>
    <w:p>
      <w:pPr>
        <w:spacing w:after="0" w:line="87" w:lineRule="exact"/>
        <w:rPr>
          <w:sz w:val="20"/>
          <w:szCs w:val="20"/>
          <w:color w:val="auto"/>
        </w:rPr>
      </w:pPr>
    </w:p>
    <w:p>
      <w:pPr>
        <w:ind w:left="1460" w:right="58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relative to the Chief Executive Officer evaluation, compensation and performance;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approve our executive compensation policies and practices;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supervise the administration of our employee benefit plans, including the 2016 Omnibus Incentive Plan;</w:t>
      </w:r>
    </w:p>
    <w:p>
      <w:pPr>
        <w:spacing w:after="0" w:line="130" w:lineRule="exact"/>
        <w:rPr>
          <w:rFonts w:ascii="Arial" w:cs="Arial" w:eastAsia="Arial" w:hAnsi="Arial"/>
          <w:sz w:val="18"/>
          <w:szCs w:val="18"/>
          <w:color w:val="auto"/>
        </w:rPr>
      </w:pPr>
    </w:p>
    <w:p>
      <w:pPr>
        <w:ind w:left="1460" w:right="98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and terminate any compensation consultant to be used to assist in the evaluation of director, CEO, or senior executive compensation;</w:t>
      </w:r>
    </w:p>
    <w:p>
      <w:pPr>
        <w:spacing w:after="0" w:line="75"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86"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annually the risks that arise from our compensation policies and determine whether such risks are reasonably likely to have a material adverse effect;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assess our senior management succession plan on an annual basis.</w:t>
      </w:r>
    </w:p>
    <w:p>
      <w:pPr>
        <w:spacing w:after="0" w:line="18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The Compensation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xml:space="preserve"> The functions of the Compensation Committee are discussed in further detail in the section entitled “Compensation Committee Report” herein. The Compensation Committee met eight times in 2016.</w:t>
      </w:r>
    </w:p>
    <w:p>
      <w:pPr>
        <w:spacing w:after="0" w:line="14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b w:val="1"/>
          <w:bCs w:val="1"/>
          <w:i w:val="1"/>
          <w:iCs w:val="1"/>
          <w:color w:val="auto"/>
        </w:rPr>
        <w:t>Governance Committee</w:t>
      </w:r>
      <w:r>
        <w:rPr>
          <w:rFonts w:ascii="Arial" w:cs="Arial" w:eastAsia="Arial" w:hAnsi="Arial"/>
          <w:sz w:val="18"/>
          <w:szCs w:val="18"/>
          <w:color w:val="auto"/>
        </w:rPr>
        <w:t>. The Governance Committee consists of Robert E. Brunner, who serves as Chairman, and Messrs. Warshaw, Morris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Floyd. All members of the Governance Committee are independent as defined by Nasdaq rules. Among other matters as provided in its charter, the Governance Committee’s primary duties and responsibilities are to:</w:t>
      </w:r>
    </w:p>
    <w:p>
      <w:pPr>
        <w:spacing w:after="0" w:line="87" w:lineRule="exact"/>
        <w:rPr>
          <w:sz w:val="20"/>
          <w:szCs w:val="20"/>
          <w:color w:val="auto"/>
        </w:rPr>
      </w:pPr>
    </w:p>
    <w:p>
      <w:pPr>
        <w:ind w:left="5660" w:right="4500" w:hanging="4747"/>
        <w:spacing w:after="0" w:line="449" w:lineRule="auto"/>
        <w:tabs>
          <w:tab w:leader="none" w:pos="14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recommend qualified candidates for membership on the Board; 9</w:t>
      </w:r>
    </w:p>
    <w:p>
      <w:pPr>
        <w:sectPr>
          <w:pgSz w:w="11900" w:h="16838" w:orient="portrait"/>
          <w:cols w:equalWidth="0" w:num="1">
            <w:col w:w="11360"/>
          </w:cols>
          <w:pgMar w:left="240" w:top="274" w:right="299" w:bottom="1440" w:gutter="0" w:footer="0" w:header="0"/>
        </w:sectPr>
      </w:pPr>
    </w:p>
    <w:bookmarkStart w:id="15" w:name="page16"/>
    <w:bookmarkEnd w:id="15"/>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 procedures for the retirement or replacement of Board members;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process and criteria for Board membership;</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 candidate’s qualifications and any potential conflicts with our interests;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assess the contributions and qualifications of current Directors in connection with their re-nomination to the Board;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process and criteria for Committee membership and each Committee’s chair;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maintain our Governance Principles;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 the process of providing information to the Board;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oversight and review the Board performance on an annual basis.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 The Governance Committee recently engaged a professional search firm to assist in identifying and evaluating candidates. Through such process, the Governance Committee identified Carey A. Smith to be nominated for election to the Board. Ms. Smith was nominated for election to the Board at the Board meeting held on March 16, 2017. Ms. Smith, if elected, will replace Mr. Morris, who will be retiring effective as of the 2017 Annual Meeting.</w:t>
      </w:r>
    </w:p>
    <w:p>
      <w:pPr>
        <w:spacing w:after="0" w:line="193" w:lineRule="exact"/>
        <w:rPr>
          <w:sz w:val="20"/>
          <w:szCs w:val="20"/>
          <w:color w:val="auto"/>
        </w:rPr>
      </w:pPr>
    </w:p>
    <w:p>
      <w:pPr>
        <w:jc w:val="both"/>
        <w:ind w:right="220" w:firstLine="913"/>
        <w:spacing w:after="0" w:line="302" w:lineRule="auto"/>
        <w:rPr>
          <w:sz w:val="20"/>
          <w:szCs w:val="20"/>
          <w:color w:val="auto"/>
        </w:rPr>
      </w:pPr>
      <w:r>
        <w:rPr>
          <w:rFonts w:ascii="Arial" w:cs="Arial" w:eastAsia="Arial" w:hAnsi="Arial"/>
          <w:sz w:val="16"/>
          <w:szCs w:val="16"/>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54" w:lineRule="exact"/>
        <w:rPr>
          <w:sz w:val="20"/>
          <w:szCs w:val="20"/>
          <w:color w:val="auto"/>
        </w:rPr>
      </w:pPr>
    </w:p>
    <w:p>
      <w:pPr>
        <w:ind w:right="380" w:firstLine="913"/>
        <w:spacing w:after="0" w:line="312" w:lineRule="auto"/>
        <w:rPr>
          <w:sz w:val="20"/>
          <w:szCs w:val="20"/>
          <w:color w:val="auto"/>
        </w:rPr>
      </w:pPr>
      <w:r>
        <w:rPr>
          <w:rFonts w:ascii="Arial" w:cs="Arial" w:eastAsia="Arial" w:hAnsi="Arial"/>
          <w:sz w:val="16"/>
          <w:szCs w:val="16"/>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4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diversity is a consideration in the Committee’s consideration of candidates, we do not have a formal policy regarding diversity. We do not discriminate against candidates on the basis of gender, race, religion, national origin, sexual orientation, disability or any other basis as prescribed by law. The Governance Committee will also consider whether a candidate meets the definition of “independent director” under Nasdaq rules.</w:t>
      </w:r>
    </w:p>
    <w:p>
      <w:pPr>
        <w:spacing w:after="0" w:line="15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a director candidate’s experience, qualifications, attributes, and skills. The Governance Committee will also consider the candidate’s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 The Governance Committee will evaluate any director candidate nominated by stockholders according to the foregoing criteria and, based on the results of that evaluation, will determine whether to include the candidate in its recommended slate of director nominees in the proxy statement. No stockholder or group of stockholders who beneficially owned more than 5% of NN’s common stock for at least one year at the time of such recommendation has recommended candidates for election to the Board.</w:t>
      </w:r>
    </w:p>
    <w:p>
      <w:pPr>
        <w:spacing w:after="0" w:line="16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The Governance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The Governance Committee met five times in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6" w:name="page17"/>
    <w:bookmarkEnd w:id="1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current membership of each standing Committee of the Board: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700" w:type="dxa"/>
            <w:vAlign w:val="bottom"/>
            <w:vMerge w:val="restart"/>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Audit</w:t>
            </w: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Compensation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2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Committee</w:t>
            </w:r>
          </w:p>
        </w:tc>
        <w:tc>
          <w:tcPr>
            <w:tcW w:w="146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Committee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Brunner</w:t>
            </w: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Mr. Dries</w:t>
            </w:r>
          </w:p>
        </w:tc>
        <w:tc>
          <w:tcPr>
            <w:tcW w:w="128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Chair</w:t>
            </w: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X</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p>
        </w:tc>
        <w:tc>
          <w:tcPr>
            <w:tcW w:w="12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Mr. Morris</w:t>
            </w:r>
            <w:r>
              <w:rPr>
                <w:rFonts w:ascii="Arial" w:cs="Arial" w:eastAsia="Arial" w:hAnsi="Arial"/>
                <w:sz w:val="15"/>
                <w:szCs w:val="15"/>
                <w:color w:val="auto"/>
              </w:rPr>
              <w:t>(1)</w:t>
            </w:r>
          </w:p>
        </w:tc>
        <w:tc>
          <w:tcPr>
            <w:tcW w:w="128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p>
        </w:tc>
        <w:tc>
          <w:tcPr>
            <w:tcW w:w="12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14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9"/>
              </w:rPr>
              <w:t>X</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Mr. Warshaw</w:t>
            </w: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Chair</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previously disclosed, Mr. Morris will be retiring effective as of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2016, our independent, non-management directors regularly met without management present.</w:t>
      </w:r>
    </w:p>
    <w:p>
      <w:pPr>
        <w:spacing w:after="0" w:line="188"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positions of Chairman of the Board and Chief Executive Officer are held by two different individuals. The Board is led by G. Ronald Morris, the Chairman of the Board and an independent director. Mr. Morris has served as our Chairman since 2013 and has performed the responsibilities prescribed to him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54"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The Board has determined that the current separation of Chairman of the Board and Chief Executive Officer is the most appropriate structure at this time as it provides an effective balance between oversight of management and day-to-day leadership. Mr. Morris, a long-time independent director has extensive experience with technology, precision metal, plastic and bearing manufacturers and has deep knowledge about the Company, its operations and businesses,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Holder, who is our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In making each of these determinations, our Board considered the relationships that each such director and nominee has with us and all other facts and circumstances the Board deemed relevant in determining independence.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7" w:name="page18"/>
    <w:bookmarkEnd w:id="17"/>
    <w:p>
      <w:pPr>
        <w:ind w:right="38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8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Board has delegated certain risk management responsibility to its standing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and the evaluation of Board members.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2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Board met eight times in 2016. All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of the current directors attended our annual meeting of stockholders in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121" w:lineRule="exact"/>
        <w:rPr>
          <w:sz w:val="20"/>
          <w:szCs w:val="20"/>
          <w:color w:val="auto"/>
        </w:rPr>
      </w:pPr>
    </w:p>
    <w:p>
      <w:pPr>
        <w:jc w:val="both"/>
        <w:ind w:right="440" w:firstLine="913"/>
        <w:spacing w:after="0" w:line="312" w:lineRule="auto"/>
        <w:rPr>
          <w:sz w:val="20"/>
          <w:szCs w:val="20"/>
          <w:color w:val="auto"/>
        </w:rPr>
      </w:pPr>
      <w:r>
        <w:rPr>
          <w:rFonts w:ascii="Arial" w:cs="Arial" w:eastAsia="Arial" w:hAnsi="Arial"/>
          <w:sz w:val="16"/>
          <w:szCs w:val="16"/>
          <w:color w:val="auto"/>
        </w:rPr>
        <w:t>Stockholders and other interested parties may contact the Board, any of its standing committees, its independent directors, or any individual director by sending correspondence to NN, Inc., 207 Mockingbird Lane, Johnson City, Tennessee 37604, Attention: Secretary. Any mail received by the Secretary with the exception of improper commercial solicitations will be forwarded to the members of the Board for their further action, if necessary.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Our Board has adopted a Code of Business Conduct and Ethics applicable to our executive officers, including our Chief Executive Officer and Chief Financial Officer, as well as our directors and employees. The Code of Business Conduct and Ethics is available in the “About NN” section of our website at </w:t>
      </w:r>
      <w:r>
        <w:rPr>
          <w:rFonts w:ascii="Arial" w:cs="Arial" w:eastAsia="Arial" w:hAnsi="Arial"/>
          <w:sz w:val="17"/>
          <w:szCs w:val="17"/>
          <w:i w:val="1"/>
          <w:iCs w:val="1"/>
          <w:color w:val="auto"/>
        </w:rPr>
        <w:t>www.nninc.com</w:t>
      </w:r>
      <w:r>
        <w:rPr>
          <w:rFonts w:ascii="Arial" w:cs="Arial" w:eastAsia="Arial" w:hAnsi="Arial"/>
          <w:sz w:val="17"/>
          <w:szCs w:val="17"/>
          <w:color w:val="auto"/>
        </w:rPr>
        <w:t>. We intend to post amendments to or waivers from our Code of Business Conduct and Ethics (to the extent applicable to our Chief Executive Officer, Principal Financial Officer or Principal Accounting Officer) at this location on our website.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Corporate Governance</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following table shows, as of March 20, 2017 and based on 27,387,981 shares of common stock outstanding, the beneficial ownership of common stock by each director and nominee, each named executive officer, and all directors and named executive officers as a group, in each case as reported to us by such persons.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560" w:type="dxa"/>
            <w:vAlign w:val="bottom"/>
          </w:tcPr>
          <w:p>
            <w:pPr>
              <w:spacing w:after="0"/>
              <w:rPr>
                <w:sz w:val="16"/>
                <w:szCs w:val="16"/>
                <w:color w:val="auto"/>
              </w:rPr>
            </w:pPr>
          </w:p>
        </w:tc>
        <w:tc>
          <w:tcPr>
            <w:tcW w:w="2160" w:type="dxa"/>
            <w:vAlign w:val="bottom"/>
            <w:gridSpan w:val="2"/>
          </w:tcPr>
          <w:p>
            <w:pPr>
              <w:jc w:val="right"/>
              <w:ind w:right="643"/>
              <w:spacing w:after="0"/>
              <w:rPr>
                <w:sz w:val="20"/>
                <w:szCs w:val="20"/>
                <w:color w:val="auto"/>
              </w:rPr>
            </w:pPr>
            <w:r>
              <w:rPr>
                <w:rFonts w:ascii="Arial" w:cs="Arial" w:eastAsia="Arial" w:hAnsi="Arial"/>
                <w:sz w:val="14"/>
                <w:szCs w:val="14"/>
                <w:b w:val="1"/>
                <w:bCs w:val="1"/>
                <w:color w:val="auto"/>
                <w:w w:val="96"/>
              </w:rPr>
              <w:t>Amount and Nature of</w:t>
            </w: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 xml:space="preserve">Beneficial Owner </w:t>
            </w:r>
            <w:r>
              <w:rPr>
                <w:rFonts w:ascii="Arial" w:cs="Arial" w:eastAsia="Arial" w:hAnsi="Arial"/>
                <w:sz w:val="11"/>
                <w:szCs w:val="11"/>
                <w:b w:val="1"/>
                <w:bCs w:val="1"/>
                <w:color w:val="auto"/>
              </w:rPr>
              <w:t>(1)</w:t>
            </w:r>
          </w:p>
        </w:tc>
        <w:tc>
          <w:tcPr>
            <w:tcW w:w="3380" w:type="dxa"/>
            <w:vAlign w:val="bottom"/>
          </w:tcPr>
          <w:p>
            <w:pPr>
              <w:spacing w:after="0"/>
              <w:rPr>
                <w:sz w:val="11"/>
                <w:szCs w:val="11"/>
                <w:color w:val="auto"/>
              </w:rPr>
            </w:pPr>
          </w:p>
        </w:tc>
        <w:tc>
          <w:tcPr>
            <w:tcW w:w="2720" w:type="dxa"/>
            <w:vAlign w:val="bottom"/>
            <w:gridSpan w:val="3"/>
          </w:tcPr>
          <w:p>
            <w:pPr>
              <w:jc w:val="right"/>
              <w:ind w:right="583"/>
              <w:spacing w:after="0" w:line="129" w:lineRule="exact"/>
              <w:rPr>
                <w:sz w:val="20"/>
                <w:szCs w:val="20"/>
                <w:color w:val="auto"/>
              </w:rPr>
            </w:pPr>
            <w:r>
              <w:rPr>
                <w:rFonts w:ascii="Arial" w:cs="Arial" w:eastAsia="Arial" w:hAnsi="Arial"/>
                <w:sz w:val="14"/>
                <w:szCs w:val="14"/>
                <w:b w:val="1"/>
                <w:bCs w:val="1"/>
                <w:color w:val="auto"/>
              </w:rPr>
              <w:t xml:space="preserve">Beneficial Ownership </w:t>
            </w:r>
            <w:r>
              <w:rPr>
                <w:rFonts w:ascii="Arial" w:cs="Arial" w:eastAsia="Arial" w:hAnsi="Arial"/>
                <w:sz w:val="12"/>
                <w:szCs w:val="12"/>
                <w:b w:val="1"/>
                <w:bCs w:val="1"/>
                <w:color w:val="auto"/>
              </w:rPr>
              <w:t>(2)</w:t>
            </w:r>
          </w:p>
        </w:tc>
        <w:tc>
          <w:tcPr>
            <w:tcW w:w="420" w:type="dxa"/>
            <w:vAlign w:val="bottom"/>
          </w:tcPr>
          <w:p>
            <w:pPr>
              <w:spacing w:after="0"/>
              <w:rPr>
                <w:sz w:val="11"/>
                <w:szCs w:val="11"/>
                <w:color w:val="auto"/>
              </w:rPr>
            </w:pPr>
          </w:p>
        </w:tc>
        <w:tc>
          <w:tcPr>
            <w:tcW w:w="8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6"/>
              </w:rPr>
              <w:t xml:space="preserve">Class </w:t>
            </w:r>
            <w:r>
              <w:rPr>
                <w:rFonts w:ascii="Arial" w:cs="Arial" w:eastAsia="Arial" w:hAnsi="Arial"/>
                <w:sz w:val="12"/>
                <w:szCs w:val="12"/>
                <w:b w:val="1"/>
                <w:bCs w:val="1"/>
                <w:color w:val="auto"/>
                <w:w w:val="96"/>
              </w:rPr>
              <w:t>(2)</w:t>
            </w: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Holder</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245,487</w:t>
            </w:r>
          </w:p>
        </w:tc>
        <w:tc>
          <w:tcPr>
            <w:tcW w:w="64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6"/>
              </w:rPr>
              <w:t>(3)</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2720" w:type="dxa"/>
            <w:vAlign w:val="bottom"/>
            <w:gridSpan w:val="3"/>
          </w:tcPr>
          <w:p>
            <w:pPr>
              <w:jc w:val="right"/>
              <w:ind w:right="403"/>
              <w:spacing w:after="0"/>
              <w:rPr>
                <w:sz w:val="20"/>
                <w:szCs w:val="20"/>
                <w:color w:val="auto"/>
              </w:rPr>
            </w:pPr>
            <w:r>
              <w:rPr>
                <w:rFonts w:ascii="Arial" w:cs="Arial" w:eastAsia="Arial" w:hAnsi="Arial"/>
                <w:sz w:val="18"/>
                <w:szCs w:val="18"/>
                <w:color w:val="auto"/>
              </w:rPr>
              <w:t>67,509</w:t>
            </w:r>
            <w:r>
              <w:rPr>
                <w:rFonts w:ascii="Arial" w:cs="Arial" w:eastAsia="Arial" w:hAnsi="Arial"/>
                <w:sz w:val="15"/>
                <w:szCs w:val="15"/>
                <w:color w:val="auto"/>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Dorton</w:t>
            </w:r>
          </w:p>
        </w:tc>
        <w:tc>
          <w:tcPr>
            <w:tcW w:w="2720" w:type="dxa"/>
            <w:vAlign w:val="bottom"/>
            <w:gridSpan w:val="3"/>
            <w:shd w:val="clear" w:color="auto" w:fill="CCEEFF"/>
          </w:tcPr>
          <w:p>
            <w:pPr>
              <w:jc w:val="right"/>
              <w:ind w:right="403"/>
              <w:spacing w:after="0"/>
              <w:rPr>
                <w:sz w:val="20"/>
                <w:szCs w:val="20"/>
                <w:color w:val="auto"/>
              </w:rPr>
            </w:pPr>
            <w:r>
              <w:rPr>
                <w:rFonts w:ascii="Arial" w:cs="Arial" w:eastAsia="Arial" w:hAnsi="Arial"/>
                <w:sz w:val="18"/>
                <w:szCs w:val="18"/>
                <w:color w:val="auto"/>
              </w:rPr>
              <w:t>141,473</w:t>
            </w:r>
            <w:r>
              <w:rPr>
                <w:rFonts w:ascii="Arial" w:cs="Arial" w:eastAsia="Arial" w:hAnsi="Arial"/>
                <w:sz w:val="15"/>
                <w:szCs w:val="15"/>
                <w:color w:val="auto"/>
              </w:rPr>
              <w:t>(5)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John A. Manzi</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11,152</w:t>
            </w:r>
          </w:p>
        </w:tc>
        <w:tc>
          <w:tcPr>
            <w:tcW w:w="6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Veltman</w:t>
            </w:r>
          </w:p>
        </w:tc>
        <w:tc>
          <w:tcPr>
            <w:tcW w:w="2720" w:type="dxa"/>
            <w:vAlign w:val="bottom"/>
            <w:gridSpan w:val="3"/>
            <w:shd w:val="clear" w:color="auto" w:fill="CCEEFF"/>
          </w:tcPr>
          <w:p>
            <w:pPr>
              <w:jc w:val="right"/>
              <w:ind w:right="403"/>
              <w:spacing w:after="0"/>
              <w:rPr>
                <w:sz w:val="20"/>
                <w:szCs w:val="20"/>
                <w:color w:val="auto"/>
              </w:rPr>
            </w:pPr>
            <w:r>
              <w:rPr>
                <w:rFonts w:ascii="Arial" w:cs="Arial" w:eastAsia="Arial" w:hAnsi="Arial"/>
                <w:sz w:val="18"/>
                <w:szCs w:val="18"/>
                <w:color w:val="auto"/>
              </w:rPr>
              <w:t>24,199</w:t>
            </w:r>
            <w:r>
              <w:rPr>
                <w:rFonts w:ascii="Arial" w:cs="Arial" w:eastAsia="Arial" w:hAnsi="Arial"/>
                <w:sz w:val="15"/>
                <w:szCs w:val="15"/>
                <w:color w:val="auto"/>
              </w:rPr>
              <w:t>(6)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Matthew S. Heiter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13,178</w:t>
            </w:r>
          </w:p>
        </w:tc>
        <w:tc>
          <w:tcPr>
            <w:tcW w:w="6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Brunner</w:t>
            </w:r>
          </w:p>
        </w:tc>
        <w:tc>
          <w:tcPr>
            <w:tcW w:w="2720" w:type="dxa"/>
            <w:vAlign w:val="bottom"/>
            <w:gridSpan w:val="3"/>
            <w:shd w:val="clear" w:color="auto" w:fill="CCEEFF"/>
          </w:tcPr>
          <w:p>
            <w:pPr>
              <w:jc w:val="right"/>
              <w:ind w:right="403"/>
              <w:spacing w:after="0"/>
              <w:rPr>
                <w:sz w:val="20"/>
                <w:szCs w:val="20"/>
                <w:color w:val="auto"/>
              </w:rPr>
            </w:pPr>
            <w:r>
              <w:rPr>
                <w:rFonts w:ascii="Arial" w:cs="Arial" w:eastAsia="Arial" w:hAnsi="Arial"/>
                <w:sz w:val="18"/>
                <w:szCs w:val="18"/>
                <w:color w:val="auto"/>
              </w:rPr>
              <w:t>42,132</w:t>
            </w:r>
            <w:r>
              <w:rPr>
                <w:rFonts w:ascii="Arial" w:cs="Arial" w:eastAsia="Arial" w:hAnsi="Arial"/>
                <w:sz w:val="15"/>
                <w:szCs w:val="15"/>
                <w:color w:val="auto"/>
              </w:rPr>
              <w:t>(7)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William Dries</w:t>
            </w:r>
          </w:p>
        </w:tc>
        <w:tc>
          <w:tcPr>
            <w:tcW w:w="2720" w:type="dxa"/>
            <w:vAlign w:val="bottom"/>
            <w:gridSpan w:val="3"/>
          </w:tcPr>
          <w:p>
            <w:pPr>
              <w:jc w:val="right"/>
              <w:ind w:right="403"/>
              <w:spacing w:after="0"/>
              <w:rPr>
                <w:sz w:val="20"/>
                <w:szCs w:val="20"/>
                <w:color w:val="auto"/>
              </w:rPr>
            </w:pPr>
            <w:r>
              <w:rPr>
                <w:rFonts w:ascii="Arial" w:cs="Arial" w:eastAsia="Arial" w:hAnsi="Arial"/>
                <w:sz w:val="18"/>
                <w:szCs w:val="18"/>
                <w:color w:val="auto"/>
              </w:rPr>
              <w:t>30,832</w:t>
            </w:r>
            <w:r>
              <w:rPr>
                <w:rFonts w:ascii="Arial" w:cs="Arial" w:eastAsia="Arial" w:hAnsi="Arial"/>
                <w:sz w:val="15"/>
                <w:szCs w:val="15"/>
                <w:color w:val="auto"/>
              </w:rPr>
              <w:t>(8)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Ronald Morris</w:t>
            </w:r>
          </w:p>
        </w:tc>
        <w:tc>
          <w:tcPr>
            <w:tcW w:w="2720" w:type="dxa"/>
            <w:vAlign w:val="bottom"/>
            <w:gridSpan w:val="3"/>
            <w:shd w:val="clear" w:color="auto" w:fill="CCEEFF"/>
          </w:tcPr>
          <w:p>
            <w:pPr>
              <w:jc w:val="right"/>
              <w:ind w:right="403"/>
              <w:spacing w:after="0"/>
              <w:rPr>
                <w:sz w:val="20"/>
                <w:szCs w:val="20"/>
                <w:color w:val="auto"/>
              </w:rPr>
            </w:pPr>
            <w:r>
              <w:rPr>
                <w:rFonts w:ascii="Arial" w:cs="Arial" w:eastAsia="Arial" w:hAnsi="Arial"/>
                <w:sz w:val="18"/>
                <w:szCs w:val="18"/>
                <w:color w:val="auto"/>
              </w:rPr>
              <w:t>138,700</w:t>
            </w:r>
            <w:r>
              <w:rPr>
                <w:rFonts w:ascii="Arial" w:cs="Arial" w:eastAsia="Arial" w:hAnsi="Arial"/>
                <w:sz w:val="15"/>
                <w:szCs w:val="15"/>
                <w:color w:val="auto"/>
              </w:rPr>
              <w:t>(9)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David L. Pugh</w:t>
            </w:r>
          </w:p>
        </w:tc>
        <w:tc>
          <w:tcPr>
            <w:tcW w:w="2720" w:type="dxa"/>
            <w:vAlign w:val="bottom"/>
            <w:gridSpan w:val="3"/>
          </w:tcPr>
          <w:p>
            <w:pPr>
              <w:jc w:val="right"/>
              <w:ind w:right="323"/>
              <w:spacing w:after="0"/>
              <w:rPr>
                <w:sz w:val="20"/>
                <w:szCs w:val="20"/>
                <w:color w:val="auto"/>
              </w:rPr>
            </w:pPr>
            <w:r>
              <w:rPr>
                <w:rFonts w:ascii="Arial" w:cs="Arial" w:eastAsia="Arial" w:hAnsi="Arial"/>
                <w:sz w:val="18"/>
                <w:szCs w:val="18"/>
                <w:color w:val="auto"/>
              </w:rPr>
              <w:t>100,432</w:t>
            </w:r>
            <w:r>
              <w:rPr>
                <w:rFonts w:ascii="Arial" w:cs="Arial" w:eastAsia="Arial" w:hAnsi="Arial"/>
                <w:sz w:val="15"/>
                <w:szCs w:val="15"/>
                <w:color w:val="auto"/>
              </w:rPr>
              <w:t>(10)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2720" w:type="dxa"/>
            <w:vAlign w:val="bottom"/>
            <w:gridSpan w:val="3"/>
            <w:shd w:val="clear" w:color="auto" w:fill="CCEEFF"/>
          </w:tcPr>
          <w:p>
            <w:pPr>
              <w:jc w:val="right"/>
              <w:ind w:right="323"/>
              <w:spacing w:after="0"/>
              <w:rPr>
                <w:sz w:val="20"/>
                <w:szCs w:val="20"/>
                <w:color w:val="auto"/>
              </w:rPr>
            </w:pPr>
            <w:r>
              <w:rPr>
                <w:rFonts w:ascii="Arial" w:cs="Arial" w:eastAsia="Arial" w:hAnsi="Arial"/>
                <w:sz w:val="18"/>
                <w:szCs w:val="18"/>
                <w:color w:val="auto"/>
              </w:rPr>
              <w:t>87,332</w:t>
            </w:r>
            <w:r>
              <w:rPr>
                <w:rFonts w:ascii="Arial" w:cs="Arial" w:eastAsia="Arial" w:hAnsi="Arial"/>
                <w:sz w:val="15"/>
                <w:szCs w:val="15"/>
                <w:color w:val="auto"/>
              </w:rPr>
              <w:t>(11)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David Floyd</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8,435</w:t>
            </w:r>
          </w:p>
        </w:tc>
        <w:tc>
          <w:tcPr>
            <w:tcW w:w="6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Carey A. Smith (nominee)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rPr>
              <w:t>All directors, nominees and named executive officers as a</w:t>
            </w:r>
          </w:p>
        </w:tc>
        <w:tc>
          <w:tcPr>
            <w:tcW w:w="2720" w:type="dxa"/>
            <w:vAlign w:val="bottom"/>
            <w:gridSpan w:val="3"/>
          </w:tcPr>
          <w:p>
            <w:pPr>
              <w:jc w:val="right"/>
              <w:ind w:right="323"/>
              <w:spacing w:after="0" w:line="201" w:lineRule="exact"/>
              <w:rPr>
                <w:sz w:val="20"/>
                <w:szCs w:val="20"/>
                <w:color w:val="auto"/>
              </w:rPr>
            </w:pPr>
            <w:r>
              <w:rPr>
                <w:rFonts w:ascii="Arial" w:cs="Arial" w:eastAsia="Arial" w:hAnsi="Arial"/>
                <w:sz w:val="18"/>
                <w:szCs w:val="18"/>
                <w:color w:val="auto"/>
              </w:rPr>
              <w:t>910,861</w:t>
            </w:r>
            <w:r>
              <w:rPr>
                <w:rFonts w:ascii="Arial" w:cs="Arial" w:eastAsia="Arial" w:hAnsi="Arial"/>
                <w:sz w:val="15"/>
                <w:szCs w:val="15"/>
                <w:color w:val="auto"/>
              </w:rPr>
              <w:t>(12)</w:t>
            </w:r>
          </w:p>
        </w:tc>
        <w:tc>
          <w:tcPr>
            <w:tcW w:w="12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3.32%</w:t>
            </w: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group (12 persons)</w:t>
            </w:r>
          </w:p>
        </w:tc>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address of each beneficial owner is c/o NN, Inc., 207 Mockingbird Lane, Johnson City, Tennessee 37604.</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Includes shares of common stock subject to options exercisable within 60 days of March 20, 2017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125,000 shares of common stock subject to options that are presently exercisable or exercisable within 60 days of March 20, 2017.</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34,000 shares of common stock subject to options that are presently exercisable or exercisable within 60 days of March 20, 2017.</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4,000 shares of common stock subject to options that are presently exercisable or exercisable within 60 days of March 20,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2,000 shares of common stock subject to options that are presently exercisable or exercisable within 60 days of March 20,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20, 2017.</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2,000 shares of common stock subject to options that are presently exercisable or exercisable within 60 days of March 20,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30,600 shares of common stock subject to options that are presently exercisable or exercisable within 60 days of March 20, 2017.</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16,600 shares of common stock subject to options that are presently exercisable or exercisable within 60 days of March 20, 2017.</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30,600 shares of common stock subject to options that are presently exercisable or exercisable within 60 days of March 20, 2017.</w:t>
      </w:r>
    </w:p>
    <w:p>
      <w:pPr>
        <w:spacing w:after="0" w:line="20" w:lineRule="exact"/>
        <w:rPr>
          <w:rFonts w:ascii="Arial" w:cs="Arial" w:eastAsia="Arial" w:hAnsi="Arial"/>
          <w:sz w:val="17"/>
          <w:szCs w:val="17"/>
          <w:color w:val="auto"/>
        </w:rPr>
      </w:pPr>
    </w:p>
    <w:p>
      <w:pPr>
        <w:ind w:left="460" w:right="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 the aggregate, 261,400 shares of common stock subject to options that are presently exercisable or exercisable within 60 days of March 20, 2017.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Ownership of Certain Beneficial Owners</w:t>
      </w:r>
    </w:p>
    <w:p>
      <w:pPr>
        <w:spacing w:after="0" w:line="117"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The following table sets forth the number of shares of our common stock beneficially owned by the only parties known to our management to own more than 5% of our common stock, as of March 20, 2017 and based on 27,387,981 shares of common stock outstanding.</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4"/>
        </w:trPr>
        <w:tc>
          <w:tcPr>
            <w:tcW w:w="496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Beneficial</w:t>
            </w: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Beneficial Owner</w:t>
            </w:r>
          </w:p>
        </w:tc>
        <w:tc>
          <w:tcPr>
            <w:tcW w:w="3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Ownership</w:t>
            </w:r>
          </w:p>
        </w:tc>
        <w:tc>
          <w:tcPr>
            <w:tcW w:w="520" w:type="dxa"/>
            <w:vAlign w:val="bottom"/>
          </w:tcPr>
          <w:p>
            <w:pPr>
              <w:spacing w:after="0"/>
              <w:rPr>
                <w:sz w:val="11"/>
                <w:szCs w:val="11"/>
                <w:color w:val="auto"/>
              </w:rPr>
            </w:pP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Prudential Financial, Inc. </w:t>
            </w:r>
            <w:r>
              <w:rPr>
                <w:rFonts w:ascii="Arial" w:cs="Arial" w:eastAsia="Arial" w:hAnsi="Arial"/>
                <w:sz w:val="15"/>
                <w:szCs w:val="15"/>
                <w:color w:val="auto"/>
              </w:rPr>
              <w:t>(1)</w:t>
            </w:r>
          </w:p>
        </w:tc>
        <w:tc>
          <w:tcPr>
            <w:tcW w:w="1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2,932,298</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 xml:space="preserve">RBC Global Asset Management (U.S.), Inc. </w:t>
            </w:r>
            <w:r>
              <w:rPr>
                <w:rFonts w:ascii="Arial" w:cs="Arial" w:eastAsia="Arial" w:hAnsi="Arial"/>
                <w:sz w:val="15"/>
                <w:szCs w:val="15"/>
                <w:color w:val="auto"/>
              </w:rPr>
              <w:t>(2)</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2,031,122</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Dimensional Fund Advisors LP</w:t>
            </w:r>
            <w:r>
              <w:rPr>
                <w:rFonts w:ascii="Arial" w:cs="Arial" w:eastAsia="Arial" w:hAnsi="Arial"/>
                <w:sz w:val="15"/>
                <w:szCs w:val="15"/>
                <w:color w:val="auto"/>
              </w:rPr>
              <w:t>(3)</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2,145,398</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(4)</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1,697,596</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Group LLP</w:t>
            </w:r>
            <w:r>
              <w:rPr>
                <w:rFonts w:ascii="Arial" w:cs="Arial" w:eastAsia="Arial" w:hAnsi="Arial"/>
                <w:sz w:val="15"/>
                <w:szCs w:val="15"/>
                <w:color w:val="auto"/>
              </w:rPr>
              <w:t>(5)</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1,671,995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PRIMECAP Management Company</w:t>
            </w:r>
            <w:r>
              <w:rPr>
                <w:rFonts w:ascii="Arial" w:cs="Arial" w:eastAsia="Arial" w:hAnsi="Arial"/>
                <w:sz w:val="15"/>
                <w:szCs w:val="15"/>
                <w:color w:val="auto"/>
              </w:rPr>
              <w:t>(6)</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1,568,500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based on Schedule 13G filed on January 24, 2017 with the SEC by Prudential Financial, Inc., or Prudential. The Schedule 13G states that Prudential and certain of its affiliates have sole voting power with respect to 18,829 shares, shared voting power with respect to 2,913,469 shares, sole dispositive power with respect to 18,829 shares and shared dispositive power with respect to 2,913,469 shares. Jennison Associates LLC, or Jennison, filed a separate Schedule 13G on February 3, 2017 with the SEC reporting beneficial ownership of 2,911,593 shares. However, these shares have not been listed separately because they are included in the shares reported by Prudential, which indirectly owns 100% of the equity interest in Jennison. The principal business address of Prudential is 751 Broad Street, Newark, New Jersey 07102. The principal business address of Jennison is 466 Lexington Avenue, New York, New York 10017.</w:t>
      </w:r>
    </w:p>
    <w:p>
      <w:pPr>
        <w:spacing w:after="0" w:line="5" w:lineRule="exact"/>
        <w:rPr>
          <w:rFonts w:ascii="Arial" w:cs="Arial" w:eastAsia="Arial" w:hAnsi="Arial"/>
          <w:sz w:val="18"/>
          <w:szCs w:val="18"/>
          <w:color w:val="auto"/>
        </w:rPr>
      </w:pPr>
    </w:p>
    <w:p>
      <w:pPr>
        <w:ind w:left="460" w:right="360" w:hanging="452"/>
        <w:spacing w:after="0" w:line="26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 based on Schedule 13G filed on February 10, 2017 with the SEC by RBC Global Asset Management (U.S.), Inc., or RBC Global. The Schedule 13G states that RBC Global shared voting power with respect to 1,777,015 shares and shared dispositive power with respect to 2,031,122 shares. The principal business address of RBC Global is 50 South Sixth Street, Suite 2350, Minneapolis, Minnesota 55402.</w:t>
      </w:r>
    </w:p>
    <w:p>
      <w:pPr>
        <w:ind w:left="460" w:hanging="452"/>
        <w:spacing w:after="0" w:line="26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 based on Schedule 13G/A filed on February 9, 2017 with the SEC by Dimensional Fund Advisors LP. The Schedule 13G/A states that Dimensional Fund Advisors LP has sole voting power with respect to 2,069,611 shares and sole dispositive power with respect to 2,145,398 shares. The principal business address of Dimensional Fund Advisors LP is Building One, 6300 Bee Cave Road, Austin, Texas 78746.</w:t>
      </w:r>
    </w:p>
    <w:p>
      <w:pPr>
        <w:ind w:left="460" w:right="3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based on Schedule 13G filed on January 25, 2017 with the SEC by BlackRock, Inc. The Schedule 13G states that BlackRock, Inc. has sole voting power with respect to 1,651,032 shares and sole dispositive power with respect to 1,697,596 shares. The principal business address of BlackRock, Inc. is 55 East 52nd Street, New York, New York 10055.</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based on Schedule 13G filed on February 9, 2017 with the SEC by Wellington Management Group LLP, Wellington Group Holdings LLP, Wellington Investment Advisors Holdings LLP, and Wellington Management Company LLP (the “Wellington Entities”). The Schedule 13G states that each of Wellington Management Group LLP, Wellington Group Holdings LLP and Wellington Investment Advisors Holdings LLP have shared voting power with respect to 1,083,779 shares and shared dispositive power with respect to 1,671,995 shares, and Wellington Management Company LLP has shared voting power with respect to 1,043,418 shares and shared dispositive power with respect to 1,488,689 shares. The principal business address of each Wellington Entity is c/o Wellington Management Company LLP, 280 Congress Street, Boston, MA 02210.</w:t>
      </w:r>
    </w:p>
    <w:p>
      <w:pPr>
        <w:spacing w:after="0" w:line="4" w:lineRule="exact"/>
        <w:rPr>
          <w:rFonts w:ascii="Arial" w:cs="Arial" w:eastAsia="Arial" w:hAnsi="Arial"/>
          <w:sz w:val="16"/>
          <w:szCs w:val="16"/>
          <w:color w:val="auto"/>
        </w:rPr>
      </w:pPr>
    </w:p>
    <w:p>
      <w:pPr>
        <w:ind w:left="460" w:right="26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based on Schedule 13G filed on February 9, 2017 with the SEC by PRIMECAP Management Company, or PRIMECAP. The Schedule 13G states that PRIMECAP has sole voting power with respect to 1,230,000 shares and sole dispositive power with respect to 1,568,500 shares. The principal business address of PRIMECAP is 177 E. Colorado Blvd., 11</w:t>
      </w:r>
      <w:r>
        <w:rPr>
          <w:rFonts w:ascii="Arial" w:cs="Arial" w:eastAsia="Arial" w:hAnsi="Arial"/>
          <w:sz w:val="15"/>
          <w:szCs w:val="15"/>
          <w:color w:val="auto"/>
        </w:rPr>
        <w:t>th</w:t>
      </w:r>
      <w:r>
        <w:rPr>
          <w:rFonts w:ascii="Arial" w:cs="Arial" w:eastAsia="Arial" w:hAnsi="Arial"/>
          <w:sz w:val="18"/>
          <w:szCs w:val="18"/>
          <w:color w:val="auto"/>
        </w:rPr>
        <w:t xml:space="preserve"> Floor, Pasadena, California 91105.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40" w:firstLine="913"/>
        <w:spacing w:after="0" w:line="286" w:lineRule="auto"/>
        <w:rPr>
          <w:sz w:val="20"/>
          <w:szCs w:val="20"/>
          <w:color w:val="auto"/>
        </w:rPr>
      </w:pPr>
      <w:r>
        <w:rPr>
          <w:rFonts w:ascii="Arial" w:cs="Arial" w:eastAsia="Arial" w:hAnsi="Arial"/>
          <w:sz w:val="17"/>
          <w:szCs w:val="17"/>
          <w:color w:val="auto"/>
        </w:rPr>
        <w:t>Under Section 16(a) of the Securities Exchange Act of 1934, as amended,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0" w:name="page21"/>
    <w:bookmarkEnd w:id="20"/>
    <w:p>
      <w:pPr>
        <w:ind w:right="1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solely on its review of the copies of these reports furnished to us for the year ended December 31, 2016, we are not aware of any instance of noncompliance with Section 16(a) by its directors, executive officers or owners of more than 10% of the common stock, except that a Form 4 covering three transactions resulting in a net increase of 771 shares held by Mr. Manzagol, was inadvertently filed late.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II: Advisory (Non-Binding) Vote to Approve the Compensation of our Named Executive Officers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At the 2011 annual meeting of stockholders, our stockholders expressed their strong preference for an annual advisory (non-binding) vote to approve executive compensation. Accordingly, the Board determined that, every year until the next vote on the frequency of such advisory vote, which will occur this year,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95" w:lineRule="exact"/>
        <w:rPr>
          <w:sz w:val="20"/>
          <w:szCs w:val="20"/>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providing compensation packages that are competitive with the compensation arrangements offered by comparable companies;</w:t>
      </w:r>
    </w:p>
    <w:p>
      <w:pPr>
        <w:spacing w:after="0" w:line="142" w:lineRule="exact"/>
        <w:rPr>
          <w:rFonts w:ascii="Arial" w:cs="Arial" w:eastAsia="Arial" w:hAnsi="Arial"/>
          <w:sz w:val="17"/>
          <w:szCs w:val="17"/>
          <w:color w:val="auto"/>
        </w:rPr>
      </w:pPr>
    </w:p>
    <w:p>
      <w:pPr>
        <w:ind w:left="1460" w:right="840" w:hanging="547"/>
        <w:spacing w:after="0" w:line="277"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attainment of specific financial performance goals and the individual’s performance; and</w:t>
      </w:r>
    </w:p>
    <w:p>
      <w:pPr>
        <w:spacing w:after="0" w:line="75" w:lineRule="exact"/>
        <w:rPr>
          <w:rFonts w:ascii="Arial" w:cs="Arial" w:eastAsia="Arial" w:hAnsi="Arial"/>
          <w:sz w:val="18"/>
          <w:szCs w:val="18"/>
          <w:color w:val="auto"/>
        </w:rPr>
      </w:pPr>
    </w:p>
    <w:p>
      <w:pPr>
        <w:ind w:left="1460" w:right="400" w:hanging="547"/>
        <w:spacing w:after="0" w:line="342" w:lineRule="auto"/>
        <w:tabs>
          <w:tab w:leader="none" w:pos="1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124"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Stockholders are urged to read the “Compensation Discussion and Analysis” beginning on page 17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28 through 33, which provide detailed information on the compensation of our named executive officers. The Compensation Committee and the Board believe that the policies and procedures discussed in the “Compensation Discussion and Analysis” are effective in achieving our goals, and that the compensation of our named executive officers reported in this Proxy Statement has contributed to our recent and long-term success.</w:t>
      </w:r>
    </w:p>
    <w:p>
      <w:pPr>
        <w:spacing w:after="0" w:line="193"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In accordance with Section 14A of the Securities Exchange Act of 1934, as amended, or the “Exchange Act,” and as a matter of good corporate governance, the Company is asking stockholders to approve the following advisory resolution at the Annual Meeting:</w:t>
      </w:r>
    </w:p>
    <w:p>
      <w:pPr>
        <w:spacing w:after="0" w:line="62" w:lineRule="exact"/>
        <w:rPr>
          <w:sz w:val="20"/>
          <w:szCs w:val="20"/>
          <w:color w:val="auto"/>
        </w:rPr>
      </w:pPr>
    </w:p>
    <w:p>
      <w:pPr>
        <w:ind w:left="1500" w:right="40"/>
        <w:spacing w:after="0" w:line="312" w:lineRule="auto"/>
        <w:rPr>
          <w:sz w:val="20"/>
          <w:szCs w:val="20"/>
          <w:color w:val="auto"/>
        </w:rPr>
      </w:pPr>
      <w:r>
        <w:rPr>
          <w:rFonts w:ascii="Arial" w:cs="Arial" w:eastAsia="Arial" w:hAnsi="Arial"/>
          <w:sz w:val="16"/>
          <w:szCs w:val="16"/>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2017 Annual Meeting of Stockholders.</w:t>
      </w:r>
    </w:p>
    <w:p>
      <w:pPr>
        <w:spacing w:after="0" w:line="14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THE BOARD OF DIRECTORS RECOMMENDS YOU VOTE “FOR” THE ADVISORY (NON-BINDING) RESOLUTION TO APPROVE 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III: Advisory (Non-Binding) Vote to Set the Frequency of Future Advisory Votes on Executive Compensation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Section 14A of the Exchange Act, the Board is asking stockholders to vote on whether future advisory votes on executive compensation of the nature reflected in Proposal II above should occur every year, every two years or every three years.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Board believes that the most appropriate policy for the Company at this time is to hold an advisory vote on executive compensation every year and therefore recommends that stockholders vote for future advisory votes on executive compensation to occur every year. If approved, the next advisory vote on executive compensation will occur in 2018. The Board believes that giving our stockholders the right to cast an advisory vote every year on approval of the compensation arrangements of our named executive officers is a good corporate governance practice and is in the best interests of our stockholders, by allowing our stockholders to provide us with their input on our executive compensation philosophy, policies and practices as disclosed in our proxy statement every year. Additionally in 2011, the last time our stockholders cast a vote on frequency, approximately 69% of the votes cast were voted in favor of a one-year frequency.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 w:name="page22"/>
    <w:bookmarkEnd w:id="21"/>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advisory vote to set the frequency of future advisory votes on executive compensation is non-binding on the Board. Stockholders are able to select one of four choices for this proposal on the proxy card: one year, two years, three years or abstain. Stockholders are not voting to approve or disapprove the Board’s recommendation. Although non-binding, the Compensation Committee will carefully review and consider the voting results. Notwithstanding the Board’s recommendation and the outcome of the stockholder vote, the Board may in future years choose to conduct advisory votes on a more or less frequent basis and may change its practice and policies based on additional factors.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BOARD OF DIRECTORS RECOMMENDS A VOTE TO HOLD FUTURE ADVISORY VOTES ON EXECUTIVE COMPENSATION EVERY YEAR.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DISCUSSION AND ANALYSIS</w:t>
      </w:r>
    </w:p>
    <w:p>
      <w:pPr>
        <w:spacing w:after="0" w:line="229"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At our 2016 Annual Meeting, we held an annual advisory vote to approve our named executive officer compensation and approximately 63% of our stockholders voted in favor of our compensation program. Although a majority of our stockholders voted to approve our compensation program, the results were below what we deemed satisfactory. Accordingly, we actively sought feedback from our stockholders on our compensation program and practices.</w:t>
      </w:r>
    </w:p>
    <w:p>
      <w:pPr>
        <w:spacing w:after="0" w:line="18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engaged in discussions with several of our stockholders who voted against approving our compensation program. In those discussions, we learned that, as opposed to expressing judgment on the effectiveness of our compensation program as a whole, their against vote expressed concern regarding:</w:t>
      </w:r>
    </w:p>
    <w:p>
      <w:pPr>
        <w:ind w:right="220" w:firstLine="8"/>
        <w:spacing w:after="0" w:line="261"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inadequate disclosure regarding our executive incentive compensation and our long-term incentive compensation; or (ii) certain specific elements of our compensation program based on misunderstandings of certain investors or advisors.</w:t>
      </w:r>
    </w:p>
    <w:p>
      <w:pPr>
        <w:spacing w:after="0" w:line="184"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Considering these discussions, we have enhanced our disclosures in this Proxy Statement to provide better disclosure around certain elements of our compensation program and to clarify certain of the disclosures that we believe were misunderstood.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500" w:firstLine="913"/>
        <w:spacing w:after="0" w:line="286" w:lineRule="auto"/>
        <w:rPr>
          <w:sz w:val="20"/>
          <w:szCs w:val="20"/>
          <w:color w:val="auto"/>
        </w:rPr>
      </w:pPr>
      <w:r>
        <w:rPr>
          <w:rFonts w:ascii="Arial" w:cs="Arial" w:eastAsia="Arial" w:hAnsi="Arial"/>
          <w:sz w:val="17"/>
          <w:szCs w:val="17"/>
          <w:color w:val="auto"/>
        </w:rPr>
        <w:t>Our executive compensation program emphasizes long-term equity awards, which are tied closely to stockholder returns and are subject to challenging vesting requirements. We believe that our executive compensation program encourages and motivates our executive officers to achieve sustainable, long-term operating financial performance and aligns with the creation of long-term stockholder value.</w:t>
      </w:r>
    </w:p>
    <w:p>
      <w:pPr>
        <w:spacing w:after="0" w:line="166"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Our compensation philosophy is to reward both financial and operational successes as well as efforts that support stockholder value creation. The following are the objectives of our compensation program:</w:t>
      </w:r>
    </w:p>
    <w:p>
      <w:pPr>
        <w:spacing w:after="0" w:line="76"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our and the individual’s performance;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aligning the interests of management with the interests of our stockholders through stock-based compensation arrangements.</w:t>
      </w:r>
    </w:p>
    <w:p>
      <w:pPr>
        <w:spacing w:after="0" w:line="23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We have designed our compensation programs to reflect each of these objectives. In 2016, our named executive officers received a compensation package that consists of an annual base salary, annual incentive award opportunities and long-term equity incentive award opportunities. The components of our compensation that are tied to performance align the interests of our named executive officers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73"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We have recently significantly revised our executive compensation program to align with market best practices, create long-term stockholder value and increase management accountability:</w:t>
      </w:r>
    </w:p>
    <w:p>
      <w:pPr>
        <w:spacing w:after="0" w:line="76" w:lineRule="exact"/>
        <w:rPr>
          <w:sz w:val="20"/>
          <w:szCs w:val="20"/>
          <w:color w:val="auto"/>
        </w:rPr>
      </w:pPr>
    </w:p>
    <w:p>
      <w:pPr>
        <w:ind w:left="1920" w:hanging="440"/>
        <w:spacing w:after="0" w:line="264"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2015, our Compensation Committee introduced performance stock units, or PSUs, that vest based on our total shareholder return (TSR) ranking relative to the S&amp;P SmallCap 600 Index over a three-year performance period and require a median TSR ranking for target payout.</w:t>
      </w:r>
    </w:p>
    <w:p>
      <w:pPr>
        <w:spacing w:after="0" w:line="86" w:lineRule="exact"/>
        <w:rPr>
          <w:rFonts w:ascii="Arial" w:cs="Arial" w:eastAsia="Arial" w:hAnsi="Arial"/>
          <w:sz w:val="18"/>
          <w:szCs w:val="18"/>
          <w:color w:val="auto"/>
        </w:rPr>
      </w:pPr>
    </w:p>
    <w:p>
      <w:pPr>
        <w:ind w:left="1920" w:right="40" w:hanging="440"/>
        <w:spacing w:after="0" w:line="277"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2015, our Compensation Committee also introduced PSUs that vest based on our return on invested capital (ROIC) over a three-year performance period.</w:t>
      </w:r>
    </w:p>
    <w:p>
      <w:pPr>
        <w:spacing w:after="0" w:line="75" w:lineRule="exact"/>
        <w:rPr>
          <w:rFonts w:ascii="Arial" w:cs="Arial" w:eastAsia="Arial" w:hAnsi="Arial"/>
          <w:sz w:val="18"/>
          <w:szCs w:val="18"/>
          <w:color w:val="auto"/>
        </w:rPr>
      </w:pPr>
    </w:p>
    <w:p>
      <w:pPr>
        <w:ind w:left="1920" w:right="80" w:hanging="440"/>
        <w:spacing w:after="0" w:line="286" w:lineRule="auto"/>
        <w:tabs>
          <w:tab w:leader="none" w:pos="1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Since 2015, our executive incentive compensation program has incorporated performance metrics intended to hold our executive officers accountable for the Company’s financial performance. In 2016, the performance metrics established by our Compensation Committee related to net sales, adjusted earnings per share and free cash flow generation.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Named Executive Officers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this section we discuss and analyze the compensation provided to each of our “named executive officers” for 2016, who were: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700" w:type="dxa"/>
            <w:vAlign w:val="bottom"/>
          </w:tcPr>
          <w:p>
            <w:pPr>
              <w:spacing w:after="0"/>
              <w:rPr>
                <w:sz w:val="16"/>
                <w:szCs w:val="16"/>
                <w:color w:val="auto"/>
              </w:rPr>
            </w:pPr>
          </w:p>
        </w:tc>
        <w:tc>
          <w:tcPr>
            <w:tcW w:w="8340" w:type="dxa"/>
            <w:vAlign w:val="bottom"/>
          </w:tcPr>
          <w:p>
            <w:pPr>
              <w:ind w:left="4020"/>
              <w:spacing w:after="0"/>
              <w:rPr>
                <w:sz w:val="20"/>
                <w:szCs w:val="20"/>
                <w:color w:val="auto"/>
              </w:rPr>
            </w:pPr>
            <w:r>
              <w:rPr>
                <w:rFonts w:ascii="Arial" w:cs="Arial" w:eastAsia="Arial" w:hAnsi="Arial"/>
                <w:sz w:val="14"/>
                <w:szCs w:val="14"/>
                <w:b w:val="1"/>
                <w:bCs w:val="1"/>
                <w:color w:val="auto"/>
              </w:rPr>
              <w:t>Title</w:t>
            </w:r>
          </w:p>
        </w:tc>
      </w:tr>
      <w:tr>
        <w:trPr>
          <w:trHeight w:val="203"/>
        </w:trPr>
        <w:tc>
          <w:tcPr>
            <w:tcW w:w="3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8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Thomas C. Burwell, Jr.</w:t>
            </w:r>
          </w:p>
        </w:tc>
        <w:tc>
          <w:tcPr>
            <w:tcW w:w="8340" w:type="dxa"/>
            <w:vAlign w:val="bottom"/>
          </w:tcPr>
          <w:p>
            <w:pPr>
              <w:spacing w:after="0"/>
              <w:rPr>
                <w:sz w:val="20"/>
                <w:szCs w:val="20"/>
                <w:color w:val="auto"/>
              </w:rPr>
            </w:pPr>
            <w:r>
              <w:rPr>
                <w:rFonts w:ascii="Arial" w:cs="Arial" w:eastAsia="Arial" w:hAnsi="Arial"/>
                <w:sz w:val="18"/>
                <w:szCs w:val="18"/>
                <w:color w:val="auto"/>
              </w:rPr>
              <w:t xml:space="preserve">Senior Vice President and Chief Financial Officer </w:t>
            </w:r>
            <w:r>
              <w:rPr>
                <w:rFonts w:ascii="Arial" w:cs="Arial" w:eastAsia="Arial" w:hAnsi="Arial"/>
                <w:sz w:val="15"/>
                <w:szCs w:val="15"/>
                <w:color w:val="auto"/>
              </w:rPr>
              <w:t>(1)</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Dorton</w:t>
            </w: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Former Senior Vice President — Chief Financial Officer </w:t>
            </w:r>
            <w:r>
              <w:rPr>
                <w:rFonts w:ascii="Arial" w:cs="Arial" w:eastAsia="Arial" w:hAnsi="Arial"/>
                <w:sz w:val="15"/>
                <w:szCs w:val="15"/>
                <w:color w:val="auto"/>
              </w:rPr>
              <w:t>(2)</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John A. Manzi</w:t>
            </w:r>
          </w:p>
        </w:tc>
        <w:tc>
          <w:tcPr>
            <w:tcW w:w="8340" w:type="dxa"/>
            <w:vAlign w:val="bottom"/>
          </w:tcPr>
          <w:p>
            <w:pPr>
              <w:spacing w:after="0"/>
              <w:rPr>
                <w:sz w:val="20"/>
                <w:szCs w:val="20"/>
                <w:color w:val="auto"/>
              </w:rPr>
            </w:pPr>
            <w:r>
              <w:rPr>
                <w:rFonts w:ascii="Arial" w:cs="Arial" w:eastAsia="Arial" w:hAnsi="Arial"/>
                <w:sz w:val="18"/>
                <w:szCs w:val="18"/>
                <w:color w:val="auto"/>
              </w:rPr>
              <w:t>Senior Vice President — General Manager, Precision Engineered Products Group</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Veltman</w:t>
            </w: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 General Manager, Autocam Precision Components Group</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Matthew S. Heiter</w:t>
            </w:r>
          </w:p>
        </w:tc>
        <w:tc>
          <w:tcPr>
            <w:tcW w:w="834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Burwell was appointed Senior Vice President – Chief Financial Officer effective as of November 16,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Dorton retired effective as of April 18, 2016.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Our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7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reviews, approves and administers all of our executive compensation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establishes the performance objectives under our executive compensation and long-term compensation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determines the attainment of those performance objectives and the awards to be made under our compensation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evaluates the performance of our chief executive officer and our other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reviews succession planning for our executives, including the position of the chief executive officer;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reviews proposed organization or responsibility changes at the senior executive level.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Pursuant to its charter, the Compensation Committee is authorized to retain and terminate any consultant, as well as to approve the consultant’s fees and other terms of the engagement. The Compensation Committee also has the authority to obtain advice and assistance from internal or external legal, accounting or other advisors. In late 2015, the Compensation Committee engaged Willis Towers Watson to advise the Compensation Committee on our future compensation decisions. Willis Towers Watson has reviewed our compensation program, and the Compensation Committee has been working with the consultant to further refine certain elements in order to achieve our objectives, mitigate excessive risk and incorporate best practices.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fiscal 2016, Willis Towers Watson provided services to the company in the areas of executive compensation and benefits consulting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2016, the company paid Willis Towers Watson the following amounts for such services:</w:t>
      </w:r>
    </w:p>
    <w:p>
      <w:pPr>
        <w:spacing w:after="0" w:line="21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Executive Compensation Consulting Fees. Fees for executive compensation consulting services totaled approximately $145,000, including fees associated with services provided to management and the Compensation Committee</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Health and Benefits Consulting Fees. Fees for consulting services totaled approximately $610,000 related to the NN, Inc. Health and Welfare Benefit Plan and Voluntary benefit offerings.</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Prior to our engagement of a compensation consultant or any other external advisor, and from time to time as the Compensation Committee deems appropriate, the Compensation Committee assesses the independence of such advisor from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taking into consideration all factors relevant to such advisor’s independence, including the following factors specified in the NASDAQ listing standards:</w:t>
      </w:r>
    </w:p>
    <w:p>
      <w:pPr>
        <w:spacing w:after="0" w:line="76"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services provided by the advisor’s firm;</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as a percentage of firm revenue;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policies and procedures maintained by the advisory firm to prevent or mitigate conflicts of interest;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advisor with a member of the compensation committee;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company stock owned by the compensation advisor;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advisor with any of our executive officers.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Willis Towers Watson has provided the Compensation Committee with appropriate assurances and confirmation of its independent status pursuant to the factors indicated above. The Compensation Committee believes that Willis Towers Watson has been independent throughout its service for the Compensation Committee and that Willis Towers Watson does not have any conflicts of interest.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Compensation Analysis</w:t>
      </w:r>
    </w:p>
    <w:p>
      <w:pPr>
        <w:spacing w:after="0" w:line="117"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The Compensation Committee does not target a specific competitive position versus the market or peer companies in determining the overall compensation of our executives because in light of our diverse mix of businesses, strict benchmarking against a selected group of companies would not provide a meaningful basis for establishing compensation. However, 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peer group consists of the companies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Blount International Inc.</w:t>
            </w:r>
          </w:p>
        </w:tc>
        <w:tc>
          <w:tcPr>
            <w:tcW w:w="2800" w:type="dxa"/>
            <w:vAlign w:val="bottom"/>
          </w:tcPr>
          <w:p>
            <w:pPr>
              <w:ind w:left="520"/>
              <w:spacing w:after="0"/>
              <w:rPr>
                <w:sz w:val="20"/>
                <w:szCs w:val="20"/>
                <w:color w:val="auto"/>
              </w:rPr>
            </w:pPr>
            <w:r>
              <w:rPr>
                <w:rFonts w:ascii="Arial" w:cs="Arial" w:eastAsia="Arial" w:hAnsi="Arial"/>
                <w:sz w:val="18"/>
                <w:szCs w:val="18"/>
                <w:color w:val="auto"/>
              </w:rPr>
              <w:t>Alamo Group, Inc.</w:t>
            </w:r>
          </w:p>
        </w:tc>
        <w:tc>
          <w:tcPr>
            <w:tcW w:w="2760" w:type="dxa"/>
            <w:vAlign w:val="bottom"/>
          </w:tcPr>
          <w:p>
            <w:pPr>
              <w:ind w:left="540"/>
              <w:spacing w:after="0"/>
              <w:rPr>
                <w:sz w:val="20"/>
                <w:szCs w:val="20"/>
                <w:color w:val="auto"/>
              </w:rPr>
            </w:pPr>
            <w:r>
              <w:rPr>
                <w:rFonts w:ascii="Arial" w:cs="Arial" w:eastAsia="Arial" w:hAnsi="Arial"/>
                <w:sz w:val="18"/>
                <w:szCs w:val="18"/>
                <w:color w:val="auto"/>
              </w:rPr>
              <w:t>Xerium Technologies Inc.</w:t>
            </w:r>
          </w:p>
        </w:tc>
        <w:tc>
          <w:tcPr>
            <w:tcW w:w="2140" w:type="dxa"/>
            <w:vAlign w:val="bottom"/>
          </w:tcPr>
          <w:p>
            <w:pPr>
              <w:ind w:left="360"/>
              <w:spacing w:after="0"/>
              <w:rPr>
                <w:sz w:val="20"/>
                <w:szCs w:val="20"/>
                <w:color w:val="auto"/>
              </w:rPr>
            </w:pPr>
            <w:r>
              <w:rPr>
                <w:rFonts w:ascii="Arial" w:cs="Arial" w:eastAsia="Arial" w:hAnsi="Arial"/>
                <w:sz w:val="18"/>
                <w:szCs w:val="18"/>
                <w:color w:val="auto"/>
              </w:rPr>
              <w:t>Lydall Inc.</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CIRCOR International, Inc.</w:t>
            </w:r>
          </w:p>
        </w:tc>
        <w:tc>
          <w:tcPr>
            <w:tcW w:w="2800" w:type="dxa"/>
            <w:vAlign w:val="bottom"/>
          </w:tcPr>
          <w:p>
            <w:pPr>
              <w:ind w:left="520"/>
              <w:spacing w:after="0"/>
              <w:rPr>
                <w:sz w:val="20"/>
                <w:szCs w:val="20"/>
                <w:color w:val="auto"/>
              </w:rPr>
            </w:pPr>
            <w:r>
              <w:rPr>
                <w:rFonts w:ascii="Arial" w:cs="Arial" w:eastAsia="Arial" w:hAnsi="Arial"/>
                <w:sz w:val="18"/>
                <w:szCs w:val="18"/>
                <w:color w:val="auto"/>
              </w:rPr>
              <w:t>Handy &amp; Harman Ltd.</w:t>
            </w:r>
          </w:p>
        </w:tc>
        <w:tc>
          <w:tcPr>
            <w:tcW w:w="2760" w:type="dxa"/>
            <w:vAlign w:val="bottom"/>
          </w:tcPr>
          <w:p>
            <w:pPr>
              <w:ind w:left="540"/>
              <w:spacing w:after="0"/>
              <w:rPr>
                <w:sz w:val="20"/>
                <w:szCs w:val="20"/>
                <w:color w:val="auto"/>
              </w:rPr>
            </w:pPr>
            <w:r>
              <w:rPr>
                <w:rFonts w:ascii="Arial" w:cs="Arial" w:eastAsia="Arial" w:hAnsi="Arial"/>
                <w:sz w:val="18"/>
                <w:szCs w:val="18"/>
                <w:color w:val="auto"/>
              </w:rPr>
              <w:t>ESCO Technologies Inc.</w:t>
            </w:r>
          </w:p>
        </w:tc>
        <w:tc>
          <w:tcPr>
            <w:tcW w:w="2140" w:type="dxa"/>
            <w:vAlign w:val="bottom"/>
          </w:tcPr>
          <w:p>
            <w:pPr>
              <w:ind w:left="360"/>
              <w:spacing w:after="0"/>
              <w:rPr>
                <w:sz w:val="20"/>
                <w:szCs w:val="20"/>
                <w:color w:val="auto"/>
              </w:rPr>
            </w:pPr>
            <w:r>
              <w:rPr>
                <w:rFonts w:ascii="Arial" w:cs="Arial" w:eastAsia="Arial" w:hAnsi="Arial"/>
                <w:sz w:val="18"/>
                <w:szCs w:val="18"/>
                <w:color w:val="auto"/>
              </w:rPr>
              <w:t>Gorman-Rupp Co.</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Tennant Company</w:t>
            </w:r>
          </w:p>
        </w:tc>
        <w:tc>
          <w:tcPr>
            <w:tcW w:w="2800" w:type="dxa"/>
            <w:vAlign w:val="bottom"/>
          </w:tcPr>
          <w:p>
            <w:pPr>
              <w:ind w:left="520"/>
              <w:spacing w:after="0"/>
              <w:rPr>
                <w:sz w:val="20"/>
                <w:szCs w:val="20"/>
                <w:color w:val="auto"/>
              </w:rPr>
            </w:pPr>
            <w:r>
              <w:rPr>
                <w:rFonts w:ascii="Arial" w:cs="Arial" w:eastAsia="Arial" w:hAnsi="Arial"/>
                <w:sz w:val="18"/>
                <w:szCs w:val="18"/>
                <w:color w:val="auto"/>
              </w:rPr>
              <w:t>LB Foster Co.</w:t>
            </w:r>
          </w:p>
        </w:tc>
        <w:tc>
          <w:tcPr>
            <w:tcW w:w="2760" w:type="dxa"/>
            <w:vAlign w:val="bottom"/>
          </w:tcPr>
          <w:p>
            <w:pPr>
              <w:ind w:left="540"/>
              <w:spacing w:after="0"/>
              <w:rPr>
                <w:sz w:val="20"/>
                <w:szCs w:val="20"/>
                <w:color w:val="auto"/>
              </w:rPr>
            </w:pPr>
            <w:r>
              <w:rPr>
                <w:rFonts w:ascii="Arial" w:cs="Arial" w:eastAsia="Arial" w:hAnsi="Arial"/>
                <w:sz w:val="18"/>
                <w:szCs w:val="18"/>
                <w:color w:val="auto"/>
              </w:rPr>
              <w:t>Haynes International</w:t>
            </w:r>
          </w:p>
        </w:tc>
        <w:tc>
          <w:tcPr>
            <w:tcW w:w="2140" w:type="dxa"/>
            <w:vAlign w:val="bottom"/>
          </w:tcPr>
          <w:p>
            <w:pPr>
              <w:ind w:left="360"/>
              <w:spacing w:after="0"/>
              <w:rPr>
                <w:sz w:val="20"/>
                <w:szCs w:val="20"/>
                <w:color w:val="auto"/>
              </w:rPr>
            </w:pPr>
            <w:r>
              <w:rPr>
                <w:rFonts w:ascii="Arial" w:cs="Arial" w:eastAsia="Arial" w:hAnsi="Arial"/>
                <w:sz w:val="18"/>
                <w:szCs w:val="18"/>
                <w:color w:val="auto"/>
              </w:rPr>
              <w:t>Hardinge Inc.</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Altra Industrial Motion Corp.</w:t>
            </w:r>
          </w:p>
        </w:tc>
        <w:tc>
          <w:tcPr>
            <w:tcW w:w="2800" w:type="dxa"/>
            <w:vAlign w:val="bottom"/>
          </w:tcPr>
          <w:p>
            <w:pPr>
              <w:ind w:left="520"/>
              <w:spacing w:after="0"/>
              <w:rPr>
                <w:sz w:val="20"/>
                <w:szCs w:val="20"/>
                <w:color w:val="auto"/>
              </w:rPr>
            </w:pPr>
            <w:r>
              <w:rPr>
                <w:rFonts w:ascii="Arial" w:cs="Arial" w:eastAsia="Arial" w:hAnsi="Arial"/>
                <w:sz w:val="18"/>
                <w:szCs w:val="18"/>
                <w:color w:val="auto"/>
              </w:rPr>
              <w:t>Twin Disc, Incorporated</w:t>
            </w:r>
          </w:p>
        </w:tc>
        <w:tc>
          <w:tcPr>
            <w:tcW w:w="2760" w:type="dxa"/>
            <w:vAlign w:val="bottom"/>
          </w:tcPr>
          <w:p>
            <w:pPr>
              <w:ind w:left="540"/>
              <w:spacing w:after="0"/>
              <w:rPr>
                <w:sz w:val="20"/>
                <w:szCs w:val="20"/>
                <w:color w:val="auto"/>
              </w:rPr>
            </w:pPr>
            <w:r>
              <w:rPr>
                <w:rFonts w:ascii="Arial" w:cs="Arial" w:eastAsia="Arial" w:hAnsi="Arial"/>
                <w:sz w:val="18"/>
                <w:szCs w:val="18"/>
                <w:color w:val="auto"/>
              </w:rPr>
              <w:t>RBC Bearings Inc.</w:t>
            </w:r>
          </w:p>
        </w:tc>
        <w:tc>
          <w:tcPr>
            <w:tcW w:w="2140" w:type="dxa"/>
            <w:vAlign w:val="bottom"/>
          </w:tcPr>
          <w:p>
            <w:pPr>
              <w:ind w:left="360"/>
              <w:spacing w:after="0"/>
              <w:rPr>
                <w:sz w:val="20"/>
                <w:szCs w:val="20"/>
                <w:color w:val="auto"/>
              </w:rPr>
            </w:pPr>
            <w:r>
              <w:rPr>
                <w:rFonts w:ascii="Arial" w:cs="Arial" w:eastAsia="Arial" w:hAnsi="Arial"/>
                <w:sz w:val="18"/>
                <w:szCs w:val="18"/>
                <w:color w:val="auto"/>
                <w:w w:val="91"/>
              </w:rPr>
              <w:t>Ampco-Pittsburgh Corp.</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Columbus McKinnon Corporation</w:t>
            </w:r>
          </w:p>
        </w:tc>
        <w:tc>
          <w:tcPr>
            <w:tcW w:w="2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2"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Compensation Committee selected companies for inclusion in this peer group based on (i) the extent to which they compete with us in one or more lines of business, for executive talent and for investors, and (ii) comparability of revenues, market capitalization, net income, total assets and number of employees.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2016 Achievements and Value Creation</w:t>
      </w:r>
    </w:p>
    <w:p>
      <w:pPr>
        <w:sectPr>
          <w:pgSz w:w="11900" w:h="16838" w:orient="portrait"/>
          <w:cols w:equalWidth="0" w:num="1">
            <w:col w:w="11360"/>
          </w:cols>
          <w:pgMar w:left="240" w:top="270" w:right="299" w:bottom="1440" w:gutter="0" w:footer="0" w:header="0"/>
        </w:sectPr>
      </w:pPr>
    </w:p>
    <w:p>
      <w:pPr>
        <w:spacing w:after="0" w:line="158" w:lineRule="exact"/>
        <w:rPr>
          <w:sz w:val="20"/>
          <w:szCs w:val="20"/>
          <w:color w:val="auto"/>
        </w:rPr>
      </w:pPr>
    </w:p>
    <w:p>
      <w:pPr>
        <w:jc w:val="center"/>
        <w:ind w:left="820"/>
        <w:spacing w:after="0"/>
        <w:rPr>
          <w:sz w:val="20"/>
          <w:szCs w:val="20"/>
          <w:color w:val="auto"/>
        </w:rPr>
      </w:pPr>
      <w:r>
        <w:rPr>
          <w:rFonts w:ascii="Arial" w:cs="Arial" w:eastAsia="Arial" w:hAnsi="Arial"/>
          <w:sz w:val="17"/>
          <w:szCs w:val="17"/>
          <w:i w:val="1"/>
          <w:iCs w:val="1"/>
          <w:color w:val="auto"/>
        </w:rPr>
        <w:t>Improved Profitability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900"/>
        <w:spacing w:after="0" w:line="302" w:lineRule="auto"/>
        <w:rPr>
          <w:sz w:val="20"/>
          <w:szCs w:val="20"/>
          <w:color w:val="auto"/>
        </w:rPr>
      </w:pPr>
      <w:r>
        <w:rPr>
          <w:rFonts w:ascii="Arial" w:cs="Arial" w:eastAsia="Arial" w:hAnsi="Arial"/>
          <w:sz w:val="16"/>
          <w:szCs w:val="16"/>
          <w:color w:val="auto"/>
        </w:rPr>
        <w:t>In the face of shrinking global industrial markets of more than 10% and significant program delays by our customers, we enhanced earnings through our operational oversight, targeted restructuring and debt repricing efforts.</w:t>
      </w:r>
    </w:p>
    <w:p>
      <w:pPr>
        <w:spacing w:after="0" w:line="60" w:lineRule="exact"/>
        <w:rPr>
          <w:sz w:val="20"/>
          <w:szCs w:val="20"/>
          <w:color w:val="auto"/>
        </w:rPr>
      </w:pPr>
    </w:p>
    <w:p>
      <w:pPr>
        <w:sectPr>
          <w:pgSz w:w="11900" w:h="16838" w:orient="portrait"/>
          <w:cols w:equalWidth="0" w:num="2">
            <w:col w:w="4460" w:space="720"/>
            <w:col w:w="6180"/>
          </w:cols>
          <w:pgMar w:left="240" w:top="270" w:right="299" w:bottom="1440" w:gutter="0" w:footer="0" w:header="0"/>
          <w:type w:val="continuous"/>
        </w:sectPr>
      </w:pPr>
    </w:p>
    <w:p>
      <w:pPr>
        <w:ind w:left="5180"/>
        <w:spacing w:after="0"/>
        <w:rPr>
          <w:sz w:val="20"/>
          <w:szCs w:val="20"/>
          <w:color w:val="auto"/>
        </w:rPr>
      </w:pPr>
      <w:r>
        <w:rPr>
          <w:rFonts w:ascii="Arial" w:cs="Arial" w:eastAsia="Arial" w:hAnsi="Arial"/>
          <w:sz w:val="16"/>
          <w:szCs w:val="16"/>
          <w:color w:val="auto"/>
        </w:rPr>
        <w:t>We repriced our term loan and lowered our interest rate by</w:t>
      </w:r>
    </w:p>
    <w:p>
      <w:pPr>
        <w:spacing w:after="0" w:line="4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75 basis points, reducing our annual interest costs by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approximately $4.5 million.</w:t>
      </w:r>
    </w:p>
    <w:p>
      <w:pPr>
        <w:spacing w:after="0" w:line="11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Across our businesses, our gross margin improved by more</w:t>
      </w:r>
    </w:p>
    <w:p>
      <w:pPr>
        <w:spacing w:after="0" w:line="4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than 430 basis points and adjusted operating margin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improved by more than 220 basis points, making us more</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profitable and generating additional cash flow available for</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debt repayment.</w:t>
      </w:r>
    </w:p>
    <w:p>
      <w:pPr>
        <w:sectPr>
          <w:pgSz w:w="11900" w:h="16838" w:orient="portrait"/>
          <w:cols w:equalWidth="0" w:num="1">
            <w:col w:w="11360"/>
          </w:cols>
          <w:pgMar w:left="240" w:top="270" w:right="299" w:bottom="1440" w:gutter="0" w:footer="0" w:header="0"/>
          <w:type w:val="continuous"/>
        </w:sectPr>
      </w:pPr>
    </w:p>
    <w:p>
      <w:pPr>
        <w:spacing w:after="0" w:line="116" w:lineRule="exact"/>
        <w:rPr>
          <w:sz w:val="20"/>
          <w:szCs w:val="20"/>
          <w:color w:val="auto"/>
        </w:rPr>
      </w:pPr>
    </w:p>
    <w:p>
      <w:pPr>
        <w:ind w:left="1840"/>
        <w:spacing w:after="0"/>
        <w:rPr>
          <w:sz w:val="20"/>
          <w:szCs w:val="20"/>
          <w:color w:val="auto"/>
        </w:rPr>
      </w:pPr>
      <w:r>
        <w:rPr>
          <w:rFonts w:ascii="Arial" w:cs="Arial" w:eastAsia="Arial" w:hAnsi="Arial"/>
          <w:sz w:val="16"/>
          <w:szCs w:val="16"/>
          <w:i w:val="1"/>
          <w:iCs w:val="1"/>
          <w:color w:val="auto"/>
        </w:rPr>
        <w:t>Efficient Capital Spending</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right="1880"/>
        <w:spacing w:after="0" w:line="264" w:lineRule="auto"/>
        <w:rPr>
          <w:sz w:val="20"/>
          <w:szCs w:val="20"/>
          <w:color w:val="auto"/>
        </w:rPr>
      </w:pPr>
      <w:r>
        <w:rPr>
          <w:rFonts w:ascii="Arial" w:cs="Arial" w:eastAsia="Arial" w:hAnsi="Arial"/>
          <w:sz w:val="18"/>
          <w:szCs w:val="18"/>
          <w:color w:val="auto"/>
        </w:rPr>
        <w:t>We held our capital spending at $40 million for 2016, 20% below the target amount, while continuing to make efficient investments in our businesses.</w:t>
      </w:r>
    </w:p>
    <w:p>
      <w:pPr>
        <w:spacing w:after="0" w:line="73" w:lineRule="exact"/>
        <w:rPr>
          <w:sz w:val="20"/>
          <w:szCs w:val="20"/>
          <w:color w:val="auto"/>
        </w:rPr>
      </w:pPr>
    </w:p>
    <w:p>
      <w:pPr>
        <w:sectPr>
          <w:pgSz w:w="11900" w:h="16838" w:orient="portrait"/>
          <w:cols w:equalWidth="0" w:num="2">
            <w:col w:w="4460" w:space="720"/>
            <w:col w:w="6180"/>
          </w:cols>
          <w:pgMar w:left="240" w:top="270" w:right="299" w:bottom="1440" w:gutter="0" w:footer="0" w:header="0"/>
          <w:type w:val="continuous"/>
        </w:sectPr>
      </w:pPr>
    </w:p>
    <w:p>
      <w:pPr>
        <w:ind w:left="1840"/>
        <w:spacing w:after="0"/>
        <w:rPr>
          <w:sz w:val="20"/>
          <w:szCs w:val="20"/>
          <w:color w:val="auto"/>
        </w:rPr>
      </w:pPr>
      <w:r>
        <w:rPr>
          <w:rFonts w:ascii="Arial" w:cs="Arial" w:eastAsia="Arial" w:hAnsi="Arial"/>
          <w:sz w:val="16"/>
          <w:szCs w:val="16"/>
          <w:i w:val="1"/>
          <w:iCs w:val="1"/>
          <w:color w:val="auto"/>
        </w:rPr>
        <w:t>NN Operating System Improvements</w:t>
      </w:r>
    </w:p>
    <w:p>
      <w:pPr>
        <w:spacing w:after="0" w:line="20" w:lineRule="exact"/>
        <w:rPr>
          <w:sz w:val="20"/>
          <w:szCs w:val="20"/>
          <w:color w:val="auto"/>
        </w:rPr>
      </w:pPr>
      <w:r>
        <w:rPr>
          <w:sz w:val="20"/>
          <w:szCs w:val="20"/>
          <w:color w:val="auto"/>
        </w:rPr>
        <w:br w:type="column"/>
      </w:r>
    </w:p>
    <w:p>
      <w:pPr>
        <w:ind w:right="1860"/>
        <w:spacing w:after="0" w:line="279" w:lineRule="auto"/>
        <w:rPr>
          <w:sz w:val="20"/>
          <w:szCs w:val="20"/>
          <w:color w:val="auto"/>
        </w:rPr>
      </w:pPr>
      <w:r>
        <w:rPr>
          <w:rFonts w:ascii="Arial" w:cs="Arial" w:eastAsia="Arial" w:hAnsi="Arial"/>
          <w:sz w:val="17"/>
          <w:szCs w:val="17"/>
          <w:color w:val="auto"/>
        </w:rPr>
        <w:t>We continued to make improvements to the NN Operating System and developed standardized policies across multiple functions (finance, treasury, legal, sales, human resources and information technology).</w:t>
      </w:r>
    </w:p>
    <w:p>
      <w:pPr>
        <w:spacing w:after="0" w:line="63" w:lineRule="exact"/>
        <w:rPr>
          <w:sz w:val="20"/>
          <w:szCs w:val="20"/>
          <w:color w:val="auto"/>
        </w:rPr>
      </w:pPr>
    </w:p>
    <w:p>
      <w:pPr>
        <w:sectPr>
          <w:pgSz w:w="11900" w:h="16838" w:orient="portrait"/>
          <w:cols w:equalWidth="0" w:num="2">
            <w:col w:w="4460" w:space="720"/>
            <w:col w:w="6180"/>
          </w:cols>
          <w:pgMar w:left="240" w:top="270" w:right="299" w:bottom="1440" w:gutter="0" w:footer="0" w:header="0"/>
          <w:type w:val="continuous"/>
        </w:sectPr>
      </w:pPr>
    </w:p>
    <w:p>
      <w:pPr>
        <w:ind w:left="1840"/>
        <w:spacing w:after="0"/>
        <w:rPr>
          <w:sz w:val="20"/>
          <w:szCs w:val="20"/>
          <w:color w:val="auto"/>
        </w:rPr>
      </w:pPr>
      <w:r>
        <w:rPr>
          <w:rFonts w:ascii="Arial" w:cs="Arial" w:eastAsia="Arial" w:hAnsi="Arial"/>
          <w:sz w:val="16"/>
          <w:szCs w:val="16"/>
          <w:i w:val="1"/>
          <w:iCs w:val="1"/>
          <w:color w:val="auto"/>
        </w:rPr>
        <w:t>Environmental Certifications</w:t>
      </w:r>
    </w:p>
    <w:p>
      <w:pPr>
        <w:spacing w:after="0" w:line="20" w:lineRule="exact"/>
        <w:rPr>
          <w:sz w:val="20"/>
          <w:szCs w:val="20"/>
          <w:color w:val="auto"/>
        </w:rPr>
      </w:pPr>
      <w:r>
        <w:rPr>
          <w:sz w:val="20"/>
          <w:szCs w:val="20"/>
          <w:color w:val="auto"/>
        </w:rPr>
        <w:br w:type="column"/>
      </w:r>
    </w:p>
    <w:p>
      <w:pPr>
        <w:jc w:val="both"/>
        <w:ind w:right="2240"/>
        <w:spacing w:after="0" w:line="279" w:lineRule="auto"/>
        <w:rPr>
          <w:sz w:val="20"/>
          <w:szCs w:val="20"/>
          <w:color w:val="auto"/>
        </w:rPr>
      </w:pPr>
      <w:r>
        <w:rPr>
          <w:rFonts w:ascii="Arial" w:cs="Arial" w:eastAsia="Arial" w:hAnsi="Arial"/>
          <w:sz w:val="17"/>
          <w:szCs w:val="17"/>
          <w:color w:val="auto"/>
        </w:rPr>
        <w:t>We obtained ISO14001 environmental certification for several of our global balls manufacturing sites, which evidences our commitment to minimize the impact our operations have on the environment.</w:t>
      </w:r>
    </w:p>
    <w:p>
      <w:pPr>
        <w:spacing w:after="0" w:line="200" w:lineRule="exact"/>
        <w:rPr>
          <w:sz w:val="20"/>
          <w:szCs w:val="20"/>
          <w:color w:val="auto"/>
        </w:rPr>
      </w:pPr>
    </w:p>
    <w:p>
      <w:pPr>
        <w:sectPr>
          <w:pgSz w:w="11900" w:h="16838" w:orient="portrait"/>
          <w:cols w:equalWidth="0" w:num="2">
            <w:col w:w="4460" w:space="720"/>
            <w:col w:w="6180"/>
          </w:cols>
          <w:pgMar w:left="240" w:top="270" w:right="29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 and Practices</w:t>
      </w:r>
    </w:p>
    <w:p>
      <w:pPr>
        <w:spacing w:after="0" w:line="12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Below, we summarize certain executive compensation practices, both the practices we have implemented to drive performance and the practices we have not implemented because we do not believe they would serve our stockholders’ long-term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Align executive pay with Company performance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performance metrics that correlate to stockholder value creation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Mitigate undue risk in compensation programs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 vesting periods on equity awards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Utilize an independent compensation consultant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in employment/separation agreements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executive stock ownership guidelines</w:t>
      </w:r>
    </w:p>
    <w:p>
      <w:pPr>
        <w:spacing w:after="0" w:line="130" w:lineRule="exact"/>
        <w:rPr>
          <w:rFonts w:ascii="Arial" w:cs="Arial" w:eastAsia="Arial" w:hAnsi="Arial"/>
          <w:sz w:val="18"/>
          <w:szCs w:val="18"/>
          <w:color w:val="auto"/>
        </w:rPr>
      </w:pPr>
    </w:p>
    <w:p>
      <w:pPr>
        <w:ind w:left="5620" w:hanging="4707"/>
        <w:spacing w:after="0" w:line="449" w:lineRule="auto"/>
        <w:tabs>
          <w:tab w:leader="none" w:pos="14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an incentive compensation recoupment (clawback) policy applicable to all equity awards granted under our compensation plans 20</w:t>
      </w:r>
    </w:p>
    <w:p>
      <w:pPr>
        <w:sectPr>
          <w:pgSz w:w="11900" w:h="16838" w:orient="portrait"/>
          <w:cols w:equalWidth="0" w:num="1">
            <w:col w:w="11360"/>
          </w:cols>
          <w:pgMar w:left="240" w:top="270" w:right="2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Reprice underwater stock options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Exchange underwater stock options for cash</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 multi-year guaranteed bonuses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Permit hedging or short-sale transactions by our executive officers and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Pay and Why: Elements of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three elements of total direct compensation: base salary, executive incentive compensation and long-term incentive compensation.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We pay base salaries to attract talented executives and to provide a fixed base of cash compensation. The salary levels for 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 It is our policy to compensate executives in a targeted range of approximately the 50 </w:t>
      </w:r>
      <w:r>
        <w:rPr>
          <w:rFonts w:ascii="Arial" w:cs="Arial" w:eastAsia="Arial" w:hAnsi="Arial"/>
          <w:sz w:val="13"/>
          <w:szCs w:val="13"/>
          <w:color w:val="auto"/>
        </w:rPr>
        <w:t>th</w:t>
      </w:r>
      <w:r>
        <w:rPr>
          <w:rFonts w:ascii="Arial" w:cs="Arial" w:eastAsia="Arial" w:hAnsi="Arial"/>
          <w:sz w:val="16"/>
          <w:szCs w:val="16"/>
          <w:color w:val="auto"/>
        </w:rPr>
        <w:t xml:space="preserve"> percentile of market of total direct compensation.</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Generally, there are two situations that may warrant an adjustment to base salary:</w:t>
      </w:r>
    </w:p>
    <w:p>
      <w:pPr>
        <w:spacing w:after="0" w:line="127" w:lineRule="exact"/>
        <w:rPr>
          <w:sz w:val="20"/>
          <w:szCs w:val="20"/>
          <w:color w:val="auto"/>
        </w:rPr>
      </w:pPr>
    </w:p>
    <w:p>
      <w:pPr>
        <w:ind w:left="1460" w:right="180" w:hanging="547"/>
        <w:spacing w:after="0" w:line="266"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Annual Merit Increases. </w:t>
      </w:r>
      <w:r>
        <w:rPr>
          <w:rFonts w:ascii="Arial" w:cs="Arial" w:eastAsia="Arial" w:hAnsi="Arial"/>
          <w:sz w:val="18"/>
          <w:szCs w:val="18"/>
          <w:color w:val="auto"/>
        </w:rPr>
        <w:t>All base salaries are reviewed annually for possible merit increases, but merit increases are not automatic or</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Any adjustments take into account the individual’s performance, responsibilities and experience, as well as fairness and external market practices.</w:t>
      </w:r>
    </w:p>
    <w:p>
      <w:pPr>
        <w:spacing w:after="0" w:line="81" w:lineRule="exact"/>
        <w:rPr>
          <w:rFonts w:ascii="Arial" w:cs="Arial" w:eastAsia="Arial" w:hAnsi="Arial"/>
          <w:sz w:val="18"/>
          <w:szCs w:val="18"/>
          <w:color w:val="auto"/>
        </w:rPr>
      </w:pPr>
    </w:p>
    <w:p>
      <w:pPr>
        <w:ind w:left="1460" w:right="260" w:hanging="547"/>
        <w:spacing w:after="0" w:line="313" w:lineRule="auto"/>
        <w:tabs>
          <w:tab w:leader="none" w:pos="146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Promotions or Changes in Role. </w:t>
      </w:r>
      <w:r>
        <w:rPr>
          <w:rFonts w:ascii="Arial" w:cs="Arial" w:eastAsia="Arial" w:hAnsi="Arial"/>
          <w:sz w:val="17"/>
          <w:szCs w:val="17"/>
          <w:color w:val="auto"/>
        </w:rPr>
        <w:t>Base salary may be increased to recognize additional responsibilities resulting from a change in an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role or a promotion to a new position. Increases are not guaranteed for a promotion or change in role.</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indicates the base salaries for 2015 and 2016, and the percentage increase from the prior year for our named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20" w:type="dxa"/>
            <w:vAlign w:val="bottom"/>
            <w:vMerge w:val="restart"/>
          </w:tcPr>
          <w:p>
            <w:pPr>
              <w:spacing w:after="0"/>
              <w:rPr>
                <w:sz w:val="14"/>
                <w:szCs w:val="14"/>
                <w:color w:val="auto"/>
              </w:rPr>
            </w:pPr>
          </w:p>
        </w:tc>
        <w:tc>
          <w:tcPr>
            <w:tcW w:w="27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2015 Base</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2016 Base</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42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11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Salary</w:t>
            </w:r>
          </w:p>
        </w:tc>
        <w:tc>
          <w:tcPr>
            <w:tcW w:w="11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27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gridSpan w:val="2"/>
            <w:vMerge w:val="continue"/>
            <w:shd w:val="clear" w:color="auto" w:fill="CCEEFF"/>
          </w:tcPr>
          <w:p>
            <w:pPr>
              <w:spacing w:after="0"/>
              <w:rPr>
                <w:sz w:val="17"/>
                <w:szCs w:val="17"/>
                <w:color w:val="auto"/>
              </w:rPr>
            </w:pPr>
          </w:p>
        </w:tc>
        <w:tc>
          <w:tcPr>
            <w:tcW w:w="270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$600,000</w:t>
            </w:r>
          </w:p>
        </w:tc>
        <w:tc>
          <w:tcPr>
            <w:tcW w:w="4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$645,000</w:t>
            </w:r>
          </w:p>
        </w:tc>
        <w:tc>
          <w:tcPr>
            <w:tcW w:w="50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 xml:space="preserve">Mr. Burwell </w:t>
            </w:r>
            <w:r>
              <w:rPr>
                <w:rFonts w:ascii="Arial" w:cs="Arial" w:eastAsia="Arial" w:hAnsi="Arial"/>
                <w:sz w:val="15"/>
                <w:szCs w:val="15"/>
                <w:color w:val="auto"/>
              </w:rPr>
              <w:t>(1)</w:t>
            </w:r>
          </w:p>
        </w:tc>
        <w:tc>
          <w:tcPr>
            <w:tcW w:w="3880" w:type="dxa"/>
            <w:vAlign w:val="bottom"/>
            <w:gridSpan w:val="3"/>
          </w:tcPr>
          <w:p>
            <w:pPr>
              <w:jc w:val="center"/>
              <w:ind w:left="2130"/>
              <w:spacing w:after="0"/>
              <w:rPr>
                <w:sz w:val="20"/>
                <w:szCs w:val="20"/>
                <w:color w:val="auto"/>
              </w:rPr>
            </w:pPr>
            <w:r>
              <w:rPr>
                <w:rFonts w:ascii="Arial" w:cs="Arial" w:eastAsia="Arial" w:hAnsi="Arial"/>
                <w:sz w:val="18"/>
                <w:szCs w:val="18"/>
                <w:color w:val="auto"/>
                <w:w w:val="93"/>
              </w:rPr>
              <w:t>$217,738</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$243,447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Mr. Dorton </w:t>
            </w:r>
            <w:r>
              <w:rPr>
                <w:rFonts w:ascii="Arial" w:cs="Arial" w:eastAsia="Arial" w:hAnsi="Arial"/>
                <w:sz w:val="15"/>
                <w:szCs w:val="15"/>
                <w:color w:val="auto"/>
              </w:rPr>
              <w:t>(2)</w:t>
            </w:r>
          </w:p>
        </w:tc>
        <w:tc>
          <w:tcPr>
            <w:tcW w:w="3880" w:type="dxa"/>
            <w:vAlign w:val="bottom"/>
            <w:gridSpan w:val="3"/>
            <w:shd w:val="clear" w:color="auto" w:fill="CCEEFF"/>
          </w:tcPr>
          <w:p>
            <w:pPr>
              <w:jc w:val="center"/>
              <w:ind w:left="2130"/>
              <w:spacing w:after="0"/>
              <w:rPr>
                <w:sz w:val="20"/>
                <w:szCs w:val="20"/>
                <w:color w:val="auto"/>
              </w:rPr>
            </w:pPr>
            <w:r>
              <w:rPr>
                <w:rFonts w:ascii="Arial" w:cs="Arial" w:eastAsia="Arial" w:hAnsi="Arial"/>
                <w:sz w:val="18"/>
                <w:szCs w:val="18"/>
                <w:color w:val="auto"/>
                <w:w w:val="93"/>
              </w:rPr>
              <w:t>$353,363</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$353,363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Mr. Manzi</w:t>
            </w:r>
          </w:p>
        </w:tc>
        <w:tc>
          <w:tcPr>
            <w:tcW w:w="3880" w:type="dxa"/>
            <w:vAlign w:val="bottom"/>
            <w:gridSpan w:val="3"/>
          </w:tcPr>
          <w:p>
            <w:pPr>
              <w:jc w:val="center"/>
              <w:ind w:left="2130"/>
              <w:spacing w:after="0"/>
              <w:rPr>
                <w:sz w:val="20"/>
                <w:szCs w:val="20"/>
                <w:color w:val="auto"/>
              </w:rPr>
            </w:pPr>
            <w:r>
              <w:rPr>
                <w:rFonts w:ascii="Arial" w:cs="Arial" w:eastAsia="Arial" w:hAnsi="Arial"/>
                <w:sz w:val="18"/>
                <w:szCs w:val="18"/>
                <w:color w:val="auto"/>
                <w:w w:val="93"/>
              </w:rPr>
              <w:t>$319,900</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$319,000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3880" w:type="dxa"/>
            <w:vAlign w:val="bottom"/>
            <w:gridSpan w:val="3"/>
            <w:shd w:val="clear" w:color="auto" w:fill="CCEEFF"/>
          </w:tcPr>
          <w:p>
            <w:pPr>
              <w:jc w:val="center"/>
              <w:ind w:left="2130"/>
              <w:spacing w:after="0"/>
              <w:rPr>
                <w:sz w:val="20"/>
                <w:szCs w:val="20"/>
                <w:color w:val="auto"/>
              </w:rPr>
            </w:pPr>
            <w:r>
              <w:rPr>
                <w:rFonts w:ascii="Arial" w:cs="Arial" w:eastAsia="Arial" w:hAnsi="Arial"/>
                <w:sz w:val="18"/>
                <w:szCs w:val="18"/>
                <w:color w:val="auto"/>
                <w:w w:val="93"/>
              </w:rPr>
              <w:t>$316,455</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4"/>
              </w:rPr>
              <w:t>$ 329,113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3880" w:type="dxa"/>
            <w:vAlign w:val="bottom"/>
            <w:gridSpan w:val="3"/>
          </w:tcPr>
          <w:p>
            <w:pPr>
              <w:jc w:val="center"/>
              <w:ind w:left="2130"/>
              <w:spacing w:after="0"/>
              <w:rPr>
                <w:sz w:val="20"/>
                <w:szCs w:val="20"/>
                <w:color w:val="auto"/>
              </w:rPr>
            </w:pPr>
            <w:r>
              <w:rPr>
                <w:rFonts w:ascii="Arial" w:cs="Arial" w:eastAsia="Arial" w:hAnsi="Arial"/>
                <w:sz w:val="18"/>
                <w:szCs w:val="18"/>
                <w:color w:val="auto"/>
                <w:w w:val="93"/>
              </w:rPr>
              <w:t>$314,400</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$ 319,116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Burwell was appointed Senior Vice President – Chief Financial Officer effective as of November 16,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Dorton retired effective as of April 18,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Messrs. Holder and Burwell’s base salaries were increased in order to approach the median of our peer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Compensation (EIC)</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pay annual incentives to drive the achievement of key business results and to recognize individuals based on their contributions to those results. The Compensation Committee believes that this feature of compensation motivates executive officers to strive to attain our annual goals. At the beginning of each fiscal year, the Compensation Committee establishes objectives for the upcoming fiscal year which are tied to our success in achieving our strategic plan. These objectives are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following categories:</w:t>
      </w:r>
    </w:p>
    <w:p>
      <w:pPr>
        <w:spacing w:after="0" w:line="127"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Financial Goals</w:t>
      </w:r>
      <w:r>
        <w:rPr>
          <w:rFonts w:ascii="Arial" w:cs="Arial" w:eastAsia="Arial" w:hAnsi="Arial"/>
          <w:sz w:val="18"/>
          <w:szCs w:val="18"/>
          <w:color w:val="auto"/>
        </w:rPr>
        <w:t>: Achieve our annual business plan;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Operational Excellence</w:t>
      </w:r>
      <w:r>
        <w:rPr>
          <w:rFonts w:ascii="Arial" w:cs="Arial" w:eastAsia="Arial" w:hAnsi="Arial"/>
          <w:sz w:val="18"/>
          <w:szCs w:val="18"/>
          <w:color w:val="auto"/>
        </w:rPr>
        <w:t>: Workplace safety; maintain and improve product quality; improve on-time delivery of products;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Functional Excellence</w:t>
      </w:r>
      <w:r>
        <w:rPr>
          <w:rFonts w:ascii="Arial" w:cs="Arial" w:eastAsia="Arial" w:hAnsi="Arial"/>
          <w:sz w:val="16"/>
          <w:szCs w:val="16"/>
          <w:color w:val="auto"/>
        </w:rPr>
        <w:t>: Attract and develop talent; improve internal controls; successfully source, execute and integrate acquisitions.</w:t>
      </w:r>
    </w:p>
    <w:p>
      <w:pPr>
        <w:spacing w:after="0" w:line="25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2016, the Compensation Committee established that Messrs. Holder, Burwell and Heiter’s performance was to be measured against attainment of the Company Financial Goals (Company adjusted earnings per share, free cash flow generation and net sales). The performance of Mr. Manzi, Senior Vice President and General Manager of the Precision Engineered Products (PEP) group, was to be measured against attainment of the PEP Group Financial Goals (PEP group adjusted earnings per share, Company free cash flow generation and PEP net sales), and the performance of Mr. Veltman, Senior Vice President and General Manager of the Autocam Precision Components (APC) group was to be measured against attainment of the APC Group Financial Goals (APC group adjusted earnings per share, Company free cash flow generation and APC net sales). For Mr. Holder, attainment of Company Financial Goals was weighted at 100%. For Messrs. Burwell, Manzi, Veltman and Heiter, attainment of the Company Financial Goals was weighted at 75%, and attainment of operational excellence and functional excellence goals were weighted at 25%, in the aggregate. In addition, for Messrs. Burwell, Manzi, Veltman and Heiter, an individual performance factor could be considered, at the Compensation Committee’s discretion, based on achievement of individual performance goals relating to attaining operational excellence with respect to safety, environmental, supply chain improvement and operational improvements, continuous improvements to the NN Operating System, developing a diverse and inclusive organization and successfully integrating acquisitions and meeting our synergy targets.</w:t>
      </w:r>
    </w:p>
    <w:p>
      <w:pPr>
        <w:spacing w:after="0" w:line="18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We provide our executive officers with targeted executive incentive compensation of 46% to 80% of base salary, as shown in the table below. In 2016, the Compensation Committee established the following targeted award levels for our executive officers.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4240" w:type="dxa"/>
            <w:vAlign w:val="bottom"/>
            <w:gridSpan w:val="3"/>
          </w:tcPr>
          <w:p>
            <w:pPr>
              <w:jc w:val="center"/>
              <w:ind w:left="2334"/>
              <w:spacing w:after="0" w:line="149" w:lineRule="exact"/>
              <w:rPr>
                <w:sz w:val="20"/>
                <w:szCs w:val="20"/>
                <w:color w:val="auto"/>
              </w:rPr>
            </w:pPr>
            <w:r>
              <w:rPr>
                <w:rFonts w:ascii="Arial" w:cs="Arial" w:eastAsia="Arial" w:hAnsi="Arial"/>
                <w:sz w:val="14"/>
                <w:szCs w:val="14"/>
                <w:b w:val="1"/>
                <w:bCs w:val="1"/>
                <w:color w:val="auto"/>
                <w:w w:val="95"/>
              </w:rPr>
              <w:t>Opportunity as a %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160" w:type="dxa"/>
            <w:vAlign w:val="bottom"/>
            <w:vMerge w:val="continue"/>
          </w:tcPr>
          <w:p>
            <w:pPr>
              <w:spacing w:after="0"/>
              <w:rPr>
                <w:sz w:val="13"/>
                <w:szCs w:val="13"/>
                <w:color w:val="auto"/>
              </w:rPr>
            </w:pPr>
          </w:p>
        </w:tc>
        <w:tc>
          <w:tcPr>
            <w:tcW w:w="2640" w:type="dxa"/>
            <w:vAlign w:val="bottom"/>
          </w:tcPr>
          <w:p>
            <w:pPr>
              <w:spacing w:after="0"/>
              <w:rPr>
                <w:sz w:val="13"/>
                <w:szCs w:val="13"/>
                <w:color w:val="auto"/>
              </w:rPr>
            </w:pPr>
          </w:p>
        </w:tc>
        <w:tc>
          <w:tcPr>
            <w:tcW w:w="16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264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2"/>
            <w:vMerge w:val="continue"/>
            <w:shd w:val="clear" w:color="auto" w:fill="CCEEFF"/>
          </w:tcPr>
          <w:p>
            <w:pPr>
              <w:spacing w:after="0"/>
              <w:rPr>
                <w:sz w:val="17"/>
                <w:szCs w:val="17"/>
                <w:color w:val="auto"/>
              </w:rPr>
            </w:pPr>
          </w:p>
        </w:tc>
        <w:tc>
          <w:tcPr>
            <w:tcW w:w="264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424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4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424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4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With respect to the approach used by the Compensation Committee to establish the threshold, target and maximum performance goals, the Committee considered multiple factors that included, but were not limited to, historical performance, budget performance for fiscal 2016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difficult, yet attainable, to achieve at the time when the goals are set.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8" w:name="page29"/>
    <w:bookmarkEnd w:id="28"/>
    <w:p>
      <w:pPr>
        <w:ind w:right="30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2016, the specific Company and business group financial goals, weighting of the goals and actual achievement by the Company, the APC group and the PEP group in relation to the performance levels previously set by the Compensation Committee is reflected in the following tables: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1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Company Performance Levels</w:t>
            </w:r>
          </w:p>
        </w:tc>
        <w:tc>
          <w:tcPr>
            <w:tcW w:w="100" w:type="dxa"/>
            <w:vAlign w:val="bottom"/>
          </w:tcPr>
          <w:p>
            <w:pPr>
              <w:spacing w:after="0"/>
              <w:rPr>
                <w:sz w:val="16"/>
                <w:szCs w:val="16"/>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Company Financial Goals</w:t>
            </w: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8"/>
              </w:rPr>
              <w:t>Threshold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0"/>
                <w:szCs w:val="10"/>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by Goal</w:t>
            </w:r>
          </w:p>
        </w:tc>
        <w:tc>
          <w:tcPr>
            <w:tcW w:w="120" w:type="dxa"/>
            <w:vAlign w:val="bottom"/>
          </w:tcPr>
          <w:p>
            <w:pPr>
              <w:spacing w:after="0"/>
              <w:rPr>
                <w:sz w:val="14"/>
                <w:szCs w:val="14"/>
                <w:color w:val="auto"/>
              </w:rPr>
            </w:pPr>
          </w:p>
        </w:tc>
        <w:tc>
          <w:tcPr>
            <w:tcW w:w="69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162"/>
        </w:trPr>
        <w:tc>
          <w:tcPr>
            <w:tcW w:w="500" w:type="dxa"/>
            <w:vAlign w:val="bottom"/>
            <w:tcBorders>
              <w:top w:val="single" w:sz="8" w:color="auto"/>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Payout Level</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50%</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100%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58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NN, Inc. Adjusted EPS</w:t>
            </w:r>
            <w:r>
              <w:rPr>
                <w:rFonts w:ascii="Arial" w:cs="Arial" w:eastAsia="Arial" w:hAnsi="Arial"/>
                <w:sz w:val="15"/>
                <w:szCs w:val="15"/>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7100" w:type="dxa"/>
            <w:vAlign w:val="bottom"/>
            <w:gridSpan w:val="3"/>
          </w:tcPr>
          <w:p>
            <w:pPr>
              <w:ind w:left="12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7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NN, Inc. Net Sales</w:t>
            </w:r>
            <w:r>
              <w:rPr>
                <w:rFonts w:ascii="Arial" w:cs="Arial" w:eastAsia="Arial" w:hAnsi="Arial"/>
                <w:sz w:val="15"/>
                <w:szCs w:val="15"/>
                <w:color w:val="auto"/>
              </w:rPr>
              <w:t>(4)</w:t>
            </w: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$ 714.31</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$892.884</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$1,071.46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833.489</w:t>
            </w:r>
          </w:p>
        </w:tc>
        <w:tc>
          <w:tcPr>
            <w:tcW w:w="0" w:type="dxa"/>
            <w:vAlign w:val="bottom"/>
          </w:tcPr>
          <w:p>
            <w:pPr>
              <w:spacing w:after="0"/>
              <w:rPr>
                <w:sz w:val="1"/>
                <w:szCs w:val="1"/>
                <w:color w:val="auto"/>
              </w:rPr>
            </w:pPr>
          </w:p>
        </w:tc>
      </w:tr>
      <w:tr>
        <w:trPr>
          <w:trHeight w:val="380"/>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1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APC Group Performance Levels</w:t>
            </w:r>
          </w:p>
        </w:tc>
        <w:tc>
          <w:tcPr>
            <w:tcW w:w="100" w:type="dxa"/>
            <w:vAlign w:val="bottom"/>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APC Group Financial Goals</w:t>
            </w: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8"/>
              </w:rPr>
              <w:t>Threshold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0"/>
                <w:szCs w:val="10"/>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by Goal</w:t>
            </w:r>
          </w:p>
        </w:tc>
        <w:tc>
          <w:tcPr>
            <w:tcW w:w="120" w:type="dxa"/>
            <w:vAlign w:val="bottom"/>
          </w:tcPr>
          <w:p>
            <w:pPr>
              <w:spacing w:after="0"/>
              <w:rPr>
                <w:sz w:val="14"/>
                <w:szCs w:val="14"/>
                <w:color w:val="auto"/>
              </w:rPr>
            </w:pPr>
          </w:p>
        </w:tc>
        <w:tc>
          <w:tcPr>
            <w:tcW w:w="69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162"/>
        </w:trPr>
        <w:tc>
          <w:tcPr>
            <w:tcW w:w="500" w:type="dxa"/>
            <w:vAlign w:val="bottom"/>
            <w:tcBorders>
              <w:top w:val="single" w:sz="8" w:color="auto"/>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Payout Level</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50%</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100%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58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Group Adjusted EPS</w:t>
            </w:r>
            <w:r>
              <w:rPr>
                <w:rFonts w:ascii="Arial" w:cs="Arial" w:eastAsia="Arial" w:hAnsi="Arial"/>
                <w:sz w:val="15"/>
                <w:szCs w:val="15"/>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7100" w:type="dxa"/>
            <w:vAlign w:val="bottom"/>
            <w:gridSpan w:val="3"/>
          </w:tcPr>
          <w:p>
            <w:pPr>
              <w:ind w:left="12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7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Group Net Sales</w:t>
            </w:r>
            <w:r>
              <w:rPr>
                <w:rFonts w:ascii="Arial" w:cs="Arial" w:eastAsia="Arial" w:hAnsi="Arial"/>
                <w:sz w:val="15"/>
                <w:szCs w:val="15"/>
                <w:color w:val="auto"/>
              </w:rPr>
              <w:t>(4)</w:t>
            </w: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$ 267.02</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$333.773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326.138</w:t>
            </w:r>
          </w:p>
        </w:tc>
        <w:tc>
          <w:tcPr>
            <w:tcW w:w="0" w:type="dxa"/>
            <w:vAlign w:val="bottom"/>
          </w:tcPr>
          <w:p>
            <w:pPr>
              <w:spacing w:after="0"/>
              <w:rPr>
                <w:sz w:val="1"/>
                <w:szCs w:val="1"/>
                <w:color w:val="auto"/>
              </w:rPr>
            </w:pPr>
          </w:p>
        </w:tc>
      </w:tr>
      <w:tr>
        <w:trPr>
          <w:trHeight w:val="380"/>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1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PEP Group Performance Levels</w:t>
            </w:r>
          </w:p>
        </w:tc>
        <w:tc>
          <w:tcPr>
            <w:tcW w:w="100" w:type="dxa"/>
            <w:vAlign w:val="bottom"/>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20"/>
        </w:trPr>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PEP Group Financial Goals</w:t>
            </w:r>
          </w:p>
        </w:tc>
        <w:tc>
          <w:tcPr>
            <w:tcW w:w="6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88"/>
              </w:rPr>
              <w:t>Threshold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0"/>
                <w:szCs w:val="10"/>
                <w:color w:val="auto"/>
              </w:rPr>
            </w:pPr>
          </w:p>
        </w:tc>
        <w:tc>
          <w:tcPr>
            <w:tcW w:w="9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by Goal</w:t>
            </w:r>
          </w:p>
        </w:tc>
        <w:tc>
          <w:tcPr>
            <w:tcW w:w="120" w:type="dxa"/>
            <w:vAlign w:val="bottom"/>
          </w:tcPr>
          <w:p>
            <w:pPr>
              <w:spacing w:after="0"/>
              <w:rPr>
                <w:sz w:val="14"/>
                <w:szCs w:val="14"/>
                <w:color w:val="auto"/>
              </w:rPr>
            </w:pPr>
          </w:p>
        </w:tc>
        <w:tc>
          <w:tcPr>
            <w:tcW w:w="69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162"/>
        </w:trPr>
        <w:tc>
          <w:tcPr>
            <w:tcW w:w="500" w:type="dxa"/>
            <w:vAlign w:val="bottom"/>
            <w:tcBorders>
              <w:top w:val="single" w:sz="8" w:color="auto"/>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Payout Level</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50%</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100%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150%</w:t>
            </w:r>
          </w:p>
        </w:tc>
        <w:tc>
          <w:tcPr>
            <w:tcW w:w="2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58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Group Adjusted EPS</w:t>
            </w:r>
            <w:r>
              <w:rPr>
                <w:rFonts w:ascii="Arial" w:cs="Arial" w:eastAsia="Arial" w:hAnsi="Arial"/>
                <w:sz w:val="15"/>
                <w:szCs w:val="15"/>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7100" w:type="dxa"/>
            <w:vAlign w:val="bottom"/>
            <w:gridSpan w:val="3"/>
          </w:tcPr>
          <w:p>
            <w:pPr>
              <w:ind w:left="120"/>
              <w:spacing w:after="0"/>
              <w:rPr>
                <w:sz w:val="20"/>
                <w:szCs w:val="20"/>
                <w:color w:val="auto"/>
              </w:rPr>
            </w:pPr>
            <w:r>
              <w:rPr>
                <w:rFonts w:ascii="Arial" w:cs="Arial" w:eastAsia="Arial" w:hAnsi="Arial"/>
                <w:sz w:val="18"/>
                <w:szCs w:val="18"/>
                <w:color w:val="auto"/>
              </w:rPr>
              <w:t>NN, Inc. Free Cash Flow</w:t>
            </w:r>
            <w:r>
              <w:rPr>
                <w:rFonts w:ascii="Arial" w:cs="Arial" w:eastAsia="Arial" w:hAnsi="Arial"/>
                <w:sz w:val="15"/>
                <w:szCs w:val="15"/>
                <w:color w:val="auto"/>
              </w:rPr>
              <w:t>(3)(4)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16"/>
        </w:trPr>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71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Group Net Sales</w:t>
            </w:r>
            <w:r>
              <w:rPr>
                <w:rFonts w:ascii="Arial" w:cs="Arial" w:eastAsia="Arial" w:hAnsi="Arial"/>
                <w:sz w:val="15"/>
                <w:szCs w:val="15"/>
                <w:color w:val="auto"/>
              </w:rPr>
              <w:t>(4)</w:t>
            </w: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$ 226.85</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$283.560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258.816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40" w:hanging="452"/>
        <w:spacing w:after="0" w:line="25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Company or the Business Group does not attain the threshold performance for Adjusted Earnings per Share, no payout under the program is made.</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one-time charges related to acquisition and integration costs, amortization of intangibles costs for fair value step-up in values related to acquisitions and amortization of deferred financing costs, and foreign exchange gain (loss) on inter-company loans. We believe this performance measure provides meaningful supplemental information regarding our core operational performance.</w:t>
      </w:r>
    </w:p>
    <w:p>
      <w:pPr>
        <w:spacing w:after="0" w:line="2"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Free Cash Flow represents GAAP net income, adjusted to include income taxes, interest expense, depreciation and amortization, acquisition and integration expenses, non-stock compensation, foreign exchange gain (loss) on intercompany loans, and working capital, and further adjusted to exclude capital expenditures, interest expense, dividends, and income tax expense. We believe this performance measure provides meaningful supplemental information regarding our core operational performance.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reported in millions of U.S. dollars.</w:t>
      </w:r>
    </w:p>
    <w:p>
      <w:pPr>
        <w:spacing w:after="0" w:line="211" w:lineRule="exact"/>
        <w:rPr>
          <w:sz w:val="20"/>
          <w:szCs w:val="20"/>
          <w:color w:val="auto"/>
        </w:rPr>
      </w:pPr>
    </w:p>
    <w:p>
      <w:pPr>
        <w:ind w:right="420" w:firstLine="913"/>
        <w:spacing w:after="0" w:line="342" w:lineRule="auto"/>
        <w:rPr>
          <w:sz w:val="20"/>
          <w:szCs w:val="20"/>
          <w:color w:val="auto"/>
        </w:rPr>
      </w:pPr>
      <w:r>
        <w:rPr>
          <w:rFonts w:ascii="Arial" w:cs="Arial" w:eastAsia="Arial" w:hAnsi="Arial"/>
          <w:sz w:val="16"/>
          <w:szCs w:val="16"/>
          <w:color w:val="auto"/>
        </w:rPr>
        <w:t>The Compensation Committee selected the weighting, financial goals and payout levels in order to align the interest of the named executive officers with the interest of our stockholders. Payouts based on the actual results will be linearly interpolated between performance levels.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9" w:name="page30"/>
    <w:bookmarkEnd w:id="29"/>
    <w:p>
      <w:pPr>
        <w:jc w:val="both"/>
        <w:ind w:right="1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March 2017, the Compensation Committee met to consider the payment of executive incentive compensation. The Compensation Committee certified the Company and officer performances, which resulted in the following payout levels for the various goals, applied certain individual performance factors and awarded executive incentive compensation, each as reflected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Operational</w:t>
            </w:r>
          </w:p>
        </w:tc>
        <w:tc>
          <w:tcPr>
            <w:tcW w:w="12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9"/>
              </w:rPr>
              <w:t>Aggregate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Excellence</w:t>
            </w:r>
          </w:p>
        </w:tc>
        <w:tc>
          <w:tcPr>
            <w:tcW w:w="12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Financial</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and</w:t>
            </w: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EIC</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EIC</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EIC</w:t>
            </w:r>
          </w:p>
        </w:tc>
        <w:tc>
          <w:tcPr>
            <w:tcW w:w="1000" w:type="dxa"/>
            <w:vAlign w:val="bottom"/>
            <w:gridSpan w:val="2"/>
            <w:vMerge w:val="continue"/>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Functional</w:t>
            </w: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Payout</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Individual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Goal</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Excellence</w:t>
            </w: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Level as a</w:t>
            </w: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Bonus</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EIC</w:t>
            </w: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as a %</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50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Target</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Payout</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Payout</w:t>
            </w: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 of EIC</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Award</w:t>
            </w: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of EIC</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Bonus($)</w:t>
            </w:r>
          </w:p>
        </w:tc>
        <w:tc>
          <w:tcPr>
            <w:tcW w:w="10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Level</w:t>
            </w:r>
          </w:p>
        </w:tc>
        <w:tc>
          <w:tcPr>
            <w:tcW w:w="12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Level</w:t>
            </w:r>
          </w:p>
        </w:tc>
        <w:tc>
          <w:tcPr>
            <w:tcW w:w="12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8"/>
              </w:rPr>
              <w:t>Target</w:t>
            </w: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Factor</w:t>
            </w:r>
          </w:p>
        </w:tc>
        <w:tc>
          <w:tcPr>
            <w:tcW w:w="120" w:type="dxa"/>
            <w:vAlign w:val="bottom"/>
          </w:tcPr>
          <w:p>
            <w:pPr>
              <w:spacing w:after="0"/>
              <w:rPr>
                <w:sz w:val="13"/>
                <w:szCs w:val="13"/>
                <w:color w:val="auto"/>
              </w:rPr>
            </w:pPr>
          </w:p>
        </w:tc>
        <w:tc>
          <w:tcPr>
            <w:tcW w:w="1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Payment</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3"/>
                <w:szCs w:val="13"/>
                <w:color w:val="auto"/>
              </w:rPr>
            </w:pPr>
          </w:p>
        </w:tc>
        <w:tc>
          <w:tcPr>
            <w:tcW w:w="7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20"/>
        </w:trPr>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Holder</w:t>
            </w:r>
          </w:p>
        </w:tc>
        <w:tc>
          <w:tcPr>
            <w:tcW w:w="9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$516,000</w:t>
            </w:r>
          </w:p>
        </w:tc>
        <w:tc>
          <w:tcPr>
            <w:tcW w:w="38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67%</w:t>
            </w:r>
          </w:p>
        </w:tc>
        <w:tc>
          <w:tcPr>
            <w:tcW w:w="7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67%</w:t>
            </w:r>
          </w:p>
        </w:tc>
        <w:tc>
          <w:tcPr>
            <w:tcW w:w="8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$118,680</w:t>
            </w:r>
          </w:p>
        </w:tc>
        <w:tc>
          <w:tcPr>
            <w:tcW w:w="3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$464,400</w:t>
            </w:r>
          </w:p>
        </w:tc>
        <w:tc>
          <w:tcPr>
            <w:tcW w:w="44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2040" w:type="dxa"/>
            <w:vAlign w:val="bottom"/>
            <w:gridSpan w:val="3"/>
          </w:tcPr>
          <w:p>
            <w:pPr>
              <w:jc w:val="center"/>
              <w:ind w:left="510"/>
              <w:spacing w:after="0"/>
              <w:rPr>
                <w:sz w:val="20"/>
                <w:szCs w:val="20"/>
                <w:color w:val="auto"/>
              </w:rPr>
            </w:pPr>
            <w:r>
              <w:rPr>
                <w:rFonts w:ascii="Arial" w:cs="Arial" w:eastAsia="Arial" w:hAnsi="Arial"/>
                <w:sz w:val="18"/>
                <w:szCs w:val="18"/>
                <w:color w:val="auto"/>
                <w:w w:val="84"/>
              </w:rPr>
              <w:t>$ 113,755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74%</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$100,291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16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0"/>
              </w:rPr>
              <w:t>$159,500</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7"/>
              </w:rPr>
              <w:t>$ 118,030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660" w:type="dxa"/>
            <w:vAlign w:val="bottom"/>
            <w:gridSpan w:val="2"/>
          </w:tcPr>
          <w:p>
            <w:pPr>
              <w:jc w:val="center"/>
              <w:ind w:left="890"/>
              <w:spacing w:after="0"/>
              <w:rPr>
                <w:sz w:val="20"/>
                <w:szCs w:val="20"/>
                <w:color w:val="auto"/>
              </w:rPr>
            </w:pPr>
            <w:r>
              <w:rPr>
                <w:rFonts w:ascii="Arial" w:cs="Arial" w:eastAsia="Arial" w:hAnsi="Arial"/>
                <w:sz w:val="18"/>
                <w:szCs w:val="18"/>
                <w:color w:val="auto"/>
                <w:w w:val="90"/>
              </w:rPr>
              <w:t>$164,600</w:t>
            </w: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90%</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$148,140</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1660" w:type="dxa"/>
            <w:vAlign w:val="bottom"/>
            <w:gridSpan w:val="2"/>
            <w:shd w:val="clear" w:color="auto" w:fill="CCEEFF"/>
          </w:tcPr>
          <w:p>
            <w:pPr>
              <w:jc w:val="center"/>
              <w:ind w:left="890"/>
              <w:spacing w:after="0"/>
              <w:rPr>
                <w:sz w:val="20"/>
                <w:szCs w:val="20"/>
                <w:color w:val="auto"/>
              </w:rPr>
            </w:pPr>
            <w:r>
              <w:rPr>
                <w:rFonts w:ascii="Arial" w:cs="Arial" w:eastAsia="Arial" w:hAnsi="Arial"/>
                <w:sz w:val="18"/>
                <w:szCs w:val="18"/>
                <w:color w:val="auto"/>
                <w:w w:val="90"/>
              </w:rPr>
              <w:t>$159,600</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$132,468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913"/>
        <w:spacing w:after="0" w:line="288" w:lineRule="auto"/>
        <w:rPr>
          <w:sz w:val="20"/>
          <w:szCs w:val="20"/>
          <w:color w:val="auto"/>
        </w:rPr>
      </w:pPr>
      <w:r>
        <w:rPr>
          <w:rFonts w:ascii="Arial" w:cs="Arial" w:eastAsia="Arial" w:hAnsi="Arial"/>
          <w:sz w:val="16"/>
          <w:szCs w:val="16"/>
          <w:color w:val="auto"/>
        </w:rPr>
        <w:t>In 2016, as noted above, Mr. Holder’s participation in the executive incentive compensation program was solely tied to the attainment of the Company Performance Goals of adjusted earnings per share, free cash flow generation and net sales. In order to recognize Mr. Holder’s outstanding leadership in guiding us to increased profitability levels, which is summarized in the table titled “2016 Achievements and Value Creation” set forth on page</w:t>
      </w:r>
    </w:p>
    <w:p>
      <w:pPr>
        <w:ind w:right="60" w:firstLine="8"/>
        <w:spacing w:after="0" w:line="261" w:lineRule="auto"/>
        <w:tabs>
          <w:tab w:leader="none" w:pos="3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 this proxy statement, in difficult market conditions, the Compensation Committee awarded Mr. Holder a cash bonus of $118,680, which is reflected in the table above.</w:t>
      </w:r>
    </w:p>
    <w:p>
      <w:pPr>
        <w:spacing w:after="0" w:line="184"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In 2017, Mr. Holder’s performance will be measured along the same terms as the other named executive officers, that is attainment of financial performance goals will be weighted 75% and attainment of organizational and functional goals will be weighted at 25%. In addition, an individual performance factor relating to Mr. Holder’s performance during the year will also be considered by the Committee in making its final award determination.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We provide performance-based long-term incentive compensation to certain employees, including our named executive officers, to directly tie the interests of these individuals to the interests of our stockholders. We believe that long-term equity compensation is an important retention tool. We also encourage stock ownership which we regard as important for commitment, engagement and motivation. In March 2015, our Board established stock ownership guidelines of five times annual base salary for our Chief Executive Officer, three times annual base salary for our other executive officers and three times the annual cash retainer of director fees, which acts to further align the interests of our directors and executive officers with those of our stockholders.</w:t>
      </w:r>
    </w:p>
    <w:p>
      <w:pPr>
        <w:spacing w:after="0" w:line="15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three-year performance period (Performance Period). In addition, our named executive officers receive long-term incentive compensation in the form of shares of restricted stock. Such long-term incentive compensation is equally allocated among TSR Awards, ROIC Awards and restricted stock awards. Our long-term incentive compensation designed to directly align the interests of executives to the interests of our stockholders and to create long-term stockholder value.</w:t>
      </w:r>
    </w:p>
    <w:p>
      <w:pPr>
        <w:spacing w:after="0" w:line="193"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Compensation Committee chose the S&amp;P SmallCap 600 Index as a relative TSR comparison group because it is a broad and stable index group that is comprised of companies with similar market capitalizations as ours. TSR is calculated by taking a total of share price appreciation plus dividends over the three-year period compared to our share price at the beginning of the period. The performance metrics and corresponding payouts for TSR Awards are based on our ranking within the S&amp;P SmallCap 600 for all performance cycles that are currently outstanding, and are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980" w:type="dxa"/>
            <w:vAlign w:val="bottom"/>
            <w:gridSpan w:val="3"/>
          </w:tcPr>
          <w:p>
            <w:pPr>
              <w:spacing w:after="0"/>
              <w:rPr>
                <w:sz w:val="20"/>
                <w:szCs w:val="20"/>
                <w:color w:val="auto"/>
              </w:rPr>
            </w:pPr>
            <w:r>
              <w:rPr>
                <w:rFonts w:ascii="Arial" w:cs="Arial" w:eastAsia="Arial" w:hAnsi="Arial"/>
                <w:sz w:val="14"/>
                <w:szCs w:val="14"/>
                <w:color w:val="auto"/>
              </w:rPr>
              <w:t>PERFORMANCE</w:t>
            </w:r>
          </w:p>
        </w:tc>
        <w:tc>
          <w:tcPr>
            <w:tcW w:w="37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w w:val="97"/>
              </w:rPr>
              <w:t>PAYOUT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 - At 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3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50% of 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Target - 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780" w:type="dxa"/>
            <w:vAlign w:val="bottom"/>
            <w:gridSpan w:val="3"/>
          </w:tcPr>
          <w:p>
            <w:pPr>
              <w:jc w:val="right"/>
              <w:spacing w:after="0"/>
              <w:rPr>
                <w:sz w:val="20"/>
                <w:szCs w:val="20"/>
                <w:color w:val="auto"/>
              </w:rPr>
            </w:pPr>
            <w:r>
              <w:rPr>
                <w:rFonts w:ascii="Arial" w:cs="Arial" w:eastAsia="Arial" w:hAnsi="Arial"/>
                <w:sz w:val="18"/>
                <w:szCs w:val="18"/>
                <w:color w:val="auto"/>
              </w:rPr>
              <w:t>100% of 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 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 of target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740" w:type="dxa"/>
            <w:vAlign w:val="bottom"/>
          </w:tcPr>
          <w:p>
            <w:pPr>
              <w:jc w:val="right"/>
              <w:ind w:right="267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performance is below the 35th percentile, no award will be earned or paid as it relates to that measure.</w:t>
      </w:r>
    </w:p>
    <w:p>
      <w:pPr>
        <w:spacing w:after="0" w:line="225"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The performance metrics and corresponding payouts for ROIC Awards are based on our achieving a specified average return on invested capital during the Performance Period as follows: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600" w:type="dxa"/>
            <w:vAlign w:val="bottom"/>
            <w:gridSpan w:val="3"/>
          </w:tcPr>
          <w:p>
            <w:pPr>
              <w:spacing w:after="0"/>
              <w:rPr>
                <w:sz w:val="20"/>
                <w:szCs w:val="20"/>
                <w:color w:val="auto"/>
              </w:rPr>
            </w:pPr>
            <w:r>
              <w:rPr>
                <w:rFonts w:ascii="Arial" w:cs="Arial" w:eastAsia="Arial" w:hAnsi="Arial"/>
                <w:sz w:val="14"/>
                <w:szCs w:val="14"/>
                <w:color w:val="auto"/>
              </w:rPr>
              <w:t>PERFORMANCE</w:t>
            </w: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w w:val="97"/>
              </w:rPr>
              <w:t>PAYOUT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 - 15.5% ROIC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of 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Target - 18% ROIC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7"/>
              </w:rPr>
              <w:t>100% of target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- 20.5%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150% of target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we do not achieve at least a 15.5% return on invested capital during the Performance Period, no award will be earned or paid.</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73"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Compensation Committee determined that the Restricted Stock will vest ratably over three years in accordance with historical compensation practice, subject to continued employment. Dividends will be paid on outstanding Restricted Stock during the vesting period.</w:t>
      </w:r>
    </w:p>
    <w:p>
      <w:pPr>
        <w:spacing w:after="0" w:line="170"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For 2016, the Compensation Committee established a long – term incentive compensation target opportunity for each executive that ranged between 190% and 85 % of the respective named executive officer’s base salary and was intended to approximate the market median values of long-term equity awards granted within our peer group. Each named executive officer’s long – term incentive opportunity award in 2016 is shown in the following table:</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 Fair</w:t>
            </w:r>
          </w:p>
        </w:tc>
        <w:tc>
          <w:tcPr>
            <w:tcW w:w="28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 Fair</w:t>
            </w:r>
          </w:p>
        </w:tc>
        <w:tc>
          <w:tcPr>
            <w:tcW w:w="280" w:type="dxa"/>
            <w:vAlign w:val="bottom"/>
          </w:tcPr>
          <w:p>
            <w:pPr>
              <w:spacing w:after="0"/>
              <w:rPr>
                <w:sz w:val="14"/>
                <w:szCs w:val="14"/>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of Long-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4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Value of TSR</w:t>
            </w:r>
          </w:p>
        </w:tc>
        <w:tc>
          <w:tcPr>
            <w:tcW w:w="280" w:type="dxa"/>
            <w:vAlign w:val="bottom"/>
          </w:tcPr>
          <w:p>
            <w:pPr>
              <w:spacing w:after="0"/>
              <w:rPr>
                <w:sz w:val="12"/>
                <w:szCs w:val="12"/>
                <w:color w:val="auto"/>
              </w:rPr>
            </w:pPr>
          </w:p>
        </w:tc>
        <w:tc>
          <w:tcPr>
            <w:tcW w:w="12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Value of ROIC</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Value of</w:t>
            </w: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Term Incentive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5"/>
                <w:szCs w:val="15"/>
                <w:color w:val="auto"/>
              </w:rPr>
            </w:pPr>
          </w:p>
        </w:tc>
        <w:tc>
          <w:tcPr>
            <w:tcW w:w="15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Restricted Stock</w:t>
            </w:r>
          </w:p>
        </w:tc>
        <w:tc>
          <w:tcPr>
            <w:tcW w:w="10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408,517</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408,517</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408,517</w:t>
            </w: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1,225,551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2000" w:type="dxa"/>
            <w:vAlign w:val="bottom"/>
            <w:gridSpan w:val="2"/>
          </w:tcPr>
          <w:p>
            <w:pPr>
              <w:ind w:left="192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44,618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44,618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44,618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133,854</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Dorton</w:t>
            </w:r>
          </w:p>
        </w:tc>
        <w:tc>
          <w:tcPr>
            <w:tcW w:w="2000" w:type="dxa"/>
            <w:vAlign w:val="bottom"/>
            <w:gridSpan w:val="2"/>
            <w:shd w:val="clear" w:color="auto" w:fill="CCEEFF"/>
          </w:tcPr>
          <w:p>
            <w:pPr>
              <w:ind w:left="19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100,094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100,094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300,282</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Mr. Manzi</w:t>
            </w:r>
          </w:p>
        </w:tc>
        <w:tc>
          <w:tcPr>
            <w:tcW w:w="2000" w:type="dxa"/>
            <w:vAlign w:val="bottom"/>
            <w:gridSpan w:val="2"/>
          </w:tcPr>
          <w:p>
            <w:pPr>
              <w:ind w:left="192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90,367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90,367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90,367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271,101</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2000" w:type="dxa"/>
            <w:vAlign w:val="bottom"/>
            <w:gridSpan w:val="2"/>
            <w:shd w:val="clear" w:color="auto" w:fill="CCEEFF"/>
          </w:tcPr>
          <w:p>
            <w:pPr>
              <w:ind w:left="19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93,251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93,251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93,251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279,753</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2000" w:type="dxa"/>
            <w:vAlign w:val="bottom"/>
            <w:gridSpan w:val="2"/>
          </w:tcPr>
          <w:p>
            <w:pPr>
              <w:ind w:left="192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90,423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90,423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90,423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271,269</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 on Pay Analysis</w:t>
      </w:r>
    </w:p>
    <w:p>
      <w:pPr>
        <w:spacing w:after="0" w:line="12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At our 2016 Annual Meeting, we held an annual advisory vote to approve our named executive officer compensation and approximately 63% of our stockholders voted in favor of our compensation program. Although a majority of our stockholders voted to approve our compensation program, the results were below what we deemed satisfactory. Accordingly, we actively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1" w:name="page32"/>
    <w:bookmarkEnd w:id="31"/>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sought feedback from our stockholders on our compensation program and practices. Considering these discussions, we have enhanced our disclosures in this Proxy Statement to provide better disclosure around certain elements of our compensation program and to clarify certain of the disclosures that we believe were misunderstood.</w:t>
      </w:r>
    </w:p>
    <w:p>
      <w:pPr>
        <w:spacing w:after="0" w:line="181"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At this year’s Annual Meeting, we will again hold an annual advisory vote to approve our named executive officer compensation and an advisory vote on the frequency of our advisory votes to approve our named executive compensation. The Compensation Committee will continue to consider the results from this year’s and future advisory votes on named executive compensation, as well as feedback from stockholders throughout the course of such year. We intend to hold an advisory vote to approve named executive officer compensation annually.</w:t>
      </w:r>
    </w:p>
    <w:p>
      <w:pPr>
        <w:spacing w:after="0" w:line="17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Furthermore, we will continue our practice to consider the results from this year’s and future advisory votes on named executive compensation, as well as feedback from stockholders, when evaluating our compensation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121"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We structure our executive compensation arrangements in order to encourage executives to take appropriate risks designed to enhance our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respect to specific elements of compensation:</w:t>
      </w:r>
    </w:p>
    <w:p>
      <w:pPr>
        <w:spacing w:after="0" w:line="131" w:lineRule="exact"/>
        <w:rPr>
          <w:sz w:val="20"/>
          <w:szCs w:val="20"/>
          <w:color w:val="auto"/>
        </w:rPr>
      </w:pPr>
    </w:p>
    <w:p>
      <w:pPr>
        <w:ind w:left="1460" w:right="28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 salary does not encourage risk-taking as it is a fixed amount and but one component of a balanced, multi-component approach to compensation and rewards.</w:t>
      </w:r>
    </w:p>
    <w:p>
      <w:pPr>
        <w:spacing w:after="0" w:line="75" w:lineRule="exact"/>
        <w:rPr>
          <w:rFonts w:ascii="Arial" w:cs="Arial" w:eastAsia="Arial" w:hAnsi="Arial"/>
          <w:sz w:val="18"/>
          <w:szCs w:val="18"/>
          <w:color w:val="auto"/>
        </w:rPr>
      </w:pPr>
    </w:p>
    <w:p>
      <w:pPr>
        <w:ind w:left="1460" w:hanging="547"/>
        <w:spacing w:after="0" w:line="259"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executive incentive compensation for executive officers is designed to reward achievement of performance metrics, which we believe will create stockholder value. Through a combination of plan design and management procedures, undue risk-taking is mitigated. Our executive incentive compensation is also structured to be self-funding in that portions of the incentive that are based on performance measurements must be obtained after the expense of the incentive is considered.</w:t>
      </w:r>
    </w:p>
    <w:p>
      <w:pPr>
        <w:spacing w:after="0" w:line="92" w:lineRule="exact"/>
        <w:rPr>
          <w:rFonts w:ascii="Arial" w:cs="Arial" w:eastAsia="Arial" w:hAnsi="Arial"/>
          <w:sz w:val="18"/>
          <w:szCs w:val="18"/>
          <w:color w:val="auto"/>
        </w:rPr>
      </w:pPr>
    </w:p>
    <w:p>
      <w:pPr>
        <w:ind w:left="1460" w:right="280" w:hanging="547"/>
        <w:spacing w:after="0" w:line="259"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Awards under our long 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Executive Officers</w:t>
      </w:r>
    </w:p>
    <w:p>
      <w:pPr>
        <w:spacing w:after="0" w:line="121"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as compared to our annual business plan and compares the CEO’s compensation to the peer companies at the 50 </w:t>
      </w:r>
      <w:r>
        <w:rPr>
          <w:rFonts w:ascii="Arial" w:cs="Arial" w:eastAsia="Arial" w:hAnsi="Arial"/>
          <w:sz w:val="15"/>
          <w:szCs w:val="15"/>
          <w:color w:val="auto"/>
        </w:rPr>
        <w:t>th</w:t>
      </w:r>
      <w:r>
        <w:rPr>
          <w:rFonts w:ascii="Arial" w:cs="Arial" w:eastAsia="Arial" w:hAnsi="Arial"/>
          <w:sz w:val="18"/>
          <w:szCs w:val="18"/>
          <w:color w:val="auto"/>
        </w:rPr>
        <w:t xml:space="preserve"> percentile of market total direct compensation. Additionally, on an annual basis, the CEO prepares a written succession plan that is reviewed by the Compensation Committee. This plan includes a plan of succession for the CEO and our other executive officers.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Legacy Tax Provisions</w:t>
      </w:r>
    </w:p>
    <w:p>
      <w:pPr>
        <w:spacing w:after="0" w:line="11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In 2013, we entered into an employment agreement with Mr. Holder based on the same form of employment agreement that we had with each of our named executive officers at that time, which included an excise tax reimbursement provision, or tax gross up, related to termination following a change-in-control. The tax gross up provisions included in the form employment agreement were legacy provisions and were included in these executives’ original agreements executed in 2006. Based on our analysis of the structure and formulas contained in the employment agreements, and with assistance from our compensation consultant and outside counsel, we have determined that the tax gross up provisions in these agreements are not capable of being triggered, and as such, the provision has no practical effect. Going forward, we do not plan to include these provisions in future in employment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Internal Revenue Code Section 162(m)</w:t>
      </w:r>
    </w:p>
    <w:p>
      <w:pPr>
        <w:spacing w:after="0" w:line="12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Section 162(m) of the Internal Revenue Code of 1986, as amended, precludes any public corporation from taking a deduction for compensation in excess of $1 million paid to its chief executive officer and certain other executive officers. Certain performance-based compensation, however, is exempt from the deduction limit. No formal policy has been adopted with respect to minimizing the risk that compensation paid to its executive officers will exceed the deduction limit. Although the Compensation Committee uses the requirements of Section 162(m) as a guideline, deductibility is not the sole factor it considers in assessing the appropriate levels and types of executive compensation and it will elect to forgo deductibility when it believes it is in our and our stockholders’ best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Requirements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To further align management and stockholder interests and discourage inappropriate or excessive risk-taking, our stock ownership policy requires each executive officer to obtain a substantial equity stake in us within five years of the effective date of this policy, March 19, 2020, or within five years of their appointment to an executive position. Our CEO is required to own shares with a market value of at least five times his annual base salary. The requirement for our section 16 officers is three times their annual base salary and for non-employee directors, three times his or her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Pledging Policy</w:t>
      </w:r>
    </w:p>
    <w:p>
      <w:pPr>
        <w:spacing w:after="0" w:line="11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In addition, our insider trading policy prohibits any director or officer (including the named executive officers) from pledging any of our securities as collateral for a loan without first obtaining approval from our Chief Executive Officer and our General Counsel.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Policy</w:t>
      </w:r>
    </w:p>
    <w:p>
      <w:pPr>
        <w:spacing w:after="0" w:line="117"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Our insider trading policy prohibits our directors and officers (including the named executive officers) from engaging in any transactions involving a derivative of our securities, including hedging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Recoupment (Claw-Back) Policy</w:t>
      </w:r>
    </w:p>
    <w:p>
      <w:pPr>
        <w:spacing w:after="0" w:line="12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To further discourage inappropriate or excessive risk-taking, 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Members of the Compensation Committee: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Steven T. Warshaw, Chairman</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William Dries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David L. Pugh</w:t>
      </w:r>
    </w:p>
    <w:p>
      <w:pPr>
        <w:spacing w:after="0" w:line="238" w:lineRule="exact"/>
        <w:rPr>
          <w:sz w:val="20"/>
          <w:szCs w:val="20"/>
          <w:color w:val="auto"/>
        </w:rPr>
      </w:pPr>
    </w:p>
    <w:p>
      <w:pPr>
        <w:ind w:left="220" w:right="40" w:hanging="212"/>
        <w:spacing w:after="0" w:line="264"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material in the foregoing Compensation Committee report is not “soliciting material,” is not deemed “filed” with the SEC, and is not to be incorporated by reference into any of our filings under the Securities Act of 1933, as amended (the “1933 Act”) or the Exchange Act, whether made before or after the date 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TABLES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following table sets forth for the year ended December 31, 2016 information concerning the compensation paid for services rendered in all capacities by the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Non-equity</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Deferred</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Salary</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Compen-</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19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Awards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sation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4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140" w:type="dxa"/>
            <w:vAlign w:val="bottom"/>
          </w:tcPr>
          <w:p>
            <w:pPr>
              <w:spacing w:after="0"/>
              <w:rPr>
                <w:sz w:val="15"/>
                <w:szCs w:val="15"/>
                <w:color w:val="auto"/>
              </w:rPr>
            </w:pPr>
          </w:p>
        </w:tc>
        <w:tc>
          <w:tcPr>
            <w:tcW w:w="660" w:type="dxa"/>
            <w:vAlign w:val="bottom"/>
          </w:tcPr>
          <w:p>
            <w:pPr>
              <w:jc w:val="right"/>
              <w:ind w:right="74"/>
              <w:spacing w:after="0" w:line="158" w:lineRule="exact"/>
              <w:rPr>
                <w:sz w:val="20"/>
                <w:szCs w:val="20"/>
                <w:color w:val="auto"/>
              </w:rPr>
            </w:pPr>
            <w:r>
              <w:rPr>
                <w:rFonts w:ascii="Arial" w:cs="Arial" w:eastAsia="Arial" w:hAnsi="Arial"/>
                <w:sz w:val="14"/>
                <w:szCs w:val="14"/>
                <w:b w:val="1"/>
                <w:bCs w:val="1"/>
                <w:color w:val="auto"/>
              </w:rPr>
              <w:t>($)(3)</w:t>
            </w:r>
          </w:p>
        </w:tc>
        <w:tc>
          <w:tcPr>
            <w:tcW w:w="1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($)(4)</w:t>
            </w:r>
          </w:p>
        </w:tc>
        <w:tc>
          <w:tcPr>
            <w:tcW w:w="1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140" w:type="dxa"/>
            <w:vAlign w:val="bottom"/>
          </w:tcPr>
          <w:p>
            <w:pPr>
              <w:spacing w:after="0"/>
              <w:rPr>
                <w:sz w:val="15"/>
                <w:szCs w:val="15"/>
                <w:color w:val="auto"/>
              </w:rPr>
            </w:pPr>
          </w:p>
        </w:tc>
        <w:tc>
          <w:tcPr>
            <w:tcW w:w="78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D. Holder</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2016</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634,616</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118,680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1,225,551</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345,720</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27,591</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2,352,158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600,000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1,384,508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271,200</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29,184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2,281,046</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Officer</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500,000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490,750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232,750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1,744,364</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Thomas C. Burwell</w:t>
            </w:r>
          </w:p>
        </w:tc>
        <w:tc>
          <w:tcPr>
            <w:tcW w:w="80" w:type="dxa"/>
            <w:vAlign w:val="bottom"/>
          </w:tcPr>
          <w:p>
            <w:pPr>
              <w:spacing w:after="0"/>
              <w:rPr>
                <w:sz w:val="17"/>
                <w:szCs w:val="17"/>
                <w:color w:val="auto"/>
              </w:rPr>
            </w:pPr>
          </w:p>
        </w:tc>
        <w:tc>
          <w:tcPr>
            <w:tcW w:w="5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2016</w:t>
            </w: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5"/>
              </w:rPr>
              <w:t>243,151</w:t>
            </w:r>
          </w:p>
        </w:tc>
        <w:tc>
          <w:tcPr>
            <w:tcW w:w="7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133,854</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100,104</w:t>
            </w:r>
          </w:p>
        </w:tc>
        <w:tc>
          <w:tcPr>
            <w:tcW w:w="104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11,805</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488,914</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i w:val="1"/>
                <w:iCs w:val="1"/>
                <w:color w:val="auto"/>
              </w:rPr>
              <w:t>Sr. Vice President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Dorton</w:t>
            </w:r>
            <w:r>
              <w:rPr>
                <w:rFonts w:ascii="Arial" w:cs="Arial" w:eastAsia="Arial" w:hAnsi="Arial"/>
                <w:sz w:val="15"/>
                <w:szCs w:val="15"/>
                <w:color w:val="auto"/>
              </w:rPr>
              <w:t>(1)</w:t>
            </w: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95,136</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300,282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521,593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917,455</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Former Sr. Vice President –</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356,625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407,214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99,825</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882,475</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315,000</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37,240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217,060</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728,547</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John A. Manzi</w:t>
            </w:r>
          </w:p>
        </w:tc>
        <w:tc>
          <w:tcPr>
            <w:tcW w:w="80" w:type="dxa"/>
            <w:vAlign w:val="bottom"/>
          </w:tcPr>
          <w:p>
            <w:pPr>
              <w:spacing w:after="0"/>
              <w:rPr>
                <w:sz w:val="17"/>
                <w:szCs w:val="17"/>
                <w:color w:val="auto"/>
              </w:rPr>
            </w:pPr>
          </w:p>
        </w:tc>
        <w:tc>
          <w:tcPr>
            <w:tcW w:w="58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2016</w:t>
            </w: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5"/>
              </w:rPr>
              <w:t>319,000</w:t>
            </w:r>
          </w:p>
        </w:tc>
        <w:tc>
          <w:tcPr>
            <w:tcW w:w="7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271,101</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118,030</w:t>
            </w:r>
          </w:p>
        </w:tc>
        <w:tc>
          <w:tcPr>
            <w:tcW w:w="104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21,730</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729,861</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i w:val="1"/>
                <w:iCs w:val="1"/>
                <w:color w:val="auto"/>
              </w:rPr>
              <w:t>Sr. Vice President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i w:val="1"/>
                <w:iCs w:val="1"/>
                <w:color w:val="auto"/>
              </w:rPr>
              <w:t>General Manager,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Precision Engineered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Products Group</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Veltman</w:t>
            </w:r>
          </w:p>
        </w:tc>
        <w:tc>
          <w:tcPr>
            <w:tcW w:w="6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326,014</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279,753</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148,140</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762,969</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Sr. Vice President –</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324,266</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318,497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89,399</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742,441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General Manager,</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Autocam Precision</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Components Group</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Matthew S. Heiter</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5"/>
              </w:rPr>
              <w:t>318,092</w:t>
            </w:r>
          </w:p>
        </w:tc>
        <w:tc>
          <w:tcPr>
            <w:tcW w:w="7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271,269</w:t>
            </w:r>
          </w:p>
        </w:tc>
        <w:tc>
          <w:tcPr>
            <w:tcW w:w="8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132,468</w:t>
            </w:r>
          </w:p>
        </w:tc>
        <w:tc>
          <w:tcPr>
            <w:tcW w:w="104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35,878</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757,709</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i w:val="1"/>
                <w:iCs w:val="1"/>
                <w:color w:val="auto"/>
              </w:rPr>
              <w:t>Sr. Vice President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i w:val="1"/>
                <w:iCs w:val="1"/>
                <w:color w:val="auto"/>
              </w:rPr>
              <w:t>General Counsel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previously disclosed, Mr. Dorton retired effective as of April 8, 2016.</w:t>
      </w:r>
    </w:p>
    <w:p>
      <w:pPr>
        <w:spacing w:after="0" w:line="23" w:lineRule="exact"/>
        <w:rPr>
          <w:rFonts w:ascii="Arial" w:cs="Arial" w:eastAsia="Arial" w:hAnsi="Arial"/>
          <w:sz w:val="18"/>
          <w:szCs w:val="18"/>
          <w:color w:val="auto"/>
        </w:rPr>
      </w:pPr>
    </w:p>
    <w:p>
      <w:pPr>
        <w:ind w:left="460" w:right="20" w:hanging="452"/>
        <w:spacing w:after="0" w:line="25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9 of the Notes to Consolidated Financial Statements included in our Annual Report on Form 10-K for the year ended December 31, 2016 filed with the SEC on March 16, 2017.</w:t>
      </w:r>
    </w:p>
    <w:p>
      <w:pPr>
        <w:sectPr>
          <w:pgSz w:w="11900" w:h="16838" w:orient="portrait"/>
          <w:cols w:equalWidth="0" w:num="1">
            <w:col w:w="11420"/>
          </w:cols>
          <w:pgMar w:left="240" w:top="270"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70"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Date Fair Value of TSR Awards</w:t>
      </w:r>
    </w:p>
    <w:p>
      <w:pPr>
        <w:spacing w:after="0" w:line="24" w:lineRule="exact"/>
        <w:rPr>
          <w:sz w:val="20"/>
          <w:szCs w:val="20"/>
          <w:color w:val="auto"/>
        </w:rPr>
      </w:pPr>
    </w:p>
    <w:tbl>
      <w:tblPr>
        <w:tblLayout w:type="fixed"/>
        <w:tblInd w:w="1380" w:type="dxa"/>
        <w:tblCellMar>
          <w:top w:w="0" w:type="dxa"/>
          <w:left w:w="0" w:type="dxa"/>
          <w:bottom w:w="0" w:type="dxa"/>
          <w:right w:w="0" w:type="dxa"/>
        </w:tblCellMar>
      </w:tblPr>
      <w:tr>
        <w:trPr>
          <w:trHeight w:val="119"/>
        </w:trPr>
        <w:tc>
          <w:tcPr>
            <w:tcW w:w="3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49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Target</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494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Value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8"/>
        </w:trPr>
        <w:tc>
          <w:tcPr>
            <w:tcW w:w="1980" w:type="dxa"/>
            <w:vAlign w:val="bottom"/>
            <w:gridSpan w:val="2"/>
            <w:vMerge w:val="continue"/>
          </w:tcPr>
          <w:p>
            <w:pPr>
              <w:spacing w:after="0"/>
              <w:rPr>
                <w:sz w:val="13"/>
                <w:szCs w:val="13"/>
                <w:color w:val="auto"/>
              </w:rPr>
            </w:pPr>
          </w:p>
        </w:tc>
        <w:tc>
          <w:tcPr>
            <w:tcW w:w="5580" w:type="dxa"/>
            <w:vAlign w:val="bottom"/>
            <w:gridSpan w:val="2"/>
          </w:tcPr>
          <w:p>
            <w:pPr>
              <w:jc w:val="center"/>
              <w:ind w:left="4854"/>
              <w:spacing w:after="0" w:line="15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4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408,517</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612,776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44,618</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Dorton</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100,094</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Mr. Manzi</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90,367</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93,251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90,423</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135,635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Grant Date Fair Value of ROIC Awards</w:t>
            </w: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0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Target</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494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Value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8"/>
        </w:trPr>
        <w:tc>
          <w:tcPr>
            <w:tcW w:w="1980" w:type="dxa"/>
            <w:vAlign w:val="bottom"/>
            <w:gridSpan w:val="2"/>
            <w:vMerge w:val="continue"/>
          </w:tcPr>
          <w:p>
            <w:pPr>
              <w:spacing w:after="0"/>
              <w:rPr>
                <w:sz w:val="13"/>
                <w:szCs w:val="13"/>
                <w:color w:val="auto"/>
              </w:rPr>
            </w:pPr>
          </w:p>
        </w:tc>
        <w:tc>
          <w:tcPr>
            <w:tcW w:w="5580" w:type="dxa"/>
            <w:vAlign w:val="bottom"/>
            <w:gridSpan w:val="2"/>
          </w:tcPr>
          <w:p>
            <w:pPr>
              <w:jc w:val="center"/>
              <w:ind w:left="4854"/>
              <w:spacing w:after="0" w:line="15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4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408,517</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612,776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44,618</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Dorton</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100,094</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Mr. Manzi</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90,367</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93,251</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90,423</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135,635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28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9 of the Notes to Consolidated Financial Statements included in our Annual Report on Form 10-K for the year ended December 31, 2016 filed with the SEC on March 16, 2017.</w:t>
      </w:r>
    </w:p>
    <w:p>
      <w:pPr>
        <w:spacing w:after="0" w:line="1" w:lineRule="exact"/>
        <w:rPr>
          <w:rFonts w:ascii="Arial" w:cs="Arial" w:eastAsia="Arial" w:hAnsi="Arial"/>
          <w:sz w:val="16"/>
          <w:szCs w:val="16"/>
          <w:color w:val="auto"/>
        </w:rPr>
      </w:pPr>
    </w:p>
    <w:p>
      <w:pPr>
        <w:ind w:left="460" w:right="5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Generally, bonuses and non-equity incentive compensation is earned in one fiscal year are paid in the first quarter of the next year. Bonuses and non-equity incentive compensation earned during 2016 were paid in March 2017.</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2016, the following are included in this column:</w:t>
      </w:r>
    </w:p>
    <w:p>
      <w:pPr>
        <w:spacing w:after="0" w:line="116" w:lineRule="exact"/>
        <w:rPr>
          <w:rFonts w:ascii="Arial" w:cs="Arial" w:eastAsia="Arial" w:hAnsi="Arial"/>
          <w:sz w:val="18"/>
          <w:szCs w:val="18"/>
          <w:color w:val="auto"/>
        </w:rPr>
      </w:pPr>
    </w:p>
    <w:p>
      <w:pPr>
        <w:ind w:left="900" w:hanging="446"/>
        <w:spacing w:after="0" w:line="279" w:lineRule="auto"/>
        <w:tabs>
          <w:tab w:leader="none" w:pos="9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aggregate incremental cost to us of the following perquisites: car allowance, country club dues, Company-matched contributions under a 401(k) savings plan, premium payments relating to supplemental disability insurance, health savings accounts, imputed income relating to excess group term life insurance premiums and tax reimbursements related thereto, and travel and housing reimbursement. Not all of the listed perquisites or personal benefits were provided to each named executive officer.</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Severance in the amount of $516,452 was paid to Mr. Dorton.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65" w:right="299" w:bottom="1440" w:gutter="0" w:footer="0" w:header="0"/>
        </w:sectPr>
      </w:pPr>
    </w:p>
    <w:bookmarkStart w:id="35" w:name="page36"/>
    <w:bookmarkEnd w:id="3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plan-based awards granted during 2016 to the named executive officers.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2016</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Estimated Future payouts</w:t>
            </w: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(1)</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Grant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Thres-</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Maxi-</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Thresh-</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Maxi-</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Type</w:t>
            </w:r>
          </w:p>
        </w:tc>
        <w:tc>
          <w:tcPr>
            <w:tcW w:w="1200" w:type="dxa"/>
            <w:vAlign w:val="bottom"/>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hold</w:t>
            </w:r>
          </w:p>
        </w:tc>
        <w:tc>
          <w:tcPr>
            <w:tcW w:w="1040" w:type="dxa"/>
            <w:vAlign w:val="bottom"/>
            <w:vMerge w:val="continue"/>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mum</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old</w:t>
            </w:r>
          </w:p>
        </w:tc>
        <w:tc>
          <w:tcPr>
            <w:tcW w:w="880" w:type="dxa"/>
            <w:vAlign w:val="bottom"/>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mum</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120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23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Mr. Holder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gridSpan w:val="2"/>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Number of</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or Base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or Units</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bl>
    <w:p>
      <w:pPr>
        <w:spacing w:after="0" w:line="211" w:lineRule="exact"/>
        <w:rPr>
          <w:sz w:val="20"/>
          <w:szCs w:val="20"/>
          <w:color w:val="auto"/>
        </w:rPr>
      </w:pPr>
    </w:p>
    <w:p>
      <w:pPr>
        <w:sectPr>
          <w:pgSz w:w="11900" w:h="16838" w:orient="portrait"/>
          <w:cols w:equalWidth="0" w:num="2">
            <w:col w:w="8400" w:space="120"/>
            <w:col w:w="29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Restricted Stock</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36,120</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TSR Award</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204,259</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408,517</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612,776</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ROIC Award</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204,259</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408,517</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612,776</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408,517</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Non-equity Incentive</w:t>
            </w: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20"/>
                <w:szCs w:val="20"/>
                <w:color w:val="auto"/>
              </w:rPr>
            </w:pPr>
            <w:r>
              <w:rPr>
                <w:rFonts w:ascii="Arial" w:cs="Arial" w:eastAsia="Arial" w:hAnsi="Arial"/>
                <w:sz w:val="18"/>
                <w:szCs w:val="18"/>
                <w:color w:val="auto"/>
              </w:rPr>
              <w:t>Mr. Burwell</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Plan Award</w:t>
            </w:r>
          </w:p>
        </w:tc>
        <w:tc>
          <w:tcPr>
            <w:tcW w:w="9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258,000</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516,000</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774,000</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0"/>
              </w:rPr>
              <w:t>Restricted Stock</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color w:val="auto"/>
              </w:rPr>
              <w:t>3,945</w:t>
            </w:r>
          </w:p>
        </w:tc>
        <w:tc>
          <w:tcPr>
            <w:tcW w:w="7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44,618</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TSR Award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22,309</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44,618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66,927</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ROIC Award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22,309</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44,618</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66,927</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Plan Award</w:t>
            </w:r>
          </w:p>
        </w:tc>
        <w:tc>
          <w:tcPr>
            <w:tcW w:w="9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57,255</w:t>
            </w:r>
          </w:p>
        </w:tc>
        <w:tc>
          <w:tcPr>
            <w:tcW w:w="780" w:type="dxa"/>
            <w:vAlign w:val="bottom"/>
          </w:tcPr>
          <w:p>
            <w:pPr>
              <w:ind w:left="100"/>
              <w:spacing w:after="0"/>
              <w:rPr>
                <w:sz w:val="20"/>
                <w:szCs w:val="20"/>
                <w:color w:val="auto"/>
              </w:rPr>
            </w:pPr>
            <w:r>
              <w:rPr>
                <w:rFonts w:ascii="Arial" w:cs="Arial" w:eastAsia="Arial" w:hAnsi="Arial"/>
                <w:sz w:val="18"/>
                <w:szCs w:val="18"/>
                <w:color w:val="auto"/>
              </w:rPr>
              <w:t>114,509</w:t>
            </w:r>
          </w:p>
        </w:tc>
        <w:tc>
          <w:tcPr>
            <w:tcW w:w="780" w:type="dxa"/>
            <w:vAlign w:val="bottom"/>
          </w:tcPr>
          <w:p>
            <w:pPr>
              <w:ind w:left="100"/>
              <w:spacing w:after="0"/>
              <w:rPr>
                <w:sz w:val="20"/>
                <w:szCs w:val="20"/>
                <w:color w:val="auto"/>
              </w:rPr>
            </w:pPr>
            <w:r>
              <w:rPr>
                <w:rFonts w:ascii="Arial" w:cs="Arial" w:eastAsia="Arial" w:hAnsi="Arial"/>
                <w:sz w:val="18"/>
                <w:szCs w:val="18"/>
                <w:color w:val="auto"/>
              </w:rPr>
              <w:t>171,764</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Mr. Dorton</w:t>
            </w:r>
          </w:p>
        </w:tc>
        <w:tc>
          <w:tcPr>
            <w:tcW w:w="1660" w:type="dxa"/>
            <w:vAlign w:val="bottom"/>
            <w:gridSpan w:val="2"/>
            <w:shd w:val="clear" w:color="auto" w:fill="CCEEFF"/>
          </w:tcPr>
          <w:p>
            <w:pPr>
              <w:spacing w:after="0"/>
              <w:rPr>
                <w:sz w:val="18"/>
                <w:szCs w:val="18"/>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8,850</w:t>
            </w:r>
          </w:p>
        </w:tc>
        <w:tc>
          <w:tcPr>
            <w:tcW w:w="72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100,094</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Restricted Stock</w:t>
            </w:r>
          </w:p>
        </w:tc>
        <w:tc>
          <w:tcPr>
            <w:tcW w:w="9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TSR Award</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50,047</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100,094</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150,141</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100,094</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ROIC Award</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50,047</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100,094</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150,141</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100,094</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Non-equity Incentive</w:t>
            </w: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Plan Award</w:t>
            </w:r>
          </w:p>
        </w:tc>
        <w:tc>
          <w:tcPr>
            <w:tcW w:w="9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Mr. Manzi</w:t>
            </w:r>
          </w:p>
        </w:tc>
        <w:tc>
          <w:tcPr>
            <w:tcW w:w="100" w:type="dxa"/>
            <w:vAlign w:val="bottom"/>
          </w:tcPr>
          <w:p>
            <w:pPr>
              <w:spacing w:after="0"/>
              <w:rPr>
                <w:sz w:val="20"/>
                <w:szCs w:val="20"/>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0"/>
              </w:rPr>
              <w:t>Restricted Stock</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color w:val="auto"/>
              </w:rPr>
              <w:t>7,990</w:t>
            </w:r>
          </w:p>
        </w:tc>
        <w:tc>
          <w:tcPr>
            <w:tcW w:w="7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90,337</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TSR Award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45,184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90,367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135,551</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90,367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ROIC Award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48,184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90,367</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135,551</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90,367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Plan Award</w:t>
            </w:r>
          </w:p>
        </w:tc>
        <w:tc>
          <w:tcPr>
            <w:tcW w:w="9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79,750</w:t>
            </w:r>
          </w:p>
        </w:tc>
        <w:tc>
          <w:tcPr>
            <w:tcW w:w="780" w:type="dxa"/>
            <w:vAlign w:val="bottom"/>
          </w:tcPr>
          <w:p>
            <w:pPr>
              <w:ind w:left="100"/>
              <w:spacing w:after="0"/>
              <w:rPr>
                <w:sz w:val="20"/>
                <w:szCs w:val="20"/>
                <w:color w:val="auto"/>
              </w:rPr>
            </w:pPr>
            <w:r>
              <w:rPr>
                <w:rFonts w:ascii="Arial" w:cs="Arial" w:eastAsia="Arial" w:hAnsi="Arial"/>
                <w:sz w:val="18"/>
                <w:szCs w:val="18"/>
                <w:color w:val="auto"/>
              </w:rPr>
              <w:t>159,500</w:t>
            </w:r>
          </w:p>
        </w:tc>
        <w:tc>
          <w:tcPr>
            <w:tcW w:w="780" w:type="dxa"/>
            <w:vAlign w:val="bottom"/>
          </w:tcPr>
          <w:p>
            <w:pPr>
              <w:ind w:left="100"/>
              <w:spacing w:after="0"/>
              <w:rPr>
                <w:sz w:val="20"/>
                <w:szCs w:val="20"/>
                <w:color w:val="auto"/>
              </w:rPr>
            </w:pPr>
            <w:r>
              <w:rPr>
                <w:rFonts w:ascii="Arial" w:cs="Arial" w:eastAsia="Arial" w:hAnsi="Arial"/>
                <w:sz w:val="18"/>
                <w:szCs w:val="18"/>
                <w:color w:val="auto"/>
              </w:rPr>
              <w:t>239,250</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Mr. Veltman</w:t>
            </w:r>
          </w:p>
        </w:tc>
        <w:tc>
          <w:tcPr>
            <w:tcW w:w="1660" w:type="dxa"/>
            <w:vAlign w:val="bottom"/>
            <w:gridSpan w:val="2"/>
            <w:shd w:val="clear" w:color="auto" w:fill="CCEEFF"/>
          </w:tcPr>
          <w:p>
            <w:pPr>
              <w:spacing w:after="0"/>
              <w:rPr>
                <w:sz w:val="18"/>
                <w:szCs w:val="18"/>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8,245</w:t>
            </w:r>
          </w:p>
        </w:tc>
        <w:tc>
          <w:tcPr>
            <w:tcW w:w="72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93,251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Restricted Stock</w:t>
            </w:r>
          </w:p>
        </w:tc>
        <w:tc>
          <w:tcPr>
            <w:tcW w:w="9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TSR Award</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46,626</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93,251</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139,877</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ROIC Award</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46,626</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93,251</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139,877</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93,251</w:t>
            </w: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Non-equity Incentive</w:t>
            </w: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Plan Award</w:t>
            </w:r>
          </w:p>
        </w:tc>
        <w:tc>
          <w:tcPr>
            <w:tcW w:w="9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82,300</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164,600</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246,900</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Mr. Heiter</w:t>
            </w:r>
          </w:p>
        </w:tc>
        <w:tc>
          <w:tcPr>
            <w:tcW w:w="100" w:type="dxa"/>
            <w:vAlign w:val="bottom"/>
          </w:tcPr>
          <w:p>
            <w:pPr>
              <w:spacing w:after="0"/>
              <w:rPr>
                <w:sz w:val="20"/>
                <w:szCs w:val="20"/>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0"/>
              </w:rPr>
              <w:t>Restricted Stock</w:t>
            </w: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color w:val="auto"/>
              </w:rPr>
              <w:t>7,995</w:t>
            </w:r>
          </w:p>
        </w:tc>
        <w:tc>
          <w:tcPr>
            <w:tcW w:w="7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90,423</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TSR Award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45,212</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90,423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135,635</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90,423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ROIC Award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3/16/2016</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45,212</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90,423</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135,635</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90,423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Non-equity Incentive</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Plan Award</w:t>
            </w:r>
          </w:p>
        </w:tc>
        <w:tc>
          <w:tcPr>
            <w:tcW w:w="9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79,800</w:t>
            </w:r>
          </w:p>
        </w:tc>
        <w:tc>
          <w:tcPr>
            <w:tcW w:w="780" w:type="dxa"/>
            <w:vAlign w:val="bottom"/>
          </w:tcPr>
          <w:p>
            <w:pPr>
              <w:ind w:left="100"/>
              <w:spacing w:after="0"/>
              <w:rPr>
                <w:sz w:val="20"/>
                <w:szCs w:val="20"/>
                <w:color w:val="auto"/>
              </w:rPr>
            </w:pPr>
            <w:r>
              <w:rPr>
                <w:rFonts w:ascii="Arial" w:cs="Arial" w:eastAsia="Arial" w:hAnsi="Arial"/>
                <w:sz w:val="18"/>
                <w:szCs w:val="18"/>
                <w:color w:val="auto"/>
              </w:rPr>
              <w:t>159,600</w:t>
            </w:r>
          </w:p>
        </w:tc>
        <w:tc>
          <w:tcPr>
            <w:tcW w:w="780" w:type="dxa"/>
            <w:vAlign w:val="bottom"/>
          </w:tcPr>
          <w:p>
            <w:pPr>
              <w:ind w:left="100"/>
              <w:spacing w:after="0"/>
              <w:rPr>
                <w:sz w:val="20"/>
                <w:szCs w:val="20"/>
                <w:color w:val="auto"/>
              </w:rPr>
            </w:pPr>
            <w:r>
              <w:rPr>
                <w:rFonts w:ascii="Arial" w:cs="Arial" w:eastAsia="Arial" w:hAnsi="Arial"/>
                <w:sz w:val="18"/>
                <w:szCs w:val="18"/>
                <w:color w:val="auto"/>
              </w:rPr>
              <w:t>239,400</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3"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3" w:lineRule="exact"/>
        <w:rPr>
          <w:rFonts w:ascii="Arial" w:cs="Arial" w:eastAsia="Arial" w:hAnsi="Arial"/>
          <w:sz w:val="18"/>
          <w:szCs w:val="18"/>
          <w:color w:val="auto"/>
        </w:rPr>
      </w:pPr>
    </w:p>
    <w:p>
      <w:pPr>
        <w:ind w:left="460" w:right="60" w:hanging="452"/>
        <w:spacing w:after="0" w:line="295"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Additional information regarding the PSUs are set forth under Note 9 of the Notes to Consolidated Financial Statements included in our Annual Report on Form 10-K for the year ended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type w:val="continuous"/>
        </w:sectPr>
      </w:pPr>
    </w:p>
    <w:bookmarkStart w:id="36" w:name="page37"/>
    <w:bookmarkEnd w:id="36"/>
    <w:p>
      <w:pPr>
        <w:jc w:val="both"/>
        <w:ind w:left="460"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December 31, 2016 filed with the SEC on March 16, 2017. See also “Compensation Discussion &amp; Analysis — What We Pay and Why: Elements of Compensation — Long-Term Incentive Compensation” for additional information regarding our PSUs, including information regarding performance criteria.</w:t>
      </w:r>
    </w:p>
    <w:p>
      <w:pPr>
        <w:ind w:left="460" w:right="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ASC Topic 718. Shares of restricted stock vest over a period of three years beginning on the first anniversary of the date of grant.</w:t>
      </w:r>
    </w:p>
    <w:p>
      <w:pPr>
        <w:ind w:left="460" w:right="6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 date fair values of PSUs in the table above assumes target performance, but the actual number of performance shares distributed at the end of the performance period is dependent upon the achievement of stated performance goals.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with respect to outstanding equity awards as of December 31, 2016.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ind w:left="74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Incentive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or</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5"/>
              </w:rPr>
              <w:t>Unearned</w:t>
            </w:r>
          </w:p>
        </w:tc>
        <w:tc>
          <w:tcPr>
            <w:tcW w:w="82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Awards: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or Units</w:t>
            </w:r>
          </w:p>
        </w:tc>
        <w:tc>
          <w:tcPr>
            <w:tcW w:w="7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Units or</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5"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7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Stock</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62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That</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80" w:type="dxa"/>
            <w:vAlign w:val="bottom"/>
          </w:tcPr>
          <w:p>
            <w:pPr>
              <w:spacing w:after="0"/>
              <w:rPr>
                <w:sz w:val="12"/>
                <w:szCs w:val="12"/>
                <w:color w:val="auto"/>
              </w:rPr>
            </w:pPr>
          </w:p>
        </w:tc>
        <w:tc>
          <w:tcPr>
            <w:tcW w:w="62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Rights</w:t>
            </w: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8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Have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16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7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Unearned</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vMerge w:val="continue"/>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Not</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6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Grant/Award Type</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Options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62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90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4"/>
              </w:rPr>
              <w:t>(#) (1)</w:t>
            </w:r>
          </w:p>
        </w:tc>
        <w:tc>
          <w:tcPr>
            <w:tcW w:w="1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 (1)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5"/>
                <w:szCs w:val="15"/>
                <w:color w:val="auto"/>
              </w:rPr>
            </w:pPr>
          </w:p>
        </w:tc>
        <w:tc>
          <w:tcPr>
            <w:tcW w:w="70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FY 2013 Option</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9.40</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6/3/2023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2014 Option</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3/19/2024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RSU-1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63,494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RSU-2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186,233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TSR Awards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14,665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279,368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ROIC Awards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14,665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279,368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2016 RSU</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24,080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458,724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2016 TSR Awards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36,120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688,086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2016 ROIC Awards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36,120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688,086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Mr. Burwell</w:t>
            </w:r>
          </w:p>
        </w:tc>
        <w:tc>
          <w:tcPr>
            <w:tcW w:w="10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FY 2008 Option</w:t>
            </w:r>
          </w:p>
        </w:tc>
        <w:tc>
          <w:tcPr>
            <w:tcW w:w="10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9.36</w:t>
            </w:r>
          </w:p>
        </w:tc>
        <w:tc>
          <w:tcPr>
            <w:tcW w:w="10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3/6/2018</w:t>
            </w:r>
          </w:p>
        </w:tc>
        <w:tc>
          <w:tcPr>
            <w:tcW w:w="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2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2011 Option</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5/26/2021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2012 Option</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8.86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3/21/2022</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2013 Option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3/25/2023</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2014 Option</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19.63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3/19/2024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2015 RSU-1</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15,869</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2015 RSU-2</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19,545</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2015 TSR Awards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29,337</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2015 ROIC Awards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29,337</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2016 RSU</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2,630</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50,102</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2016 TSR Awards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3,945</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75,152</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2016 ROIC Awards</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3,945</w:t>
            </w: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75,152</w:t>
            </w:r>
          </w:p>
        </w:tc>
        <w:tc>
          <w:tcPr>
            <w:tcW w:w="80" w:type="dxa"/>
            <w:vAlign w:val="bottom"/>
          </w:tcPr>
          <w:p>
            <w:pPr>
              <w:spacing w:after="0"/>
              <w:rPr>
                <w:sz w:val="20"/>
                <w:szCs w:val="20"/>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Dorton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2014 Option</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4/4/2018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TSR Awards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73,628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ROIC Awards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73,628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2016 TSR Awards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168,593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2016 ROIC Awards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168,593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Mr. Manzi</w:t>
            </w:r>
          </w:p>
        </w:tc>
        <w:tc>
          <w:tcPr>
            <w:tcW w:w="10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FY 2016 RSU</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5,326</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5"/>
              </w:rPr>
              <w:t>101,460</w:t>
            </w:r>
          </w:p>
        </w:tc>
        <w:tc>
          <w:tcPr>
            <w:tcW w:w="80" w:type="dxa"/>
            <w:vAlign w:val="bottom"/>
          </w:tcPr>
          <w:p>
            <w:pPr>
              <w:spacing w:after="0"/>
              <w:rPr>
                <w:sz w:val="17"/>
                <w:szCs w:val="17"/>
                <w:color w:val="auto"/>
              </w:rPr>
            </w:pPr>
          </w:p>
        </w:tc>
        <w:tc>
          <w:tcPr>
            <w:tcW w:w="62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2016 TSR Awards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7,990</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152,210</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2016 ROIC Awards</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7,990</w:t>
            </w: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152,210</w:t>
            </w:r>
          </w:p>
        </w:tc>
        <w:tc>
          <w:tcPr>
            <w:tcW w:w="80" w:type="dxa"/>
            <w:vAlign w:val="bottom"/>
          </w:tcPr>
          <w:p>
            <w:pPr>
              <w:spacing w:after="0"/>
              <w:rPr>
                <w:sz w:val="20"/>
                <w:szCs w:val="20"/>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2014 Option</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10/20/2024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2014 RSU</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33,642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RSU-1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RSU-2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43,929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TSR Awards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65,913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2015 ROIC Awards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65,913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2016 RSU</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104,699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2016 TSR Awards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157,067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FY 2016 ROIC Awards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157,067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line="201" w:lineRule="exact"/>
              <w:rPr>
                <w:sz w:val="20"/>
                <w:szCs w:val="20"/>
                <w:color w:val="auto"/>
              </w:rPr>
            </w:pPr>
            <w:r>
              <w:rPr>
                <w:rFonts w:ascii="Arial" w:cs="Arial" w:eastAsia="Arial" w:hAnsi="Arial"/>
                <w:sz w:val="18"/>
                <w:szCs w:val="18"/>
                <w:color w:val="auto"/>
              </w:rPr>
              <w:t>Mr. Heiter</w:t>
            </w:r>
          </w:p>
        </w:tc>
        <w:tc>
          <w:tcPr>
            <w:tcW w:w="10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FY 2016 RSU</w:t>
            </w:r>
          </w:p>
        </w:tc>
        <w:tc>
          <w:tcPr>
            <w:tcW w:w="10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5,330</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5"/>
              </w:rPr>
              <w:t>101,537</w:t>
            </w:r>
          </w:p>
        </w:tc>
        <w:tc>
          <w:tcPr>
            <w:tcW w:w="80" w:type="dxa"/>
            <w:vAlign w:val="bottom"/>
          </w:tcPr>
          <w:p>
            <w:pPr>
              <w:spacing w:after="0"/>
              <w:rPr>
                <w:sz w:val="17"/>
                <w:szCs w:val="17"/>
                <w:color w:val="auto"/>
              </w:rPr>
            </w:pPr>
          </w:p>
        </w:tc>
        <w:tc>
          <w:tcPr>
            <w:tcW w:w="620" w:type="dxa"/>
            <w:vAlign w:val="bottom"/>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2016 TSR Awards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7,995</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152,305</w:t>
            </w:r>
          </w:p>
        </w:tc>
        <w:tc>
          <w:tcPr>
            <w:tcW w:w="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FY 2016 ROIC Awards</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7,995</w:t>
            </w: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152,305</w:t>
            </w:r>
          </w:p>
        </w:tc>
        <w:tc>
          <w:tcPr>
            <w:tcW w:w="80" w:type="dxa"/>
            <w:vAlign w:val="bottom"/>
          </w:tcPr>
          <w:p>
            <w:pPr>
              <w:spacing w:after="0"/>
              <w:rPr>
                <w:sz w:val="20"/>
                <w:szCs w:val="20"/>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 options vest in three equal annual installments beginning on the first anniversary of the date of grant.</w:t>
      </w:r>
    </w:p>
    <w:p>
      <w:pPr>
        <w:spacing w:after="0" w:line="252"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restricted stock vest in three equal annual installments beginning on the first anniversary of the date of grant. Performance share units granted on April 30, 2015 and March 16, 2016 will, subject to the achievement of the performance goals applicable thereto, vest on December 31, 2017 and December 31, 2018, respectively.</w:t>
      </w:r>
    </w:p>
    <w:p>
      <w:pPr>
        <w:ind w:left="460" w:right="280" w:hanging="452"/>
        <w:spacing w:after="0" w:line="290"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market value of unvested shares of restricted stock and unvested shares issuable in respect of PSUs is based on the closing price of our common stock on the last day of fiscal year 2016, which was $19.05 and, with respect to PSUs, assumes target performance.</w:t>
      </w:r>
    </w:p>
    <w:p>
      <w:pPr>
        <w:sectPr>
          <w:pgSz w:w="11900" w:h="16838" w:orient="portrait"/>
          <w:cols w:equalWidth="0" w:num="1">
            <w:col w:w="11420"/>
          </w:cols>
          <w:pgMar w:left="240" w:top="274" w:right="239" w:bottom="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74" w:right="239" w:bottom="0" w:gutter="0" w:footer="0" w:header="0"/>
          <w:type w:val="continuous"/>
        </w:sectPr>
      </w:pPr>
    </w:p>
    <w:bookmarkStart w:id="37" w:name="page38"/>
    <w:bookmarkEnd w:id="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with respect to option exercises and stock vesting as of December 31, 2016.</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 During 2016</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9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w:t>
            </w: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Acquired</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Realized</w:t>
            </w:r>
          </w:p>
        </w:tc>
        <w:tc>
          <w:tcPr>
            <w:tcW w:w="11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on</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on</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60" w:type="dxa"/>
            <w:vAlign w:val="bottom"/>
            <w:vMerge w:val="restart"/>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5"/>
                <w:szCs w:val="15"/>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Vesting (#)</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24,889</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373,746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4,515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59,369</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Dorton</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76,500</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496,976</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23,981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323,120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Mr. Manzi</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3,588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57,104</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121"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Each of our named executive officers has either a separation agreement or a written employment agreement to serve in his respective position that extends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either (i) eighteen months, or (ii) twelve months, subject to the increase noted below,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agreements for each of our named executive officers also include a non-competition term that ends two years after the conclusion of each executive’s employment with the Company.</w:t>
      </w:r>
    </w:p>
    <w:p>
      <w:pPr>
        <w:spacing w:after="0" w:line="179"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a lump sum payment equal to a multiple of his annual salary plus a percentage of his median bonus available at his specific target percentage. Each named executive officer will receive a multiple of two-times the named executive officer’s annual salary following a change of control. Mr. Holder will receive 80% of his median bonus and Messrs. Burwell, Manzi, Veltman and Heiter will receive 50% of his median bonus following a change of control. Additionally, each named executive officer will receive a lump sum payment of $12,000 as a transition assistance payment.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38" w:name="page39"/>
    <w:bookmarkEnd w:id="38"/>
    <w:p>
      <w:pPr>
        <w:jc w:val="both"/>
        <w:ind w:right="1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shows the compensation each named executive officer would have received under their respective agreements had a change in control and the termination of the executive’s service occurred, each as of December 31, 2016, except for Mr. Dorton, whose last day of employment was April 8, 2016.</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6"/>
              </w:rPr>
              <w:t>Cash Severance</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Stock Option</w:t>
            </w: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Restricted Stock</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40" w:type="dxa"/>
            <w:vAlign w:val="bottom"/>
            <w:vMerge w:val="restart"/>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96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52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52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500" w:type="dxa"/>
            <w:vAlign w:val="bottom"/>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Holder</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1,818,001</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2,643,359</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4,461,360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Mr. Burwell</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613,404</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294,494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907,898</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Manzi</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809,501</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405,879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1,215,380</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Mr. Veltman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834,827</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640,918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1,475,745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809,833</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406,146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1,215,979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represents two times the named executive officer’s base salary plus a the named executive officer’s median bonus available at target percentage specified above, plus the named executive officer’s target annual bonus for the year of termination, plus a transition assistance payment of $12,000.</w:t>
      </w:r>
    </w:p>
    <w:p>
      <w:pPr>
        <w:ind w:left="460" w:right="20" w:hanging="452"/>
        <w:spacing w:after="0" w:line="252"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Restricted stock acceleration is calculated based on the market value of the above named executive officers’ unvested restricted stock and performance share units on December 31, 2016. The market value as of December 31, 2016 is deemed to have been $19.05 per share, which is the closing sale price of our common stock reported for transactions effected on the Nasdaq Global Select Market on December 30, 2016.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19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previously disclosed, Mr. Dorton retired effective as of April 8, 2016. We entered into a separation agreement and release with Mr. Dorton, effective as of April 4, 2016, under which Mr. Dorton is entitled to receive and is being paid the sum of $738,724 over the twelve months following his retirement. In accordance with his existing award agreements at such time, any unvested options to purchase shares of common stock, any unvested shares of restricted stock and a proportionate number of previously granted performance share units based on the target award amount owned by Mr. Dorton vested upon his retirement.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firstLine="1484"/>
        <w:spacing w:after="0" w:line="257" w:lineRule="auto"/>
        <w:rPr>
          <w:sz w:val="20"/>
          <w:szCs w:val="20"/>
          <w:color w:val="auto"/>
        </w:rPr>
      </w:pPr>
      <w:r>
        <w:rPr>
          <w:rFonts w:ascii="Arial" w:cs="Arial" w:eastAsia="Arial" w:hAnsi="Arial"/>
          <w:sz w:val="18"/>
          <w:szCs w:val="18"/>
          <w:color w:val="auto"/>
        </w:rPr>
        <w:t>All compensation decisions during the fiscal year ended December 31, 2016 for each of the named executive officers were made by the Compensation Committee, consisting of Messrs. Warshaw, Dries, Pugh and Brunner,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IV: Ratification of Selection of our Registered Independent Public Accounting Firm</w:t>
      </w:r>
    </w:p>
    <w:p>
      <w:pPr>
        <w:spacing w:after="0" w:line="12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PricewaterhouseCoopers LLP has been selected by the Audit Committee as our registered independent public accounting firm for 2017. Although it is not required to do so, the Board has determined that it is desirable to seek stockholders’ ratification of the selection of PricewaterhouseCoopers LLP. If the stockholders should not ratify the appointment of PricewaterhouseCoopers LLP, the Audit Committee will reconsider the appointment.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Registered Independent Public Accounting Firm</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During 2016, PricewaterhouseCoopers LLP provided us with audit and tax-related services. The following table sets forth the aggregate fees billed by PricewaterhouseCoopers LLP for audit services rendered in connection with the financial statements and reports for fiscal years 2016 and 2015 and for tax-related services rendered during fiscal years 2016 and 2015 on our behalf, as well as all expenses incurred in connection with these services, which have been or will be billed to us.</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520" w:type="dxa"/>
            <w:vAlign w:val="bottom"/>
            <w:tcBorders>
              <w:bottom w:val="single" w:sz="8" w:color="CCEEFF"/>
            </w:tcBorders>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2,431,275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2,721,549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Tax Fees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153,455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458,615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360"/>
              <w:spacing w:after="0"/>
              <w:rPr>
                <w:sz w:val="20"/>
                <w:szCs w:val="20"/>
                <w:color w:val="auto"/>
              </w:rPr>
            </w:pPr>
            <w:r>
              <w:rPr>
                <w:rFonts w:ascii="Arial" w:cs="Arial" w:eastAsia="Arial" w:hAnsi="Arial"/>
                <w:sz w:val="18"/>
                <w:szCs w:val="18"/>
                <w:color w:val="auto"/>
              </w:rPr>
              <w:t>Total</w:t>
            </w:r>
          </w:p>
        </w:tc>
        <w:tc>
          <w:tcPr>
            <w:tcW w:w="4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2,584,730</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3,705,164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060" w:type="dxa"/>
            <w:vAlign w:val="bottom"/>
            <w:vMerge w:val="restart"/>
          </w:tcPr>
          <w:p>
            <w:pPr>
              <w:jc w:val="right"/>
              <w:ind w:right="207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39" w:name="page40"/>
    <w:bookmarkEnd w:id="39"/>
    <w:p>
      <w:pPr>
        <w:ind w:right="4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accordance with definitions and rules established by the SEC, “audit fees” are fees billed to us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and “tax fees” are fees billed for tax compliance, tax advice and tax planning. Other fees” in 2015 relate to financial and tax due diligence services performed in connection with our acquisition of Precision Engineered Products Holdings, Inc.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The Audit Committee pre-approves all audit and permissible non-audit services to be provided to us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Representatives of PricewaterhouseCoopers LLP will not be present at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OF DIRECTORS RECOMMENDS A VOTE “FOR” THIS PROPOSAL.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 TO STOCKHOLDERS</w:t>
      </w:r>
    </w:p>
    <w:p>
      <w:pPr>
        <w:spacing w:after="0" w:line="20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46"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The Audit Committee has reviewed and discussed with our management and PricewaterhouseCoopers LLP, our registered independent public accounting firm, the audited financial statements of the Company for 2016; has discussed with PricewaterhouseCoopers LLP matters required to be discussed by Public Company Accounting Oversight Board (PCAOB) Auditing Standard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has received from the registered independent public accounting firm the written disclosures and letter required by PCAOB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our Annual Report on Form 10-K for the fiscal year ended December 31, 2016, which was filed with the SEC on March 16, 2017.</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Members of the Audit Committee:</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William Dries, Chairman</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David K. Floyd</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G. Ronald Morris</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David L. Pugh</w:t>
      </w:r>
    </w:p>
    <w:p>
      <w:pPr>
        <w:spacing w:after="0" w:line="211" w:lineRule="exact"/>
        <w:rPr>
          <w:sz w:val="20"/>
          <w:szCs w:val="20"/>
          <w:color w:val="auto"/>
        </w:rPr>
      </w:pPr>
    </w:p>
    <w:p>
      <w:pPr>
        <w:ind w:left="220" w:right="360" w:hanging="212"/>
        <w:spacing w:after="0" w:line="277" w:lineRule="auto"/>
        <w:tabs>
          <w:tab w:leader="none" w:pos="2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material in the foregoing Audit Committee report is not “soliciting material,” is not deemed “filed” with the SEC, and is not to be incorporated by reference into any of our filings under the 1933 Act or the Exchange Act, whether made before or after the date hereof.</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9"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0" w:name="page41"/>
    <w:bookmarkEnd w:id="40"/>
    <w:p>
      <w:pPr>
        <w:jc w:val="both"/>
        <w:ind w:right="3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360" w:firstLine="913"/>
        <w:spacing w:after="0" w:line="308" w:lineRule="auto"/>
        <w:rPr>
          <w:sz w:val="20"/>
          <w:szCs w:val="20"/>
          <w:color w:val="auto"/>
        </w:rPr>
      </w:pPr>
      <w:r>
        <w:rPr>
          <w:rFonts w:ascii="Arial" w:cs="Arial" w:eastAsia="Arial" w:hAnsi="Arial"/>
          <w:sz w:val="17"/>
          <w:szCs w:val="17"/>
          <w:color w:val="auto"/>
        </w:rPr>
        <w:t>Our Annual Report on Form 10-K for the year ended December 31, 2016 is being mailed together with this Proxy Statement. Exhibits to our Annual Report on Form 10-K may be obtained by contacting our Secretary at 207 Mockingbird Lane, Johnson City, Tennessee 37604.</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Notwithstanding anything to the contrary set forth in our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269365" cy="5060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693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7, 2017</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STOCKHOLDERS ARE REQUESTED TO MARK, DATE AND SIGN THE ENCLOSED PROXY CARD AND RETURN IT IN THE ENCLOSED ENVELOPE. YOUR PROMPT RESPONSE WILL BE HELPFUL, AND YOUR COOPERATION WILL BE APPRECIATED.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380" w:type="dxa"/>
            <w:vAlign w:val="bottom"/>
          </w:tcPr>
          <w:p>
            <w:pPr>
              <w:ind w:left="292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w w:val="95"/>
              </w:rPr>
              <w:t>Use the Internet to transmit your voting instructions and for electronic delivery of information</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w w:val="95"/>
              </w:rPr>
              <w:t>up until 11:59 P.M. Eastern Time the day before the cut-off date or meeting date. Have your</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w w:val="97"/>
              </w:rPr>
              <w:t>proxy card in hand when you access the web site and follow the instructions to obtain your</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8380" w:type="dxa"/>
            <w:vAlign w:val="bottom"/>
          </w:tcPr>
          <w:p>
            <w:pPr>
              <w:ind w:left="2920"/>
              <w:spacing w:after="0"/>
              <w:rPr>
                <w:sz w:val="20"/>
                <w:szCs w:val="20"/>
                <w:color w:val="auto"/>
              </w:rPr>
            </w:pPr>
            <w:r>
              <w:rPr>
                <w:rFonts w:ascii="Arial" w:cs="Arial" w:eastAsia="Arial" w:hAnsi="Arial"/>
                <w:sz w:val="14"/>
                <w:szCs w:val="14"/>
                <w:color w:val="auto"/>
              </w:rPr>
              <w:t>records and to create an electronic voting instruction form.</w:t>
            </w:r>
          </w:p>
        </w:tc>
        <w:tc>
          <w:tcPr>
            <w:tcW w:w="0" w:type="dxa"/>
            <w:vAlign w:val="bottom"/>
          </w:tcPr>
          <w:p>
            <w:pPr>
              <w:spacing w:after="0"/>
              <w:rPr>
                <w:sz w:val="1"/>
                <w:szCs w:val="1"/>
                <w:color w:val="auto"/>
              </w:rPr>
            </w:pPr>
          </w:p>
        </w:tc>
      </w:tr>
      <w:tr>
        <w:trPr>
          <w:trHeight w:val="236"/>
        </w:trPr>
        <w:tc>
          <w:tcPr>
            <w:tcW w:w="3040" w:type="dxa"/>
            <w:vAlign w:val="bottom"/>
          </w:tcPr>
          <w:p>
            <w:pPr>
              <w:ind w:left="880"/>
              <w:spacing w:after="0"/>
              <w:rPr>
                <w:sz w:val="20"/>
                <w:szCs w:val="20"/>
                <w:color w:val="auto"/>
              </w:rPr>
            </w:pPr>
            <w:r>
              <w:rPr>
                <w:rFonts w:ascii="Arial" w:cs="Arial" w:eastAsia="Arial" w:hAnsi="Arial"/>
                <w:sz w:val="14"/>
                <w:szCs w:val="14"/>
                <w:b w:val="1"/>
                <w:bCs w:val="1"/>
                <w:i w:val="1"/>
                <w:iCs w:val="1"/>
                <w:color w:val="auto"/>
              </w:rPr>
              <w:t>NN, INC.</w:t>
            </w:r>
          </w:p>
        </w:tc>
        <w:tc>
          <w:tcPr>
            <w:tcW w:w="838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95"/>
        </w:trPr>
        <w:tc>
          <w:tcPr>
            <w:tcW w:w="3040" w:type="dxa"/>
            <w:vAlign w:val="bottom"/>
            <w:vMerge w:val="restart"/>
          </w:tcPr>
          <w:p>
            <w:pPr>
              <w:ind w:left="880"/>
              <w:spacing w:after="0" w:line="149" w:lineRule="exact"/>
              <w:rPr>
                <w:sz w:val="20"/>
                <w:szCs w:val="20"/>
                <w:color w:val="auto"/>
              </w:rPr>
            </w:pPr>
            <w:r>
              <w:rPr>
                <w:rFonts w:ascii="Arial" w:cs="Arial" w:eastAsia="Arial" w:hAnsi="Arial"/>
                <w:sz w:val="14"/>
                <w:szCs w:val="14"/>
                <w:b w:val="1"/>
                <w:bCs w:val="1"/>
                <w:i w:val="1"/>
                <w:iCs w:val="1"/>
                <w:color w:val="auto"/>
              </w:rPr>
              <w:t>207 MOCKINGBIRD LANE</w:t>
            </w: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040" w:type="dxa"/>
            <w:vAlign w:val="bottom"/>
            <w:vMerge w:val="continue"/>
          </w:tcPr>
          <w:p>
            <w:pPr>
              <w:spacing w:after="0"/>
              <w:rPr>
                <w:sz w:val="4"/>
                <w:szCs w:val="4"/>
                <w:color w:val="auto"/>
              </w:rPr>
            </w:pPr>
          </w:p>
        </w:tc>
        <w:tc>
          <w:tcPr>
            <w:tcW w:w="8380" w:type="dxa"/>
            <w:vAlign w:val="bottom"/>
            <w:vMerge w:val="restart"/>
          </w:tcPr>
          <w:p>
            <w:pPr>
              <w:ind w:left="2920"/>
              <w:spacing w:after="0" w:line="149" w:lineRule="exact"/>
              <w:rPr>
                <w:sz w:val="20"/>
                <w:szCs w:val="20"/>
                <w:color w:val="auto"/>
              </w:rPr>
            </w:pPr>
            <w:r>
              <w:rPr>
                <w:rFonts w:ascii="Arial" w:cs="Arial" w:eastAsia="Arial" w:hAnsi="Arial"/>
                <w:sz w:val="14"/>
                <w:szCs w:val="14"/>
                <w:color w:val="auto"/>
                <w:w w:val="95"/>
              </w:rPr>
              <w:t>If you would like to reduce the costs incurred by our company in mailing proxy materials, you</w:t>
            </w:r>
          </w:p>
        </w:tc>
        <w:tc>
          <w:tcPr>
            <w:tcW w:w="0" w:type="dxa"/>
            <w:vAlign w:val="bottom"/>
          </w:tcPr>
          <w:p>
            <w:pPr>
              <w:spacing w:after="0"/>
              <w:rPr>
                <w:sz w:val="1"/>
                <w:szCs w:val="1"/>
                <w:color w:val="auto"/>
              </w:rPr>
            </w:pPr>
          </w:p>
        </w:tc>
      </w:tr>
      <w:tr>
        <w:trPr>
          <w:trHeight w:val="95"/>
        </w:trPr>
        <w:tc>
          <w:tcPr>
            <w:tcW w:w="3040" w:type="dxa"/>
            <w:vAlign w:val="bottom"/>
            <w:vMerge w:val="restart"/>
          </w:tcPr>
          <w:p>
            <w:pPr>
              <w:ind w:left="880"/>
              <w:spacing w:after="0"/>
              <w:rPr>
                <w:sz w:val="20"/>
                <w:szCs w:val="20"/>
                <w:color w:val="auto"/>
              </w:rPr>
            </w:pPr>
            <w:r>
              <w:rPr>
                <w:rFonts w:ascii="Arial" w:cs="Arial" w:eastAsia="Arial" w:hAnsi="Arial"/>
                <w:sz w:val="14"/>
                <w:szCs w:val="14"/>
                <w:b w:val="1"/>
                <w:bCs w:val="1"/>
                <w:i w:val="1"/>
                <w:iCs w:val="1"/>
                <w:color w:val="auto"/>
              </w:rPr>
              <w:t>JOHNSON CITY, TN 37604</w:t>
            </w: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40" w:type="dxa"/>
            <w:vAlign w:val="bottom"/>
            <w:vMerge w:val="continue"/>
          </w:tcPr>
          <w:p>
            <w:pPr>
              <w:spacing w:after="0"/>
              <w:rPr>
                <w:sz w:val="7"/>
                <w:szCs w:val="7"/>
                <w:color w:val="auto"/>
              </w:rPr>
            </w:pPr>
          </w:p>
        </w:tc>
        <w:tc>
          <w:tcPr>
            <w:tcW w:w="8380" w:type="dxa"/>
            <w:vAlign w:val="bottom"/>
            <w:vMerge w:val="restart"/>
          </w:tcPr>
          <w:p>
            <w:pPr>
              <w:ind w:left="2920"/>
              <w:spacing w:after="0" w:line="149"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61"/>
        </w:trPr>
        <w:tc>
          <w:tcPr>
            <w:tcW w:w="3040" w:type="dxa"/>
            <w:vAlign w:val="bottom"/>
          </w:tcPr>
          <w:p>
            <w:pPr>
              <w:spacing w:after="0"/>
              <w:rPr>
                <w:sz w:val="5"/>
                <w:szCs w:val="5"/>
                <w:color w:val="auto"/>
              </w:rPr>
            </w:pPr>
          </w:p>
        </w:tc>
        <w:tc>
          <w:tcPr>
            <w:tcW w:w="8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w w:val="97"/>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8380" w:type="dxa"/>
            <w:vAlign w:val="bottom"/>
          </w:tcPr>
          <w:p>
            <w:pPr>
              <w:ind w:left="292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r>
        <w:trPr>
          <w:trHeight w:val="331"/>
        </w:trPr>
        <w:tc>
          <w:tcPr>
            <w:tcW w:w="3040" w:type="dxa"/>
            <w:vAlign w:val="bottom"/>
          </w:tcPr>
          <w:p>
            <w:pPr>
              <w:spacing w:after="0"/>
              <w:rPr>
                <w:sz w:val="24"/>
                <w:szCs w:val="24"/>
                <w:color w:val="auto"/>
              </w:rPr>
            </w:pPr>
          </w:p>
        </w:tc>
        <w:tc>
          <w:tcPr>
            <w:tcW w:w="8380" w:type="dxa"/>
            <w:vAlign w:val="bottom"/>
          </w:tcPr>
          <w:p>
            <w:pPr>
              <w:ind w:left="292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w w:val="94"/>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w w:val="94"/>
              </w:rPr>
              <w:t>Time the day before the cut-off date or meeting date. Have your proxy card in hand when you</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8380" w:type="dxa"/>
            <w:vAlign w:val="bottom"/>
          </w:tcPr>
          <w:p>
            <w:pPr>
              <w:ind w:left="2920"/>
              <w:spacing w:after="0"/>
              <w:rPr>
                <w:sz w:val="20"/>
                <w:szCs w:val="20"/>
                <w:color w:val="auto"/>
              </w:rPr>
            </w:pPr>
            <w:r>
              <w:rPr>
                <w:rFonts w:ascii="Arial" w:cs="Arial" w:eastAsia="Arial" w:hAnsi="Arial"/>
                <w:sz w:val="14"/>
                <w:szCs w:val="14"/>
                <w:color w:val="auto"/>
              </w:rPr>
              <w:t>call and then follow the instructions.</w:t>
            </w:r>
          </w:p>
        </w:tc>
        <w:tc>
          <w:tcPr>
            <w:tcW w:w="0" w:type="dxa"/>
            <w:vAlign w:val="bottom"/>
          </w:tcPr>
          <w:p>
            <w:pPr>
              <w:spacing w:after="0"/>
              <w:rPr>
                <w:sz w:val="1"/>
                <w:szCs w:val="1"/>
                <w:color w:val="auto"/>
              </w:rPr>
            </w:pPr>
          </w:p>
        </w:tc>
      </w:tr>
      <w:tr>
        <w:trPr>
          <w:trHeight w:val="331"/>
        </w:trPr>
        <w:tc>
          <w:tcPr>
            <w:tcW w:w="3040" w:type="dxa"/>
            <w:vAlign w:val="bottom"/>
          </w:tcPr>
          <w:p>
            <w:pPr>
              <w:spacing w:after="0"/>
              <w:rPr>
                <w:sz w:val="24"/>
                <w:szCs w:val="24"/>
                <w:color w:val="auto"/>
              </w:rPr>
            </w:pPr>
          </w:p>
        </w:tc>
        <w:tc>
          <w:tcPr>
            <w:tcW w:w="8380" w:type="dxa"/>
            <w:vAlign w:val="bottom"/>
          </w:tcPr>
          <w:p>
            <w:pPr>
              <w:ind w:left="292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380" w:type="dxa"/>
            <w:vAlign w:val="bottom"/>
          </w:tcPr>
          <w:p>
            <w:pPr>
              <w:ind w:left="2920"/>
              <w:spacing w:after="0" w:line="149" w:lineRule="exact"/>
              <w:rPr>
                <w:sz w:val="20"/>
                <w:szCs w:val="20"/>
                <w:color w:val="auto"/>
              </w:rPr>
            </w:pPr>
            <w:r>
              <w:rPr>
                <w:rFonts w:ascii="Arial" w:cs="Arial" w:eastAsia="Arial" w:hAnsi="Arial"/>
                <w:sz w:val="14"/>
                <w:szCs w:val="14"/>
                <w:color w:val="auto"/>
                <w:w w:val="96"/>
              </w:rPr>
              <w:t>provided or return it to Vote Processing, c/o Broadridge, 51 Mercedes Way, Edgewood, NY</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8380" w:type="dxa"/>
            <w:vAlign w:val="bottom"/>
          </w:tcPr>
          <w:p>
            <w:pPr>
              <w:ind w:left="2920"/>
              <w:spacing w:after="0"/>
              <w:rPr>
                <w:sz w:val="20"/>
                <w:szCs w:val="20"/>
                <w:color w:val="auto"/>
              </w:rPr>
            </w:pPr>
            <w:r>
              <w:rPr>
                <w:rFonts w:ascii="Arial" w:cs="Arial" w:eastAsia="Arial" w:hAnsi="Arial"/>
                <w:sz w:val="14"/>
                <w:szCs w:val="14"/>
                <w:color w:val="auto"/>
              </w:rPr>
              <w:t>11717.</w:t>
            </w:r>
          </w:p>
        </w:tc>
        <w:tc>
          <w:tcPr>
            <w:tcW w:w="0" w:type="dxa"/>
            <w:vAlign w:val="bottom"/>
          </w:tcPr>
          <w:p>
            <w:pPr>
              <w:spacing w:after="0"/>
              <w:rPr>
                <w:sz w:val="1"/>
                <w:szCs w:val="1"/>
                <w:color w:val="auto"/>
              </w:rPr>
            </w:pPr>
          </w:p>
        </w:tc>
      </w:tr>
      <w:tr>
        <w:trPr>
          <w:trHeight w:val="493"/>
        </w:trPr>
        <w:tc>
          <w:tcPr>
            <w:tcW w:w="11420" w:type="dxa"/>
            <w:vAlign w:val="bottom"/>
            <w:gridSpan w:val="2"/>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838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78"/>
        </w:trPr>
        <w:tc>
          <w:tcPr>
            <w:tcW w:w="3040" w:type="dxa"/>
            <w:vAlign w:val="bottom"/>
          </w:tcPr>
          <w:p>
            <w:pPr>
              <w:spacing w:after="0"/>
              <w:rPr>
                <w:sz w:val="15"/>
                <w:szCs w:val="15"/>
                <w:color w:val="auto"/>
              </w:rPr>
            </w:pPr>
          </w:p>
        </w:tc>
        <w:tc>
          <w:tcPr>
            <w:tcW w:w="838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8380" w:type="dxa"/>
            <w:vAlign w:val="bottom"/>
          </w:tcPr>
          <w:p>
            <w:pPr>
              <w:ind w:left="4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67945</wp:posOffset>
            </wp:positionV>
            <wp:extent cx="7178040" cy="4210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421068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p>
      <w:pPr>
        <w:spacing w:after="0" w:line="273"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The Board of Directors recommends you vote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FOR the following:</w:t>
      </w:r>
    </w:p>
    <w:p>
      <w:pPr>
        <w:spacing w:after="0" w:line="111" w:lineRule="exact"/>
        <w:rPr>
          <w:sz w:val="20"/>
          <w:szCs w:val="20"/>
          <w:color w:val="auto"/>
        </w:rPr>
      </w:pPr>
    </w:p>
    <w:p>
      <w:pPr>
        <w:ind w:left="660" w:hanging="247"/>
        <w:spacing w:after="0"/>
        <w:tabs>
          <w:tab w:leader="none" w:pos="660" w:val="left"/>
        </w:tabs>
        <w:numPr>
          <w:ilvl w:val="0"/>
          <w:numId w:val="50"/>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51" w:lineRule="exact"/>
        <w:rPr>
          <w:rFonts w:ascii="Arial" w:cs="Arial" w:eastAsia="Arial" w:hAnsi="Arial"/>
          <w:sz w:val="14"/>
          <w:szCs w:val="14"/>
          <w:b w:val="1"/>
          <w:bCs w:val="1"/>
          <w:color w:val="auto"/>
        </w:rPr>
      </w:pPr>
    </w:p>
    <w:p>
      <w:pPr>
        <w:ind w:left="6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01.  Steven T. Warshaw</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both"/>
        <w:ind w:left="1100"/>
        <w:spacing w:after="0"/>
        <w:tabs>
          <w:tab w:leader="none" w:pos="1580" w:val="left"/>
          <w:tab w:leader="none" w:pos="25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r>
      <w:r>
        <w:rPr>
          <w:sz w:val="20"/>
          <w:szCs w:val="20"/>
          <w:color w:val="auto"/>
        </w:rPr>
        <w:tab/>
      </w:r>
      <w:r>
        <w:rPr>
          <w:rFonts w:ascii="Arial" w:cs="Arial" w:eastAsia="Arial" w:hAnsi="Arial"/>
          <w:sz w:val="13"/>
          <w:szCs w:val="13"/>
          <w:b w:val="1"/>
          <w:bCs w:val="1"/>
          <w:color w:val="auto"/>
        </w:rPr>
        <w:t>For All</w:t>
      </w:r>
    </w:p>
    <w:p>
      <w:pPr>
        <w:spacing w:after="0" w:line="4" w:lineRule="exact"/>
        <w:rPr>
          <w:sz w:val="20"/>
          <w:szCs w:val="20"/>
          <w:color w:val="auto"/>
        </w:rPr>
      </w:pPr>
    </w:p>
    <w:p>
      <w:pPr>
        <w:ind w:left="1120"/>
        <w:spacing w:after="0"/>
        <w:tabs>
          <w:tab w:leader="none" w:pos="1760" w:val="left"/>
          <w:tab w:leader="none" w:pos="2500" w:val="left"/>
        </w:tabs>
        <w:rPr>
          <w:sz w:val="20"/>
          <w:szCs w:val="20"/>
          <w:color w:val="auto"/>
        </w:rPr>
      </w:pP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2"/>
          <w:szCs w:val="12"/>
          <w:b w:val="1"/>
          <w:bCs w:val="1"/>
          <w:color w:val="auto"/>
        </w:rPr>
        <w:t>Except</w:t>
      </w:r>
    </w:p>
    <w:p>
      <w:pPr>
        <w:spacing w:after="0" w:line="28" w:lineRule="exact"/>
        <w:rPr>
          <w:sz w:val="20"/>
          <w:szCs w:val="20"/>
          <w:color w:val="auto"/>
        </w:rPr>
      </w:pPr>
    </w:p>
    <w:p>
      <w:pPr>
        <w:ind w:left="1140"/>
        <w:spacing w:after="0" w:line="181" w:lineRule="exact"/>
        <w:tabs>
          <w:tab w:leader="none" w:pos="1720" w:val="left"/>
          <w:tab w:leader="none" w:pos="25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02. Carey A. Smith</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To withhold authority to vote for any</w:t>
      </w:r>
    </w:p>
    <w:p>
      <w:pPr>
        <w:spacing w:after="0" w:line="221" w:lineRule="auto"/>
        <w:rPr>
          <w:sz w:val="20"/>
          <w:szCs w:val="20"/>
          <w:color w:val="auto"/>
        </w:rPr>
      </w:pPr>
      <w:r>
        <w:rPr>
          <w:rFonts w:ascii="Arial" w:cs="Arial" w:eastAsia="Arial" w:hAnsi="Arial"/>
          <w:sz w:val="14"/>
          <w:szCs w:val="14"/>
          <w:color w:val="auto"/>
        </w:rPr>
        <w:t>individual nominee(s), mark “For All</w:t>
      </w:r>
    </w:p>
    <w:p>
      <w:pPr>
        <w:spacing w:after="0"/>
        <w:rPr>
          <w:sz w:val="20"/>
          <w:szCs w:val="20"/>
          <w:color w:val="auto"/>
        </w:rPr>
      </w:pPr>
      <w:r>
        <w:rPr>
          <w:rFonts w:ascii="Arial" w:cs="Arial" w:eastAsia="Arial" w:hAnsi="Arial"/>
          <w:sz w:val="13"/>
          <w:szCs w:val="13"/>
          <w:color w:val="auto"/>
        </w:rPr>
        <w:t>Except” and write the number(s) of the</w:t>
      </w:r>
    </w:p>
    <w:p>
      <w:pPr>
        <w:spacing w:after="0"/>
        <w:rPr>
          <w:sz w:val="20"/>
          <w:szCs w:val="20"/>
          <w:color w:val="auto"/>
        </w:rPr>
      </w:pPr>
      <w:r>
        <w:rPr>
          <w:rFonts w:ascii="Arial" w:cs="Arial" w:eastAsia="Arial" w:hAnsi="Arial"/>
          <w:sz w:val="14"/>
          <w:szCs w:val="14"/>
          <w:color w:val="auto"/>
        </w:rPr>
        <w:t>nominee(s) on the line below.</w:t>
      </w:r>
    </w:p>
    <w:p>
      <w:pPr>
        <w:spacing w:after="0" w:line="836" w:lineRule="exact"/>
        <w:rPr>
          <w:sz w:val="20"/>
          <w:szCs w:val="20"/>
          <w:color w:val="auto"/>
        </w:rPr>
      </w:pPr>
    </w:p>
    <w:p>
      <w:pPr>
        <w:sectPr>
          <w:pgSz w:w="11900" w:h="16838" w:orient="portrait"/>
          <w:cols w:equalWidth="0" w:num="3">
            <w:col w:w="3140" w:space="660"/>
            <w:col w:w="2940" w:space="680"/>
            <w:col w:w="4000"/>
          </w:cols>
          <w:pgMar w:left="240" w:top="257" w:right="239" w:bottom="1440" w:gutter="0" w:footer="0" w:header="0"/>
          <w:type w:val="continuous"/>
        </w:sectPr>
      </w:pPr>
    </w:p>
    <w:tbl>
      <w:tblPr>
        <w:tblLayout w:type="fixed"/>
        <w:tblInd w:w="420" w:type="dxa"/>
        <w:tblCellMar>
          <w:top w:w="0" w:type="dxa"/>
          <w:left w:w="0" w:type="dxa"/>
          <w:bottom w:w="0" w:type="dxa"/>
          <w:right w:w="0" w:type="dxa"/>
        </w:tblCellMar>
      </w:tblPr>
      <w:tr>
        <w:trPr>
          <w:trHeight w:val="186"/>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proposal 2.</w:t>
            </w:r>
          </w:p>
        </w:tc>
        <w:tc>
          <w:tcPr>
            <w:tcW w:w="1420" w:type="dxa"/>
            <w:vAlign w:val="bottom"/>
          </w:tcPr>
          <w:p>
            <w:pPr>
              <w:spacing w:after="0"/>
              <w:rPr>
                <w:sz w:val="16"/>
                <w:szCs w:val="16"/>
                <w:color w:val="auto"/>
              </w:rPr>
            </w:pPr>
          </w:p>
        </w:tc>
        <w:tc>
          <w:tcPr>
            <w:tcW w:w="920" w:type="dxa"/>
            <w:vAlign w:val="bottom"/>
          </w:tcPr>
          <w:p>
            <w:pPr>
              <w:jc w:val="center"/>
              <w:ind w:left="59"/>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tcPr>
          <w:p>
            <w:pPr>
              <w:jc w:val="center"/>
              <w:ind w:left="39"/>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60" w:type="dxa"/>
            <w:vAlign w:val="bottom"/>
          </w:tcPr>
          <w:p>
            <w:pPr>
              <w:spacing w:after="0"/>
              <w:rPr>
                <w:sz w:val="20"/>
                <w:szCs w:val="20"/>
                <w:color w:val="auto"/>
              </w:rPr>
            </w:pPr>
            <w:r>
              <w:rPr>
                <w:rFonts w:ascii="Arial" w:cs="Arial" w:eastAsia="Arial" w:hAnsi="Arial"/>
                <w:sz w:val="14"/>
                <w:szCs w:val="14"/>
                <w:b w:val="1"/>
                <w:bCs w:val="1"/>
                <w:color w:val="auto"/>
              </w:rPr>
              <w:t>2.</w:t>
            </w:r>
          </w:p>
        </w:tc>
        <w:tc>
          <w:tcPr>
            <w:tcW w:w="6860" w:type="dxa"/>
            <w:vAlign w:val="bottom"/>
          </w:tcPr>
          <w:p>
            <w:pPr>
              <w:ind w:left="40"/>
              <w:spacing w:after="0"/>
              <w:rPr>
                <w:sz w:val="20"/>
                <w:szCs w:val="20"/>
                <w:color w:val="auto"/>
              </w:rPr>
            </w:pPr>
            <w:r>
              <w:rPr>
                <w:rFonts w:ascii="Arial" w:cs="Arial" w:eastAsia="Arial" w:hAnsi="Arial"/>
                <w:sz w:val="14"/>
                <w:szCs w:val="14"/>
                <w:color w:val="auto"/>
              </w:rPr>
              <w:t>Advisory (non-binding) vote to approve the compensation of the named executive officers NN, Inc.</w:t>
            </w:r>
          </w:p>
        </w:tc>
        <w:tc>
          <w:tcPr>
            <w:tcW w:w="1420" w:type="dxa"/>
            <w:vAlign w:val="bottom"/>
          </w:tcPr>
          <w:p>
            <w:pPr>
              <w:spacing w:after="0"/>
              <w:rPr>
                <w:sz w:val="24"/>
                <w:szCs w:val="24"/>
                <w:color w:val="auto"/>
              </w:rPr>
            </w:pPr>
          </w:p>
        </w:tc>
        <w:tc>
          <w:tcPr>
            <w:tcW w:w="92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60"/>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1 YEAR on proposal 3.</w:t>
            </w:r>
          </w:p>
        </w:tc>
        <w:tc>
          <w:tcPr>
            <w:tcW w:w="1420" w:type="dxa"/>
            <w:vAlign w:val="bottom"/>
          </w:tcPr>
          <w:p>
            <w:pPr>
              <w:jc w:val="center"/>
              <w:ind w:left="359"/>
              <w:spacing w:after="0"/>
              <w:rPr>
                <w:sz w:val="20"/>
                <w:szCs w:val="20"/>
                <w:color w:val="auto"/>
              </w:rPr>
            </w:pPr>
            <w:r>
              <w:rPr>
                <w:rFonts w:ascii="Arial" w:cs="Arial" w:eastAsia="Arial" w:hAnsi="Arial"/>
                <w:sz w:val="14"/>
                <w:szCs w:val="14"/>
                <w:b w:val="1"/>
                <w:bCs w:val="1"/>
                <w:color w:val="auto"/>
                <w:w w:val="93"/>
              </w:rPr>
              <w:t>1 year</w:t>
            </w:r>
          </w:p>
        </w:tc>
        <w:tc>
          <w:tcPr>
            <w:tcW w:w="92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2 years</w:t>
            </w:r>
          </w:p>
        </w:tc>
        <w:tc>
          <w:tcPr>
            <w:tcW w:w="72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3 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60" w:type="dxa"/>
            <w:vAlign w:val="bottom"/>
          </w:tcPr>
          <w:p>
            <w:pPr>
              <w:spacing w:after="0"/>
              <w:rPr>
                <w:sz w:val="20"/>
                <w:szCs w:val="20"/>
                <w:color w:val="auto"/>
              </w:rPr>
            </w:pPr>
            <w:r>
              <w:rPr>
                <w:rFonts w:ascii="Arial" w:cs="Arial" w:eastAsia="Arial" w:hAnsi="Arial"/>
                <w:sz w:val="14"/>
                <w:szCs w:val="14"/>
                <w:b w:val="1"/>
                <w:bCs w:val="1"/>
                <w:color w:val="auto"/>
              </w:rPr>
              <w:t>3.</w:t>
            </w:r>
          </w:p>
        </w:tc>
        <w:tc>
          <w:tcPr>
            <w:tcW w:w="6860" w:type="dxa"/>
            <w:vAlign w:val="bottom"/>
          </w:tcPr>
          <w:p>
            <w:pPr>
              <w:ind w:left="40"/>
              <w:spacing w:after="0"/>
              <w:rPr>
                <w:sz w:val="20"/>
                <w:szCs w:val="20"/>
                <w:color w:val="auto"/>
              </w:rPr>
            </w:pPr>
            <w:r>
              <w:rPr>
                <w:rFonts w:ascii="Arial" w:cs="Arial" w:eastAsia="Arial" w:hAnsi="Arial"/>
                <w:sz w:val="14"/>
                <w:szCs w:val="14"/>
                <w:color w:val="auto"/>
              </w:rPr>
              <w:t>Advisory (non-binding) vote to approve the frequency of future advisory votes on executive</w:t>
            </w:r>
          </w:p>
        </w:tc>
        <w:tc>
          <w:tcPr>
            <w:tcW w:w="1420" w:type="dxa"/>
            <w:vAlign w:val="bottom"/>
          </w:tcPr>
          <w:p>
            <w:pPr>
              <w:jc w:val="center"/>
              <w:ind w:left="339"/>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160" w:type="dxa"/>
            <w:vAlign w:val="bottom"/>
          </w:tcPr>
          <w:p>
            <w:pPr>
              <w:spacing w:after="0"/>
              <w:rPr>
                <w:sz w:val="15"/>
                <w:szCs w:val="15"/>
                <w:color w:val="auto"/>
              </w:rPr>
            </w:pPr>
          </w:p>
        </w:tc>
        <w:tc>
          <w:tcPr>
            <w:tcW w:w="6860" w:type="dxa"/>
            <w:vAlign w:val="bottom"/>
          </w:tcPr>
          <w:p>
            <w:pPr>
              <w:ind w:left="60"/>
              <w:spacing w:after="0"/>
              <w:rPr>
                <w:sz w:val="20"/>
                <w:szCs w:val="20"/>
                <w:color w:val="auto"/>
              </w:rPr>
            </w:pPr>
            <w:r>
              <w:rPr>
                <w:rFonts w:ascii="Arial" w:cs="Arial" w:eastAsia="Arial" w:hAnsi="Arial"/>
                <w:sz w:val="14"/>
                <w:szCs w:val="14"/>
                <w:color w:val="auto"/>
              </w:rPr>
              <w:t>compensation.</w:t>
            </w: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488"/>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proposal 4.</w:t>
            </w:r>
          </w:p>
        </w:tc>
        <w:tc>
          <w:tcPr>
            <w:tcW w:w="1420" w:type="dxa"/>
            <w:vAlign w:val="bottom"/>
          </w:tcPr>
          <w:p>
            <w:pPr>
              <w:spacing w:after="0"/>
              <w:rPr>
                <w:sz w:val="24"/>
                <w:szCs w:val="24"/>
                <w:color w:val="auto"/>
              </w:rPr>
            </w:pPr>
          </w:p>
        </w:tc>
        <w:tc>
          <w:tcPr>
            <w:tcW w:w="920" w:type="dxa"/>
            <w:vAlign w:val="bottom"/>
          </w:tcPr>
          <w:p>
            <w:pPr>
              <w:jc w:val="center"/>
              <w:ind w:left="59"/>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tcPr>
          <w:p>
            <w:pPr>
              <w:jc w:val="center"/>
              <w:ind w:left="39"/>
              <w:spacing w:after="0"/>
              <w:rPr>
                <w:sz w:val="20"/>
                <w:szCs w:val="20"/>
                <w:color w:val="auto"/>
              </w:rPr>
            </w:pPr>
            <w:r>
              <w:rPr>
                <w:rFonts w:ascii="Arial" w:cs="Arial" w:eastAsia="Arial" w:hAnsi="Arial"/>
                <w:sz w:val="14"/>
                <w:szCs w:val="14"/>
                <w:b w:val="1"/>
                <w:bCs w:val="1"/>
                <w:color w:val="auto"/>
                <w:w w:val="93"/>
              </w:rPr>
              <w:t>Against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60" w:type="dxa"/>
            <w:vAlign w:val="bottom"/>
          </w:tcPr>
          <w:p>
            <w:pPr>
              <w:spacing w:after="0"/>
              <w:rPr>
                <w:sz w:val="20"/>
                <w:szCs w:val="20"/>
                <w:color w:val="auto"/>
              </w:rPr>
            </w:pPr>
            <w:r>
              <w:rPr>
                <w:rFonts w:ascii="Arial" w:cs="Arial" w:eastAsia="Arial" w:hAnsi="Arial"/>
                <w:sz w:val="14"/>
                <w:szCs w:val="14"/>
                <w:b w:val="1"/>
                <w:bCs w:val="1"/>
                <w:color w:val="auto"/>
              </w:rPr>
              <w:t>4.</w:t>
            </w:r>
          </w:p>
        </w:tc>
        <w:tc>
          <w:tcPr>
            <w:tcW w:w="6860" w:type="dxa"/>
            <w:vAlign w:val="bottom"/>
          </w:tcPr>
          <w:p>
            <w:pPr>
              <w:ind w:left="40"/>
              <w:spacing w:after="0"/>
              <w:rPr>
                <w:sz w:val="20"/>
                <w:szCs w:val="20"/>
                <w:color w:val="auto"/>
              </w:rPr>
            </w:pPr>
            <w:r>
              <w:rPr>
                <w:rFonts w:ascii="Arial" w:cs="Arial" w:eastAsia="Arial" w:hAnsi="Arial"/>
                <w:sz w:val="14"/>
                <w:szCs w:val="14"/>
                <w:color w:val="auto"/>
              </w:rPr>
              <w:t>Advisory vote to ratify the selection of PRICEWATERHOUSECOOPERS LLP as registered independent</w:t>
            </w:r>
          </w:p>
        </w:tc>
        <w:tc>
          <w:tcPr>
            <w:tcW w:w="1420" w:type="dxa"/>
            <w:vAlign w:val="bottom"/>
          </w:tcPr>
          <w:p>
            <w:pPr>
              <w:spacing w:after="0"/>
              <w:rPr>
                <w:sz w:val="24"/>
                <w:szCs w:val="24"/>
                <w:color w:val="auto"/>
              </w:rPr>
            </w:pPr>
          </w:p>
        </w:tc>
        <w:tc>
          <w:tcPr>
            <w:tcW w:w="92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2"/>
        </w:trPr>
        <w:tc>
          <w:tcPr>
            <w:tcW w:w="160" w:type="dxa"/>
            <w:vAlign w:val="bottom"/>
          </w:tcPr>
          <w:p>
            <w:pPr>
              <w:spacing w:after="0"/>
              <w:rPr>
                <w:sz w:val="15"/>
                <w:szCs w:val="15"/>
                <w:color w:val="auto"/>
              </w:rPr>
            </w:pPr>
          </w:p>
        </w:tc>
        <w:tc>
          <w:tcPr>
            <w:tcW w:w="6860" w:type="dxa"/>
            <w:vAlign w:val="bottom"/>
          </w:tcPr>
          <w:p>
            <w:pPr>
              <w:ind w:left="60"/>
              <w:spacing w:after="0"/>
              <w:rPr>
                <w:sz w:val="20"/>
                <w:szCs w:val="20"/>
                <w:color w:val="auto"/>
              </w:rPr>
            </w:pPr>
            <w:r>
              <w:rPr>
                <w:rFonts w:ascii="Arial" w:cs="Arial" w:eastAsia="Arial" w:hAnsi="Arial"/>
                <w:sz w:val="14"/>
                <w:szCs w:val="14"/>
                <w:color w:val="auto"/>
              </w:rPr>
              <w:t>public accounting firm.</w:t>
            </w: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153" w:lineRule="exact"/>
        <w:rPr>
          <w:sz w:val="20"/>
          <w:szCs w:val="20"/>
          <w:color w:val="auto"/>
        </w:rPr>
      </w:pPr>
    </w:p>
    <w:p>
      <w:pPr>
        <w:ind w:left="420" w:right="3340"/>
        <w:spacing w:after="0" w:line="25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such other business as may properly come before the meeting or any</w:t>
      </w:r>
      <w:r>
        <w:rPr>
          <w:rFonts w:ascii="Arial" w:cs="Arial" w:eastAsia="Arial" w:hAnsi="Arial"/>
          <w:sz w:val="14"/>
          <w:szCs w:val="14"/>
          <w:b w:val="1"/>
          <w:bCs w:val="1"/>
          <w:color w:val="auto"/>
        </w:rPr>
        <w:t xml:space="preserve"> </w:t>
      </w:r>
      <w:r>
        <w:rPr>
          <w:rFonts w:ascii="Arial" w:cs="Arial" w:eastAsia="Arial" w:hAnsi="Arial"/>
          <w:sz w:val="14"/>
          <w:szCs w:val="14"/>
          <w:color w:val="auto"/>
        </w:rPr>
        <w:t>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7470" cy="10890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right="3000"/>
        <w:spacing w:after="0" w:line="238" w:lineRule="auto"/>
        <w:rPr>
          <w:sz w:val="20"/>
          <w:szCs w:val="20"/>
          <w:color w:val="auto"/>
        </w:rPr>
      </w:pPr>
      <w:r>
        <w:rPr>
          <w:rFonts w:ascii="Arial" w:cs="Arial" w:eastAsia="Arial" w:hAnsi="Arial"/>
          <w:sz w:val="14"/>
          <w:szCs w:val="14"/>
          <w:color w:val="auto"/>
        </w:rPr>
        <w:t>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tabs>
          <w:tab w:leader="none" w:pos="4220" w:val="left"/>
          <w:tab w:leader="none" w:pos="6020" w:val="left"/>
          <w:tab w:leader="none" w:pos="85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20"/>
          </w:cols>
          <w:pgMar w:left="240" w:top="257" w:right="23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w:t>
      </w:r>
      <w:r>
        <w:rPr>
          <w:rFonts w:ascii="Arial" w:cs="Arial" w:eastAsia="Arial" w:hAnsi="Arial"/>
          <w:sz w:val="18"/>
          <w:szCs w:val="18"/>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251460</wp:posOffset>
            </wp:positionV>
            <wp:extent cx="7178040" cy="3112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11277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Johnson City, TN 37604</w:t>
      </w:r>
    </w:p>
    <w:p>
      <w:pPr>
        <w:spacing w:after="0" w:line="234" w:lineRule="exact"/>
        <w:rPr>
          <w:sz w:val="20"/>
          <w:szCs w:val="20"/>
          <w:color w:val="auto"/>
        </w:rPr>
      </w:pPr>
    </w:p>
    <w:p>
      <w:pPr>
        <w:ind w:left="600" w:right="360"/>
        <w:spacing w:after="0" w:line="282" w:lineRule="auto"/>
        <w:rPr>
          <w:sz w:val="20"/>
          <w:szCs w:val="20"/>
          <w:color w:val="auto"/>
        </w:rPr>
      </w:pPr>
      <w:r>
        <w:rPr>
          <w:rFonts w:ascii="Arial" w:cs="Arial" w:eastAsia="Arial" w:hAnsi="Arial"/>
          <w:sz w:val="18"/>
          <w:szCs w:val="18"/>
          <w:b w:val="1"/>
          <w:bCs w:val="1"/>
          <w:color w:val="auto"/>
        </w:rPr>
        <w:t>SOLICITED BY THE BOARD OF DIRECTORS FOR THE ANNUAL MEETING OF STOCKHOLDERS TO BE HELD AT 9:30 AM EDT ON MAY 19, 2017, AT Marriott Harbor Beach Resort &amp; Spa, 3030 Holiday Drive, Fort Lauderdale, Florida 33316.</w:t>
      </w:r>
    </w:p>
    <w:p>
      <w:pPr>
        <w:spacing w:after="0" w:line="193" w:lineRule="exact"/>
        <w:rPr>
          <w:sz w:val="20"/>
          <w:szCs w:val="20"/>
          <w:color w:val="auto"/>
        </w:rPr>
      </w:pPr>
    </w:p>
    <w:p>
      <w:pPr>
        <w:ind w:left="600" w:right="80"/>
        <w:spacing w:after="0" w:line="312" w:lineRule="auto"/>
        <w:rPr>
          <w:sz w:val="20"/>
          <w:szCs w:val="20"/>
          <w:color w:val="auto"/>
        </w:rPr>
      </w:pPr>
      <w:r>
        <w:rPr>
          <w:rFonts w:ascii="Arial" w:cs="Arial" w:eastAsia="Arial" w:hAnsi="Arial"/>
          <w:sz w:val="16"/>
          <w:szCs w:val="16"/>
          <w:color w:val="auto"/>
        </w:rPr>
        <w:t>The undersigned stockholder hereby appoints Richard D. Holder, Thomas C. Burnwell, Jr., Matthew S. Heiter and J. Robert Atkinson, each of them, with full power of substitution and revocation, the proxies of the undersigned to vote all shares registered in the name of the undersigned on all matters set forth in the proxy statement and on any other matters that may properly come before the Special Meeting and all adjournments thereof.</w:t>
      </w:r>
    </w:p>
    <w:p>
      <w:pPr>
        <w:spacing w:after="0" w:line="170" w:lineRule="exact"/>
        <w:rPr>
          <w:sz w:val="20"/>
          <w:szCs w:val="20"/>
          <w:color w:val="auto"/>
        </w:rPr>
      </w:pPr>
    </w:p>
    <w:p>
      <w:pPr>
        <w:ind w:left="600" w:right="20"/>
        <w:spacing w:after="0" w:line="258"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THIS PROXY WILL BE VOTED “FOR” ALL NOMINEES IN ITEM 1, “FOR” IN ITEMS 2 AND 4, “ONE YEAR” IN ITEM 3 AND “FOR” WITH RESPECT TO ANY OTHER BUSINESS AS MAY PROPERLY BE BROUGHT BEFORE THE ANNUAL MEETING AND ANY ADJOURNMENT THEREOF, IN ACCORDANCE WITH THE JUDGMENT OF THE PERSON OR PERSONS VOTING ON SUCH MATTER OR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7470" cy="1089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lvl w:ilvl="1">
      <w:lvlJc w:val="left"/>
      <w:lvlText w:val="(%2)"/>
      <w:numFmt w:val="decimal"/>
      <w:start w:val="1"/>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lowerRoman"/>
      <w:start w:val="4"/>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lowerRoman"/>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20"/>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3"/>
    </w:lvl>
    <w:lvl w:ilvl="1">
      <w:lvlJc w:val="left"/>
      <w:lvlText w:val="(%2)"/>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3"/>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2019-12-05T23:58:20Z</dcterms:created>
  <dcterms:modified xsi:type="dcterms:W3CDTF">2019-12-05T23:58:20Z</dcterms:modified>
</cp:coreProperties>
</file>