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6,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(980) 264-4300</w:t>
      </w:r>
    </w:p>
    <w:p>
      <w:pPr>
        <w:pStyle w:val="TextBody"/>
        <w:bidi w:val="0"/>
        <w:spacing w:lineRule="auto" w:line="288" w:before="0" w:after="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 </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before="0" w:after="0"/>
        <w:jc w:val="center"/>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6, 2025, NN, Inc. (the “Company”) issued a press release announcing the Company’s financial results for the quarter ended June 30, 2025. The full text of the press release is furnished as Exhibit 99.1 to this Current Report on Form 8-K (the "Current Report").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60"/>
        <w:ind w:left="0" w:right="0" w:hanging="1170"/>
        <w:jc w:val="left"/>
        <w:rPr/>
      </w:pPr>
      <w:r>
        <w:rPr/>
      </w:r>
    </w:p>
    <w:p>
      <w:pPr>
        <w:pStyle w:val="TextBody"/>
        <w:bidi w:val="0"/>
        <w:spacing w:lineRule="auto" w:line="288" w:before="0" w:after="60"/>
        <w:ind w:left="0" w:right="0" w:hanging="117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2025, the Company posted a supplemental presentation to its website, https://investors.nninc.com/, which will be presented during its quarterly investor conference call on August 7, 2025, at 9:00 a.m. ET. The supplemental presentation is included as Exhibit 99.2 to this Current Report.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60"/>
        <w:ind w:left="0" w:right="0" w:hanging="117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erif" w:hAnsi="Times New Roman;serif"/>
          <w:b w:val="false"/>
          <w:i/>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6"/>
        <w:gridCol w:w="1926"/>
        <w:gridCol w:w="274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5-q2.htm">
              <w:r>
                <w:rPr>
                  <w:rStyle w:val="InternetLink"/>
                  <w:rFonts w:ascii="Times New Roman;serif" w:hAnsi="Times New Roman;serif"/>
                  <w:b w:val="false"/>
                  <w:color w:val="0000FF"/>
                  <w:sz w:val="20"/>
                  <w:u w:val="single"/>
                </w:rPr>
                <w:t>Press Release issued by NN, Inc., dated August 6, 2025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nbrearningspresentation.htm">
              <w:r>
                <w:rPr>
                  <w:rStyle w:val="InternetLink"/>
                  <w:rFonts w:ascii="Times New Roman;serif" w:hAnsi="Times New Roman;serif"/>
                  <w:b w:val="false"/>
                  <w:color w:val="0000FF"/>
                  <w:sz w:val="20"/>
                  <w:u w:val="single"/>
                </w:rPr>
                <w:t>Second Quarter 2025 Earnings Call Presentation</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r>
    </w:tbl>
    <w:p>
      <w:pPr>
        <w:pStyle w:val="TextBody"/>
        <w:bidi w:val="0"/>
        <w:spacing w:before="0" w:after="0"/>
        <w:ind w:left="0" w:right="0" w:firstLine="495"/>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0"/>
        <w:gridCol w:w="1210"/>
        <w:gridCol w:w="1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00"/>
        <w:jc w:val="right"/>
        <w:rPr>
          <w:rFonts w:ascii="Times New Roman;serif" w:hAnsi="Times New Roman;serif"/>
          <w:b/>
          <w:color w:val="000000"/>
          <w:sz w:val="24"/>
        </w:rPr>
      </w:pPr>
      <w:r>
        <w:rPr>
          <w:rFonts w:ascii="Times New Roman;serif" w:hAnsi="Times New Roman;serif"/>
          <w:b/>
          <w:color w:val="000000"/>
          <w:sz w:val="24"/>
        </w:rPr>
        <w:t xml:space="preserve">Exhibit 99.1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87" w:type="dxa"/>
        <w:jc w:val="left"/>
        <w:tblInd w:w="0" w:type="dxa"/>
        <w:tblLayout w:type="fixed"/>
        <w:tblCellMar>
          <w:top w:w="28" w:type="dxa"/>
          <w:left w:w="28" w:type="dxa"/>
          <w:bottom w:w="28" w:type="dxa"/>
          <w:right w:w="28" w:type="dxa"/>
        </w:tblCellMar>
      </w:tblPr>
      <w:tblGrid>
        <w:gridCol w:w="1080"/>
        <w:gridCol w:w="950"/>
        <w:gridCol w:w="951"/>
        <w:gridCol w:w="1027"/>
        <w:gridCol w:w="1027"/>
        <w:gridCol w:w="1452"/>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362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1362075"/>
                          </a:xfrm>
                          <a:prstGeom prst="rect">
                            <a:avLst/>
                          </a:prstGeom>
                        </pic:spPr>
                      </pic:pic>
                    </a:graphicData>
                  </a:graphic>
                </wp:inline>
              </w:drawing>
            </w:r>
          </w:p>
        </w:tc>
        <w:tc>
          <w:tcPr>
            <w:tcW w:w="35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43125" cy="685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143125" cy="685800"/>
                          </a:xfrm>
                          <a:prstGeom prst="rect">
                            <a:avLst/>
                          </a:prstGeom>
                        </pic:spPr>
                      </pic:pic>
                    </a:graphicData>
                  </a:graphic>
                </wp:inline>
              </w:drawing>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NN, Inc.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6210 Ardrey Kell Road, Suite 120</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Charlotte, NC 28277</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NN, INC. REPORTS SECOND QUARTER 2025 RESULTS</w:t>
      </w:r>
    </w:p>
    <w:p>
      <w:pPr>
        <w:pStyle w:val="TextBody"/>
        <w:bidi w:val="0"/>
        <w:spacing w:before="0" w:after="0"/>
        <w:jc w:val="center"/>
        <w:rPr/>
      </w:pPr>
      <w:r>
        <w:rPr/>
      </w:r>
    </w:p>
    <w:p>
      <w:pPr>
        <w:pStyle w:val="TextBody"/>
        <w:bidi w:val="0"/>
        <w:spacing w:lineRule="auto" w:line="276" w:before="0" w:after="0"/>
        <w:jc w:val="center"/>
        <w:rPr/>
      </w:pPr>
      <w:r>
        <w:rPr>
          <w:rFonts w:ascii="sans-serif" w:hAnsi="sans-serif"/>
          <w:b w:val="false"/>
          <w:i/>
          <w:color w:val="000000"/>
          <w:sz w:val="21"/>
          <w:shd w:fill="FFFFFF" w:val="clear"/>
        </w:rPr>
        <w:t xml:space="preserve">Improvement in Operating Income, Adjusted EBITDA, and </w:t>
      </w:r>
      <w:r>
        <w:rPr>
          <w:rFonts w:ascii="sans-serif" w:hAnsi="sans-serif"/>
          <w:b w:val="false"/>
          <w:i/>
          <w:color w:val="000000"/>
          <w:sz w:val="21"/>
        </w:rPr>
        <w:t>New Business Program</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000000"/>
          <w:sz w:val="21"/>
        </w:rPr>
      </w:pPr>
      <w:r>
        <w:rPr>
          <w:rFonts w:ascii="sans-serif" w:hAnsi="sans-serif"/>
          <w:b w:val="false"/>
          <w:i/>
          <w:color w:val="000000"/>
          <w:sz w:val="21"/>
        </w:rPr>
        <w:t>Company Reiterates Full Year 2025 Guidance</w:t>
      </w:r>
    </w:p>
    <w:p>
      <w:pPr>
        <w:pStyle w:val="TextBody"/>
        <w:bidi w:val="0"/>
        <w:spacing w:before="0" w:after="0"/>
        <w:jc w:val="center"/>
        <w:rPr/>
      </w:pPr>
      <w:r>
        <w:rPr/>
      </w:r>
    </w:p>
    <w:p>
      <w:pPr>
        <w:pStyle w:val="TextBody"/>
        <w:bidi w:val="0"/>
        <w:spacing w:lineRule="auto" w:line="300" w:before="0" w:after="0"/>
        <w:jc w:val="both"/>
        <w:rPr/>
      </w:pPr>
      <w:r>
        <w:rPr>
          <w:rFonts w:ascii="sans-serif" w:hAnsi="sans-serif"/>
          <w:b/>
          <w:color w:val="000000"/>
          <w:sz w:val="22"/>
        </w:rPr>
        <w:t>CHARLOTTE, N.C., August 6, 2025</w:t>
      </w:r>
      <w:r>
        <w:rPr>
          <w:color w:val="000000"/>
        </w:rPr>
        <w:t xml:space="preserve"> – </w:t>
      </w:r>
      <w:r>
        <w:rPr>
          <w:rFonts w:ascii="sans-serif" w:hAnsi="sans-serif"/>
          <w:b w:val="false"/>
          <w:color w:val="000000"/>
          <w:sz w:val="22"/>
        </w:rPr>
        <w:t xml:space="preserve">NN, Inc. (NASDAQ: NNBR) (“NN” or the “Company”), a global diversified industrial company that engineers and manufactures high-precision components and assemblies, today reported results for the second quarter ended June 30, 2025. </w:t>
      </w:r>
    </w:p>
    <w:p>
      <w:pPr>
        <w:pStyle w:val="TextBody"/>
        <w:bidi w:val="0"/>
        <w:spacing w:before="0" w:after="0"/>
        <w:jc w:val="left"/>
        <w:rPr/>
      </w:pPr>
      <w:r>
        <w:rPr/>
      </w:r>
    </w:p>
    <w:p>
      <w:pPr>
        <w:pStyle w:val="TextBody"/>
        <w:bidi w:val="0"/>
        <w:spacing w:lineRule="auto" w:line="360" w:before="0" w:after="0"/>
        <w:jc w:val="left"/>
        <w:rPr/>
      </w:pPr>
      <w:r>
        <w:rPr>
          <w:rFonts w:ascii="sans-serif" w:hAnsi="sans-serif"/>
          <w:b/>
          <w:color w:val="000000"/>
          <w:sz w:val="22"/>
        </w:rPr>
        <w:t xml:space="preserve">Second Quarter Highlights: </w:t>
      </w:r>
      <w:r>
        <w:rPr>
          <w:rFonts w:ascii="sans-serif" w:hAnsi="sans-serif"/>
          <w:b w:val="false"/>
          <w:color w:val="000000"/>
          <w:sz w:val="22"/>
        </w:rPr>
        <w:t>(results from continuing operations compared with prior year, where comparisons are noted)</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Net sales of $107.9 million, down 2.4% on a pro forma basis</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Gross margin of 16.9%, and adjusted gross margin of 19.5%</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Operating loss of $1.5 million and adjusted operating income of $4.9 million, an increase of $2.8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Adjusted EBITDA of $13.2 million, with an adjusted EBITDA margin of 12.2%</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 xml:space="preserve">New business wins were $32.7 million in the first half of 2025, and NN has over 100 programs launching in 2025 that are expected to add greater than $45 million in future sales at full run-rate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Harold Bevis, President and Chief Executive Officer, said, “NN delivered a solid quarter for gross margins, operating income, adjusted operating income, and adjusted EBITDA. We are pleased with our reported results, new business acquisition, and new business launches. We leveraged the soft market environment to upsize our business development activities and investments. Our soft top-line centers around certain automotive customers. Conversely, we have been able to partially offset this weakness through the contribution of new business launches and precious metals pass-through pricing.” </w:t>
      </w:r>
    </w:p>
    <w:p>
      <w:pPr>
        <w:pStyle w:val="TextBody"/>
        <w:bidi w:val="0"/>
        <w:spacing w:before="0" w:after="0"/>
        <w:jc w:val="left"/>
        <w:rPr/>
      </w:pPr>
      <w:r>
        <w:rPr/>
      </w:r>
    </w:p>
    <w:p>
      <w:pPr>
        <w:pStyle w:val="TextBody"/>
        <w:bidi w:val="0"/>
        <w:spacing w:lineRule="auto" w:line="268" w:before="0" w:after="0"/>
        <w:jc w:val="both"/>
        <w:rPr>
          <w:color w:val="000000"/>
          <w:shd w:fill="FFFFFF" w:val="clear"/>
        </w:rPr>
      </w:pPr>
      <w:r>
        <w:rPr>
          <w:color w:val="000000"/>
          <w:shd w:fill="FFFFFF" w:val="clear"/>
        </w:rPr>
        <w:t>“</w:t>
      </w:r>
      <w:r>
        <w:rPr>
          <w:rFonts w:ascii="sans-serif" w:hAnsi="sans-serif"/>
          <w:b w:val="false"/>
          <w:color w:val="000000"/>
          <w:sz w:val="22"/>
          <w:shd w:fill="FFFFFF" w:val="clear"/>
        </w:rPr>
        <w:t>We have increased the size of our new business program in terms of prospecting, launching, and investing. We now have over 40 people in business development and launch, and we expect to launch over 100 new programs in 2025. We expect those launches will add over $45 million in future sales at run-rate. We plan to invest $18 to $20 million on capital projects in 2025. The twin goals of lowering our costs overall as a company while adding increased focus on growth is working and will be the main drivers of sustained top-line growth and increased profitability.”</w:t>
      </w:r>
    </w:p>
    <w:p>
      <w:pPr>
        <w:pStyle w:val="TextBody"/>
        <w:bidi w:val="0"/>
        <w:spacing w:before="0" w:after="283"/>
        <w:jc w:val="left"/>
        <w:rPr/>
      </w:pPr>
      <w:r>
        <w:rPr/>
      </w:r>
    </w:p>
    <w:p>
      <w:pPr>
        <w:pStyle w:val="TextBody"/>
        <w:bidi w:val="0"/>
        <w:spacing w:before="0" w:after="20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2560"/>
                <wp:effectExtent l="0" t="0" r="0" b="0"/>
                <wp:wrapNone/>
                <wp:docPr id="7"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6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Mr. Bevis continued, “Our current expectation is that some of our automotive markets may have similar soft patterns in the second half of 2025. In response, we have activated our own mitigation levers including tight cost controls and working capital actions. We are underway with tariff mitigation efforts with our customers and have positioned ourselves as a tariff problem solver.”</w:t>
      </w:r>
    </w:p>
    <w:p>
      <w:pPr>
        <w:pStyle w:val="TextBody"/>
        <w:bidi w:val="0"/>
        <w:spacing w:before="0" w:after="0"/>
        <w:jc w:val="left"/>
        <w:rPr/>
      </w:pPr>
      <w:r>
        <w:rPr/>
      </w:r>
    </w:p>
    <w:p>
      <w:pPr>
        <w:pStyle w:val="TextBody"/>
        <w:bidi w:val="0"/>
        <w:spacing w:lineRule="auto" w:line="268" w:before="0" w:after="0"/>
        <w:jc w:val="both"/>
        <w:rPr>
          <w:color w:val="000000"/>
          <w:shd w:fill="FFFFFF" w:val="clear"/>
        </w:rPr>
      </w:pPr>
      <w:r>
        <w:rPr>
          <w:color w:val="000000"/>
          <w:shd w:fill="FFFFFF" w:val="clear"/>
        </w:rPr>
        <w:t>“</w:t>
      </w:r>
      <w:r>
        <w:rPr>
          <w:rFonts w:ascii="sans-serif" w:hAnsi="sans-serif"/>
          <w:b w:val="false"/>
          <w:color w:val="000000"/>
          <w:sz w:val="22"/>
          <w:shd w:fill="FFFFFF" w:val="clear"/>
        </w:rPr>
        <w:t>We are using this opportunity to accelerate our transformation activities. We are actively investing in growth capex, and we have hired additional personnel to accelerate growth in our targeted areas. We recently announced the hiring of Tim Erro as NN’s new Chief Commercial Officer and have also added new account managers in our targeted areas of medical, stampings, and electrical products. We now have a core team of electrical harness experts and are evaluating an organic entry into this new market, just as we have done to enter the medical market.”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Mr. Bevis concluded, “Our transformation plan is working and we have increased our efforts during this slow auto market. Lastly, we have fully kicked off an M&amp;A program and are seeking targets that are consistent with our strategy and can help refinance our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Second Quarter Results</w:t>
      </w:r>
    </w:p>
    <w:p>
      <w:pPr>
        <w:pStyle w:val="TextBody"/>
        <w:bidi w:val="0"/>
        <w:spacing w:lineRule="auto" w:line="26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Net sales were $107.9 million, a decrease of 12.3% compared to the second quarter of 2024 net sales of $123.0 million, primarily due to the rationalization of underperforming business and plants in 2024, the sale of our Lubbock operations in 2024, and lower automotive volumes. These decreases were partially offset by the contribution of 70 new business launches in the first half of 2025, and higher precious metals pass-through pricing. Loss from operations for the second quarter of 2025 was $1.5 million, an improvement of 28.6% compared to the second quarter of 2024 loss from operations of $2.1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Second Quarter Adjusted Results</w:t>
      </w:r>
    </w:p>
    <w:p>
      <w:pPr>
        <w:pStyle w:val="TextBody"/>
        <w:bidi w:val="0"/>
        <w:spacing w:lineRule="auto" w:line="268" w:before="0" w:after="0"/>
        <w:jc w:val="left"/>
        <w:rPr/>
      </w:pPr>
      <w:r>
        <w:rPr>
          <w:rFonts w:ascii="sans-serif" w:hAnsi="sans-serif"/>
          <w:b w:val="false"/>
          <w:color w:val="000000"/>
          <w:sz w:val="22"/>
          <w:shd w:fill="FFFFFF" w:val="clear"/>
        </w:rPr>
        <w:t xml:space="preserve">Pro forma net sales when adjusted for rationalized sales, currency changes, and the sale of Lubbock, were a decrease of </w:t>
      </w:r>
      <w:r>
        <w:rPr>
          <w:rFonts w:ascii="sans-serif" w:hAnsi="sans-serif"/>
          <w:b w:val="false"/>
          <w:color w:val="000000"/>
          <w:sz w:val="22"/>
        </w:rPr>
        <w:t>2.4%</w:t>
      </w:r>
      <w:r>
        <w:rPr>
          <w:color w:val="000000"/>
          <w:shd w:fill="FFFFFF" w:val="clear"/>
        </w:rPr>
        <w:t xml:space="preserve"> </w:t>
      </w:r>
      <w:r>
        <w:rPr>
          <w:rFonts w:ascii="sans-serif" w:hAnsi="sans-serif"/>
          <w:b w:val="false"/>
          <w:color w:val="000000"/>
          <w:sz w:val="22"/>
          <w:shd w:fill="FFFFFF" w:val="clear"/>
        </w:rPr>
        <w:t xml:space="preserve">in the second quarter when compared to the second quarter of 2024.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Adjusted income from operations for the second quarter of 2025 was $4.9 million compared to adjusted income from operations of $2.1 million for the same period in 2024. Adjusted EBITDA was $13.2 million, or 12.2% of sales, compared to $13.4 million, or 10.9% of sales, for the same period in 2024. </w:t>
      </w:r>
    </w:p>
    <w:p>
      <w:pPr>
        <w:pStyle w:val="TextBody"/>
        <w:bidi w:val="0"/>
        <w:spacing w:before="0" w:after="0"/>
        <w:jc w:val="left"/>
        <w:rPr/>
      </w:pPr>
      <w:r>
        <w:rPr/>
      </w:r>
    </w:p>
    <w:p>
      <w:pPr>
        <w:pStyle w:val="TextBody"/>
        <w:bidi w:val="0"/>
        <w:spacing w:lineRule="auto" w:line="300" w:before="0" w:after="20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Adjusted net income was $0.7 million, or $0.02 per diluted share, compared to adjusted net loss of $0.7 million, or $(0.02) per diluted share, for the same period in 2024. Free cash flow was a use of cash of $3.2 million compared to a use of cash of $1.3 million for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sans-serif" w:hAnsi="sans-serif"/>
          <w:b/>
          <w:color w:val="000000"/>
          <w:sz w:val="22"/>
          <w:u w:val="single"/>
        </w:rPr>
        <w:t xml:space="preserve">Power Solutions </w:t>
      </w:r>
      <w:r>
        <w:rPr>
          <w:rFonts w:ascii="sans-serif" w:hAnsi="sans-serif"/>
          <w:b/>
          <w:color w:val="000000"/>
          <w:sz w:val="22"/>
        </w:rPr>
        <w:br/>
      </w:r>
      <w:r>
        <w:rPr>
          <w:rFonts w:ascii="sans-serif" w:hAnsi="sans-serif"/>
          <w:b w:val="false"/>
          <w:color w:val="000000"/>
          <w:sz w:val="22"/>
          <w:shd w:fill="FFFFFF" w:val="clear"/>
        </w:rPr>
        <w:t xml:space="preserve">Net sales for the second quarter of 2025 were $44.6 million compared to $50.2 million in the same period in 2024. </w:t>
      </w:r>
    </w:p>
    <w:p>
      <w:pPr>
        <w:pStyle w:val="TextBody"/>
        <w:bidi w:val="0"/>
        <w:spacing w:lineRule="auto" w:line="276" w:before="0" w:after="0"/>
        <w:jc w:val="both"/>
        <w:rPr/>
      </w:pPr>
      <w:r>
        <w:rPr>
          <w:rFonts w:ascii="sans-serif" w:hAnsi="sans-serif"/>
          <w:b w:val="false"/>
          <w:color w:val="000000"/>
          <w:sz w:val="22"/>
          <w:shd w:fill="FFFFFF" w:val="clear"/>
        </w:rPr>
        <w:t xml:space="preserve">The decrease is primarily due to </w:t>
      </w:r>
      <w:r>
        <w:rPr>
          <w:rFonts w:ascii="sans-serif" w:hAnsi="sans-serif"/>
          <w:b w:val="false"/>
          <w:color w:val="000000"/>
          <w:sz w:val="22"/>
        </w:rPr>
        <w:t>the sale of our Lubbock operations, partially offset by higher precious metals pass-through pricing. Income from operations was $5.8 million compared to income from operations of $5.3 million for the same period in 2024.</w:t>
      </w:r>
    </w:p>
    <w:p>
      <w:pPr>
        <w:pStyle w:val="TextBody"/>
        <w:bidi w:val="0"/>
        <w:spacing w:before="0" w:after="0"/>
        <w:jc w:val="both"/>
        <w:rPr/>
      </w:pPr>
      <w:r>
        <w:rPr/>
      </w:r>
    </w:p>
    <w:p>
      <w:pPr>
        <w:pStyle w:val="TextBody"/>
        <w:bidi w:val="0"/>
        <w:spacing w:lineRule="auto" w:line="276" w:before="0" w:after="0"/>
        <w:jc w:val="both"/>
        <w:rPr/>
      </w:pPr>
      <w:r>
        <w:rPr>
          <w:rFonts w:ascii="sans-serif" w:hAnsi="sans-serif"/>
          <w:b w:val="false"/>
          <w:color w:val="000000"/>
          <w:sz w:val="22"/>
          <w:shd w:fill="FFFFFF" w:val="clear"/>
        </w:rPr>
        <w:t xml:space="preserve">Adjusted income from operations was $8.4 million compared to $8.1 million in the second quarter of 2024. The increase in adjusted income from operations was primarily due to </w:t>
      </w:r>
      <w:r>
        <w:rPr>
          <w:rFonts w:ascii="sans-serif" w:hAnsi="sans-serif"/>
          <w:b w:val="false"/>
          <w:color w:val="000000"/>
          <w:sz w:val="22"/>
        </w:rPr>
        <w:t>favorable product mix, and lower operating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sans-serif" w:hAnsi="sans-serif"/>
          <w:b/>
          <w:color w:val="000000"/>
          <w:sz w:val="22"/>
          <w:u w:val="single"/>
        </w:rPr>
      </w:pPr>
      <w:r>
        <w:rPr>
          <w:rFonts w:ascii="sans-serif" w:hAnsi="sans-serif"/>
          <w:b/>
          <w:color w:val="000000"/>
          <w:sz w:val="22"/>
          <w:u w:val="single"/>
        </w:rPr>
        <w:t>Mobile Solutions</w:t>
      </w:r>
    </w:p>
    <w:p>
      <w:pPr>
        <w:pStyle w:val="TextBody"/>
        <w:bidi w:val="0"/>
        <w:spacing w:lineRule="auto" w:line="268" w:before="0" w:after="0"/>
        <w:jc w:val="both"/>
        <w:rPr/>
      </w:pPr>
      <w:r>
        <w:rPr>
          <w:rFonts w:ascii="sans-serif" w:hAnsi="sans-serif"/>
          <w:b w:val="false"/>
          <w:color w:val="000000"/>
          <w:sz w:val="22"/>
          <w:shd w:fill="FFFFFF" w:val="clear"/>
        </w:rPr>
        <w:t>Net sales for the second quarter of 2025 were $63.4 million compared to $72.9 million in the second quarter of 2024. The decrease</w:t>
      </w:r>
      <w:r>
        <w:rPr>
          <w:color w:val="000000"/>
          <w:shd w:fill="FFFFFF" w:val="clear"/>
        </w:rPr>
        <w:t xml:space="preserve"> </w:t>
      </w:r>
      <w:r>
        <w:rPr>
          <w:rFonts w:ascii="sans-serif" w:hAnsi="sans-serif"/>
          <w:b w:val="false"/>
          <w:color w:val="000000"/>
          <w:sz w:val="22"/>
          <w:shd w:fill="FFFFFF" w:val="clear"/>
        </w:rPr>
        <w:t>in sales was primarily d</w:t>
      </w:r>
      <w:r>
        <w:rPr>
          <w:rFonts w:ascii="sans-serif" w:hAnsi="sans-serif"/>
          <w:b w:val="false"/>
          <w:color w:val="000000"/>
          <w:sz w:val="22"/>
        </w:rPr>
        <w:t xml:space="preserve">ue to rationalized volume and lower automotive volume. </w:t>
      </w:r>
      <w:r>
        <w:rPr>
          <w:rFonts w:ascii="sans-serif" w:hAnsi="sans-serif"/>
          <w:b w:val="false"/>
          <w:color w:val="000000"/>
          <w:sz w:val="22"/>
          <w:shd w:fill="FFFFFF" w:val="clear"/>
        </w:rPr>
        <w:t xml:space="preserve">Loss from operations was $1.1 million compared to loss from operations of $1.6 million for the same period in 2024. </w:t>
      </w:r>
    </w:p>
    <w:p>
      <w:pPr>
        <w:pStyle w:val="TextBody"/>
        <w:bidi w:val="0"/>
        <w:spacing w:before="0" w:after="0"/>
        <w:jc w:val="both"/>
        <w:rPr/>
      </w:pPr>
      <w:r>
        <w:rPr/>
      </w:r>
    </w:p>
    <w:p>
      <w:pPr>
        <w:pStyle w:val="TextBody"/>
        <w:bidi w:val="0"/>
        <w:spacing w:lineRule="auto" w:line="268" w:before="0" w:after="0"/>
        <w:jc w:val="left"/>
        <w:rPr/>
      </w:pPr>
      <w:r>
        <w:rPr>
          <w:rFonts w:ascii="sans-serif" w:hAnsi="sans-serif"/>
          <w:b w:val="false"/>
          <w:color w:val="000000"/>
          <w:sz w:val="22"/>
          <w:shd w:fill="FFFFFF" w:val="clear"/>
        </w:rPr>
        <w:t xml:space="preserve">Adjusted income from operations was $2.3 million compared to adjusted loss from operations of $0.7 million in the second quarter of 2024. The increase in adjusted income from operations was primarily due to improved margin mix of sales and </w:t>
      </w:r>
      <w:r>
        <w:rPr>
          <w:rFonts w:ascii="sans-serif" w:hAnsi="sans-serif"/>
          <w:b w:val="false"/>
          <w:color w:val="000000"/>
          <w:sz w:val="22"/>
        </w:rPr>
        <w:t>lower operating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0" w:before="0" w:after="0"/>
        <w:jc w:val="both"/>
        <w:rPr>
          <w:rFonts w:ascii="sans-serif" w:hAnsi="sans-serif"/>
          <w:b/>
          <w:color w:val="000000"/>
          <w:sz w:val="22"/>
          <w:u w:val="single"/>
          <w:shd w:fill="FFFFFF" w:val="clear"/>
        </w:rPr>
      </w:pPr>
      <w:r>
        <w:rPr>
          <w:rFonts w:ascii="sans-serif" w:hAnsi="sans-serif"/>
          <w:b/>
          <w:color w:val="000000"/>
          <w:sz w:val="22"/>
          <w:u w:val="single"/>
          <w:shd w:fill="FFFFFF" w:val="clear"/>
        </w:rPr>
        <w:t>2025 Outlook</w:t>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NN is maintaining its full-year 2025 outlook. </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2560"/>
                <wp:effectExtent l="0" t="0" r="0" b="0"/>
                <wp:wrapNone/>
                <wp:docPr id="8"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shd w:fill="FFFFFF" w:val="clear"/>
        </w:rPr>
        <w:t>Net sales to range betwee</w:t>
      </w:r>
      <w:r>
        <w:rPr>
          <w:rFonts w:ascii="sans-serif" w:hAnsi="sans-serif"/>
          <w:b w:val="false"/>
          <w:color w:val="000000"/>
          <w:sz w:val="22"/>
        </w:rPr>
        <w:t>n $430 to $460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shd w:fill="FFFFFF" w:val="clear"/>
        </w:rPr>
        <w:t>Adjusted EBITDA to range betwee</w:t>
      </w:r>
      <w:r>
        <w:rPr>
          <w:rFonts w:ascii="sans-serif" w:hAnsi="sans-serif"/>
          <w:b w:val="false"/>
          <w:color w:val="000000"/>
          <w:sz w:val="22"/>
        </w:rPr>
        <w:t>n $53 to $63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shd w:fill="FFFFFF" w:val="clear"/>
        </w:rPr>
        <w:t>Free cash flow to range between $14 to $16 million; guidance assumes receipt of CARES Act refund in 2025</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shd w:fill="FFFFFF" w:val="clear"/>
        </w:rPr>
        <w:t>New business wins to range between $60 to $70 million</w:t>
      </w:r>
    </w:p>
    <w:p>
      <w:pPr>
        <w:pStyle w:val="TextBody"/>
        <w:bidi w:val="0"/>
        <w:spacing w:before="0" w:after="0"/>
        <w:jc w:val="left"/>
        <w:rPr/>
      </w:pPr>
      <w:r>
        <w:rPr/>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Chris Bohnert, Senior Vice President and Chief Financial Officer, commented, “Our second quarter results were largely in line with expectations. We are maintaining our current guidance and given the ongoing tariff-driven uncertainties and the anticipated downstream effects for our customers, we continue to direct expectations towards the lower end of our guided ranges. We note that the uncertainty of the current macroeconomic environment, particularly the potential for shifts in trade policy and interest rates could drive variability in our results, which may fall above or below our current forecasts. Irrespective of the near-term macroeconomic backdrop, we continue to pursue expense mitigation and operational efficiencies to partially offset potential impacts to end market demand. We are investing in commercial enhancements to accelerate future growth, and we remain optimistic about the strong pace of our transformation and growth opportunities.”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2560"/>
                <wp:effectExtent l="0" t="0" r="0" b="0"/>
                <wp:wrapNone/>
                <wp:docPr id="9"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Conference Call</w:t>
      </w:r>
    </w:p>
    <w:p>
      <w:pPr>
        <w:pStyle w:val="TextBody"/>
        <w:bidi w:val="0"/>
        <w:spacing w:lineRule="auto" w:line="300" w:before="0" w:after="200"/>
        <w:jc w:val="both"/>
        <w:rPr>
          <w:rFonts w:ascii="sans-serif" w:hAnsi="sans-serif"/>
          <w:b w:val="false"/>
          <w:color w:val="000000"/>
          <w:sz w:val="22"/>
          <w:shd w:fill="FFFFFF" w:val="clear"/>
        </w:rPr>
      </w:pPr>
      <w:r>
        <w:rPr>
          <w:rFonts w:ascii="sans-serif" w:hAnsi="sans-serif"/>
          <w:b w:val="false"/>
          <w:color w:val="000000"/>
          <w:sz w:val="22"/>
          <w:shd w:fill="FFFFFF" w:val="clear"/>
        </w:rPr>
        <w:t>NN will discuss its results during its quarterly investor conference call on August 7, 2025, at 9 a.m. ET. The call and supplemental presentation may be accessed via NN's website, www.nninc.com. The conference call can also be accessed by dialing 1-888-999-3182 or 1-848-280-6330. For those who are unavailable to listen to the live broadcast, a replay will be available shortly after the call until August 7, 2026.</w:t>
      </w:r>
    </w:p>
    <w:p>
      <w:pPr>
        <w:pStyle w:val="TextBody"/>
        <w:bidi w:val="0"/>
        <w:spacing w:lineRule="auto" w:line="300" w:before="0" w:after="20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NN discloses in this press release the non-GAAP financial measures of adjusted income (loss) from operations, adjusted EBITDA, adjusted EBITDA margin,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w:t>
      </w:r>
    </w:p>
    <w:p>
      <w:pPr>
        <w:pStyle w:val="TextBody"/>
        <w:bidi w:val="0"/>
        <w:spacing w:lineRule="auto" w:line="300" w:before="0" w:after="200"/>
        <w:jc w:val="left"/>
        <w:rPr>
          <w:rFonts w:ascii="sans-serif" w:hAnsi="sans-serif"/>
          <w:b w:val="false"/>
          <w:color w:val="000000"/>
          <w:sz w:val="22"/>
          <w:shd w:fill="FFFFFF" w:val="clear"/>
        </w:rPr>
      </w:pPr>
      <w:r>
        <w:rPr>
          <w:rFonts w:ascii="sans-serif" w:hAnsi="sans-serif"/>
          <w:b w:val="false"/>
          <w:color w:val="000000"/>
          <w:sz w:val="22"/>
          <w:shd w:fill="FFFFFF" w:val="clear"/>
        </w:rPr>
        <w:t xml:space="preserve">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2560"/>
                <wp:effectExtent l="0" t="0" r="0" b="0"/>
                <wp:wrapNone/>
                <wp:docPr id="10"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300" w:before="200" w:after="60"/>
        <w:jc w:val="left"/>
        <w:rPr/>
      </w:pPr>
      <w:r>
        <w:rPr>
          <w:rFonts w:ascii="sans-serif" w:hAnsi="sans-serif"/>
          <w:b/>
          <w:color w:val="000000"/>
          <w:sz w:val="22"/>
          <w:u w:val="single"/>
          <w:shd w:fill="FFFFFF" w:val="clear"/>
        </w:rPr>
        <w:t>About NN, Inc</w:t>
      </w:r>
      <w:r>
        <w:rPr>
          <w:rFonts w:ascii="sans-serif" w:hAnsi="sans-serif"/>
          <w:b/>
          <w:color w:val="000000"/>
          <w:sz w:val="22"/>
          <w:shd w:fill="FFFFFF" w:val="clear"/>
        </w:rPr>
        <w:t>.</w:t>
      </w:r>
    </w:p>
    <w:p>
      <w:pPr>
        <w:pStyle w:val="TextBody"/>
        <w:bidi w:val="0"/>
        <w:spacing w:lineRule="auto" w:line="300" w:before="0" w:after="200"/>
        <w:jc w:val="both"/>
        <w:rPr>
          <w:rFonts w:ascii="sans-serif" w:hAnsi="sans-serif"/>
          <w:b w:val="false"/>
          <w:color w:val="000000"/>
          <w:sz w:val="22"/>
        </w:rPr>
      </w:pPr>
      <w:r>
        <w:rPr>
          <w:rFonts w:ascii="sans-serif" w:hAnsi="sans-serif"/>
          <w:b w:val="false"/>
          <w:color w:val="000000"/>
          <w:sz w:val="22"/>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South America, Europe and China. For more information about the company and its products, please visit www.nninc.com.</w:t>
      </w:r>
    </w:p>
    <w:p>
      <w:pPr>
        <w:pStyle w:val="TextBody"/>
        <w:bidi w:val="0"/>
        <w:spacing w:lineRule="auto" w:line="276" w:before="0" w:after="0"/>
        <w:jc w:val="both"/>
        <w:rPr>
          <w:rFonts w:ascii="sans-serif" w:hAnsi="sans-serif"/>
          <w:b w:val="false"/>
          <w:i/>
          <w:color w:val="000000"/>
          <w:sz w:val="16"/>
        </w:rPr>
      </w:pPr>
      <w:r>
        <w:rPr>
          <w:rFonts w:ascii="sans-serif" w:hAnsi="sans-serif"/>
          <w:b w:val="false"/>
          <w:i/>
          <w:color w:val="000000"/>
          <w:sz w:val="16"/>
        </w:rPr>
        <w:t xml:space="preserve">This press release contains express and implied forward-looking statements within the meaning of the Private Securities Litigation Reform Act of 1995, including statements regarding our financial outlook for the full year of fiscal 2025, the impact of, and our ability to execute, our corporate strategies and business initiatives and the potential impact tariffs, high interest rates, high metal costs and additional economic uncertainties may have on our financial statements and results of operations.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U.S. Securities and Exchange Commission. Any forward-looking statement speaks only as of the date of this press release and are based on information available to NN at the time those statements are made and/or management’s good faith belief as of that time with respect to future events.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 </w:t>
      </w:r>
    </w:p>
    <w:p>
      <w:pPr>
        <w:pStyle w:val="TextBody"/>
        <w:bidi w:val="0"/>
        <w:spacing w:before="0" w:after="0"/>
        <w:jc w:val="both"/>
        <w:rPr/>
      </w:pPr>
      <w:r>
        <w:rPr/>
      </w:r>
    </w:p>
    <w:p>
      <w:pPr>
        <w:pStyle w:val="TextBody"/>
        <w:bidi w:val="0"/>
        <w:spacing w:lineRule="auto" w:line="300" w:before="0" w:after="200"/>
        <w:jc w:val="both"/>
        <w:rPr>
          <w:rFonts w:ascii="sans-serif" w:hAnsi="sans-serif"/>
          <w:b w:val="false"/>
          <w:i/>
          <w:color w:val="000000"/>
          <w:sz w:val="16"/>
        </w:rPr>
      </w:pPr>
      <w:r>
        <w:rPr>
          <w:rFonts w:ascii="sans-serif" w:hAnsi="sans-serif"/>
          <w:b w:val="false"/>
          <w:i/>
          <w:color w:val="000000"/>
          <w:sz w:val="16"/>
        </w:rPr>
        <w:t xml:space="preserve">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 xml:space="preserve">Investor &amp; Media Contacts: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Joe Caminiti or Stephen Poe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NNBR@alpha-ir.com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312-445-2870</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2560"/>
                <wp:effectExtent l="0" t="0" r="0" b="0"/>
                <wp:wrapNone/>
                <wp:docPr id="11"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(Loss)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6"/>
        <w:gridCol w:w="1374"/>
        <w:gridCol w:w="1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3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(provision) for income taxes and share of net income from joint venture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from the interest rate swap included in net loss,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basic and diluted net loss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2560"/>
                <wp:effectExtent l="0" t="0" r="0" b="0"/>
                <wp:wrapNone/>
                <wp:docPr id="12"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300" w:before="0" w:after="4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 </w:t>
      </w:r>
    </w:p>
    <w:tbl>
      <w:tblPr>
        <w:tblW w:w="7434" w:type="dxa"/>
        <w:jc w:val="left"/>
        <w:tblInd w:w="0" w:type="dxa"/>
        <w:tblLayout w:type="fixed"/>
        <w:tblCellMar>
          <w:top w:w="28" w:type="dxa"/>
          <w:left w:w="28" w:type="dxa"/>
          <w:bottom w:w="28" w:type="dxa"/>
          <w:right w:w="28" w:type="dxa"/>
        </w:tblCellMar>
      </w:tblPr>
      <w:tblGrid>
        <w:gridCol w:w="1726"/>
        <w:gridCol w:w="1517"/>
        <w:gridCol w:w="1527"/>
        <w:gridCol w:w="211"/>
        <w:gridCol w:w="826"/>
        <w:gridCol w:w="109"/>
        <w:gridCol w:w="109"/>
        <w:gridCol w:w="109"/>
        <w:gridCol w:w="109"/>
        <w:gridCol w:w="211"/>
        <w:gridCol w:w="826"/>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61,877 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171,979 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167,562 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Preferred Stock, and Stockholders’ Equity</w:t>
            </w:r>
          </w:p>
        </w:tc>
        <w:tc>
          <w:tcPr>
            <w:tcW w:w="114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38,879 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wages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89,153 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83,912 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143,591 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perpetual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448,033 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455,811 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preferred stock, and stockholders’ equity</w:t>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460,760 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456,893 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2560"/>
                <wp:effectExtent l="0" t="0" r="0" b="0"/>
                <wp:wrapNone/>
                <wp:docPr id="13"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34" w:type="dxa"/>
        <w:jc w:val="left"/>
        <w:tblInd w:w="0" w:type="dxa"/>
        <w:tblLayout w:type="fixed"/>
        <w:tblCellMar>
          <w:top w:w="28" w:type="dxa"/>
          <w:left w:w="28" w:type="dxa"/>
          <w:bottom w:w="28" w:type="dxa"/>
          <w:right w:w="28" w:type="dxa"/>
        </w:tblCellMar>
      </w:tblPr>
      <w:tblGrid>
        <w:gridCol w:w="2182"/>
        <w:gridCol w:w="1919"/>
        <w:gridCol w:w="1929"/>
        <w:gridCol w:w="211"/>
        <w:gridCol w:w="796"/>
        <w:gridCol w:w="109"/>
        <w:gridCol w:w="109"/>
        <w:gridCol w:w="109"/>
        <w:gridCol w:w="109"/>
        <w:gridCol w:w="211"/>
        <w:gridCol w:w="796"/>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gain, net of cash 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backed credit facilities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asset backed credit facilities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loans and other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loans and other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land and buildings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flows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quarter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2560"/>
                <wp:effectExtent l="0" t="0" r="0" b="0"/>
                <wp:wrapNone/>
                <wp:docPr id="14"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Reconciliation of GAAP Gross Profit to Non-GAAP Gross Profit and Gross Margin</w:t>
      </w:r>
    </w:p>
    <w:p>
      <w:pPr>
        <w:pStyle w:val="TextBody"/>
        <w:bidi w:val="0"/>
        <w:spacing w:before="0" w:after="200"/>
        <w:jc w:val="left"/>
        <w:rPr/>
      </w:pPr>
      <w:r>
        <w:rPr/>
      </w:r>
    </w:p>
    <w:tbl>
      <w:tblPr>
        <w:tblW w:w="8208" w:type="dxa"/>
        <w:jc w:val="center"/>
        <w:tblInd w:w="0" w:type="dxa"/>
        <w:tblLayout w:type="fixed"/>
        <w:tblCellMar>
          <w:top w:w="28" w:type="dxa"/>
          <w:left w:w="28" w:type="dxa"/>
          <w:bottom w:w="28" w:type="dxa"/>
          <w:right w:w="28" w:type="dxa"/>
        </w:tblCellMar>
      </w:tblPr>
      <w:tblGrid>
        <w:gridCol w:w="1732"/>
        <w:gridCol w:w="1524"/>
        <w:gridCol w:w="1528"/>
        <w:gridCol w:w="211"/>
        <w:gridCol w:w="826"/>
        <w:gridCol w:w="271"/>
        <w:gridCol w:w="109"/>
        <w:gridCol w:w="109"/>
        <w:gridCol w:w="109"/>
        <w:gridCol w:w="211"/>
        <w:gridCol w:w="826"/>
        <w:gridCol w:w="271"/>
        <w:gridCol w:w="109"/>
        <w:gridCol w:w="109"/>
        <w:gridCol w:w="109"/>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107,921 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122,992 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18,222 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(a)</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(3)</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58" w:type="dxa"/>
        <w:jc w:val="center"/>
        <w:tblInd w:w="0" w:type="dxa"/>
        <w:tblLayout w:type="fixed"/>
        <w:tblCellMar>
          <w:top w:w="28" w:type="dxa"/>
          <w:left w:w="28" w:type="dxa"/>
          <w:bottom w:w="28" w:type="dxa"/>
          <w:right w:w="28" w:type="dxa"/>
        </w:tblCellMar>
      </w:tblPr>
      <w:tblGrid>
        <w:gridCol w:w="713"/>
        <w:gridCol w:w="626"/>
        <w:gridCol w:w="626"/>
        <w:gridCol w:w="626"/>
        <w:gridCol w:w="626"/>
        <w:gridCol w:w="626"/>
        <w:gridCol w:w="626"/>
        <w:gridCol w:w="626"/>
        <w:gridCol w:w="626"/>
        <w:gridCol w:w="626"/>
        <w:gridCol w:w="626"/>
        <w:gridCol w:w="885"/>
      </w:tblGrid>
      <w:tr>
        <w:trPr/>
        <w:tc>
          <w:tcPr>
            <w:tcW w:w="7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 Personnel costs include recruitment, retention, relocation, and severance costs</w:t>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Facility costs include costs of opening / closing facilities and relocation / exit of manufacturing operations</w:t>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1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Non-GAAP adjusted gross margin = Non-GAAP adjusted gross profit / GAAP net sales</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2560"/>
                <wp:effectExtent l="0" t="0" r="0" b="0"/>
                <wp:wrapNone/>
                <wp:docPr id="15"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Income (Loss) from Operations to Non-GAAP Adjusted Income (Loss) from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93" w:type="dxa"/>
        <w:jc w:val="left"/>
        <w:tblInd w:w="0" w:type="dxa"/>
        <w:tblLayout w:type="fixed"/>
        <w:tblCellMar>
          <w:top w:w="28" w:type="dxa"/>
          <w:left w:w="28" w:type="dxa"/>
          <w:bottom w:w="28" w:type="dxa"/>
          <w:right w:w="28" w:type="dxa"/>
        </w:tblCellMar>
      </w:tblPr>
      <w:tblGrid>
        <w:gridCol w:w="1450"/>
        <w:gridCol w:w="1275"/>
        <w:gridCol w:w="1280"/>
        <w:gridCol w:w="211"/>
        <w:gridCol w:w="826"/>
        <w:gridCol w:w="271"/>
        <w:gridCol w:w="109"/>
        <w:gridCol w:w="109"/>
        <w:gridCol w:w="109"/>
        <w:gridCol w:w="211"/>
        <w:gridCol w:w="826"/>
        <w:gridCol w:w="316"/>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98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NN, Inc. Consolidated</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31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31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 (b)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107,921 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122,992 </w:t>
            </w:r>
          </w:p>
        </w:tc>
        <w:tc>
          <w:tcPr>
            <w:tcW w:w="31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782" w:type="dxa"/>
        <w:jc w:val="left"/>
        <w:tblInd w:w="0" w:type="dxa"/>
        <w:tblLayout w:type="fixed"/>
        <w:tblCellMar>
          <w:top w:w="28" w:type="dxa"/>
          <w:left w:w="28" w:type="dxa"/>
          <w:bottom w:w="28" w:type="dxa"/>
          <w:right w:w="28" w:type="dxa"/>
        </w:tblCellMar>
      </w:tblPr>
      <w:tblGrid>
        <w:gridCol w:w="1449"/>
        <w:gridCol w:w="1276"/>
        <w:gridCol w:w="1279"/>
        <w:gridCol w:w="211"/>
        <w:gridCol w:w="721"/>
        <w:gridCol w:w="271"/>
        <w:gridCol w:w="109"/>
        <w:gridCol w:w="109"/>
        <w:gridCol w:w="109"/>
        <w:gridCol w:w="211"/>
        <w:gridCol w:w="721"/>
        <w:gridCol w:w="316"/>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778"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Solutions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31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 (b)</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31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0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6" w:type="dxa"/>
            <w:tcBorders/>
            <w:shd w:fill="BFE4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43" w:type="dxa"/>
        <w:jc w:val="left"/>
        <w:tblInd w:w="0" w:type="dxa"/>
        <w:tblLayout w:type="fixed"/>
        <w:tblCellMar>
          <w:top w:w="28" w:type="dxa"/>
          <w:left w:w="28" w:type="dxa"/>
          <w:bottom w:w="28" w:type="dxa"/>
          <w:right w:w="28" w:type="dxa"/>
        </w:tblCellMar>
      </w:tblPr>
      <w:tblGrid>
        <w:gridCol w:w="1689"/>
        <w:gridCol w:w="1487"/>
        <w:gridCol w:w="1489"/>
        <w:gridCol w:w="211"/>
        <w:gridCol w:w="721"/>
        <w:gridCol w:w="271"/>
        <w:gridCol w:w="109"/>
        <w:gridCol w:w="109"/>
        <w:gridCol w:w="109"/>
        <w:gridCol w:w="211"/>
        <w:gridCol w:w="721"/>
        <w:gridCol w:w="316"/>
      </w:tblGrid>
      <w:tr>
        <w:trPr/>
        <w:tc>
          <w:tcPr>
            <w:tcW w:w="168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77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Mobile Solutions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(loss) from operations (b)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 with JV (b)</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4032" w:type="dxa"/>
        <w:jc w:val="left"/>
        <w:tblInd w:w="0" w:type="dxa"/>
        <w:tblLayout w:type="fixed"/>
        <w:tblCellMar>
          <w:top w:w="28" w:type="dxa"/>
          <w:left w:w="28" w:type="dxa"/>
          <w:bottom w:w="28" w:type="dxa"/>
          <w:right w:w="28" w:type="dxa"/>
        </w:tblCellMar>
      </w:tblPr>
      <w:tblGrid>
        <w:gridCol w:w="494"/>
        <w:gridCol w:w="435"/>
        <w:gridCol w:w="436"/>
        <w:gridCol w:w="283"/>
        <w:gridCol w:w="726"/>
        <w:gridCol w:w="146"/>
        <w:gridCol w:w="146"/>
        <w:gridCol w:w="146"/>
        <w:gridCol w:w="146"/>
        <w:gridCol w:w="283"/>
        <w:gridCol w:w="585"/>
        <w:gridCol w:w="20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667"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w:t>
            </w:r>
          </w:p>
        </w:tc>
        <w:tc>
          <w:tcPr>
            <w:tcW w:w="1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6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8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4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(1)Personnel costs include recruitment, retention, relocation, and severance costs</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(2)Facility costs include costs of opening / closing facilities and relocation / exit of manufacturing operations</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(3)Non-GAAP adjusted operating margin = Non-GAAP adjusted income (loss) from operations / GAAP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2560"/>
                <wp:effectExtent l="0" t="0" r="0" b="0"/>
                <wp:wrapNone/>
                <wp:docPr id="16"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Reconciliation of GAAP Net Income (Loss) to Non-GAAP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22" w:type="dxa"/>
        <w:jc w:val="center"/>
        <w:tblInd w:w="0" w:type="dxa"/>
        <w:tblLayout w:type="fixed"/>
        <w:tblCellMar>
          <w:top w:w="28" w:type="dxa"/>
          <w:left w:w="28" w:type="dxa"/>
          <w:bottom w:w="28" w:type="dxa"/>
          <w:right w:w="28" w:type="dxa"/>
        </w:tblCellMar>
      </w:tblPr>
      <w:tblGrid>
        <w:gridCol w:w="1895"/>
        <w:gridCol w:w="1668"/>
        <w:gridCol w:w="1671"/>
        <w:gridCol w:w="211"/>
        <w:gridCol w:w="826"/>
        <w:gridCol w:w="271"/>
        <w:gridCol w:w="109"/>
        <w:gridCol w:w="109"/>
        <w:gridCol w:w="109"/>
        <w:gridCol w:w="211"/>
        <w:gridCol w:w="826"/>
        <w:gridCol w:w="316"/>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31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preferred stock derivatives and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31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316"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exchange (gain) loss on inter-company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(c)</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13,179 </w:t>
            </w:r>
          </w:p>
        </w:tc>
        <w:tc>
          <w:tcPr>
            <w:tcW w:w="2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13,405 </w:t>
            </w:r>
          </w:p>
        </w:tc>
        <w:tc>
          <w:tcPr>
            <w:tcW w:w="31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margin (3)</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6" w:type="dxa"/>
            <w:tcBorders/>
            <w:shd w:fill="BFE4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58" w:type="dxa"/>
        <w:jc w:val="center"/>
        <w:tblInd w:w="0" w:type="dxa"/>
        <w:tblLayout w:type="fixed"/>
        <w:tblCellMar>
          <w:top w:w="28" w:type="dxa"/>
          <w:left w:w="28" w:type="dxa"/>
          <w:bottom w:w="28" w:type="dxa"/>
          <w:right w:w="28" w:type="dxa"/>
        </w:tblCellMar>
      </w:tblPr>
      <w:tblGrid>
        <w:gridCol w:w="713"/>
        <w:gridCol w:w="626"/>
        <w:gridCol w:w="626"/>
        <w:gridCol w:w="626"/>
        <w:gridCol w:w="626"/>
        <w:gridCol w:w="626"/>
        <w:gridCol w:w="626"/>
        <w:gridCol w:w="626"/>
        <w:gridCol w:w="626"/>
        <w:gridCol w:w="626"/>
        <w:gridCol w:w="626"/>
        <w:gridCol w:w="885"/>
      </w:tblGrid>
      <w:tr>
        <w:trPr/>
        <w:tc>
          <w:tcPr>
            <w:tcW w:w="7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ind w:left="0" w:right="0" w:hanging="360"/>
              <w:jc w:val="left"/>
              <w:rPr>
                <w:sz w:val="4"/>
                <w:szCs w:val="4"/>
              </w:rPr>
            </w:pPr>
            <w:r>
              <w:rPr>
                <w:sz w:val="4"/>
                <w:szCs w:val="4"/>
              </w:rPr>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 Personnel costs include recruitment, retention, relocation, and severance costs</w:t>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Facility costs include costs of opening / closing facilities and relocation / exit of manufacturing operations</w:t>
            </w:r>
          </w:p>
        </w:tc>
      </w:tr>
      <w:tr>
        <w:trPr/>
        <w:tc>
          <w:tcPr>
            <w:tcW w:w="7858" w:type="dxa"/>
            <w:gridSpan w:val="12"/>
            <w:tcBorders/>
            <w:tcMar>
              <w:top w:w="0" w:type="dxa"/>
              <w:left w:w="0" w:type="dxa"/>
              <w:bottom w:w="0" w:type="dxa"/>
              <w:right w:w="0" w:type="dxa"/>
            </w:tcMar>
            <w:vAlign w:val="center"/>
          </w:tcPr>
          <w:p>
            <w:pPr>
              <w:pStyle w:val="TableContents"/>
              <w:bidi w:val="0"/>
              <w:spacing w:lineRule="auto" w:line="288" w:before="1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Non-GAAP adjusted EBITDA margin = Non-GAAP adjusted EBITDA / GAAP net sales</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2560"/>
                <wp:effectExtent l="0" t="0" r="0" b="0"/>
                <wp:wrapNone/>
                <wp:docPr id="17"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Reconciliation of GAAP Net Income (Loss) to Non-GAAP Adjusted Net Income and GAAP Net Income (Loss) per Diluted Common Share to Non-GAAP Adjusted Net Income (Loss) per Diluted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tbl>
      <w:tblPr>
        <w:tblW w:w="8471" w:type="dxa"/>
        <w:jc w:val="center"/>
        <w:tblInd w:w="0" w:type="dxa"/>
        <w:tblLayout w:type="fixed"/>
        <w:tblCellMar>
          <w:top w:w="28" w:type="dxa"/>
          <w:left w:w="28" w:type="dxa"/>
          <w:bottom w:w="28" w:type="dxa"/>
          <w:right w:w="28" w:type="dxa"/>
        </w:tblCellMar>
      </w:tblPr>
      <w:tblGrid>
        <w:gridCol w:w="2100"/>
        <w:gridCol w:w="1846"/>
        <w:gridCol w:w="1858"/>
        <w:gridCol w:w="235"/>
        <w:gridCol w:w="771"/>
        <w:gridCol w:w="121"/>
        <w:gridCol w:w="121"/>
        <w:gridCol w:w="121"/>
        <w:gridCol w:w="121"/>
        <w:gridCol w:w="235"/>
        <w:gridCol w:w="771"/>
        <w:gridCol w:w="171"/>
      </w:tblGrid>
      <w:tr>
        <w:trPr/>
        <w:tc>
          <w:tcPr>
            <w:tcW w:w="210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w:t>
            </w:r>
          </w:p>
        </w:tc>
        <w:tc>
          <w:tcPr>
            <w:tcW w:w="12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w:t>
            </w:r>
          </w:p>
        </w:tc>
        <w:tc>
          <w:tcPr>
            <w:tcW w:w="1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loss on extinguishment of debt</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professional fees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personnel costs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7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facility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foreign exchange (gain) loss on inter-company loans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change in fair value of preferred stock derivatives and warrants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amortization of intangibles and deferred financing costs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 reflected above (d)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(loss) (e)</w:t>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2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(per diluted common share)</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per diluted common share</w:t>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2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71"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loss on extinguishment of debt</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professional fees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personnel costs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1"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facility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foreign exchange (gain) loss on inter-company loans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change in fair value of preferred stock derivatives and warrants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amortization of intangibles and deferred financing costs</w:t>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2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cumulative dividends and deemed dividends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(loss) per diluted common share (e)</w:t>
            </w:r>
          </w:p>
        </w:tc>
        <w:tc>
          <w:tcPr>
            <w:tcW w:w="112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63"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net earnings (loss) per share</w:t>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49,433 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48,839 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2560"/>
                <wp:effectExtent l="0" t="0" r="0" b="0"/>
                <wp:wrapNone/>
                <wp:docPr id="18"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before="0" w:after="60"/>
        <w:jc w:val="center"/>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Reconciliation of Operating Cash Flow to Free Cash Flow</w:t>
      </w:r>
    </w:p>
    <w:tbl>
      <w:tblPr>
        <w:tblW w:w="7210" w:type="dxa"/>
        <w:jc w:val="center"/>
        <w:tblInd w:w="0" w:type="dxa"/>
        <w:tblLayout w:type="fixed"/>
        <w:tblCellMar>
          <w:top w:w="28" w:type="dxa"/>
          <w:left w:w="28" w:type="dxa"/>
          <w:bottom w:w="28" w:type="dxa"/>
          <w:right w:w="28" w:type="dxa"/>
        </w:tblCellMar>
      </w:tblPr>
      <w:tblGrid>
        <w:gridCol w:w="1586"/>
        <w:gridCol w:w="1395"/>
        <w:gridCol w:w="1399"/>
        <w:gridCol w:w="211"/>
        <w:gridCol w:w="691"/>
        <w:gridCol w:w="109"/>
        <w:gridCol w:w="109"/>
        <w:gridCol w:w="109"/>
        <w:gridCol w:w="109"/>
        <w:gridCol w:w="211"/>
        <w:gridCol w:w="691"/>
        <w:gridCol w:w="109"/>
        <w:gridCol w:w="109"/>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8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2560"/>
                <wp:effectExtent l="0" t="0" r="0" b="0"/>
                <wp:wrapNone/>
                <wp:docPr id="19"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The costs we incur in completing acquisitions, including the amortization of intangibles and deferred financing costs, and divestitures are excluded from these measures because their size and inconsistent frequency are unrelated to our commercial performance during the period, and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(a) Non-GAAP adjusted gross margin represents GAAP gross profit, adjusted to exclude the effects of restructuring and integration expense and non-operational charges related to acquisition and transition expense.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gross margin is not a measure of financial performance under GAAP and should not be considered as a measure of liquidity or as an alternative to GAAP gross margin.</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(b) 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(c) 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(d) 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pStyle w:val="TextBody"/>
        <w:bidi w:val="0"/>
        <w:spacing w:lineRule="auto" w:line="300" w:before="0" w:after="200"/>
        <w:jc w:val="left"/>
        <w:rPr>
          <w:rFonts w:ascii="sans-serif" w:hAnsi="sans-serif"/>
          <w:b w:val="false"/>
          <w:i/>
          <w:color w:val="000000"/>
          <w:sz w:val="18"/>
        </w:rPr>
      </w:pPr>
      <w:r>
        <w:rPr>
          <w:rFonts w:ascii="sans-serif" w:hAnsi="sans-serif"/>
          <w:b w:val="false"/>
          <w:i/>
          <w:color w:val="000000"/>
          <w:sz w:val="18"/>
        </w:rPr>
        <w:t xml:space="preserve">(e) 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w:t>
      </w:r>
    </w:p>
    <w:p>
      <w:pPr>
        <w:pStyle w:val="TextBody"/>
        <w:bidi w:val="0"/>
        <w:spacing w:before="0" w:after="0"/>
        <w:jc w:val="center"/>
        <w:rPr/>
      </w:pPr>
      <w:bookmarkStart w:id="1" w:name="nnbrearningspresentation.htm"/>
      <w:bookmarkStart w:id="2" w:name="ksnnbrearningspresentation"/>
      <w:bookmarkEnd w:id="1"/>
      <w:bookmarkEnd w:id="2"/>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2560"/>
                <wp:effectExtent l="0" t="0" r="0" b="0"/>
                <wp:wrapNone/>
                <wp:docPr id="21"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14</w:t>
                      </w:r>
                    </w:p>
                  </w:txbxContent>
                </v:textbox>
                <w10:wrap type="none"/>
              </v:rect>
            </w:pict>
          </mc:Fallback>
        </mc:AlternateContent>
      </w:r>
    </w:p>
    <w:p>
      <w:pPr>
        <w:pStyle w:val="TextBody"/>
        <w:bidi w:val="0"/>
        <w:jc w:val="center"/>
        <w:rPr>
          <w:color w:val="FFFFFF"/>
          <w:sz w:val="2"/>
        </w:rPr>
      </w:pPr>
      <w:r>
        <w:rPr>
          <w:color w:val="FFFFFF"/>
          <w:sz w:val="2"/>
        </w:rPr>
        <w:t xml:space="preserve">NN Blue Dark Charcoal Platinum Pewter Orange Green 2025 Q2 Earnings Presentation August 7,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&amp; Disclosures This presentation contains express and implied forward-looking statements within the meaning of the Private Securities Litigation Reform Act of 1995, including statements regarding our financial outlook for the full year of fiscal 2025, the impact of, and our ability to execute, our corporate strategies and business initiatives and the potential impact tariffs, high interest rates, high metal costs and additional economic uncertainties may have on our financial statements and results of operations.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statements. Such factors include, among others, general economic conditions and economic conditions in the industrial sector; the potential impacts of tariffs on the U.S. economy, the economy of other countries in which we conduct operations and our industry, as well as the potential implications and ramifications of tariffs on our business and the local and global supply chains supporting the same, and our ability to mitigate any adverse impacts of such;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NN, Inc.'s (the "Company") filings made with the U.S. Securities and Exchange Commission. Any forward-looking statement speaks only as of the date of this presentation and are based on information available to the Company at the time those statements are made and/or management’s good faith belief as of that time with respect to future events.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 In this presentation, we use the following non-GAAP measures: adjusted gross margin, adjusted income (loss) from operations, adjusted EBITDA, adjusted EBITDA margin, adjusted net income (loss), adjusted net income (loss) per diluted share and free cash flow. See the Appendix to this presentation for definitions of each non-GAAP measure and reconciliations to the most comparable GAAP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2025 Overview 3 Net Sales* $107.9M Adjusted EBITDA $13.2M 12.2% of Sales Adjusted Operating Income $4.9M 4.6% of Sales Adjusted Net Income $0.02 per diluted share Financials Improved Gross Margin 19.5% Adjusted Gross Margin Gaining New Business $32.7M of new business wins in Q2 YTD 40% 60% Portfolio Portfolio Management Now 60% Non-Auto; Growing Power Solutions NN’s Portfolio Balance Sheet Refinancing New term loan in place Focused on preferred stock refinancing Highlights (*) Pro forma for the sale of Lubbock, rationalized volumes, and FX / constant currency Non-Auto Auto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2025 Results Comments Net Sales* $107.9M Down with one large customer; launched 70 new programs YTD Adjusted Gross Margin 19.5% “OneTeam” salaried approach, good operating performance Adjusted Operating Income $4.9M 4.6% of net sales, significant improvement on track Adjusted EBITDA $13.2M Increase continues, driven by focus and cost-out Adjusted EBITDA Margin (as a % of Sales)* 12.2% +100 bps vs. prior year, on-track for 5-year goal of 13%-14% Working Capital $86.8M Balances being impacted by metal price escalation Working Capital (as % of TTM Sales) 20.0% Solid 2-year reduction, on track for 5-year goal of 16%-17% Q2 YTD New Business Wins $32.7M On track for 2025 guidance 4(*) Pro forma for the sale of Lubbock, rationalized volumes, and FX / constant currency Key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Near Term End Market Outlook Primary End Market Outlook End Market ~% of NN Revenue Market Indicators NN’s Outlook vs. Market Global Passenger Vehicle 40% Global light vehicle production is flat but with many moving parts Tariffs, affordability, high interest rates, fading BEV incentives, China Most analysts predict continuation of flat market US EPA announced proposals to end 16-year focus on fuel efficiency and EVs Outlook is consistent with the broader market – largely flat US GDP-Linked Business 25% Weak first half growth, impacted by trade-driven uncertainty GDP rebounded in Q2; economists unclear if full impact of tariffs has been felt to date NN base business is GDP-linked; supplementing with new business program and driving faster pace future growth Electric Grid and Distribution 20% Global power grid market modest growth, driven by software and replacement Electrical distribution and control is strong in Industrial, weaker in Res Construction Balanced, but generally improving alongside secular tailwinds Commercial Vehicle 10% North American truck building is down YTD, expected to continue into 1H 2026 Freight capacity is beginning to balance US EPA announced proposals to stop commercial truck greenhouse gas reduction edicts Anticipate some weakness as OEMs forecast production cuts Offset by NN’s strength and growth in diesel fuel systems Medical Equipment and Surgical Tools 5% Orthopedic procedures continue to grow Robotic assisted surgeries and Medical Products continue to grow Expect to continue growing alongside market trends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Steady Financial Improvement 16.3% 17.5% 18.2% 2023 2024 2025 YTD Long Term Goal Adjusted Gross Margin (%) &gt;20% 8.8% 10.4% 11.1% 2023 2024 2025 YTD Long Term Goal Adjusted EBITDA (%) Improvements being driven by: Top notch on-time delivery with minimal backlogs or quality problems Creating ‘OneTeam’ across plants vs. stand alone teams Rationalized undesirable business &amp; plants +230 bps +190 bps 13 - 14%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 ($millions) Q2'25 Q2’24 Δ Net Sales $107.9 $123.0 ($15.1) Adj. Operating Income (Loss) $4.9 $2.1 $2.8 Adj. EBITDA $13.2 $13.4 ($0.2) Adj. EBITDA Margin % 12.2% 10.9% +130 bps Q2'25 Q2’24 Δ $107.9 $110.6 ($2.7) $4.9 $1.9 $3.0 $13.2 $12.4 $0.8 12.2% 11.2% +100 bps 2024 Sale of Lubbock Rationalized Volume FX Total ($5.9) ($5.6) ($0.9) ($12.4) ($0.8) $0.6 - ($0.2) ($0.9) ($0.1) - ($1.0) $12.4 $13.2 Adjusted EBITDA &amp; Margin (%) Q2'24 Q2'25 Pro FormaAs Reported Q2 2024 Adjustments Q2 2025 – NN Financial Results 7 $13.4 $13.2 Adjusted EBITDA &amp; Margin (%) Q2'24 Q2'25 $123.0 $107.9 Net Sales Q2'24 Q2'25 12.2%10.9% 12.2%11.2% Pro Forma ($ millions) As Reported ($ millions) $110.6 $107.9 Net Sales Q2'24 Q2'25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$8.6 $9.1 2024 2025 2024 2025 Adjusted EBITDA &amp; Margin (Pro Forma) ($ millions) $9.5 $9.1 2024 2025 2024 2025 Adjusted EBITDA &amp; Margin ($ millions) 20.4%19.0% 20.4%19.7% Power Solutions Business – Q2 2025 Highlights Net Sales, pro forma of $44.6M, up $1.0M, or +2.3% ▪ Steady unit volumes aided by higher metal prices ▪ Prior year net sales as reported included sales from Lubbock facility ▪ 2nd half 2025 demand outlook is similar to 1st half Adjusted EBITDA, pro forma of $9.1M, up $0.5M, or +5.8% ▪ Excluding contribution of sold Lubbock facility, increase is primarily due to controlling cost actions ▪ Adjusted EBITDA margin 20.4% ▪ Strengthening profitability through cost actions and improved margin mix New Business: $4.3M of new awards are below plan but have $360M pipeline of opportunities. Hired new sales talent to help accelerate sales growth. Continue to reinvest in capex to enable growth $50.2 $44.6 2024 2025 Net Sales As Reported ($ millions) 8Note: Comparisons are versus Q2 2024 results $43.6 $44.6 2024 2025 Net Sales Pro Forma ($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$8.2 $8.6 2024 2025 Adjusted EBITDA &amp; Margin ($ millions) $8.0 $8.6 2024 2025 Adjusted EBITDA &amp; Margin (Pro Forma) ($ millions) Mobile Solutions Business – Q2 2025 Highlights 13.6% $67.0 $63.4 2024 2025 Net Sales (Pro Forma) ($ millions) 12.1% Net sales, pro forma of $63.4M, down ($3.6M), or (5.4%) ▪ Rationalized volumes and lower automotive volumes ▪ Partially offset by new program launches and ramp-ups during 2025 Adjusted EBITDA, pro forma of $8.6M, up $0.6M, or +6.2% ▪ Primarily due to benefit from rationalized negative EBITDA sales in 2024 ▪ Adjusted EBITDA margin up 150 basis points to 13.6% ▪ Expanding profitability as cost-out actions and improved margin mix overcome weaker top-line New Business: $29M of awards from a $380M pipeline • Largest machining plant (Kentwood, MI) is nearing medical certification, will advance NN’s new business pursuits • Installed new, dedicated medical products machining centers ▪ Now total # of dedicated medical machines: ~60 Continue to reinvest in capex to enable growth $72.9 $63.4 2024 2025 Net Sales ($ millions) 13.6%11.2% 9Note: Comparisons are versus Q2 2024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$1.3 $3.3 $8.4 $13.4 34 70 93 112 Q1 Q2 Q3 Q4 Full Run-Rate Value of 2025 Launches Launching New Business ($M) Quarterly Sales Value Discrete Program Launches NN’s Growth Engine - Winning and Launching New Business 10 ▪ 112 programs launching in 2025 worth $48 million in revenue at full run-rate ▪ Increased amount of program launch managers ▪ Increased amount of capital committed to growth programs $63 $137 $172 $200 $- $50 $100 $150 $200 $250 2023 Wins 2024 Wins 2025 YTD Wins 2023-25 Cumulative Goal Winning New Business ($M) ▪ $32.7 million of new awards at mid-year ▪ 24% hit rate on closed opportunities ▪ In 2025, 96 separate program awards in Auto, Medical, and Commercial Vehicle ▪ $750 million total pipeline from a team of ~40 people in sales and engineering $48.0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NN Further Increased its Commitment to Profitable Growth →Tim Erro is new Chief Commercial Officer and Bringing in New Team Members ▪ Joined as Chief Commercial Officer in July 2025 ▪ Tim will lead NN’s growth acceleration, new market entry, strategic portfolio expansion and customer relationship management ▪ Tim brings significant commercial and operational leadership experience, with a focus in NN’s key focus area of electrical markets, electrical products and electrical systems ▪ Prior experience with Commercial Vehicle Group, Aptiv, Leoni Wiring Systems, General Motors and United Technologies Tim Erro, Chief Commercial Officer ▪ NN is making a ~$2 million investment in new people to help grow the electrical, stamping and medical businesses ➢ New CCO with electrical background (done) Tim Erro ➢ New CTO for electrical and medical markets (in process) ➢ Two new account managers with electrical backgrounds (done) Rick Noble and Raul Gutierrez ➢ One new account manager for medical products (done) Mark Hamby – Looking for one additional NEW – NN is evaluating product expansion and organic entry into electrical wiring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2025 Outlook &amp; Guidance Net Sales of $430 to $460 million ▪ Reiterating, no change - expecting to deliver towards lower half of the range Adjusted EBITDA of $53 to $63 million ▪ Reiterating, no change - expecting to deliver towards lower half of the range New Business Wins of $60 to $70 million ▪ Reiterating, no change Free Cash Flow of $14 to $16 million ▪ Reiterating, no change – includes CARES Act tax refund and $18 - $20 million capital spending program Guidance Reflects Uncertainty From Top Customers and 2nd Half Macroeconomic Environment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Virtual Investor Day December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The Company discloses in this presentation the non-GAAP financial measures of adjusted gross margin, adjusted income (loss) from operations, adjusted EBITDA, adjusted EBITDA margin, adjusted net income (loss), adjusted net income (loss) per diluted share and free cash flow. Each of these non-GAAP financial measures provides supplementary information about the impacts of acquisition, divestiture and integration related expenses, foreign- exchange impacts on inter-company loans, reorganizational and impairment charges. The costs we incur in completing acquisitions, including the amortization of intangibles and deferred financing costs, and divestitures are excluded from these measures because their size and inconsistent frequency are unrelated to our commercial performance during the period, and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gross margin, adjusted income (loss) from operations, adjusted EBITDA, adjusted net income (loss), adjusted net income (loss) per diluted share and free cash flow provides useful information in assessing our underlying business trends and facilitates comparison of our long-term performance over given periods. 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 (a) Non-GAAP adjusted gross margin represents GAAP gross profit, adjusted to exclude the effects of restructuring and integration expense and non-operational charges related to acquisition and transition expense.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gross margin is not a measure of financial performance under GAAP and should not be considered as a measure of liquidity or as an alternative to GAAP gross margin. (b) 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 (c) Non-GAAP 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 (d) This line item reflects the aggregate tax effect of all non-GAAP adjustments reflected in the respective table. The Company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 (e) 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e (loss) from segment operations is not a measure of financial performance under GAAP and should not be considered as a measure of liquidity or as an alternative to GAAP income (loss) from continuing operations. Non-GAAP Financial Measures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Reconciliation of GAAP Gross Profit to Non-GAAP Gross Profit and Gross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Reconciliation of GAAP Income (Loss) from Operations to Non-GAAP Adjusted Income (Loss) from Operations and Non-GAAP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Reconciliation of GAAP Net Loss to Non-GAAP Adjusted Net Income (Loss) and GAAP Net Loss per Diluted Common Share to Non-GAAP Adjusted Net Income (Loss) per Diluted Common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Reconciliation of Operating Cash Flow to Free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20 Joe Caminiti or Stephen Poe NNBR@alpha-ir.com 312-445-2870 Investor &amp; Media Contacts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8326</Words>
  <Characters>47008</Characters>
  <CharactersWithSpaces>54864</CharactersWithSpaces>
  <Paragraphs>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nnbrearningspresentation</dc:title>
</cp:coreProperties>
</file>