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7"/>
          <w:szCs w:val="17"/>
          <w:color w:val="auto"/>
        </w:rPr>
        <w:t>UNITED STATES</w:t>
      </w:r>
    </w:p>
    <w:p>
      <w:pPr>
        <w:spacing w:after="0" w:line="3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355"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spacing w:after="0" w:line="385"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CURRENT REPORT</w:t>
      </w:r>
    </w:p>
    <w:p>
      <w:pPr>
        <w:spacing w:after="0" w:line="200" w:lineRule="exact"/>
        <w:rPr>
          <w:sz w:val="24"/>
          <w:szCs w:val="24"/>
          <w:color w:val="auto"/>
        </w:rPr>
      </w:pPr>
    </w:p>
    <w:p>
      <w:pPr>
        <w:spacing w:after="0" w:line="385" w:lineRule="exact"/>
        <w:rPr>
          <w:sz w:val="24"/>
          <w:szCs w:val="24"/>
          <w:color w:val="auto"/>
        </w:rPr>
      </w:pPr>
    </w:p>
    <w:p>
      <w:pPr>
        <w:ind w:left="212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3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Securities Exchange Act of 1934</w:t>
      </w:r>
    </w:p>
    <w:p>
      <w:pPr>
        <w:spacing w:after="0" w:line="361" w:lineRule="exact"/>
        <w:rPr>
          <w:sz w:val="24"/>
          <w:szCs w:val="24"/>
          <w:color w:val="auto"/>
        </w:rPr>
      </w:pPr>
    </w:p>
    <w:p>
      <w:pPr>
        <w:spacing w:after="0"/>
        <w:tabs>
          <w:tab w:leader="none" w:pos="5140" w:val="left"/>
        </w:tabs>
        <w:rPr>
          <w:sz w:val="20"/>
          <w:szCs w:val="20"/>
          <w:color w:val="auto"/>
        </w:rPr>
      </w:pPr>
      <w:r>
        <w:rPr>
          <w:rFonts w:ascii="Courier New" w:cs="Courier New" w:eastAsia="Courier New" w:hAnsi="Courier New"/>
          <w:sz w:val="17"/>
          <w:szCs w:val="17"/>
          <w:color w:val="auto"/>
        </w:rPr>
        <w:t>Date of Report (Date of earliest event reported)</w:t>
      </w:r>
      <w:r>
        <w:rPr>
          <w:sz w:val="20"/>
          <w:szCs w:val="20"/>
          <w:color w:val="auto"/>
        </w:rPr>
        <w:tab/>
      </w:r>
      <w:r>
        <w:rPr>
          <w:rFonts w:ascii="Courier New" w:cs="Courier New" w:eastAsia="Courier New" w:hAnsi="Courier New"/>
          <w:sz w:val="16"/>
          <w:szCs w:val="16"/>
          <w:color w:val="auto"/>
        </w:rPr>
        <w:t>October 30, 2003</w:t>
      </w:r>
    </w:p>
    <w:p>
      <w:pPr>
        <w:spacing w:after="0" w:line="32" w:lineRule="exact"/>
        <w:rPr>
          <w:sz w:val="24"/>
          <w:szCs w:val="24"/>
          <w:color w:val="auto"/>
        </w:rPr>
      </w:pPr>
    </w:p>
    <w:p>
      <w:pPr>
        <w:ind w:left="4960"/>
        <w:spacing w:after="0"/>
        <w:rPr>
          <w:sz w:val="20"/>
          <w:szCs w:val="20"/>
          <w:color w:val="auto"/>
        </w:rPr>
      </w:pPr>
      <w:r>
        <w:rPr>
          <w:rFonts w:ascii="Courier New" w:cs="Courier New" w:eastAsia="Courier New" w:hAnsi="Courier New"/>
          <w:sz w:val="17"/>
          <w:szCs w:val="17"/>
          <w:color w:val="auto"/>
        </w:rPr>
        <w:t>-------------------------------</w:t>
      </w:r>
    </w:p>
    <w:p>
      <w:pPr>
        <w:spacing w:after="0" w:line="166"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NN, INC.</w:t>
      </w:r>
    </w:p>
    <w:p>
      <w:pPr>
        <w:spacing w:after="0" w:line="32" w:lineRule="exact"/>
        <w:rPr>
          <w:sz w:val="24"/>
          <w:szCs w:val="24"/>
          <w:color w:val="auto"/>
        </w:rPr>
      </w:pPr>
    </w:p>
    <w:p>
      <w:pPr>
        <w:ind w:left="200" w:hanging="196"/>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1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(Exact name of registrant as specified in its charter)</w:t>
      </w:r>
    </w:p>
    <w:p>
      <w:pPr>
        <w:spacing w:after="0" w:line="361" w:lineRule="exact"/>
        <w:rPr>
          <w:sz w:val="24"/>
          <w:szCs w:val="24"/>
          <w:color w:val="auto"/>
        </w:rPr>
      </w:pPr>
    </w:p>
    <w:tbl>
      <w:tblPr>
        <w:tblLayout w:type="fixed"/>
        <w:tblInd w:w="920" w:type="dxa"/>
        <w:tblCellMar>
          <w:top w:w="0" w:type="dxa"/>
          <w:left w:w="0" w:type="dxa"/>
          <w:bottom w:w="0" w:type="dxa"/>
          <w:right w:w="0" w:type="dxa"/>
        </w:tblCellMar>
      </w:tblPr>
      <w:tr>
        <w:trPr>
          <w:trHeight w:val="224"/>
        </w:trPr>
        <w:tc>
          <w:tcPr>
            <w:tcW w:w="176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222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0-23486</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62-1096725</w:t>
            </w:r>
          </w:p>
        </w:tc>
      </w:tr>
    </w:tbl>
    <w:p>
      <w:pPr>
        <w:spacing w:after="0"/>
        <w:rPr>
          <w:sz w:val="20"/>
          <w:szCs w:val="20"/>
          <w:color w:val="auto"/>
        </w:rPr>
      </w:pPr>
      <w:r>
        <w:rPr>
          <w:rFonts w:ascii="Courier New" w:cs="Courier New" w:eastAsia="Courier New" w:hAnsi="Courier New"/>
          <w:sz w:val="16"/>
          <w:szCs w:val="16"/>
          <w:color w:val="auto"/>
        </w:rPr>
        <w:t>- --------------------------------------------------------------------------------</w:t>
      </w:r>
    </w:p>
    <w:p>
      <w:pPr>
        <w:spacing w:after="0" w:line="13" w:lineRule="exact"/>
        <w:rPr>
          <w:sz w:val="24"/>
          <w:szCs w:val="24"/>
          <w:color w:val="auto"/>
        </w:rPr>
      </w:pPr>
    </w:p>
    <w:p>
      <w:pPr>
        <w:ind w:left="100"/>
        <w:spacing w:after="0"/>
        <w:tabs>
          <w:tab w:leader="none" w:pos="3420" w:val="left"/>
          <w:tab w:leader="none" w:pos="5340" w:val="left"/>
        </w:tabs>
        <w:rPr>
          <w:sz w:val="20"/>
          <w:szCs w:val="20"/>
          <w:color w:val="auto"/>
        </w:rPr>
      </w:pPr>
      <w:r>
        <w:rPr>
          <w:rFonts w:ascii="Courier New" w:cs="Courier New" w:eastAsia="Courier New" w:hAnsi="Courier New"/>
          <w:sz w:val="17"/>
          <w:szCs w:val="17"/>
          <w:color w:val="auto"/>
        </w:rPr>
        <w:t>(State or other jurisdiction</w:t>
      </w:r>
      <w:r>
        <w:rPr>
          <w:sz w:val="20"/>
          <w:szCs w:val="20"/>
          <w:color w:val="auto"/>
        </w:rPr>
        <w:tab/>
      </w:r>
      <w:r>
        <w:rPr>
          <w:rFonts w:ascii="Courier New" w:cs="Courier New" w:eastAsia="Courier New" w:hAnsi="Courier New"/>
          <w:sz w:val="17"/>
          <w:szCs w:val="17"/>
          <w:color w:val="auto"/>
        </w:rPr>
        <w:t>(Commission</w:t>
      </w:r>
      <w:r>
        <w:rPr>
          <w:sz w:val="20"/>
          <w:szCs w:val="20"/>
          <w:color w:val="auto"/>
        </w:rPr>
        <w:tab/>
      </w:r>
      <w:r>
        <w:rPr>
          <w:rFonts w:ascii="Courier New" w:cs="Courier New" w:eastAsia="Courier New" w:hAnsi="Courier New"/>
          <w:sz w:val="16"/>
          <w:szCs w:val="16"/>
          <w:color w:val="auto"/>
        </w:rPr>
        <w:t>(IRS Employer</w:t>
      </w:r>
    </w:p>
    <w:p>
      <w:pPr>
        <w:spacing w:after="0" w:line="2" w:lineRule="exact"/>
        <w:rPr>
          <w:sz w:val="24"/>
          <w:szCs w:val="24"/>
          <w:color w:val="auto"/>
        </w:rPr>
      </w:pPr>
    </w:p>
    <w:p>
      <w:pPr>
        <w:ind w:left="720"/>
        <w:spacing w:after="0"/>
        <w:tabs>
          <w:tab w:leader="none" w:pos="3420" w:val="left"/>
          <w:tab w:leader="none" w:pos="5140" w:val="left"/>
        </w:tabs>
        <w:rPr>
          <w:sz w:val="20"/>
          <w:szCs w:val="20"/>
          <w:color w:val="auto"/>
        </w:rPr>
      </w:pPr>
      <w:r>
        <w:rPr>
          <w:rFonts w:ascii="Courier New" w:cs="Courier New" w:eastAsia="Courier New" w:hAnsi="Courier New"/>
          <w:sz w:val="17"/>
          <w:szCs w:val="17"/>
          <w:color w:val="auto"/>
        </w:rPr>
        <w:t>of incorporation)</w:t>
      </w:r>
      <w:r>
        <w:rPr>
          <w:sz w:val="20"/>
          <w:szCs w:val="20"/>
          <w:color w:val="auto"/>
        </w:rPr>
        <w:tab/>
      </w:r>
      <w:r>
        <w:rPr>
          <w:rFonts w:ascii="Courier New" w:cs="Courier New" w:eastAsia="Courier New" w:hAnsi="Courier New"/>
          <w:sz w:val="17"/>
          <w:szCs w:val="17"/>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361" w:lineRule="exact"/>
        <w:rPr>
          <w:sz w:val="24"/>
          <w:szCs w:val="24"/>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46" w:lineRule="exact"/>
        <w:rPr>
          <w:sz w:val="24"/>
          <w:szCs w:val="24"/>
          <w:color w:val="auto"/>
        </w:rPr>
      </w:pPr>
    </w:p>
    <w:p>
      <w:pPr>
        <w:spacing w:after="0"/>
        <w:tabs>
          <w:tab w:leader="none" w:pos="524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10" w:right="1440" w:bottom="0" w:gutter="0" w:footer="0" w:header="0"/>
        </w:sect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5"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(423) 743-9151</w:t>
      </w:r>
    </w:p>
    <w:p>
      <w:pPr>
        <w:spacing w:after="0" w:line="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410" w:right="1440" w:bottom="0" w:gutter="0" w:footer="0" w:header="0"/>
          <w:type w:val="continuous"/>
        </w:sectPr>
      </w:pPr>
    </w:p>
    <w:p>
      <w:pPr>
        <w:spacing w:after="0" w:line="36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Not applicable</w:t>
      </w:r>
    </w:p>
    <w:p>
      <w:pPr>
        <w:spacing w:after="0" w:line="32" w:lineRule="exact"/>
        <w:rPr>
          <w:sz w:val="24"/>
          <w:szCs w:val="24"/>
          <w:color w:val="auto"/>
        </w:rPr>
      </w:pPr>
    </w:p>
    <w:p>
      <w:pPr>
        <w:ind w:left="200" w:hanging="196"/>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9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340995</wp:posOffset>
            </wp:positionV>
            <wp:extent cx="72777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tabs>
          <w:tab w:leader="none" w:pos="1200" w:val="left"/>
        </w:tabs>
        <w:rPr>
          <w:sz w:val="20"/>
          <w:szCs w:val="20"/>
          <w:color w:val="auto"/>
        </w:rPr>
      </w:pPr>
      <w:r>
        <w:rPr>
          <w:rFonts w:ascii="Courier New" w:cs="Courier New" w:eastAsia="Courier New" w:hAnsi="Courier New"/>
          <w:sz w:val="17"/>
          <w:szCs w:val="17"/>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30" w:lineRule="exact"/>
        <w:rPr>
          <w:sz w:val="24"/>
          <w:szCs w:val="24"/>
          <w:color w:val="auto"/>
        </w:rPr>
      </w:pPr>
    </w:p>
    <w:p>
      <w:pPr>
        <w:ind w:left="920" w:right="3439" w:hanging="6"/>
        <w:spacing w:after="0" w:line="584" w:lineRule="auto"/>
        <w:tabs>
          <w:tab w:leader="none" w:pos="152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The following exhibits are filed herewith: 99.1 Press Release dated October 30, 2003.</w:t>
      </w:r>
    </w:p>
    <w:p>
      <w:pPr>
        <w:spacing w:after="0" w:line="1" w:lineRule="exact"/>
        <w:rPr>
          <w:sz w:val="24"/>
          <w:szCs w:val="24"/>
          <w:color w:val="auto"/>
        </w:rPr>
      </w:pPr>
    </w:p>
    <w:p>
      <w:pPr>
        <w:spacing w:after="0"/>
        <w:tabs>
          <w:tab w:leader="none" w:pos="1000" w:val="left"/>
        </w:tabs>
        <w:rPr>
          <w:sz w:val="20"/>
          <w:szCs w:val="20"/>
          <w:color w:val="auto"/>
        </w:rPr>
      </w:pPr>
      <w:r>
        <w:rPr>
          <w:rFonts w:ascii="Courier New" w:cs="Courier New" w:eastAsia="Courier New" w:hAnsi="Courier New"/>
          <w:sz w:val="17"/>
          <w:szCs w:val="17"/>
          <w:b w:val="1"/>
          <w:bCs w:val="1"/>
          <w:color w:val="auto"/>
        </w:rPr>
        <w:t>Item 12.</w:t>
      </w:r>
      <w:r>
        <w:rPr>
          <w:sz w:val="20"/>
          <w:szCs w:val="20"/>
          <w:color w:val="auto"/>
        </w:rPr>
        <w:tab/>
      </w:r>
      <w:r>
        <w:rPr>
          <w:rFonts w:ascii="Courier New" w:cs="Courier New" w:eastAsia="Courier New" w:hAnsi="Courier New"/>
          <w:sz w:val="16"/>
          <w:szCs w:val="16"/>
          <w:b w:val="1"/>
          <w:bCs w:val="1"/>
          <w:color w:val="auto"/>
        </w:rPr>
        <w:t>Results of Operations and Financial Condition.</w:t>
      </w:r>
    </w:p>
    <w:p>
      <w:pPr>
        <w:spacing w:after="0" w:line="230" w:lineRule="exact"/>
        <w:rPr>
          <w:sz w:val="24"/>
          <w:szCs w:val="24"/>
          <w:color w:val="auto"/>
        </w:rPr>
      </w:pPr>
    </w:p>
    <w:p>
      <w:pPr>
        <w:ind w:right="2119" w:firstLine="910"/>
        <w:spacing w:after="0" w:line="299" w:lineRule="auto"/>
        <w:rPr>
          <w:sz w:val="20"/>
          <w:szCs w:val="20"/>
          <w:color w:val="auto"/>
        </w:rPr>
      </w:pPr>
      <w:r>
        <w:rPr>
          <w:rFonts w:ascii="Courier New" w:cs="Courier New" w:eastAsia="Courier New" w:hAnsi="Courier New"/>
          <w:sz w:val="17"/>
          <w:szCs w:val="17"/>
          <w:color w:val="auto"/>
        </w:rPr>
        <w:t>On October 30, 2003 the Company issued a press release announcing its earnings for the third quarter of 2003. A copy of the press release is furnished under Item 12 of this Form 8-K as 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148590</wp:posOffset>
            </wp:positionV>
            <wp:extent cx="72777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SIGNATURE</w:t>
      </w:r>
    </w:p>
    <w:p>
      <w:pPr>
        <w:spacing w:after="0" w:line="391" w:lineRule="exact"/>
        <w:rPr>
          <w:sz w:val="24"/>
          <w:szCs w:val="24"/>
          <w:color w:val="auto"/>
        </w:rPr>
      </w:pPr>
    </w:p>
    <w:p>
      <w:pPr>
        <w:ind w:right="2439" w:firstLine="910"/>
        <w:spacing w:after="0" w:line="299"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58" w:lineRule="exact"/>
        <w:rPr>
          <w:sz w:val="24"/>
          <w:szCs w:val="24"/>
          <w:color w:val="auto"/>
        </w:rPr>
      </w:pPr>
    </w:p>
    <w:p>
      <w:pPr>
        <w:ind w:left="920"/>
        <w:spacing w:after="0"/>
        <w:tabs>
          <w:tab w:leader="none" w:pos="1600" w:val="left"/>
        </w:tabs>
        <w:rPr>
          <w:sz w:val="20"/>
          <w:szCs w:val="20"/>
          <w:color w:val="auto"/>
        </w:rPr>
      </w:pPr>
      <w:r>
        <w:rPr>
          <w:rFonts w:ascii="Courier New" w:cs="Courier New" w:eastAsia="Courier New" w:hAnsi="Courier New"/>
          <w:sz w:val="17"/>
          <w:szCs w:val="17"/>
          <w:color w:val="auto"/>
        </w:rPr>
        <w:t>Date:</w:t>
        <w:tab/>
        <w:t>October 30, 2003</w:t>
      </w:r>
    </w:p>
    <w:p>
      <w:pPr>
        <w:spacing w:after="0" w:line="32" w:lineRule="exact"/>
        <w:rPr>
          <w:sz w:val="24"/>
          <w:szCs w:val="24"/>
          <w:color w:val="auto"/>
        </w:rPr>
      </w:pPr>
    </w:p>
    <w:p>
      <w:pPr>
        <w:ind w:left="4460"/>
        <w:spacing w:after="0"/>
        <w:rPr>
          <w:sz w:val="20"/>
          <w:szCs w:val="20"/>
          <w:color w:val="auto"/>
        </w:rPr>
      </w:pPr>
      <w:r>
        <w:rPr>
          <w:rFonts w:ascii="Courier New" w:cs="Courier New" w:eastAsia="Courier New" w:hAnsi="Courier New"/>
          <w:sz w:val="17"/>
          <w:szCs w:val="17"/>
          <w:color w:val="auto"/>
        </w:rPr>
        <w:t>NN, INC.</w:t>
      </w:r>
    </w:p>
    <w:p>
      <w:pPr>
        <w:spacing w:after="0" w:line="361" w:lineRule="exact"/>
        <w:rPr>
          <w:sz w:val="24"/>
          <w:szCs w:val="24"/>
          <w:color w:val="auto"/>
        </w:rPr>
      </w:pPr>
    </w:p>
    <w:p>
      <w:pPr>
        <w:ind w:left="4460"/>
        <w:spacing w:after="0"/>
        <w:rPr>
          <w:sz w:val="20"/>
          <w:szCs w:val="20"/>
          <w:color w:val="auto"/>
        </w:rPr>
      </w:pPr>
      <w:r>
        <w:rPr>
          <w:rFonts w:ascii="Courier New" w:cs="Courier New" w:eastAsia="Courier New" w:hAnsi="Courier New"/>
          <w:sz w:val="17"/>
          <w:szCs w:val="17"/>
          <w:color w:val="auto"/>
        </w:rPr>
        <w:t>By: /s/ William C. Kelly, Jr.</w:t>
      </w:r>
    </w:p>
    <w:p>
      <w:pPr>
        <w:spacing w:after="0" w:line="32" w:lineRule="exact"/>
        <w:rPr>
          <w:sz w:val="24"/>
          <w:szCs w:val="24"/>
          <w:color w:val="auto"/>
        </w:rPr>
      </w:pPr>
    </w:p>
    <w:p>
      <w:pPr>
        <w:ind w:left="47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410" w:right="1440" w:bottom="0" w:gutter="0" w:footer="0" w:header="0"/>
          <w:type w:val="continuous"/>
        </w:sectPr>
      </w:pPr>
    </w:p>
    <w:bookmarkStart w:id="1" w:name="page2"/>
    <w:bookmarkEnd w:id="1"/>
    <w:p>
      <w:pPr>
        <w:ind w:left="3760"/>
        <w:spacing w:after="0"/>
        <w:rPr>
          <w:sz w:val="20"/>
          <w:szCs w:val="20"/>
          <w:color w:val="auto"/>
        </w:rPr>
      </w:pPr>
      <w:r>
        <w:rPr>
          <w:rFonts w:ascii="Courier New" w:cs="Courier New" w:eastAsia="Courier New" w:hAnsi="Courier New"/>
          <w:sz w:val="17"/>
          <w:szCs w:val="17"/>
          <w:color w:val="auto"/>
        </w:rPr>
        <w:t>William C. Kelly, Jr.,</w:t>
      </w:r>
    </w:p>
    <w:p>
      <w:pPr>
        <w:spacing w:after="0" w:line="32"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Secretary, Treasurer and Chief</w:t>
      </w:r>
    </w:p>
    <w:p>
      <w:pPr>
        <w:spacing w:after="0" w:line="13"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Administrative Officer</w:t>
      </w:r>
    </w:p>
    <w:p>
      <w:pPr>
        <w:sectPr>
          <w:pgSz w:w="11900" w:h="16838" w:orient="portrait"/>
          <w:cols w:equalWidth="0" w:num="1">
            <w:col w:w="9019"/>
          </w:cols>
          <w:pgMar w:left="1440" w:top="112"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4978400</wp:posOffset>
            </wp:positionH>
            <wp:positionV relativeFrom="page">
              <wp:posOffset>442595</wp:posOffset>
            </wp:positionV>
            <wp:extent cx="2428240" cy="741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428240" cy="74104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442595</wp:posOffset>
            </wp:positionV>
            <wp:extent cx="1646555"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46555" cy="411480"/>
                    </a:xfrm>
                    <a:prstGeom prst="rect">
                      <a:avLst/>
                    </a:prstGeom>
                    <a:noFill/>
                  </pic:spPr>
                </pic:pic>
              </a:graphicData>
            </a:graphic>
          </wp:anchor>
        </w:drawing>
      </w:r>
    </w:p>
    <w:p>
      <w:pPr>
        <w:spacing w:after="0" w:line="377" w:lineRule="exact"/>
        <w:rPr>
          <w:sz w:val="20"/>
          <w:szCs w:val="20"/>
          <w:color w:val="auto"/>
        </w:rPr>
      </w:pPr>
    </w:p>
    <w:p>
      <w:pPr>
        <w:ind w:left="6580"/>
        <w:spacing w:after="0"/>
        <w:rPr>
          <w:sz w:val="20"/>
          <w:szCs w:val="20"/>
          <w:color w:val="auto"/>
        </w:rPr>
      </w:pPr>
      <w:r>
        <w:rPr>
          <w:rFonts w:ascii="Courier New" w:cs="Courier New" w:eastAsia="Courier New" w:hAnsi="Courier New"/>
          <w:sz w:val="16"/>
          <w:szCs w:val="16"/>
          <w:color w:val="auto"/>
        </w:rPr>
        <w:t>Exhibit 99.1</w:t>
      </w:r>
    </w:p>
    <w:p>
      <w:pPr>
        <w:spacing w:after="0" w:line="200" w:lineRule="exact"/>
        <w:rPr>
          <w:sz w:val="20"/>
          <w:szCs w:val="20"/>
          <w:color w:val="auto"/>
        </w:rPr>
      </w:pPr>
    </w:p>
    <w:p>
      <w:pPr>
        <w:spacing w:after="0" w:line="202"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RE: NN, Inc.</w:t>
      </w:r>
    </w:p>
    <w:p>
      <w:pPr>
        <w:spacing w:after="0" w:line="32"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2000 Waters Edge Drive</w:t>
      </w:r>
    </w:p>
    <w:p>
      <w:pPr>
        <w:spacing w:after="0" w:line="2" w:lineRule="exact"/>
        <w:rPr>
          <w:sz w:val="20"/>
          <w:szCs w:val="20"/>
          <w:color w:val="auto"/>
        </w:rPr>
      </w:pPr>
    </w:p>
    <w:p>
      <w:pPr>
        <w:ind w:left="5160"/>
        <w:spacing w:after="0"/>
        <w:tabs>
          <w:tab w:leader="none" w:pos="6960" w:val="left"/>
        </w:tabs>
        <w:rPr>
          <w:sz w:val="20"/>
          <w:szCs w:val="20"/>
          <w:color w:val="auto"/>
        </w:rPr>
      </w:pPr>
      <w:r>
        <w:rPr>
          <w:rFonts w:ascii="Courier New" w:cs="Courier New" w:eastAsia="Courier New" w:hAnsi="Courier New"/>
          <w:sz w:val="17"/>
          <w:szCs w:val="17"/>
          <w:color w:val="auto"/>
        </w:rPr>
        <w:t>Johnson City, TN</w:t>
      </w:r>
      <w:r>
        <w:rPr>
          <w:sz w:val="20"/>
          <w:szCs w:val="20"/>
          <w:color w:val="auto"/>
        </w:rPr>
        <w:tab/>
      </w:r>
      <w:r>
        <w:rPr>
          <w:rFonts w:ascii="Courier New" w:cs="Courier New" w:eastAsia="Courier New" w:hAnsi="Courier New"/>
          <w:sz w:val="16"/>
          <w:szCs w:val="16"/>
          <w:color w:val="auto"/>
        </w:rPr>
        <w:t>37604</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FURTHER INFORMATION:</w:t>
      </w:r>
    </w:p>
    <w:p>
      <w:pPr>
        <w:sectPr>
          <w:pgSz w:w="11900" w:h="16980" w:orient="portrait"/>
          <w:cols w:equalWidth="0" w:num="1">
            <w:col w:w="10219"/>
          </w:cols>
          <w:pgMar w:left="240" w:top="1440" w:right="1440" w:bottom="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AT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Kelly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(423) 743-9151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AT FRB|WEBER SHANDWICK</w:t>
      </w:r>
    </w:p>
    <w:p>
      <w:pPr>
        <w:spacing w:after="0" w:line="6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b w:val="1"/>
          <w:bCs w:val="1"/>
          <w:color w:val="auto"/>
        </w:rPr>
        <w:t>----------------------</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7"/>
          <w:szCs w:val="17"/>
          <w:color w:val="auto"/>
        </w:rPr>
        <w:t>Alison Ziegler</w:t>
      </w:r>
      <w:r>
        <w:rPr>
          <w:sz w:val="20"/>
          <w:szCs w:val="20"/>
          <w:color w:val="auto"/>
        </w:rPr>
        <w:tab/>
      </w:r>
      <w:r>
        <w:rPr>
          <w:rFonts w:ascii="Courier New" w:cs="Courier New" w:eastAsia="Courier New" w:hAnsi="Courier New"/>
          <w:sz w:val="16"/>
          <w:szCs w:val="16"/>
          <w:color w:val="auto"/>
        </w:rPr>
        <w:t>Susan Garland</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7"/>
          <w:szCs w:val="17"/>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7"/>
          <w:szCs w:val="17"/>
          <w:color w:val="auto"/>
        </w:rPr>
        <w:t>212-445-8432</w:t>
      </w:r>
      <w:r>
        <w:rPr>
          <w:sz w:val="20"/>
          <w:szCs w:val="20"/>
          <w:color w:val="auto"/>
        </w:rPr>
        <w:tab/>
      </w:r>
      <w:r>
        <w:rPr>
          <w:rFonts w:ascii="Courier New" w:cs="Courier New" w:eastAsia="Courier New" w:hAnsi="Courier New"/>
          <w:sz w:val="16"/>
          <w:szCs w:val="16"/>
          <w:color w:val="auto"/>
        </w:rPr>
        <w:t>212-445-8458</w:t>
      </w:r>
    </w:p>
    <w:p>
      <w:pPr>
        <w:spacing w:after="0" w:line="132" w:lineRule="exact"/>
        <w:rPr>
          <w:sz w:val="20"/>
          <w:szCs w:val="20"/>
          <w:color w:val="auto"/>
        </w:rPr>
      </w:pPr>
    </w:p>
    <w:p>
      <w:pPr>
        <w:sectPr>
          <w:pgSz w:w="11900" w:h="16980" w:orient="portrait"/>
          <w:cols w:equalWidth="0" w:num="2">
            <w:col w:w="4240" w:space="720"/>
            <w:col w:w="525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7"/>
          <w:szCs w:val="17"/>
          <w:b w:val="1"/>
          <w:bCs w:val="1"/>
          <w:color w:val="auto"/>
        </w:rPr>
        <w:t>FOR IMMEDIATE RELEASE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30, 2003</w:t>
      </w:r>
    </w:p>
    <w:p>
      <w:pPr>
        <w:spacing w:after="0" w:line="13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b w:val="1"/>
          <w:bCs w:val="1"/>
          <w:color w:val="auto"/>
        </w:rPr>
        <w:t>NN, INC. REPORTS REVENUE AND NET INCOME UP 36% AND 51% RESPECTIVELY IN</w:t>
      </w:r>
    </w:p>
    <w:p>
      <w:pPr>
        <w:spacing w:after="0" w:line="66"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b w:val="1"/>
          <w:bCs w:val="1"/>
          <w:color w:val="auto"/>
        </w:rPr>
        <w:t>THE THIRD QUARTER OF 2003</w:t>
      </w:r>
    </w:p>
    <w:p>
      <w:pPr>
        <w:spacing w:after="0" w:line="327" w:lineRule="exact"/>
        <w:rPr>
          <w:sz w:val="20"/>
          <w:szCs w:val="20"/>
          <w:color w:val="auto"/>
        </w:rPr>
      </w:pPr>
    </w:p>
    <w:p>
      <w:pPr>
        <w:ind w:right="2119"/>
        <w:spacing w:after="0" w:line="268" w:lineRule="auto"/>
        <w:rPr>
          <w:sz w:val="20"/>
          <w:szCs w:val="20"/>
          <w:color w:val="auto"/>
        </w:rPr>
      </w:pPr>
      <w:r>
        <w:rPr>
          <w:rFonts w:ascii="Courier New" w:cs="Courier New" w:eastAsia="Courier New" w:hAnsi="Courier New"/>
          <w:sz w:val="17"/>
          <w:szCs w:val="17"/>
          <w:b w:val="1"/>
          <w:bCs w:val="1"/>
          <w:color w:val="auto"/>
        </w:rPr>
        <w:t xml:space="preserve">Johnson City, Tenn., October 30, 2003 </w:t>
      </w:r>
      <w:r>
        <w:rPr>
          <w:rFonts w:ascii="Courier New" w:cs="Courier New" w:eastAsia="Courier New" w:hAnsi="Courier New"/>
          <w:sz w:val="17"/>
          <w:szCs w:val="17"/>
          <w:color w:val="auto"/>
        </w:rPr>
        <w:t>- NN, Inc. (Nasdaq: NNBR) today reported</w:t>
      </w:r>
      <w:r>
        <w:rPr>
          <w:rFonts w:ascii="Courier New" w:cs="Courier New" w:eastAsia="Courier New" w:hAnsi="Courier New"/>
          <w:sz w:val="17"/>
          <w:szCs w:val="17"/>
          <w:b w:val="1"/>
          <w:bCs w:val="1"/>
          <w:color w:val="auto"/>
        </w:rPr>
        <w:t xml:space="preserve"> </w:t>
      </w:r>
      <w:r>
        <w:rPr>
          <w:rFonts w:ascii="Courier New" w:cs="Courier New" w:eastAsia="Courier New" w:hAnsi="Courier New"/>
          <w:sz w:val="17"/>
          <w:szCs w:val="17"/>
          <w:color w:val="auto"/>
        </w:rPr>
        <w:t>its financial results for the third quarter ended September 30, 2003. Results for the third quarter of 2003 include the operations of NN Netherlands (Veenendaal) a component manufacturing operation in Veenendaal, The Netherlands, which was acquired from the SKF Group (SKF) on May 2, 2003. Additionally, net income includes 100% ownership interest in NN Euroball (Euroball) due to the purchase of SKF's 23% minority interest on May 2, 2003.</w:t>
      </w:r>
    </w:p>
    <w:p>
      <w:pPr>
        <w:spacing w:after="0" w:line="84"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7"/>
          <w:szCs w:val="17"/>
          <w:color w:val="auto"/>
        </w:rPr>
        <w:t>Net sales for the third quarter of 2003 were $64.6 million, up 36.2% from $47.5 million for the same period of 2002. Net income for the third quarter of 2003 totaled $3.2 million, or $0.18 per diluted share, compared to $2.1 million, or $0.14 per diluted share, for the third quarter of 2002. Diluted earnings per share of $0.18 for the third quarter of 2003 includes a $0.01 gain on the sale of assets related to NN's plastic production facility, NN Arte, which was closed in the second quarter. Excluding the gain, adjusted net income was $2.9 million and adjusted diluted earnings per share were $0.17 per share.</w:t>
      </w:r>
    </w:p>
    <w:p>
      <w:pPr>
        <w:spacing w:after="0" w:line="94" w:lineRule="exact"/>
        <w:rPr>
          <w:sz w:val="20"/>
          <w:szCs w:val="20"/>
          <w:color w:val="auto"/>
        </w:rPr>
      </w:pPr>
    </w:p>
    <w:p>
      <w:pPr>
        <w:ind w:right="2119"/>
        <w:spacing w:after="0" w:line="252" w:lineRule="auto"/>
        <w:rPr>
          <w:sz w:val="20"/>
          <w:szCs w:val="20"/>
          <w:color w:val="auto"/>
        </w:rPr>
      </w:pPr>
      <w:r>
        <w:rPr>
          <w:rFonts w:ascii="Courier New" w:cs="Courier New" w:eastAsia="Courier New" w:hAnsi="Courier New"/>
          <w:sz w:val="17"/>
          <w:szCs w:val="17"/>
          <w:color w:val="auto"/>
        </w:rPr>
        <w:t>Net sales for the first nine months of 2003 were $186.4 million, up 29.6% compared to $143.8 million for the same period of 2002. Net income for the first nine months of 2003 totaled $14.1 million, or $0.87 per diluted share, compared to $6.4 million, or $0.40 per diluted share, for the same period of 2002. Diluted earnings per share of $0.87 for the first nine months of 2003 include a non-cash, non-taxable gain of $6.6 million, or $0.41 per diluted share, associated with the purchase of SKF's 23% minority interest in Euroball; an after-tax impairment charge of $1.7 million, or $0.11 per diluted share related to the closing of NN's plastic production facility, NN Arte; a non-cash, after-tax charge of $291,000, or $0.02 per diluted share, relating to the write-off of unamortized loan costs associated with the refinancing of the former credit facility; a non-cash,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299720</wp:posOffset>
            </wp:positionV>
            <wp:extent cx="72777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319"/>
        <w:spacing w:after="0" w:line="302" w:lineRule="auto"/>
        <w:rPr>
          <w:sz w:val="20"/>
          <w:szCs w:val="20"/>
          <w:color w:val="auto"/>
        </w:rPr>
      </w:pPr>
      <w:r>
        <w:rPr>
          <w:rFonts w:ascii="Courier New" w:cs="Courier New" w:eastAsia="Courier New" w:hAnsi="Courier New"/>
          <w:sz w:val="16"/>
          <w:szCs w:val="16"/>
          <w:color w:val="auto"/>
        </w:rPr>
        <w:t>tax charge of $200,000, or $0.01 per diluted share, for compensation charges associated with a portion of employee stock options accounted for under the variable accounting method. Adjusting for these items, adjusted net income was $9.7 million and adjusted diluted earnings per share were $0.60 per share.</w:t>
      </w:r>
    </w:p>
    <w:p>
      <w:pPr>
        <w:spacing w:after="0" w:line="60" w:lineRule="exact"/>
        <w:rPr>
          <w:sz w:val="20"/>
          <w:szCs w:val="20"/>
          <w:color w:val="auto"/>
        </w:rPr>
      </w:pPr>
    </w:p>
    <w:p>
      <w:pPr>
        <w:ind w:right="2319"/>
        <w:spacing w:after="0" w:line="255" w:lineRule="auto"/>
        <w:rPr>
          <w:sz w:val="20"/>
          <w:szCs w:val="20"/>
          <w:color w:val="auto"/>
        </w:rPr>
      </w:pPr>
      <w:r>
        <w:rPr>
          <w:rFonts w:ascii="Courier New" w:cs="Courier New" w:eastAsia="Courier New" w:hAnsi="Courier New"/>
          <w:sz w:val="17"/>
          <w:szCs w:val="17"/>
          <w:color w:val="auto"/>
        </w:rPr>
        <w:t>David L. Dyckman, Chief Financial Officer, commented, "This is the sixth consecutive quarter that we have experienced year-over-year improvement in revenues and earnings. Revenue growth of 36.2% over the third quarter of 2002 was almost entirely attributable to the $12.5 million in revenue contribution from the recently acquired Veenendaal operation and approximately $3.2 million in favorable currency fluctuations. Excluding the impact from Veenendaal and currency, NN's underlying revenues grew approximately 4%. Looking at earnings, the accretion from Veenendaal and our purchase of SKF Group's remaining 23% ownership in Euroball contributed $0.05 to diluted earnings per share for the quarter.</w:t>
      </w:r>
    </w:p>
    <w:p>
      <w:pPr>
        <w:spacing w:after="0" w:line="93" w:lineRule="exact"/>
        <w:rPr>
          <w:sz w:val="20"/>
          <w:szCs w:val="20"/>
          <w:color w:val="auto"/>
        </w:rPr>
      </w:pPr>
    </w:p>
    <w:p>
      <w:pPr>
        <w:jc w:val="both"/>
        <w:ind w:right="2439"/>
        <w:spacing w:after="0" w:line="325" w:lineRule="auto"/>
        <w:rPr>
          <w:sz w:val="20"/>
          <w:szCs w:val="20"/>
          <w:color w:val="auto"/>
        </w:rPr>
      </w:pPr>
      <w:r>
        <w:rPr>
          <w:rFonts w:ascii="Courier New" w:cs="Courier New" w:eastAsia="Courier New" w:hAnsi="Courier New"/>
          <w:sz w:val="16"/>
          <w:szCs w:val="16"/>
          <w:color w:val="auto"/>
        </w:rPr>
        <w:t>"As a percentage of net sales, the gross profit margin was 22.2% in the third quarter of 2003 versus 24.9% in third quarter of 2002 and 22.5% in the second quarter of 2003. The third quarter margins primarily reflect lower margins</w:t>
      </w:r>
    </w:p>
    <w:p>
      <w:pPr>
        <w:sectPr>
          <w:pgSz w:w="11900" w:h="16980" w:orient="portrait"/>
          <w:cols w:equalWidth="0" w:num="1">
            <w:col w:w="10219"/>
          </w:cols>
          <w:pgMar w:left="240" w:top="1440" w:right="1440" w:bottom="0" w:gutter="0" w:footer="0" w:header="0"/>
          <w:type w:val="continuous"/>
        </w:sectPr>
      </w:pPr>
    </w:p>
    <w:bookmarkStart w:id="3" w:name="page4"/>
    <w:bookmarkEnd w:id="3"/>
    <w:p>
      <w:pPr>
        <w:spacing w:after="0" w:line="2" w:lineRule="exact"/>
        <w:rPr>
          <w:sz w:val="20"/>
          <w:szCs w:val="20"/>
          <w:color w:val="auto"/>
        </w:rPr>
      </w:pPr>
    </w:p>
    <w:p>
      <w:pPr>
        <w:ind w:right="2940"/>
        <w:spacing w:after="0" w:line="299" w:lineRule="auto"/>
        <w:rPr>
          <w:sz w:val="20"/>
          <w:szCs w:val="20"/>
          <w:color w:val="auto"/>
        </w:rPr>
      </w:pPr>
      <w:r>
        <w:rPr>
          <w:rFonts w:ascii="Courier New" w:cs="Courier New" w:eastAsia="Courier New" w:hAnsi="Courier New"/>
          <w:sz w:val="17"/>
          <w:szCs w:val="17"/>
          <w:color w:val="auto"/>
        </w:rPr>
        <w:t>associated with our recently acquired Veenendaal facility and unfavorable product mix factors. For the first nine months of 2003 and 2002, gross profit margin as a percentage of sales was 23.4% and 25.4% respectively.</w:t>
      </w:r>
    </w:p>
    <w:p>
      <w:pPr>
        <w:spacing w:after="0" w:line="58" w:lineRule="exact"/>
        <w:rPr>
          <w:sz w:val="20"/>
          <w:szCs w:val="20"/>
          <w:color w:val="auto"/>
        </w:rPr>
      </w:pPr>
    </w:p>
    <w:p>
      <w:pPr>
        <w:jc w:val="both"/>
        <w:ind w:right="3140"/>
        <w:spacing w:after="0" w:line="325" w:lineRule="auto"/>
        <w:rPr>
          <w:sz w:val="20"/>
          <w:szCs w:val="20"/>
          <w:color w:val="auto"/>
        </w:rPr>
      </w:pPr>
      <w:r>
        <w:rPr>
          <w:rFonts w:ascii="Courier New" w:cs="Courier New" w:eastAsia="Courier New" w:hAnsi="Courier New"/>
          <w:sz w:val="16"/>
          <w:szCs w:val="16"/>
          <w:color w:val="auto"/>
        </w:rPr>
        <w:t>"Selling, general and administrative expenses for the third quarter of 2003 declined to 8.1% as a percentage of net sales compared to 8.6% for the same period in 2002, within our historical target range of 8.0% to 8.5%."</w:t>
      </w:r>
    </w:p>
    <w:p>
      <w:pPr>
        <w:spacing w:after="0" w:line="41" w:lineRule="exact"/>
        <w:rPr>
          <w:sz w:val="20"/>
          <w:szCs w:val="20"/>
          <w:color w:val="auto"/>
        </w:rPr>
      </w:pPr>
    </w:p>
    <w:p>
      <w:pPr>
        <w:ind w:right="2720"/>
        <w:spacing w:after="0" w:line="271" w:lineRule="auto"/>
        <w:rPr>
          <w:sz w:val="20"/>
          <w:szCs w:val="20"/>
          <w:color w:val="auto"/>
        </w:rPr>
      </w:pPr>
      <w:r>
        <w:rPr>
          <w:rFonts w:ascii="Courier New" w:cs="Courier New" w:eastAsia="Courier New" w:hAnsi="Courier New"/>
          <w:sz w:val="16"/>
          <w:szCs w:val="16"/>
          <w:color w:val="auto"/>
        </w:rPr>
        <w:t>Roderick R. Baty, Chairman and Chief Executive Officer, stated, "During October we announced that we had entered into an asset purchase agreement with KLF - Gulickaren, based in Kysucke Nove Mesto, Slovakia to acquire their precision ball operations for approximately 1.7 million Euros. The assets of this operation are being utilized in the formation of a new manufacturing facility which will better allow us to serve our worldwide bearing customers, many of whom have already established Eastern European operations. We are optimistic about the outlook for this operation and believe that it will provide new opportunities to create value for our customers. We anticipate that this facility will be operational in early 2004 and contribute approximately $2.0 to $3.0 million in revenues for the first year of operation.</w:t>
      </w:r>
    </w:p>
    <w:p>
      <w:pPr>
        <w:spacing w:after="0" w:line="82" w:lineRule="exact"/>
        <w:rPr>
          <w:sz w:val="20"/>
          <w:szCs w:val="20"/>
          <w:color w:val="auto"/>
        </w:rPr>
      </w:pPr>
    </w:p>
    <w:p>
      <w:pPr>
        <w:ind w:right="2620"/>
        <w:spacing w:after="0" w:line="284" w:lineRule="auto"/>
        <w:rPr>
          <w:sz w:val="20"/>
          <w:szCs w:val="20"/>
          <w:color w:val="auto"/>
        </w:rPr>
      </w:pPr>
      <w:r>
        <w:rPr>
          <w:rFonts w:ascii="Courier New" w:cs="Courier New" w:eastAsia="Courier New" w:hAnsi="Courier New"/>
          <w:sz w:val="16"/>
          <w:szCs w:val="16"/>
          <w:color w:val="auto"/>
        </w:rPr>
        <w:t>"Additionally, in the fourth quarter we are initiating a company wide program in all nine of our global manufacturing operations that will continue NN's history of being in the forefront of low cost, high quality component manufacturing companies. This program integrates the principles of Lean Enterprise, Six Sigma and Total Productive Maintenance and will provide our employees with the tools to excel in an increasingly demanding and competitive global market place.</w:t>
      </w:r>
    </w:p>
    <w:p>
      <w:pPr>
        <w:spacing w:after="0" w:line="74" w:lineRule="exact"/>
        <w:rPr>
          <w:sz w:val="20"/>
          <w:szCs w:val="20"/>
          <w:color w:val="auto"/>
        </w:rPr>
      </w:pPr>
    </w:p>
    <w:p>
      <w:pPr>
        <w:ind w:right="2620"/>
        <w:spacing w:after="0" w:line="280" w:lineRule="auto"/>
        <w:rPr>
          <w:sz w:val="20"/>
          <w:szCs w:val="20"/>
          <w:color w:val="auto"/>
        </w:rPr>
      </w:pPr>
      <w:r>
        <w:rPr>
          <w:rFonts w:ascii="Courier New" w:cs="Courier New" w:eastAsia="Courier New" w:hAnsi="Courier New"/>
          <w:sz w:val="17"/>
          <w:szCs w:val="17"/>
          <w:color w:val="auto"/>
        </w:rPr>
        <w:t>Mr. Baty, concluded, "Looking forward into the fourth quarter of 2003 and into 2004, we continue to remain cautious on the outlook of economies around the world. The addition of Veenendaal and the purchase of the remaining SKF minority interest will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281940</wp:posOffset>
            </wp:positionV>
            <wp:extent cx="72777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940"/>
        <w:spacing w:after="0" w:line="280" w:lineRule="auto"/>
        <w:rPr>
          <w:sz w:val="20"/>
          <w:szCs w:val="20"/>
          <w:color w:val="auto"/>
        </w:rPr>
      </w:pPr>
      <w:r>
        <w:rPr>
          <w:rFonts w:ascii="Courier New" w:cs="Courier New" w:eastAsia="Courier New" w:hAnsi="Courier New"/>
          <w:sz w:val="17"/>
          <w:szCs w:val="17"/>
          <w:color w:val="auto"/>
        </w:rPr>
        <w:t>fourth quarter results and continue into 2004. With this being said, we currently expect to report fourth quarter revenue in a range of $64 to $65 million and earnings per diluted share from underlying operations of $0.17 to $0.18."</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i w:val="1"/>
          <w:iCs w:val="1"/>
          <w:color w:val="auto"/>
        </w:rPr>
        <w:t>Adjusted Net Income and Diluted Earnings Per Share</w:t>
      </w:r>
    </w:p>
    <w:p>
      <w:pPr>
        <w:spacing w:after="0" w:line="194" w:lineRule="exact"/>
        <w:rPr>
          <w:sz w:val="20"/>
          <w:szCs w:val="20"/>
          <w:color w:val="auto"/>
        </w:rPr>
      </w:pPr>
    </w:p>
    <w:p>
      <w:pPr>
        <w:ind w:right="2620"/>
        <w:spacing w:after="0" w:line="252" w:lineRule="auto"/>
        <w:rPr>
          <w:sz w:val="20"/>
          <w:szCs w:val="20"/>
          <w:color w:val="auto"/>
        </w:rPr>
      </w:pPr>
      <w:r>
        <w:rPr>
          <w:rFonts w:ascii="Courier New" w:cs="Courier New" w:eastAsia="Courier New" w:hAnsi="Courier New"/>
          <w:sz w:val="17"/>
          <w:szCs w:val="17"/>
          <w:color w:val="auto"/>
        </w:rPr>
        <w:t>In accordance with generally accepted accounting principles, reported net income and diluted earnings per share include the after-tax effect of: the gain from the purchase of SKF's interest in Euroball; impairment charges and gain on the sale of assets related to the planned closing of NN Arte; the write-off of unamortized loan costs of the former credit facility; and the non-cash compensation charges associated with a portion of employee stock options. The Company's management believes that by adjusting reported net income and diluted earnings per share to exclude the effects of these items, the resulting earnings better represent the operating results of the Company. The Company's management uses adjusted earnings to evaluate operating performance of consolidated business units from one period to another. The reconciliation of adjusted net income and diluted earnings per share is provided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3420" w:type="dxa"/>
            <w:vAlign w:val="bottom"/>
            <w:gridSpan w:val="2"/>
          </w:tcPr>
          <w:p>
            <w:pPr>
              <w:jc w:val="right"/>
              <w:ind w:right="1016"/>
              <w:spacing w:after="0"/>
              <w:rPr>
                <w:sz w:val="20"/>
                <w:szCs w:val="20"/>
                <w:color w:val="auto"/>
              </w:rPr>
            </w:pPr>
            <w:r>
              <w:rPr>
                <w:rFonts w:ascii="Courier New" w:cs="Courier New" w:eastAsia="Courier New" w:hAnsi="Courier New"/>
                <w:sz w:val="17"/>
                <w:szCs w:val="17"/>
                <w:b w:val="1"/>
                <w:bCs w:val="1"/>
                <w:color w:val="auto"/>
              </w:rPr>
              <w:t>Three Months</w:t>
            </w:r>
          </w:p>
        </w:tc>
        <w:tc>
          <w:tcPr>
            <w:tcW w:w="2940" w:type="dxa"/>
            <w:vAlign w:val="bottom"/>
            <w:gridSpan w:val="2"/>
          </w:tcPr>
          <w:p>
            <w:pPr>
              <w:jc w:val="right"/>
              <w:ind w:right="816"/>
              <w:spacing w:after="0"/>
              <w:rPr>
                <w:sz w:val="20"/>
                <w:szCs w:val="20"/>
                <w:color w:val="auto"/>
              </w:rPr>
            </w:pPr>
            <w:r>
              <w:rPr>
                <w:rFonts w:ascii="Courier New" w:cs="Courier New" w:eastAsia="Courier New" w:hAnsi="Courier New"/>
                <w:sz w:val="17"/>
                <w:szCs w:val="17"/>
                <w:b w:val="1"/>
                <w:bCs w:val="1"/>
                <w:color w:val="auto"/>
              </w:rPr>
              <w:t>Nine Months</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7"/>
                <w:szCs w:val="17"/>
                <w:b w:val="1"/>
                <w:bCs w:val="1"/>
                <w:color w:val="auto"/>
              </w:rPr>
              <w:t>Ended</w:t>
            </w:r>
          </w:p>
        </w:tc>
        <w:tc>
          <w:tcPr>
            <w:tcW w:w="1360" w:type="dxa"/>
            <w:vAlign w:val="bottom"/>
          </w:tcPr>
          <w:p>
            <w:pPr>
              <w:spacing w:after="0"/>
              <w:rPr>
                <w:sz w:val="16"/>
                <w:szCs w:val="16"/>
                <w:color w:val="auto"/>
              </w:rPr>
            </w:pPr>
          </w:p>
        </w:tc>
        <w:tc>
          <w:tcPr>
            <w:tcW w:w="1820" w:type="dxa"/>
            <w:vAlign w:val="bottom"/>
          </w:tcPr>
          <w:p>
            <w:pPr>
              <w:jc w:val="right"/>
              <w:ind w:right="16"/>
              <w:spacing w:after="0"/>
              <w:rPr>
                <w:sz w:val="20"/>
                <w:szCs w:val="20"/>
                <w:color w:val="auto"/>
              </w:rPr>
            </w:pPr>
            <w:r>
              <w:rPr>
                <w:rFonts w:ascii="Courier New" w:cs="Courier New" w:eastAsia="Courier New" w:hAnsi="Courier New"/>
                <w:sz w:val="17"/>
                <w:szCs w:val="17"/>
                <w:b w:val="1"/>
                <w:bCs w:val="1"/>
                <w:color w:val="auto"/>
              </w:rPr>
              <w:t>Ended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3420" w:type="dxa"/>
            <w:vAlign w:val="bottom"/>
            <w:gridSpan w:val="2"/>
          </w:tcPr>
          <w:p>
            <w:pPr>
              <w:jc w:val="right"/>
              <w:ind w:right="716"/>
              <w:spacing w:after="0"/>
              <w:rPr>
                <w:sz w:val="20"/>
                <w:szCs w:val="20"/>
                <w:color w:val="auto"/>
              </w:rPr>
            </w:pPr>
            <w:r>
              <w:rPr>
                <w:rFonts w:ascii="Courier New" w:cs="Courier New" w:eastAsia="Courier New" w:hAnsi="Courier New"/>
                <w:sz w:val="17"/>
                <w:szCs w:val="17"/>
                <w:b w:val="1"/>
                <w:bCs w:val="1"/>
                <w:color w:val="auto"/>
              </w:rPr>
              <w:t>September 30, 2003</w:t>
            </w:r>
          </w:p>
        </w:tc>
        <w:tc>
          <w:tcPr>
            <w:tcW w:w="2940" w:type="dxa"/>
            <w:vAlign w:val="bottom"/>
            <w:gridSpan w:val="2"/>
          </w:tcPr>
          <w:p>
            <w:pPr>
              <w:jc w:val="right"/>
              <w:ind w:right="416"/>
              <w:spacing w:after="0"/>
              <w:rPr>
                <w:sz w:val="20"/>
                <w:szCs w:val="20"/>
                <w:color w:val="auto"/>
              </w:rPr>
            </w:pPr>
            <w:r>
              <w:rPr>
                <w:rFonts w:ascii="Courier New" w:cs="Courier New" w:eastAsia="Courier New" w:hAnsi="Courier New"/>
                <w:sz w:val="17"/>
                <w:szCs w:val="17"/>
                <w:b w:val="1"/>
                <w:bCs w:val="1"/>
                <w:color w:val="auto"/>
              </w:rPr>
              <w:t>September 30, 2003</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2060" w:type="dxa"/>
            <w:vAlign w:val="bottom"/>
          </w:tcPr>
          <w:p>
            <w:pPr>
              <w:jc w:val="right"/>
              <w:ind w:right="476"/>
              <w:spacing w:after="0"/>
              <w:rPr>
                <w:sz w:val="20"/>
                <w:szCs w:val="20"/>
                <w:color w:val="auto"/>
              </w:rPr>
            </w:pPr>
            <w:r>
              <w:rPr>
                <w:rFonts w:ascii="Courier New" w:cs="Courier New" w:eastAsia="Courier New" w:hAnsi="Courier New"/>
                <w:sz w:val="17"/>
                <w:szCs w:val="17"/>
                <w:b w:val="1"/>
                <w:bCs w:val="1"/>
                <w:color w:val="auto"/>
              </w:rPr>
              <w:t>Net Income</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b w:val="1"/>
                <w:bCs w:val="1"/>
                <w:color w:val="auto"/>
              </w:rPr>
              <w:t>Diluted</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b w:val="1"/>
                <w:bCs w:val="1"/>
                <w:color w:val="auto"/>
              </w:rPr>
              <w:t>Net Income</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b w:val="1"/>
                <w:bCs w:val="1"/>
                <w:color w:val="auto"/>
              </w:rPr>
              <w:t>Diluted</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2060" w:type="dxa"/>
            <w:vAlign w:val="bottom"/>
          </w:tcPr>
          <w:p>
            <w:pPr>
              <w:jc w:val="right"/>
              <w:ind w:right="476"/>
              <w:spacing w:after="0"/>
              <w:rPr>
                <w:sz w:val="20"/>
                <w:szCs w:val="20"/>
                <w:color w:val="auto"/>
              </w:rPr>
            </w:pPr>
            <w:r>
              <w:rPr>
                <w:rFonts w:ascii="Courier New" w:cs="Courier New" w:eastAsia="Courier New" w:hAnsi="Courier New"/>
                <w:sz w:val="17"/>
                <w:szCs w:val="17"/>
                <w:b w:val="1"/>
                <w:bCs w:val="1"/>
                <w:color w:val="auto"/>
              </w:rPr>
              <w:t>(Millions)</w:t>
            </w:r>
          </w:p>
        </w:tc>
        <w:tc>
          <w:tcPr>
            <w:tcW w:w="1360" w:type="dxa"/>
            <w:vAlign w:val="bottom"/>
          </w:tcPr>
          <w:p>
            <w:pPr>
              <w:jc w:val="right"/>
              <w:ind w:right="616"/>
              <w:spacing w:after="0"/>
              <w:rPr>
                <w:sz w:val="20"/>
                <w:szCs w:val="20"/>
                <w:color w:val="auto"/>
              </w:rPr>
            </w:pPr>
            <w:r>
              <w:rPr>
                <w:rFonts w:ascii="Courier New" w:cs="Courier New" w:eastAsia="Courier New" w:hAnsi="Courier New"/>
                <w:sz w:val="17"/>
                <w:szCs w:val="17"/>
                <w:b w:val="1"/>
                <w:bCs w:val="1"/>
                <w:color w:val="auto"/>
              </w:rPr>
              <w:t>EPS</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b w:val="1"/>
                <w:bCs w:val="1"/>
                <w:color w:val="auto"/>
              </w:rPr>
              <w:t>(Millions)</w:t>
            </w:r>
          </w:p>
        </w:tc>
        <w:tc>
          <w:tcPr>
            <w:tcW w:w="1120" w:type="dxa"/>
            <w:vAlign w:val="bottom"/>
          </w:tcPr>
          <w:p>
            <w:pPr>
              <w:jc w:val="right"/>
              <w:ind w:right="316"/>
              <w:spacing w:after="0"/>
              <w:rPr>
                <w:sz w:val="20"/>
                <w:szCs w:val="20"/>
                <w:color w:val="auto"/>
              </w:rPr>
            </w:pPr>
            <w:r>
              <w:rPr>
                <w:rFonts w:ascii="Courier New" w:cs="Courier New" w:eastAsia="Courier New" w:hAnsi="Courier New"/>
                <w:sz w:val="17"/>
                <w:szCs w:val="17"/>
                <w:b w:val="1"/>
                <w:bCs w:val="1"/>
                <w:color w:val="auto"/>
              </w:rPr>
              <w:t>EPS</w:t>
            </w:r>
          </w:p>
        </w:tc>
        <w:tc>
          <w:tcPr>
            <w:tcW w:w="0" w:type="dxa"/>
            <w:vAlign w:val="bottom"/>
          </w:tcPr>
          <w:p>
            <w:pPr>
              <w:spacing w:after="0"/>
              <w:rPr>
                <w:sz w:val="1"/>
                <w:szCs w:val="1"/>
                <w:color w:val="auto"/>
              </w:rPr>
            </w:pPr>
          </w:p>
        </w:tc>
      </w:tr>
      <w:tr>
        <w:trPr>
          <w:trHeight w:val="219"/>
        </w:trPr>
        <w:tc>
          <w:tcPr>
            <w:tcW w:w="4360" w:type="dxa"/>
            <w:vAlign w:val="bottom"/>
            <w:vMerge w:val="restart"/>
          </w:tcPr>
          <w:p>
            <w:pPr>
              <w:spacing w:after="0"/>
              <w:rPr>
                <w:sz w:val="20"/>
                <w:szCs w:val="20"/>
                <w:color w:val="auto"/>
              </w:rPr>
            </w:pPr>
            <w:r>
              <w:rPr>
                <w:rFonts w:ascii="Courier New" w:cs="Courier New" w:eastAsia="Courier New" w:hAnsi="Courier New"/>
                <w:sz w:val="17"/>
                <w:szCs w:val="17"/>
                <w:color w:val="auto"/>
              </w:rPr>
              <w:t>As Reported</w:t>
            </w:r>
          </w:p>
        </w:tc>
        <w:tc>
          <w:tcPr>
            <w:tcW w:w="2060" w:type="dxa"/>
            <w:vAlign w:val="bottom"/>
          </w:tcPr>
          <w:p>
            <w:pPr>
              <w:ind w:left="400"/>
              <w:spacing w:after="0"/>
              <w:rPr>
                <w:sz w:val="20"/>
                <w:szCs w:val="20"/>
                <w:color w:val="auto"/>
              </w:rPr>
            </w:pPr>
            <w:r>
              <w:rPr>
                <w:rFonts w:ascii="Courier New" w:cs="Courier New" w:eastAsia="Courier New" w:hAnsi="Courier New"/>
                <w:sz w:val="17"/>
                <w:szCs w:val="17"/>
                <w:b w:val="1"/>
                <w:bCs w:val="1"/>
                <w:color w:val="auto"/>
              </w:rPr>
              <w:t>-------------</w:t>
            </w:r>
          </w:p>
        </w:tc>
        <w:tc>
          <w:tcPr>
            <w:tcW w:w="1360" w:type="dxa"/>
            <w:vAlign w:val="bottom"/>
          </w:tcPr>
          <w:p>
            <w:pPr>
              <w:ind w:left="60"/>
              <w:spacing w:after="0"/>
              <w:rPr>
                <w:sz w:val="20"/>
                <w:szCs w:val="20"/>
                <w:color w:val="auto"/>
              </w:rPr>
            </w:pPr>
            <w:r>
              <w:rPr>
                <w:rFonts w:ascii="Courier New" w:cs="Courier New" w:eastAsia="Courier New" w:hAnsi="Courier New"/>
                <w:sz w:val="17"/>
                <w:szCs w:val="17"/>
                <w:b w:val="1"/>
                <w:bCs w:val="1"/>
                <w:color w:val="auto"/>
              </w:rPr>
              <w:t>-----------</w:t>
            </w:r>
          </w:p>
        </w:tc>
        <w:tc>
          <w:tcPr>
            <w:tcW w:w="1820" w:type="dxa"/>
            <w:vAlign w:val="bottom"/>
          </w:tcPr>
          <w:p>
            <w:pPr>
              <w:jc w:val="right"/>
              <w:ind w:right="316"/>
              <w:spacing w:after="0"/>
              <w:rPr>
                <w:sz w:val="20"/>
                <w:szCs w:val="20"/>
                <w:color w:val="auto"/>
              </w:rPr>
            </w:pPr>
            <w:r>
              <w:rPr>
                <w:rFonts w:ascii="Courier New" w:cs="Courier New" w:eastAsia="Courier New" w:hAnsi="Courier New"/>
                <w:sz w:val="17"/>
                <w:szCs w:val="17"/>
                <w:b w:val="1"/>
                <w:bCs w:val="1"/>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7"/>
                <w:szCs w:val="17"/>
                <w:b w:val="1"/>
                <w:bCs w:val="1"/>
                <w:color w:val="auto"/>
                <w:w w:val="96"/>
              </w:rPr>
              <w:t>----------</w:t>
            </w:r>
          </w:p>
        </w:tc>
        <w:tc>
          <w:tcPr>
            <w:tcW w:w="0" w:type="dxa"/>
            <w:vAlign w:val="bottom"/>
          </w:tcPr>
          <w:p>
            <w:pPr>
              <w:spacing w:after="0"/>
              <w:rPr>
                <w:sz w:val="1"/>
                <w:szCs w:val="1"/>
                <w:color w:val="auto"/>
              </w:rPr>
            </w:pPr>
          </w:p>
        </w:tc>
      </w:tr>
      <w:tr>
        <w:trPr>
          <w:trHeight w:val="194"/>
        </w:trPr>
        <w:tc>
          <w:tcPr>
            <w:tcW w:w="4360" w:type="dxa"/>
            <w:vAlign w:val="bottom"/>
            <w:vMerge w:val="continue"/>
          </w:tcPr>
          <w:p>
            <w:pPr>
              <w:spacing w:after="0"/>
              <w:rPr>
                <w:sz w:val="16"/>
                <w:szCs w:val="16"/>
                <w:color w:val="auto"/>
              </w:rPr>
            </w:pPr>
          </w:p>
        </w:tc>
        <w:tc>
          <w:tcPr>
            <w:tcW w:w="20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$3.2</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$0.18</w:t>
            </w:r>
          </w:p>
        </w:tc>
        <w:tc>
          <w:tcPr>
            <w:tcW w:w="18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$14.1</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$0.87</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Add:</w:t>
            </w:r>
          </w:p>
        </w:tc>
        <w:tc>
          <w:tcPr>
            <w:tcW w:w="2060" w:type="dxa"/>
            <w:vAlign w:val="bottom"/>
            <w:vMerge w:val="restart"/>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36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20" w:type="dxa"/>
            <w:vAlign w:val="bottom"/>
            <w:vMerge w:val="restart"/>
          </w:tcPr>
          <w:p>
            <w:pPr>
              <w:jc w:val="right"/>
              <w:ind w:right="516"/>
              <w:spacing w:after="0"/>
              <w:rPr>
                <w:sz w:val="20"/>
                <w:szCs w:val="20"/>
                <w:color w:val="auto"/>
              </w:rPr>
            </w:pPr>
            <w:r>
              <w:rPr>
                <w:rFonts w:ascii="Courier New" w:cs="Courier New" w:eastAsia="Courier New" w:hAnsi="Courier New"/>
                <w:sz w:val="17"/>
                <w:szCs w:val="17"/>
                <w:color w:val="auto"/>
              </w:rPr>
              <w:t>2.0</w:t>
            </w:r>
          </w:p>
        </w:tc>
        <w:tc>
          <w:tcPr>
            <w:tcW w:w="11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0.12</w:t>
            </w:r>
          </w:p>
        </w:tc>
        <w:tc>
          <w:tcPr>
            <w:tcW w:w="0" w:type="dxa"/>
            <w:vAlign w:val="bottom"/>
          </w:tcPr>
          <w:p>
            <w:pPr>
              <w:spacing w:after="0"/>
              <w:rPr>
                <w:sz w:val="1"/>
                <w:szCs w:val="1"/>
                <w:color w:val="auto"/>
              </w:rPr>
            </w:pPr>
          </w:p>
        </w:tc>
      </w:tr>
      <w:tr>
        <w:trPr>
          <w:trHeight w:val="194"/>
        </w:trPr>
        <w:tc>
          <w:tcPr>
            <w:tcW w:w="4360" w:type="dxa"/>
            <w:vAlign w:val="bottom"/>
          </w:tcPr>
          <w:p>
            <w:pPr>
              <w:ind w:left="300"/>
              <w:spacing w:after="0"/>
              <w:rPr>
                <w:sz w:val="20"/>
                <w:szCs w:val="20"/>
                <w:color w:val="auto"/>
              </w:rPr>
            </w:pPr>
            <w:r>
              <w:rPr>
                <w:rFonts w:ascii="Courier New" w:cs="Courier New" w:eastAsia="Courier New" w:hAnsi="Courier New"/>
                <w:sz w:val="17"/>
                <w:szCs w:val="17"/>
                <w:color w:val="auto"/>
              </w:rPr>
              <w:t>Restructuring and Impairment Charges</w:t>
            </w:r>
          </w:p>
        </w:tc>
        <w:tc>
          <w:tcPr>
            <w:tcW w:w="20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60" w:type="dxa"/>
            <w:vAlign w:val="bottom"/>
          </w:tcPr>
          <w:p>
            <w:pPr>
              <w:ind w:left="300"/>
              <w:spacing w:after="0"/>
              <w:rPr>
                <w:sz w:val="20"/>
                <w:szCs w:val="20"/>
                <w:color w:val="auto"/>
              </w:rPr>
            </w:pPr>
            <w:r>
              <w:rPr>
                <w:rFonts w:ascii="Courier New" w:cs="Courier New" w:eastAsia="Courier New" w:hAnsi="Courier New"/>
                <w:sz w:val="17"/>
                <w:szCs w:val="17"/>
                <w:color w:val="auto"/>
              </w:rPr>
              <w:t>Unamortized Loan Costs</w:t>
            </w:r>
          </w:p>
        </w:tc>
        <w:tc>
          <w:tcPr>
            <w:tcW w:w="20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0.3</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0.02</w:t>
            </w:r>
          </w:p>
        </w:tc>
        <w:tc>
          <w:tcPr>
            <w:tcW w:w="0" w:type="dxa"/>
            <w:vAlign w:val="bottom"/>
          </w:tcPr>
          <w:p>
            <w:pPr>
              <w:spacing w:after="0"/>
              <w:rPr>
                <w:sz w:val="1"/>
                <w:szCs w:val="1"/>
                <w:color w:val="auto"/>
              </w:rPr>
            </w:pPr>
          </w:p>
        </w:tc>
      </w:tr>
      <w:tr>
        <w:trPr>
          <w:trHeight w:val="194"/>
        </w:trPr>
        <w:tc>
          <w:tcPr>
            <w:tcW w:w="4360" w:type="dxa"/>
            <w:vAlign w:val="bottom"/>
          </w:tcPr>
          <w:p>
            <w:pPr>
              <w:ind w:left="300"/>
              <w:spacing w:after="0"/>
              <w:rPr>
                <w:sz w:val="20"/>
                <w:szCs w:val="20"/>
                <w:color w:val="auto"/>
              </w:rPr>
            </w:pPr>
            <w:r>
              <w:rPr>
                <w:rFonts w:ascii="Courier New" w:cs="Courier New" w:eastAsia="Courier New" w:hAnsi="Courier New"/>
                <w:sz w:val="17"/>
                <w:szCs w:val="17"/>
                <w:color w:val="auto"/>
              </w:rPr>
              <w:t>Non-cash Compensation Charges</w:t>
            </w:r>
          </w:p>
        </w:tc>
        <w:tc>
          <w:tcPr>
            <w:tcW w:w="20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0.2</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0.01</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Less:</w:t>
            </w:r>
          </w:p>
        </w:tc>
        <w:tc>
          <w:tcPr>
            <w:tcW w:w="2060" w:type="dxa"/>
            <w:vAlign w:val="bottom"/>
            <w:vMerge w:val="restart"/>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36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820" w:type="dxa"/>
            <w:vAlign w:val="bottom"/>
            <w:vMerge w:val="restart"/>
          </w:tcPr>
          <w:p>
            <w:pPr>
              <w:jc w:val="right"/>
              <w:ind w:right="516"/>
              <w:spacing w:after="0"/>
              <w:rPr>
                <w:sz w:val="20"/>
                <w:szCs w:val="20"/>
                <w:color w:val="auto"/>
              </w:rPr>
            </w:pPr>
            <w:r>
              <w:rPr>
                <w:rFonts w:ascii="Courier New" w:cs="Courier New" w:eastAsia="Courier New" w:hAnsi="Courier New"/>
                <w:sz w:val="17"/>
                <w:szCs w:val="17"/>
                <w:color w:val="auto"/>
              </w:rPr>
              <w:t>6.6</w:t>
            </w:r>
          </w:p>
        </w:tc>
        <w:tc>
          <w:tcPr>
            <w:tcW w:w="11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0.41</w:t>
            </w:r>
          </w:p>
        </w:tc>
        <w:tc>
          <w:tcPr>
            <w:tcW w:w="0" w:type="dxa"/>
            <w:vAlign w:val="bottom"/>
          </w:tcPr>
          <w:p>
            <w:pPr>
              <w:spacing w:after="0"/>
              <w:rPr>
                <w:sz w:val="1"/>
                <w:szCs w:val="1"/>
                <w:color w:val="auto"/>
              </w:rPr>
            </w:pPr>
          </w:p>
        </w:tc>
      </w:tr>
      <w:tr>
        <w:trPr>
          <w:trHeight w:val="194"/>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Gain on Purchase of Minority Interest</w:t>
            </w:r>
          </w:p>
        </w:tc>
        <w:tc>
          <w:tcPr>
            <w:tcW w:w="20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Gain on Sales of Impaired Assets</w:t>
            </w:r>
          </w:p>
        </w:tc>
        <w:tc>
          <w:tcPr>
            <w:tcW w:w="20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0.3</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0.01</w:t>
            </w:r>
          </w:p>
        </w:tc>
        <w:tc>
          <w:tcPr>
            <w:tcW w:w="18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0.3</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0.01</w:t>
            </w:r>
          </w:p>
        </w:tc>
        <w:tc>
          <w:tcPr>
            <w:tcW w:w="0" w:type="dxa"/>
            <w:vAlign w:val="bottom"/>
          </w:tcPr>
          <w:p>
            <w:pPr>
              <w:spacing w:after="0"/>
              <w:rPr>
                <w:sz w:val="1"/>
                <w:szCs w:val="1"/>
                <w:color w:val="auto"/>
              </w:rPr>
            </w:pPr>
          </w:p>
        </w:tc>
      </w:tr>
      <w:tr>
        <w:trPr>
          <w:trHeight w:val="194"/>
        </w:trPr>
        <w:tc>
          <w:tcPr>
            <w:tcW w:w="4360" w:type="dxa"/>
            <w:vAlign w:val="bottom"/>
            <w:vMerge w:val="restart"/>
          </w:tcPr>
          <w:p>
            <w:pPr>
              <w:spacing w:after="0"/>
              <w:rPr>
                <w:sz w:val="20"/>
                <w:szCs w:val="20"/>
                <w:color w:val="auto"/>
              </w:rPr>
            </w:pPr>
            <w:r>
              <w:rPr>
                <w:rFonts w:ascii="Courier New" w:cs="Courier New" w:eastAsia="Courier New" w:hAnsi="Courier New"/>
                <w:sz w:val="17"/>
                <w:szCs w:val="17"/>
                <w:color w:val="auto"/>
              </w:rPr>
              <w:t>Adjusted</w:t>
            </w:r>
          </w:p>
        </w:tc>
        <w:tc>
          <w:tcPr>
            <w:tcW w:w="20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4"/>
        </w:trPr>
        <w:tc>
          <w:tcPr>
            <w:tcW w:w="4360" w:type="dxa"/>
            <w:vAlign w:val="bottom"/>
            <w:vMerge w:val="continue"/>
          </w:tcPr>
          <w:p>
            <w:pPr>
              <w:spacing w:after="0"/>
              <w:rPr>
                <w:sz w:val="16"/>
                <w:szCs w:val="16"/>
                <w:color w:val="auto"/>
              </w:rPr>
            </w:pPr>
          </w:p>
        </w:tc>
        <w:tc>
          <w:tcPr>
            <w:tcW w:w="20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$2.9</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$0.17</w:t>
            </w:r>
          </w:p>
        </w:tc>
        <w:tc>
          <w:tcPr>
            <w:tcW w:w="18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$9.7</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$0.60</w:t>
            </w: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4"/>
                <w:szCs w:val="24"/>
                <w:color w:val="auto"/>
              </w:rPr>
            </w:pPr>
          </w:p>
        </w:tc>
        <w:tc>
          <w:tcPr>
            <w:tcW w:w="20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right="2620"/>
        <w:spacing w:after="0" w:line="302"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$193 million in 2002.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 w:type="dxa"/>
            <w:vAlign w:val="bottom"/>
          </w:tcPr>
          <w:p>
            <w:pPr>
              <w:spacing w:after="0"/>
              <w:rPr>
                <w:sz w:val="20"/>
                <w:szCs w:val="20"/>
                <w:color w:val="auto"/>
              </w:rPr>
            </w:pPr>
            <w:r>
              <w:rPr>
                <w:rFonts w:ascii="Courier New" w:cs="Courier New" w:eastAsia="Courier New" w:hAnsi="Courier New"/>
                <w:sz w:val="17"/>
                <w:szCs w:val="17"/>
                <w:i w:val="1"/>
                <w:iCs w:val="1"/>
                <w:color w:val="auto"/>
              </w:rPr>
              <w:t>The</w:t>
            </w:r>
          </w:p>
        </w:tc>
        <w:tc>
          <w:tcPr>
            <w:tcW w:w="1220" w:type="dxa"/>
            <w:vAlign w:val="bottom"/>
            <w:gridSpan w:val="3"/>
          </w:tcPr>
          <w:p>
            <w:pPr>
              <w:ind w:left="40"/>
              <w:spacing w:after="0"/>
              <w:rPr>
                <w:sz w:val="20"/>
                <w:szCs w:val="20"/>
                <w:color w:val="auto"/>
              </w:rPr>
            </w:pPr>
            <w:r>
              <w:rPr>
                <w:rFonts w:ascii="Courier New" w:cs="Courier New" w:eastAsia="Courier New" w:hAnsi="Courier New"/>
                <w:sz w:val="17"/>
                <w:szCs w:val="17"/>
                <w:i w:val="1"/>
                <w:iCs w:val="1"/>
                <w:color w:val="auto"/>
              </w:rPr>
              <w:t>comments by</w:t>
            </w:r>
          </w:p>
        </w:tc>
        <w:tc>
          <w:tcPr>
            <w:tcW w:w="440" w:type="dxa"/>
            <w:vAlign w:val="bottom"/>
          </w:tcPr>
          <w:p>
            <w:pPr>
              <w:ind w:left="40"/>
              <w:spacing w:after="0"/>
              <w:rPr>
                <w:sz w:val="20"/>
                <w:szCs w:val="20"/>
                <w:color w:val="auto"/>
              </w:rPr>
            </w:pPr>
            <w:r>
              <w:rPr>
                <w:rFonts w:ascii="Courier New" w:cs="Courier New" w:eastAsia="Courier New" w:hAnsi="Courier New"/>
                <w:sz w:val="17"/>
                <w:szCs w:val="17"/>
                <w:i w:val="1"/>
                <w:iCs w:val="1"/>
                <w:color w:val="auto"/>
              </w:rPr>
              <w:t>Mr.</w:t>
            </w:r>
          </w:p>
        </w:tc>
        <w:tc>
          <w:tcPr>
            <w:tcW w:w="460" w:type="dxa"/>
            <w:vAlign w:val="bottom"/>
          </w:tcPr>
          <w:p>
            <w:pPr>
              <w:spacing w:after="0"/>
              <w:rPr>
                <w:sz w:val="20"/>
                <w:szCs w:val="20"/>
                <w:color w:val="auto"/>
              </w:rPr>
            </w:pPr>
            <w:r>
              <w:rPr>
                <w:rFonts w:ascii="Courier New" w:cs="Courier New" w:eastAsia="Courier New" w:hAnsi="Courier New"/>
                <w:sz w:val="17"/>
                <w:szCs w:val="17"/>
                <w:i w:val="1"/>
                <w:iCs w:val="1"/>
                <w:color w:val="auto"/>
              </w:rPr>
              <w:t>Baty</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i w:val="1"/>
                <w:iCs w:val="1"/>
                <w:color w:val="auto"/>
              </w:rPr>
              <w:t>regarding the</w:t>
            </w:r>
          </w:p>
        </w:tc>
        <w:tc>
          <w:tcPr>
            <w:tcW w:w="700" w:type="dxa"/>
            <w:vAlign w:val="bottom"/>
          </w:tcPr>
          <w:p>
            <w:pPr>
              <w:ind w:left="40"/>
              <w:spacing w:after="0"/>
              <w:rPr>
                <w:sz w:val="20"/>
                <w:szCs w:val="20"/>
                <w:color w:val="auto"/>
              </w:rPr>
            </w:pPr>
            <w:r>
              <w:rPr>
                <w:rFonts w:ascii="Courier New" w:cs="Courier New" w:eastAsia="Courier New" w:hAnsi="Courier New"/>
                <w:sz w:val="17"/>
                <w:szCs w:val="17"/>
                <w:i w:val="1"/>
                <w:iCs w:val="1"/>
                <w:color w:val="auto"/>
              </w:rPr>
              <w:t>fourth</w:t>
            </w:r>
          </w:p>
        </w:tc>
        <w:tc>
          <w:tcPr>
            <w:tcW w:w="820" w:type="dxa"/>
            <w:vAlign w:val="bottom"/>
          </w:tcPr>
          <w:p>
            <w:pPr>
              <w:jc w:val="center"/>
              <w:spacing w:after="0"/>
              <w:rPr>
                <w:sz w:val="20"/>
                <w:szCs w:val="20"/>
                <w:color w:val="auto"/>
              </w:rPr>
            </w:pPr>
            <w:r>
              <w:rPr>
                <w:rFonts w:ascii="Courier New" w:cs="Courier New" w:eastAsia="Courier New" w:hAnsi="Courier New"/>
                <w:sz w:val="17"/>
                <w:szCs w:val="17"/>
                <w:i w:val="1"/>
                <w:iCs w:val="1"/>
                <w:color w:val="auto"/>
                <w:w w:val="97"/>
              </w:rPr>
              <w:t>quarter</w:t>
            </w:r>
          </w:p>
        </w:tc>
        <w:tc>
          <w:tcPr>
            <w:tcW w:w="1920" w:type="dxa"/>
            <w:vAlign w:val="bottom"/>
            <w:gridSpan w:val="2"/>
          </w:tcPr>
          <w:p>
            <w:pPr>
              <w:ind w:left="40"/>
              <w:spacing w:after="0"/>
              <w:rPr>
                <w:sz w:val="20"/>
                <w:szCs w:val="20"/>
                <w:color w:val="auto"/>
              </w:rPr>
            </w:pPr>
            <w:r>
              <w:rPr>
                <w:rFonts w:ascii="Courier New" w:cs="Courier New" w:eastAsia="Courier New" w:hAnsi="Courier New"/>
                <w:sz w:val="17"/>
                <w:szCs w:val="17"/>
                <w:i w:val="1"/>
                <w:iCs w:val="1"/>
                <w:color w:val="auto"/>
              </w:rPr>
              <w:t>and full year 2003</w:t>
            </w:r>
          </w:p>
        </w:tc>
        <w:tc>
          <w:tcPr>
            <w:tcW w:w="760" w:type="dxa"/>
            <w:vAlign w:val="bottom"/>
          </w:tcPr>
          <w:p>
            <w:pPr>
              <w:ind w:left="40"/>
              <w:spacing w:after="0"/>
              <w:rPr>
                <w:sz w:val="20"/>
                <w:szCs w:val="20"/>
                <w:color w:val="auto"/>
              </w:rPr>
            </w:pPr>
            <w:r>
              <w:rPr>
                <w:rFonts w:ascii="Courier New" w:cs="Courier New" w:eastAsia="Courier New" w:hAnsi="Courier New"/>
                <w:sz w:val="17"/>
                <w:szCs w:val="17"/>
                <w:i w:val="1"/>
                <w:iCs w:val="1"/>
                <w:color w:val="auto"/>
              </w:rPr>
              <w:t>and</w:t>
            </w:r>
          </w:p>
        </w:tc>
      </w:tr>
      <w:tr>
        <w:trPr>
          <w:trHeight w:val="194"/>
        </w:trPr>
        <w:tc>
          <w:tcPr>
            <w:tcW w:w="360" w:type="dxa"/>
            <w:vAlign w:val="bottom"/>
          </w:tcPr>
          <w:p>
            <w:pPr>
              <w:spacing w:after="0"/>
              <w:rPr>
                <w:sz w:val="20"/>
                <w:szCs w:val="20"/>
                <w:color w:val="auto"/>
              </w:rPr>
            </w:pPr>
            <w:r>
              <w:rPr>
                <w:rFonts w:ascii="Courier New" w:cs="Courier New" w:eastAsia="Courier New" w:hAnsi="Courier New"/>
                <w:sz w:val="17"/>
                <w:szCs w:val="17"/>
                <w:i w:val="1"/>
                <w:iCs w:val="1"/>
                <w:color w:val="auto"/>
              </w:rPr>
              <w:t>the</w:t>
            </w:r>
          </w:p>
        </w:tc>
        <w:tc>
          <w:tcPr>
            <w:tcW w:w="500" w:type="dxa"/>
            <w:vAlign w:val="bottom"/>
          </w:tcPr>
          <w:p>
            <w:pPr>
              <w:ind w:left="40"/>
              <w:spacing w:after="0"/>
              <w:rPr>
                <w:sz w:val="20"/>
                <w:szCs w:val="20"/>
                <w:color w:val="auto"/>
              </w:rPr>
            </w:pPr>
            <w:r>
              <w:rPr>
                <w:rFonts w:ascii="Courier New" w:cs="Courier New" w:eastAsia="Courier New" w:hAnsi="Courier New"/>
                <w:sz w:val="17"/>
                <w:szCs w:val="17"/>
                <w:i w:val="1"/>
                <w:iCs w:val="1"/>
                <w:color w:val="auto"/>
              </w:rPr>
              <w:t>2004</w:t>
            </w:r>
          </w:p>
        </w:tc>
        <w:tc>
          <w:tcPr>
            <w:tcW w:w="1160" w:type="dxa"/>
            <w:vAlign w:val="bottom"/>
            <w:gridSpan w:val="3"/>
          </w:tcPr>
          <w:p>
            <w:pPr>
              <w:ind w:left="60"/>
              <w:spacing w:after="0"/>
              <w:rPr>
                <w:sz w:val="20"/>
                <w:szCs w:val="20"/>
                <w:color w:val="auto"/>
              </w:rPr>
            </w:pPr>
            <w:r>
              <w:rPr>
                <w:rFonts w:ascii="Courier New" w:cs="Courier New" w:eastAsia="Courier New" w:hAnsi="Courier New"/>
                <w:sz w:val="17"/>
                <w:szCs w:val="17"/>
                <w:i w:val="1"/>
                <w:iCs w:val="1"/>
                <w:color w:val="auto"/>
                <w:w w:val="96"/>
              </w:rPr>
              <w:t>revenues of</w:t>
            </w:r>
          </w:p>
        </w:tc>
        <w:tc>
          <w:tcPr>
            <w:tcW w:w="460" w:type="dxa"/>
            <w:vAlign w:val="bottom"/>
          </w:tcPr>
          <w:p>
            <w:pPr>
              <w:ind w:left="100"/>
              <w:spacing w:after="0"/>
              <w:rPr>
                <w:sz w:val="20"/>
                <w:szCs w:val="20"/>
                <w:color w:val="auto"/>
              </w:rPr>
            </w:pPr>
            <w:r>
              <w:rPr>
                <w:rFonts w:ascii="Courier New" w:cs="Courier New" w:eastAsia="Courier New" w:hAnsi="Courier New"/>
                <w:sz w:val="17"/>
                <w:szCs w:val="17"/>
                <w:i w:val="1"/>
                <w:iCs w:val="1"/>
                <w:color w:val="auto"/>
              </w:rPr>
              <w:t>the</w:t>
            </w:r>
          </w:p>
        </w:tc>
        <w:tc>
          <w:tcPr>
            <w:tcW w:w="3940" w:type="dxa"/>
            <w:vAlign w:val="bottom"/>
            <w:gridSpan w:val="5"/>
          </w:tcPr>
          <w:p>
            <w:pPr>
              <w:ind w:left="60"/>
              <w:spacing w:after="0"/>
              <w:rPr>
                <w:sz w:val="20"/>
                <w:szCs w:val="20"/>
                <w:color w:val="auto"/>
              </w:rPr>
            </w:pPr>
            <w:r>
              <w:rPr>
                <w:rFonts w:ascii="Courier New" w:cs="Courier New" w:eastAsia="Courier New" w:hAnsi="Courier New"/>
                <w:sz w:val="17"/>
                <w:szCs w:val="17"/>
                <w:i w:val="1"/>
                <w:iCs w:val="1"/>
                <w:color w:val="auto"/>
                <w:w w:val="99"/>
              </w:rPr>
              <w:t>Slovakian facility are forward looking</w:t>
            </w:r>
          </w:p>
        </w:tc>
        <w:tc>
          <w:tcPr>
            <w:tcW w:w="1680" w:type="dxa"/>
            <w:vAlign w:val="bottom"/>
            <w:gridSpan w:val="2"/>
          </w:tcPr>
          <w:p>
            <w:pPr>
              <w:ind w:left="60"/>
              <w:spacing w:after="0"/>
              <w:rPr>
                <w:sz w:val="20"/>
                <w:szCs w:val="20"/>
                <w:color w:val="auto"/>
              </w:rPr>
            </w:pPr>
            <w:r>
              <w:rPr>
                <w:rFonts w:ascii="Courier New" w:cs="Courier New" w:eastAsia="Courier New" w:hAnsi="Courier New"/>
                <w:sz w:val="17"/>
                <w:szCs w:val="17"/>
                <w:i w:val="1"/>
                <w:iCs w:val="1"/>
                <w:color w:val="auto"/>
              </w:rPr>
              <w:t>statements made</w:t>
            </w:r>
          </w:p>
        </w:tc>
      </w:tr>
      <w:tr>
        <w:trPr>
          <w:trHeight w:val="194"/>
        </w:trPr>
        <w:tc>
          <w:tcPr>
            <w:tcW w:w="860" w:type="dxa"/>
            <w:vAlign w:val="bottom"/>
            <w:gridSpan w:val="2"/>
          </w:tcPr>
          <w:p>
            <w:pPr>
              <w:spacing w:after="0"/>
              <w:rPr>
                <w:sz w:val="20"/>
                <w:szCs w:val="20"/>
                <w:color w:val="auto"/>
              </w:rPr>
            </w:pPr>
            <w:r>
              <w:rPr>
                <w:rFonts w:ascii="Courier New" w:cs="Courier New" w:eastAsia="Courier New" w:hAnsi="Courier New"/>
                <w:sz w:val="17"/>
                <w:szCs w:val="17"/>
                <w:i w:val="1"/>
                <w:iCs w:val="1"/>
                <w:color w:val="auto"/>
              </w:rPr>
              <w:t>pursuant</w:t>
            </w:r>
          </w:p>
        </w:tc>
        <w:tc>
          <w:tcPr>
            <w:tcW w:w="720" w:type="dxa"/>
            <w:vAlign w:val="bottom"/>
            <w:gridSpan w:val="2"/>
          </w:tcPr>
          <w:p>
            <w:pPr>
              <w:ind w:left="60"/>
              <w:spacing w:after="0"/>
              <w:rPr>
                <w:sz w:val="20"/>
                <w:szCs w:val="20"/>
                <w:color w:val="auto"/>
              </w:rPr>
            </w:pPr>
            <w:r>
              <w:rPr>
                <w:rFonts w:ascii="Courier New" w:cs="Courier New" w:eastAsia="Courier New" w:hAnsi="Courier New"/>
                <w:sz w:val="17"/>
                <w:szCs w:val="17"/>
                <w:i w:val="1"/>
                <w:iCs w:val="1"/>
                <w:color w:val="auto"/>
              </w:rPr>
              <w:t>to the</w:t>
            </w:r>
          </w:p>
        </w:tc>
        <w:tc>
          <w:tcPr>
            <w:tcW w:w="440" w:type="dxa"/>
            <w:vAlign w:val="bottom"/>
          </w:tcPr>
          <w:p>
            <w:pPr>
              <w:ind w:left="40"/>
              <w:spacing w:after="0"/>
              <w:rPr>
                <w:sz w:val="20"/>
                <w:szCs w:val="20"/>
                <w:color w:val="auto"/>
              </w:rPr>
            </w:pPr>
            <w:r>
              <w:rPr>
                <w:rFonts w:ascii="Courier New" w:cs="Courier New" w:eastAsia="Courier New" w:hAnsi="Courier New"/>
                <w:sz w:val="17"/>
                <w:szCs w:val="17"/>
                <w:i w:val="1"/>
                <w:iCs w:val="1"/>
                <w:color w:val="auto"/>
                <w:w w:val="93"/>
              </w:rPr>
              <w:t>safe</w:t>
            </w:r>
          </w:p>
        </w:tc>
        <w:tc>
          <w:tcPr>
            <w:tcW w:w="1880" w:type="dxa"/>
            <w:vAlign w:val="bottom"/>
            <w:gridSpan w:val="3"/>
          </w:tcPr>
          <w:p>
            <w:pPr>
              <w:jc w:val="right"/>
              <w:spacing w:after="0"/>
              <w:rPr>
                <w:sz w:val="20"/>
                <w:szCs w:val="20"/>
                <w:color w:val="auto"/>
              </w:rPr>
            </w:pPr>
            <w:r>
              <w:rPr>
                <w:rFonts w:ascii="Courier New" w:cs="Courier New" w:eastAsia="Courier New" w:hAnsi="Courier New"/>
                <w:sz w:val="17"/>
                <w:szCs w:val="17"/>
                <w:i w:val="1"/>
                <w:iCs w:val="1"/>
                <w:color w:val="auto"/>
              </w:rPr>
              <w:t>harbor provisions</w:t>
            </w:r>
          </w:p>
        </w:tc>
        <w:tc>
          <w:tcPr>
            <w:tcW w:w="700" w:type="dxa"/>
            <w:vAlign w:val="bottom"/>
          </w:tcPr>
          <w:p>
            <w:pPr>
              <w:ind w:left="40"/>
              <w:spacing w:after="0"/>
              <w:rPr>
                <w:sz w:val="20"/>
                <w:szCs w:val="20"/>
                <w:color w:val="auto"/>
              </w:rPr>
            </w:pPr>
            <w:r>
              <w:rPr>
                <w:rFonts w:ascii="Courier New" w:cs="Courier New" w:eastAsia="Courier New" w:hAnsi="Courier New"/>
                <w:sz w:val="17"/>
                <w:szCs w:val="17"/>
                <w:i w:val="1"/>
                <w:iCs w:val="1"/>
                <w:color w:val="auto"/>
              </w:rPr>
              <w:t>of the</w:t>
            </w:r>
          </w:p>
        </w:tc>
        <w:tc>
          <w:tcPr>
            <w:tcW w:w="820" w:type="dxa"/>
            <w:vAlign w:val="bottom"/>
          </w:tcPr>
          <w:p>
            <w:pPr>
              <w:jc w:val="center"/>
              <w:spacing w:after="0"/>
              <w:rPr>
                <w:sz w:val="20"/>
                <w:szCs w:val="20"/>
                <w:color w:val="auto"/>
              </w:rPr>
            </w:pPr>
            <w:r>
              <w:rPr>
                <w:rFonts w:ascii="Courier New" w:cs="Courier New" w:eastAsia="Courier New" w:hAnsi="Courier New"/>
                <w:sz w:val="17"/>
                <w:szCs w:val="17"/>
                <w:i w:val="1"/>
                <w:iCs w:val="1"/>
                <w:color w:val="auto"/>
                <w:w w:val="97"/>
              </w:rPr>
              <w:t>Private</w:t>
            </w:r>
          </w:p>
        </w:tc>
        <w:tc>
          <w:tcPr>
            <w:tcW w:w="2680" w:type="dxa"/>
            <w:vAlign w:val="bottom"/>
            <w:gridSpan w:val="3"/>
          </w:tcPr>
          <w:p>
            <w:pPr>
              <w:ind w:left="40"/>
              <w:spacing w:after="0"/>
              <w:rPr>
                <w:sz w:val="20"/>
                <w:szCs w:val="20"/>
                <w:color w:val="auto"/>
              </w:rPr>
            </w:pPr>
            <w:r>
              <w:rPr>
                <w:rFonts w:ascii="Courier New" w:cs="Courier New" w:eastAsia="Courier New" w:hAnsi="Courier New"/>
                <w:sz w:val="17"/>
                <w:szCs w:val="17"/>
                <w:i w:val="1"/>
                <w:iCs w:val="1"/>
                <w:color w:val="auto"/>
              </w:rPr>
              <w:t>Securities Litigation</w:t>
            </w:r>
          </w:p>
        </w:tc>
      </w:tr>
      <w:tr>
        <w:trPr>
          <w:trHeight w:val="194"/>
        </w:trPr>
        <w:tc>
          <w:tcPr>
            <w:tcW w:w="1360" w:type="dxa"/>
            <w:vAlign w:val="bottom"/>
            <w:gridSpan w:val="3"/>
          </w:tcPr>
          <w:p>
            <w:pPr>
              <w:spacing w:after="0"/>
              <w:rPr>
                <w:sz w:val="20"/>
                <w:szCs w:val="20"/>
                <w:color w:val="auto"/>
              </w:rPr>
            </w:pPr>
            <w:r>
              <w:rPr>
                <w:rFonts w:ascii="Courier New" w:cs="Courier New" w:eastAsia="Courier New" w:hAnsi="Courier New"/>
                <w:sz w:val="17"/>
                <w:szCs w:val="17"/>
                <w:i w:val="1"/>
                <w:iCs w:val="1"/>
                <w:color w:val="auto"/>
              </w:rPr>
              <w:t>Reform Act of</w:t>
            </w:r>
          </w:p>
        </w:tc>
        <w:tc>
          <w:tcPr>
            <w:tcW w:w="660" w:type="dxa"/>
            <w:vAlign w:val="bottom"/>
            <w:gridSpan w:val="2"/>
          </w:tcPr>
          <w:p>
            <w:pPr>
              <w:ind w:left="60"/>
              <w:spacing w:after="0"/>
              <w:rPr>
                <w:sz w:val="20"/>
                <w:szCs w:val="20"/>
                <w:color w:val="auto"/>
              </w:rPr>
            </w:pPr>
            <w:r>
              <w:rPr>
                <w:rFonts w:ascii="Courier New" w:cs="Courier New" w:eastAsia="Courier New" w:hAnsi="Courier New"/>
                <w:sz w:val="17"/>
                <w:szCs w:val="17"/>
                <w:i w:val="1"/>
                <w:iCs w:val="1"/>
                <w:color w:val="auto"/>
              </w:rPr>
              <w:t>1995.</w:t>
            </w:r>
          </w:p>
        </w:tc>
        <w:tc>
          <w:tcPr>
            <w:tcW w:w="1580" w:type="dxa"/>
            <w:vAlign w:val="bottom"/>
            <w:gridSpan w:val="2"/>
          </w:tcPr>
          <w:p>
            <w:pPr>
              <w:spacing w:after="0"/>
              <w:rPr>
                <w:sz w:val="20"/>
                <w:szCs w:val="20"/>
                <w:color w:val="auto"/>
              </w:rPr>
            </w:pPr>
            <w:r>
              <w:rPr>
                <w:rFonts w:ascii="Courier New" w:cs="Courier New" w:eastAsia="Courier New" w:hAnsi="Courier New"/>
                <w:sz w:val="17"/>
                <w:szCs w:val="17"/>
                <w:i w:val="1"/>
                <w:iCs w:val="1"/>
                <w:color w:val="auto"/>
              </w:rPr>
              <w:t>Forward-looking</w:t>
            </w:r>
          </w:p>
        </w:tc>
        <w:tc>
          <w:tcPr>
            <w:tcW w:w="2820" w:type="dxa"/>
            <w:vAlign w:val="bottom"/>
            <w:gridSpan w:val="4"/>
          </w:tcPr>
          <w:p>
            <w:pPr>
              <w:jc w:val="center"/>
              <w:spacing w:after="0"/>
              <w:rPr>
                <w:sz w:val="20"/>
                <w:szCs w:val="20"/>
                <w:color w:val="auto"/>
              </w:rPr>
            </w:pPr>
            <w:r>
              <w:rPr>
                <w:rFonts w:ascii="Courier New" w:cs="Courier New" w:eastAsia="Courier New" w:hAnsi="Courier New"/>
                <w:sz w:val="17"/>
                <w:szCs w:val="17"/>
                <w:i w:val="1"/>
                <w:iCs w:val="1"/>
                <w:color w:val="auto"/>
                <w:w w:val="99"/>
              </w:rPr>
              <w:t>statements involve a number</w:t>
            </w:r>
          </w:p>
        </w:tc>
        <w:tc>
          <w:tcPr>
            <w:tcW w:w="920" w:type="dxa"/>
            <w:vAlign w:val="bottom"/>
          </w:tcPr>
          <w:p>
            <w:pPr>
              <w:ind w:left="60"/>
              <w:spacing w:after="0"/>
              <w:rPr>
                <w:sz w:val="20"/>
                <w:szCs w:val="20"/>
                <w:color w:val="auto"/>
              </w:rPr>
            </w:pPr>
            <w:r>
              <w:rPr>
                <w:rFonts w:ascii="Courier New" w:cs="Courier New" w:eastAsia="Courier New" w:hAnsi="Courier New"/>
                <w:sz w:val="17"/>
                <w:szCs w:val="17"/>
                <w:i w:val="1"/>
                <w:iCs w:val="1"/>
                <w:color w:val="auto"/>
              </w:rPr>
              <w:t>of risks</w:t>
            </w:r>
          </w:p>
        </w:tc>
        <w:tc>
          <w:tcPr>
            <w:tcW w:w="760" w:type="dxa"/>
            <w:vAlign w:val="bottom"/>
          </w:tcPr>
          <w:p>
            <w:pPr>
              <w:ind w:left="40"/>
              <w:spacing w:after="0"/>
              <w:rPr>
                <w:sz w:val="20"/>
                <w:szCs w:val="20"/>
                <w:color w:val="auto"/>
              </w:rPr>
            </w:pPr>
            <w:r>
              <w:rPr>
                <w:rFonts w:ascii="Courier New" w:cs="Courier New" w:eastAsia="Courier New" w:hAnsi="Courier New"/>
                <w:sz w:val="17"/>
                <w:szCs w:val="17"/>
                <w:i w:val="1"/>
                <w:iCs w:val="1"/>
                <w:color w:val="auto"/>
              </w:rPr>
              <w:t>and</w:t>
            </w:r>
          </w:p>
        </w:tc>
      </w:tr>
      <w:tr>
        <w:trPr>
          <w:trHeight w:val="218"/>
        </w:trPr>
        <w:tc>
          <w:tcPr>
            <w:tcW w:w="1360" w:type="dxa"/>
            <w:vAlign w:val="bottom"/>
            <w:gridSpan w:val="3"/>
          </w:tcPr>
          <w:p>
            <w:pPr>
              <w:spacing w:after="0"/>
              <w:rPr>
                <w:sz w:val="20"/>
                <w:szCs w:val="20"/>
                <w:color w:val="auto"/>
              </w:rPr>
            </w:pPr>
            <w:r>
              <w:rPr>
                <w:rFonts w:ascii="Courier New" w:cs="Courier New" w:eastAsia="Courier New" w:hAnsi="Courier New"/>
                <w:sz w:val="17"/>
                <w:szCs w:val="17"/>
                <w:i w:val="1"/>
                <w:iCs w:val="1"/>
                <w:color w:val="auto"/>
              </w:rPr>
              <w:t>uncertainties</w:t>
            </w:r>
          </w:p>
        </w:tc>
        <w:tc>
          <w:tcPr>
            <w:tcW w:w="2240" w:type="dxa"/>
            <w:vAlign w:val="bottom"/>
            <w:gridSpan w:val="4"/>
          </w:tcPr>
          <w:p>
            <w:pPr>
              <w:ind w:left="60"/>
              <w:spacing w:after="0"/>
              <w:rPr>
                <w:sz w:val="20"/>
                <w:szCs w:val="20"/>
                <w:color w:val="auto"/>
              </w:rPr>
            </w:pPr>
            <w:r>
              <w:rPr>
                <w:rFonts w:ascii="Courier New" w:cs="Courier New" w:eastAsia="Courier New" w:hAnsi="Courier New"/>
                <w:sz w:val="17"/>
                <w:szCs w:val="17"/>
                <w:i w:val="1"/>
                <w:iCs w:val="1"/>
                <w:color w:val="auto"/>
              </w:rPr>
              <w:t>that may cause actual</w:t>
            </w:r>
          </w:p>
        </w:tc>
        <w:tc>
          <w:tcPr>
            <w:tcW w:w="4500" w:type="dxa"/>
            <w:vAlign w:val="bottom"/>
            <w:gridSpan w:val="6"/>
          </w:tcPr>
          <w:p>
            <w:pPr>
              <w:ind w:left="40"/>
              <w:spacing w:after="0"/>
              <w:rPr>
                <w:sz w:val="20"/>
                <w:szCs w:val="20"/>
                <w:color w:val="auto"/>
              </w:rPr>
            </w:pPr>
            <w:r>
              <w:rPr>
                <w:rFonts w:ascii="Courier New" w:cs="Courier New" w:eastAsia="Courier New" w:hAnsi="Courier New"/>
                <w:sz w:val="17"/>
                <w:szCs w:val="17"/>
                <w:i w:val="1"/>
                <w:iCs w:val="1"/>
                <w:color w:val="auto"/>
                <w:w w:val="98"/>
              </w:rPr>
              <w:t>results to be materially different from such</w:t>
            </w:r>
          </w:p>
        </w:tc>
      </w:tr>
    </w:tbl>
    <w:p>
      <w:pPr>
        <w:sectPr>
          <w:pgSz w:w="11900" w:h="16840" w:orient="portrait"/>
          <w:cols w:equalWidth="0" w:num="1">
            <w:col w:w="10720"/>
          </w:cols>
          <w:pgMar w:left="240" w:top="112" w:right="939" w:bottom="0" w:gutter="0" w:footer="0" w:header="0"/>
        </w:sectPr>
      </w:pPr>
    </w:p>
    <w:bookmarkStart w:id="4" w:name="page5"/>
    <w:bookmarkEnd w:id="4"/>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i w:val="1"/>
          <w:iCs w:val="1"/>
          <w:color w:val="auto"/>
        </w:rPr>
        <w:t>forward-looking statements. Such factors include,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358775</wp:posOffset>
            </wp:positionV>
            <wp:extent cx="72777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620"/>
        <w:spacing w:after="0" w:line="246" w:lineRule="auto"/>
        <w:rPr>
          <w:sz w:val="20"/>
          <w:szCs w:val="20"/>
          <w:color w:val="auto"/>
        </w:rPr>
      </w:pPr>
      <w:r>
        <w:rPr>
          <w:rFonts w:ascii="Courier New" w:cs="Courier New" w:eastAsia="Courier New" w:hAnsi="Courier New"/>
          <w:sz w:val="17"/>
          <w:szCs w:val="17"/>
          <w:i w:val="1"/>
          <w:iCs w:val="1"/>
          <w:color w:val="auto"/>
        </w:rPr>
        <w:t>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2002.</w:t>
      </w:r>
    </w:p>
    <w:p>
      <w:pPr>
        <w:spacing w:after="0" w:line="168"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235585</wp:posOffset>
            </wp:positionV>
            <wp:extent cx="72777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7"/>
          <w:szCs w:val="17"/>
          <w:b w:val="1"/>
          <w:bCs w:val="1"/>
          <w:color w:val="auto"/>
        </w:rPr>
        <w:t>NN, Inc.</w:t>
      </w:r>
    </w:p>
    <w:p>
      <w:pPr>
        <w:spacing w:after="0" w:line="66"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7"/>
          <w:szCs w:val="17"/>
          <w:b w:val="1"/>
          <w:bCs w:val="1"/>
          <w:color w:val="auto"/>
        </w:rPr>
        <w:t>Condensed Statements of Income</w:t>
      </w:r>
    </w:p>
    <w:p>
      <w:pPr>
        <w:spacing w:after="0" w:line="2"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7"/>
          <w:szCs w:val="17"/>
          <w:b w:val="1"/>
          <w:bCs w:val="1"/>
          <w:color w:val="auto"/>
        </w:rPr>
        <w:t>(In Thousands,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4860" w:type="dxa"/>
            <w:vAlign w:val="bottom"/>
          </w:tcPr>
          <w:p>
            <w:pPr>
              <w:ind w:left="3540"/>
              <w:spacing w:after="0"/>
              <w:rPr>
                <w:sz w:val="20"/>
                <w:szCs w:val="20"/>
                <w:color w:val="auto"/>
              </w:rPr>
            </w:pPr>
            <w:r>
              <w:rPr>
                <w:rFonts w:ascii="Courier New" w:cs="Courier New" w:eastAsia="Courier New" w:hAnsi="Courier New"/>
                <w:sz w:val="17"/>
                <w:szCs w:val="17"/>
                <w:b w:val="1"/>
                <w:bCs w:val="1"/>
                <w:color w:val="auto"/>
              </w:rPr>
              <w:t>(Unaudited)</w:t>
            </w:r>
          </w:p>
        </w:tc>
        <w:tc>
          <w:tcPr>
            <w:tcW w:w="1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860" w:type="dxa"/>
            <w:vAlign w:val="bottom"/>
          </w:tcPr>
          <w:p>
            <w:pPr>
              <w:spacing w:after="0"/>
              <w:rPr>
                <w:sz w:val="17"/>
                <w:szCs w:val="17"/>
                <w:color w:val="auto"/>
              </w:rPr>
            </w:pPr>
          </w:p>
        </w:tc>
        <w:tc>
          <w:tcPr>
            <w:tcW w:w="3340" w:type="dxa"/>
            <w:vAlign w:val="bottom"/>
            <w:gridSpan w:val="2"/>
          </w:tcPr>
          <w:p>
            <w:pPr>
              <w:ind w:left="500"/>
              <w:spacing w:after="0"/>
              <w:rPr>
                <w:sz w:val="20"/>
                <w:szCs w:val="20"/>
                <w:color w:val="auto"/>
              </w:rPr>
            </w:pPr>
            <w:r>
              <w:rPr>
                <w:rFonts w:ascii="Courier New" w:cs="Courier New" w:eastAsia="Courier New" w:hAnsi="Courier New"/>
                <w:sz w:val="17"/>
                <w:szCs w:val="17"/>
                <w:b w:val="1"/>
                <w:bCs w:val="1"/>
                <w:color w:val="auto"/>
              </w:rPr>
              <w:t>Three Months Ended</w:t>
            </w:r>
          </w:p>
        </w:tc>
        <w:tc>
          <w:tcPr>
            <w:tcW w:w="3320" w:type="dxa"/>
            <w:vAlign w:val="bottom"/>
            <w:gridSpan w:val="2"/>
          </w:tcPr>
          <w:p>
            <w:pPr>
              <w:ind w:left="1000"/>
              <w:spacing w:after="0"/>
              <w:rPr>
                <w:sz w:val="20"/>
                <w:szCs w:val="20"/>
                <w:color w:val="auto"/>
              </w:rPr>
            </w:pPr>
            <w:r>
              <w:rPr>
                <w:rFonts w:ascii="Courier New" w:cs="Courier New" w:eastAsia="Courier New" w:hAnsi="Courier New"/>
                <w:sz w:val="17"/>
                <w:szCs w:val="17"/>
                <w:b w:val="1"/>
                <w:bCs w:val="1"/>
                <w:color w:val="auto"/>
              </w:rPr>
              <w:t>Nine Months Ended</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3340" w:type="dxa"/>
            <w:vAlign w:val="bottom"/>
            <w:gridSpan w:val="2"/>
          </w:tcPr>
          <w:p>
            <w:pPr>
              <w:jc w:val="right"/>
              <w:ind w:right="1236"/>
              <w:spacing w:after="0"/>
              <w:rPr>
                <w:sz w:val="20"/>
                <w:szCs w:val="20"/>
                <w:color w:val="auto"/>
              </w:rPr>
            </w:pPr>
            <w:r>
              <w:rPr>
                <w:rFonts w:ascii="Courier New" w:cs="Courier New" w:eastAsia="Courier New" w:hAnsi="Courier New"/>
                <w:sz w:val="17"/>
                <w:szCs w:val="17"/>
                <w:b w:val="1"/>
                <w:bCs w:val="1"/>
                <w:color w:val="auto"/>
              </w:rPr>
              <w:t>September 30,</w:t>
            </w:r>
          </w:p>
        </w:tc>
        <w:tc>
          <w:tcPr>
            <w:tcW w:w="3320" w:type="dxa"/>
            <w:vAlign w:val="bottom"/>
            <w:gridSpan w:val="2"/>
          </w:tcPr>
          <w:p>
            <w:pPr>
              <w:jc w:val="right"/>
              <w:ind w:right="716"/>
              <w:spacing w:after="0"/>
              <w:rPr>
                <w:sz w:val="20"/>
                <w:szCs w:val="20"/>
                <w:color w:val="auto"/>
              </w:rPr>
            </w:pPr>
            <w:r>
              <w:rPr>
                <w:rFonts w:ascii="Courier New" w:cs="Courier New" w:eastAsia="Courier New" w:hAnsi="Courier New"/>
                <w:sz w:val="17"/>
                <w:szCs w:val="17"/>
                <w:b w:val="1"/>
                <w:bCs w:val="1"/>
                <w:color w:val="auto"/>
              </w:rPr>
              <w:t>September 30,</w:t>
            </w:r>
          </w:p>
        </w:tc>
        <w:tc>
          <w:tcPr>
            <w:tcW w:w="0" w:type="dxa"/>
            <w:vAlign w:val="bottom"/>
          </w:tcPr>
          <w:p>
            <w:pPr>
              <w:spacing w:after="0"/>
              <w:rPr>
                <w:sz w:val="1"/>
                <w:szCs w:val="1"/>
                <w:color w:val="auto"/>
              </w:rPr>
            </w:pPr>
          </w:p>
        </w:tc>
      </w:tr>
      <w:tr>
        <w:trPr>
          <w:trHeight w:val="219"/>
        </w:trPr>
        <w:tc>
          <w:tcPr>
            <w:tcW w:w="4860" w:type="dxa"/>
            <w:vAlign w:val="bottom"/>
          </w:tcPr>
          <w:p>
            <w:pPr>
              <w:spacing w:after="0"/>
              <w:rPr>
                <w:sz w:val="19"/>
                <w:szCs w:val="19"/>
                <w:color w:val="auto"/>
              </w:rPr>
            </w:pPr>
          </w:p>
        </w:tc>
        <w:tc>
          <w:tcPr>
            <w:tcW w:w="1820" w:type="dxa"/>
            <w:vAlign w:val="bottom"/>
          </w:tcPr>
          <w:p>
            <w:pPr>
              <w:ind w:left="500"/>
              <w:spacing w:after="0"/>
              <w:rPr>
                <w:sz w:val="20"/>
                <w:szCs w:val="20"/>
                <w:color w:val="auto"/>
              </w:rPr>
            </w:pPr>
            <w:r>
              <w:rPr>
                <w:rFonts w:ascii="Courier New" w:cs="Courier New" w:eastAsia="Courier New" w:hAnsi="Courier New"/>
                <w:sz w:val="17"/>
                <w:szCs w:val="17"/>
                <w:b w:val="1"/>
                <w:bCs w:val="1"/>
                <w:color w:val="auto"/>
              </w:rPr>
              <w:t>2003</w:t>
            </w:r>
          </w:p>
        </w:tc>
        <w:tc>
          <w:tcPr>
            <w:tcW w:w="1520" w:type="dxa"/>
            <w:vAlign w:val="bottom"/>
          </w:tcPr>
          <w:p>
            <w:pPr>
              <w:jc w:val="right"/>
              <w:ind w:right="1036"/>
              <w:spacing w:after="0"/>
              <w:rPr>
                <w:sz w:val="20"/>
                <w:szCs w:val="20"/>
                <w:color w:val="auto"/>
              </w:rPr>
            </w:pPr>
            <w:r>
              <w:rPr>
                <w:rFonts w:ascii="Courier New" w:cs="Courier New" w:eastAsia="Courier New" w:hAnsi="Courier New"/>
                <w:sz w:val="17"/>
                <w:szCs w:val="17"/>
                <w:b w:val="1"/>
                <w:bCs w:val="1"/>
                <w:color w:val="auto"/>
                <w:w w:val="93"/>
              </w:rPr>
              <w:t>2002</w:t>
            </w:r>
          </w:p>
        </w:tc>
        <w:tc>
          <w:tcPr>
            <w:tcW w:w="2160" w:type="dxa"/>
            <w:vAlign w:val="bottom"/>
          </w:tcPr>
          <w:p>
            <w:pPr>
              <w:ind w:left="1000"/>
              <w:spacing w:after="0"/>
              <w:rPr>
                <w:sz w:val="20"/>
                <w:szCs w:val="20"/>
                <w:color w:val="auto"/>
              </w:rPr>
            </w:pPr>
            <w:r>
              <w:rPr>
                <w:rFonts w:ascii="Courier New" w:cs="Courier New" w:eastAsia="Courier New" w:hAnsi="Courier New"/>
                <w:sz w:val="17"/>
                <w:szCs w:val="17"/>
                <w:b w:val="1"/>
                <w:bCs w:val="1"/>
                <w:color w:val="auto"/>
              </w:rPr>
              <w:t>2003</w:t>
            </w:r>
          </w:p>
        </w:tc>
        <w:tc>
          <w:tcPr>
            <w:tcW w:w="1160" w:type="dxa"/>
            <w:vAlign w:val="bottom"/>
          </w:tcPr>
          <w:p>
            <w:pPr>
              <w:jc w:val="right"/>
              <w:ind w:right="416"/>
              <w:spacing w:after="0"/>
              <w:rPr>
                <w:sz w:val="20"/>
                <w:szCs w:val="20"/>
                <w:color w:val="auto"/>
              </w:rPr>
            </w:pPr>
            <w:r>
              <w:rPr>
                <w:rFonts w:ascii="Courier New" w:cs="Courier New" w:eastAsia="Courier New" w:hAnsi="Courier New"/>
                <w:sz w:val="17"/>
                <w:szCs w:val="17"/>
                <w:b w:val="1"/>
                <w:bCs w:val="1"/>
                <w:color w:val="auto"/>
              </w:rPr>
              <w:t>2002</w:t>
            </w:r>
          </w:p>
        </w:tc>
        <w:tc>
          <w:tcPr>
            <w:tcW w:w="0" w:type="dxa"/>
            <w:vAlign w:val="bottom"/>
          </w:tcPr>
          <w:p>
            <w:pPr>
              <w:spacing w:after="0"/>
              <w:rPr>
                <w:sz w:val="1"/>
                <w:szCs w:val="1"/>
                <w:color w:val="auto"/>
              </w:rPr>
            </w:pPr>
          </w:p>
        </w:tc>
      </w:tr>
      <w:tr>
        <w:trPr>
          <w:trHeight w:val="194"/>
        </w:trPr>
        <w:tc>
          <w:tcPr>
            <w:tcW w:w="4860" w:type="dxa"/>
            <w:vAlign w:val="bottom"/>
            <w:vMerge w:val="restart"/>
          </w:tcPr>
          <w:p>
            <w:pPr>
              <w:spacing w:after="0"/>
              <w:rPr>
                <w:sz w:val="20"/>
                <w:szCs w:val="20"/>
                <w:color w:val="auto"/>
              </w:rPr>
            </w:pPr>
            <w:r>
              <w:rPr>
                <w:rFonts w:ascii="Courier New" w:cs="Courier New" w:eastAsia="Courier New" w:hAnsi="Courier New"/>
                <w:sz w:val="17"/>
                <w:szCs w:val="17"/>
                <w:color w:val="auto"/>
              </w:rPr>
              <w:t>Net sales</w:t>
            </w:r>
          </w:p>
        </w:tc>
        <w:tc>
          <w:tcPr>
            <w:tcW w:w="1820" w:type="dxa"/>
            <w:vAlign w:val="bottom"/>
            <w:vMerge w:val="restart"/>
          </w:tcPr>
          <w:p>
            <w:pPr>
              <w:ind w:left="200"/>
              <w:spacing w:after="0"/>
              <w:rPr>
                <w:sz w:val="20"/>
                <w:szCs w:val="20"/>
                <w:color w:val="auto"/>
              </w:rPr>
            </w:pPr>
            <w:r>
              <w:rPr>
                <w:rFonts w:ascii="Courier New" w:cs="Courier New" w:eastAsia="Courier New" w:hAnsi="Courier New"/>
                <w:sz w:val="11"/>
                <w:szCs w:val="11"/>
                <w:color w:val="auto"/>
                <w:w w:val="75"/>
              </w:rPr>
              <w:t>-------------------------</w:t>
            </w:r>
            <w:r>
              <w:rPr>
                <w:rFonts w:ascii="Courier New" w:cs="Courier New" w:eastAsia="Courier New" w:hAnsi="Courier New"/>
                <w:sz w:val="17"/>
                <w:szCs w:val="17"/>
                <w:color w:val="auto"/>
                <w:w w:val="75"/>
                <w:vertAlign w:val="subscript"/>
              </w:rPr>
              <w:t>$64,612</w:t>
            </w:r>
          </w:p>
        </w:tc>
        <w:tc>
          <w:tcPr>
            <w:tcW w:w="1520" w:type="dxa"/>
            <w:vAlign w:val="bottom"/>
            <w:vMerge w:val="restart"/>
          </w:tcPr>
          <w:p>
            <w:pPr>
              <w:jc w:val="right"/>
              <w:ind w:right="636"/>
              <w:spacing w:after="0"/>
              <w:rPr>
                <w:sz w:val="20"/>
                <w:szCs w:val="20"/>
                <w:color w:val="auto"/>
              </w:rPr>
            </w:pPr>
            <w:r>
              <w:rPr>
                <w:rFonts w:ascii="Courier New" w:cs="Courier New" w:eastAsia="Courier New" w:hAnsi="Courier New"/>
                <w:sz w:val="17"/>
                <w:szCs w:val="17"/>
                <w:color w:val="auto"/>
                <w:w w:val="95"/>
              </w:rPr>
              <w:t>$ 47,451</w:t>
            </w:r>
          </w:p>
        </w:tc>
        <w:tc>
          <w:tcPr>
            <w:tcW w:w="3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4"/>
        </w:trPr>
        <w:tc>
          <w:tcPr>
            <w:tcW w:w="486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$ 186,415</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$ 143,836</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1820" w:type="dxa"/>
            <w:vAlign w:val="bottom"/>
          </w:tcPr>
          <w:p>
            <w:pPr>
              <w:jc w:val="right"/>
              <w:ind w:right="420"/>
              <w:spacing w:after="0"/>
              <w:rPr>
                <w:sz w:val="20"/>
                <w:szCs w:val="20"/>
                <w:color w:val="auto"/>
              </w:rPr>
            </w:pPr>
            <w:r>
              <w:rPr>
                <w:rFonts w:ascii="Courier New" w:cs="Courier New" w:eastAsia="Courier New" w:hAnsi="Courier New"/>
                <w:sz w:val="17"/>
                <w:szCs w:val="17"/>
                <w:color w:val="auto"/>
              </w:rPr>
              <w:t>50,294</w:t>
            </w:r>
          </w:p>
        </w:tc>
        <w:tc>
          <w:tcPr>
            <w:tcW w:w="15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35,631</w:t>
            </w: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142,758</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107,302</w:t>
            </w:r>
          </w:p>
        </w:tc>
        <w:tc>
          <w:tcPr>
            <w:tcW w:w="0" w:type="dxa"/>
            <w:vAlign w:val="bottom"/>
          </w:tcPr>
          <w:p>
            <w:pPr>
              <w:spacing w:after="0"/>
              <w:rPr>
                <w:sz w:val="1"/>
                <w:szCs w:val="1"/>
                <w:color w:val="auto"/>
              </w:rPr>
            </w:pPr>
          </w:p>
        </w:tc>
      </w:tr>
      <w:tr>
        <w:trPr>
          <w:trHeight w:val="194"/>
        </w:trPr>
        <w:tc>
          <w:tcPr>
            <w:tcW w:w="486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Gross profit</w:t>
            </w:r>
          </w:p>
        </w:tc>
        <w:tc>
          <w:tcPr>
            <w:tcW w:w="1820" w:type="dxa"/>
            <w:vAlign w:val="bottom"/>
            <w:vMerge w:val="restart"/>
          </w:tcPr>
          <w:p>
            <w:pPr>
              <w:ind w:left="200"/>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14,318</w:t>
            </w:r>
          </w:p>
        </w:tc>
        <w:tc>
          <w:tcPr>
            <w:tcW w:w="1520" w:type="dxa"/>
            <w:vAlign w:val="bottom"/>
            <w:vMerge w:val="restart"/>
          </w:tcPr>
          <w:p>
            <w:pPr>
              <w:jc w:val="right"/>
              <w:ind w:right="636"/>
              <w:spacing w:after="0"/>
              <w:rPr>
                <w:sz w:val="20"/>
                <w:szCs w:val="20"/>
                <w:color w:val="auto"/>
              </w:rPr>
            </w:pPr>
            <w:r>
              <w:rPr>
                <w:rFonts w:ascii="Courier New" w:cs="Courier New" w:eastAsia="Courier New" w:hAnsi="Courier New"/>
                <w:sz w:val="17"/>
                <w:szCs w:val="17"/>
                <w:color w:val="auto"/>
              </w:rPr>
              <w:t>11,820</w:t>
            </w:r>
          </w:p>
        </w:tc>
        <w:tc>
          <w:tcPr>
            <w:tcW w:w="3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0"/>
        </w:trPr>
        <w:tc>
          <w:tcPr>
            <w:tcW w:w="4860" w:type="dxa"/>
            <w:vAlign w:val="bottom"/>
            <w:vMerge w:val="continue"/>
          </w:tcPr>
          <w:p>
            <w:pPr>
              <w:spacing w:after="0"/>
              <w:rPr>
                <w:sz w:val="24"/>
                <w:szCs w:val="24"/>
                <w:color w:val="auto"/>
              </w:rPr>
            </w:pPr>
          </w:p>
        </w:tc>
        <w:tc>
          <w:tcPr>
            <w:tcW w:w="182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43,657</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36,534</w:t>
            </w:r>
          </w:p>
        </w:tc>
        <w:tc>
          <w:tcPr>
            <w:tcW w:w="0" w:type="dxa"/>
            <w:vAlign w:val="bottom"/>
          </w:tcPr>
          <w:p>
            <w:pPr>
              <w:spacing w:after="0"/>
              <w:rPr>
                <w:sz w:val="1"/>
                <w:szCs w:val="1"/>
                <w:color w:val="auto"/>
              </w:rPr>
            </w:pPr>
          </w:p>
        </w:tc>
      </w:tr>
      <w:tr>
        <w:trPr>
          <w:trHeight w:val="283"/>
        </w:trPr>
        <w:tc>
          <w:tcPr>
            <w:tcW w:w="4860" w:type="dxa"/>
            <w:vAlign w:val="bottom"/>
          </w:tcPr>
          <w:p>
            <w:pPr>
              <w:spacing w:after="0"/>
              <w:rPr>
                <w:sz w:val="20"/>
                <w:szCs w:val="20"/>
                <w:color w:val="auto"/>
              </w:rPr>
            </w:pPr>
            <w:r>
              <w:rPr>
                <w:rFonts w:ascii="Courier New" w:cs="Courier New" w:eastAsia="Courier New" w:hAnsi="Courier New"/>
                <w:sz w:val="17"/>
                <w:szCs w:val="17"/>
                <w:color w:val="auto"/>
              </w:rPr>
              <w:t>Selling, general and adminstrative</w:t>
            </w:r>
          </w:p>
        </w:tc>
        <w:tc>
          <w:tcPr>
            <w:tcW w:w="1820" w:type="dxa"/>
            <w:vAlign w:val="bottom"/>
          </w:tcPr>
          <w:p>
            <w:pPr>
              <w:jc w:val="right"/>
              <w:ind w:right="420"/>
              <w:spacing w:after="0"/>
              <w:rPr>
                <w:sz w:val="20"/>
                <w:szCs w:val="20"/>
                <w:color w:val="auto"/>
              </w:rPr>
            </w:pPr>
            <w:r>
              <w:rPr>
                <w:rFonts w:ascii="Courier New" w:cs="Courier New" w:eastAsia="Courier New" w:hAnsi="Courier New"/>
                <w:sz w:val="17"/>
                <w:szCs w:val="17"/>
                <w:color w:val="auto"/>
              </w:rPr>
              <w:t>5,247</w:t>
            </w:r>
          </w:p>
        </w:tc>
        <w:tc>
          <w:tcPr>
            <w:tcW w:w="15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4,076</w:t>
            </w: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15,650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13,311</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1820" w:type="dxa"/>
            <w:vAlign w:val="bottom"/>
          </w:tcPr>
          <w:p>
            <w:pPr>
              <w:jc w:val="right"/>
              <w:ind w:right="420"/>
              <w:spacing w:after="0"/>
              <w:rPr>
                <w:sz w:val="20"/>
                <w:szCs w:val="20"/>
                <w:color w:val="auto"/>
              </w:rPr>
            </w:pPr>
            <w:r>
              <w:rPr>
                <w:rFonts w:ascii="Courier New" w:cs="Courier New" w:eastAsia="Courier New" w:hAnsi="Courier New"/>
                <w:sz w:val="17"/>
                <w:szCs w:val="17"/>
                <w:color w:val="auto"/>
              </w:rPr>
              <w:t>3,642</w:t>
            </w:r>
          </w:p>
        </w:tc>
        <w:tc>
          <w:tcPr>
            <w:tcW w:w="15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2,881</w:t>
            </w: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10,203</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8,443</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Restructuring and impairment costs/(gain)</w:t>
            </w:r>
          </w:p>
        </w:tc>
        <w:tc>
          <w:tcPr>
            <w:tcW w:w="1820" w:type="dxa"/>
            <w:vAlign w:val="bottom"/>
          </w:tcPr>
          <w:p>
            <w:pPr>
              <w:jc w:val="right"/>
              <w:ind w:right="320"/>
              <w:spacing w:after="0"/>
              <w:rPr>
                <w:sz w:val="20"/>
                <w:szCs w:val="20"/>
                <w:color w:val="auto"/>
              </w:rPr>
            </w:pPr>
            <w:r>
              <w:rPr>
                <w:rFonts w:ascii="Courier New" w:cs="Courier New" w:eastAsia="Courier New" w:hAnsi="Courier New"/>
                <w:sz w:val="17"/>
                <w:szCs w:val="17"/>
                <w:color w:val="auto"/>
              </w:rPr>
              <w:t>(224)</w:t>
            </w:r>
          </w:p>
        </w:tc>
        <w:tc>
          <w:tcPr>
            <w:tcW w:w="15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w:t>
            </w: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2,498</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w:t>
            </w:r>
          </w:p>
        </w:tc>
        <w:tc>
          <w:tcPr>
            <w:tcW w:w="0" w:type="dxa"/>
            <w:vAlign w:val="bottom"/>
          </w:tcPr>
          <w:p>
            <w:pPr>
              <w:spacing w:after="0"/>
              <w:rPr>
                <w:sz w:val="1"/>
                <w:szCs w:val="1"/>
                <w:color w:val="auto"/>
              </w:rPr>
            </w:pPr>
          </w:p>
        </w:tc>
      </w:tr>
      <w:tr>
        <w:trPr>
          <w:trHeight w:val="194"/>
        </w:trPr>
        <w:tc>
          <w:tcPr>
            <w:tcW w:w="4860" w:type="dxa"/>
            <w:vAlign w:val="bottom"/>
            <w:vMerge w:val="restart"/>
          </w:tcPr>
          <w:p>
            <w:pPr>
              <w:spacing w:after="0"/>
              <w:rPr>
                <w:sz w:val="20"/>
                <w:szCs w:val="20"/>
                <w:color w:val="auto"/>
              </w:rPr>
            </w:pPr>
            <w:r>
              <w:rPr>
                <w:rFonts w:ascii="Courier New" w:cs="Courier New" w:eastAsia="Courier New" w:hAnsi="Courier New"/>
                <w:sz w:val="17"/>
                <w:szCs w:val="17"/>
                <w:color w:val="auto"/>
              </w:rPr>
              <w:t>Income from operations</w:t>
            </w:r>
          </w:p>
        </w:tc>
        <w:tc>
          <w:tcPr>
            <w:tcW w:w="1820" w:type="dxa"/>
            <w:vAlign w:val="bottom"/>
            <w:vMerge w:val="restart"/>
          </w:tcPr>
          <w:p>
            <w:pPr>
              <w:ind w:left="200"/>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0"/>
                <w:szCs w:val="20"/>
                <w:color w:val="auto"/>
                <w:w w:val="72"/>
                <w:vertAlign w:val="subscript"/>
              </w:rPr>
              <w:t>5,653</w:t>
            </w:r>
          </w:p>
        </w:tc>
        <w:tc>
          <w:tcPr>
            <w:tcW w:w="1520" w:type="dxa"/>
            <w:vAlign w:val="bottom"/>
            <w:vMerge w:val="restart"/>
          </w:tcPr>
          <w:p>
            <w:pPr>
              <w:jc w:val="right"/>
              <w:ind w:right="636"/>
              <w:spacing w:after="0"/>
              <w:rPr>
                <w:sz w:val="20"/>
                <w:szCs w:val="20"/>
                <w:color w:val="auto"/>
              </w:rPr>
            </w:pPr>
            <w:r>
              <w:rPr>
                <w:rFonts w:ascii="Courier New" w:cs="Courier New" w:eastAsia="Courier New" w:hAnsi="Courier New"/>
                <w:sz w:val="17"/>
                <w:szCs w:val="17"/>
                <w:color w:val="auto"/>
              </w:rPr>
              <w:t>4,863</w:t>
            </w:r>
          </w:p>
        </w:tc>
        <w:tc>
          <w:tcPr>
            <w:tcW w:w="3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0"/>
        </w:trPr>
        <w:tc>
          <w:tcPr>
            <w:tcW w:w="4860" w:type="dxa"/>
            <w:vAlign w:val="bottom"/>
            <w:vMerge w:val="continue"/>
          </w:tcPr>
          <w:p>
            <w:pPr>
              <w:spacing w:after="0"/>
              <w:rPr>
                <w:sz w:val="24"/>
                <w:szCs w:val="24"/>
                <w:color w:val="auto"/>
              </w:rPr>
            </w:pPr>
          </w:p>
        </w:tc>
        <w:tc>
          <w:tcPr>
            <w:tcW w:w="182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15,306</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14,702</w:t>
            </w:r>
          </w:p>
        </w:tc>
        <w:tc>
          <w:tcPr>
            <w:tcW w:w="0" w:type="dxa"/>
            <w:vAlign w:val="bottom"/>
          </w:tcPr>
          <w:p>
            <w:pPr>
              <w:spacing w:after="0"/>
              <w:rPr>
                <w:sz w:val="1"/>
                <w:szCs w:val="1"/>
                <w:color w:val="auto"/>
              </w:rPr>
            </w:pPr>
          </w:p>
        </w:tc>
      </w:tr>
      <w:tr>
        <w:trPr>
          <w:trHeight w:val="283"/>
        </w:trPr>
        <w:tc>
          <w:tcPr>
            <w:tcW w:w="486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1820" w:type="dxa"/>
            <w:vAlign w:val="bottom"/>
          </w:tcPr>
          <w:p>
            <w:pPr>
              <w:jc w:val="right"/>
              <w:ind w:right="420"/>
              <w:spacing w:after="0"/>
              <w:rPr>
                <w:sz w:val="20"/>
                <w:szCs w:val="20"/>
                <w:color w:val="auto"/>
              </w:rPr>
            </w:pPr>
            <w:r>
              <w:rPr>
                <w:rFonts w:ascii="Courier New" w:cs="Courier New" w:eastAsia="Courier New" w:hAnsi="Courier New"/>
                <w:sz w:val="17"/>
                <w:szCs w:val="17"/>
                <w:color w:val="auto"/>
              </w:rPr>
              <w:t>881</w:t>
            </w:r>
          </w:p>
        </w:tc>
        <w:tc>
          <w:tcPr>
            <w:tcW w:w="15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597</w:t>
            </w: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2,225</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1,876</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Net gain on involuntary conversion</w:t>
            </w:r>
          </w:p>
        </w:tc>
        <w:tc>
          <w:tcPr>
            <w:tcW w:w="1820" w:type="dxa"/>
            <w:vAlign w:val="bottom"/>
          </w:tcPr>
          <w:p>
            <w:pPr>
              <w:jc w:val="right"/>
              <w:ind w:right="42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w:t>
            </w:r>
          </w:p>
        </w:tc>
        <w:tc>
          <w:tcPr>
            <w:tcW w:w="2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(6,600)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820" w:type="dxa"/>
            <w:vAlign w:val="bottom"/>
          </w:tcPr>
          <w:p>
            <w:pPr>
              <w:jc w:val="right"/>
              <w:ind w:right="320"/>
              <w:spacing w:after="0"/>
              <w:rPr>
                <w:sz w:val="20"/>
                <w:szCs w:val="20"/>
                <w:color w:val="auto"/>
              </w:rPr>
            </w:pPr>
            <w:r>
              <w:rPr>
                <w:rFonts w:ascii="Courier New" w:cs="Courier New" w:eastAsia="Courier New" w:hAnsi="Courier New"/>
                <w:sz w:val="17"/>
                <w:szCs w:val="17"/>
                <w:color w:val="auto"/>
              </w:rPr>
              <w:t>(38)</w:t>
            </w:r>
          </w:p>
        </w:tc>
        <w:tc>
          <w:tcPr>
            <w:tcW w:w="15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(20)</w:t>
            </w: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272</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(516)</w:t>
            </w:r>
          </w:p>
        </w:tc>
        <w:tc>
          <w:tcPr>
            <w:tcW w:w="0" w:type="dxa"/>
            <w:vAlign w:val="bottom"/>
          </w:tcPr>
          <w:p>
            <w:pPr>
              <w:spacing w:after="0"/>
              <w:rPr>
                <w:sz w:val="1"/>
                <w:szCs w:val="1"/>
                <w:color w:val="auto"/>
              </w:rPr>
            </w:pPr>
          </w:p>
        </w:tc>
      </w:tr>
      <w:tr>
        <w:trPr>
          <w:trHeight w:val="284"/>
        </w:trPr>
        <w:tc>
          <w:tcPr>
            <w:tcW w:w="4860" w:type="dxa"/>
            <w:vAlign w:val="bottom"/>
          </w:tcPr>
          <w:p>
            <w:pPr>
              <w:spacing w:after="0"/>
              <w:rPr>
                <w:sz w:val="24"/>
                <w:szCs w:val="24"/>
                <w:color w:val="auto"/>
              </w:rPr>
            </w:pPr>
          </w:p>
        </w:tc>
        <w:tc>
          <w:tcPr>
            <w:tcW w:w="3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3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9"/>
        </w:trPr>
        <w:tc>
          <w:tcPr>
            <w:tcW w:w="486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w:t>
            </w:r>
          </w:p>
        </w:tc>
        <w:tc>
          <w:tcPr>
            <w:tcW w:w="1820" w:type="dxa"/>
            <w:vAlign w:val="bottom"/>
          </w:tcPr>
          <w:p>
            <w:pPr>
              <w:jc w:val="right"/>
              <w:ind w:right="420"/>
              <w:spacing w:after="0"/>
              <w:rPr>
                <w:sz w:val="20"/>
                <w:szCs w:val="20"/>
                <w:color w:val="auto"/>
              </w:rPr>
            </w:pPr>
            <w:r>
              <w:rPr>
                <w:rFonts w:ascii="Courier New" w:cs="Courier New" w:eastAsia="Courier New" w:hAnsi="Courier New"/>
                <w:sz w:val="17"/>
                <w:szCs w:val="17"/>
                <w:color w:val="auto"/>
              </w:rPr>
              <w:t>4,810</w:t>
            </w:r>
          </w:p>
        </w:tc>
        <w:tc>
          <w:tcPr>
            <w:tcW w:w="15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4,286</w:t>
            </w: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19,409</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13,342</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820" w:type="dxa"/>
            <w:vAlign w:val="bottom"/>
          </w:tcPr>
          <w:p>
            <w:pPr>
              <w:jc w:val="right"/>
              <w:ind w:right="420"/>
              <w:spacing w:after="0"/>
              <w:rPr>
                <w:sz w:val="20"/>
                <w:szCs w:val="20"/>
                <w:color w:val="auto"/>
              </w:rPr>
            </w:pPr>
            <w:r>
              <w:rPr>
                <w:rFonts w:ascii="Courier New" w:cs="Courier New" w:eastAsia="Courier New" w:hAnsi="Courier New"/>
                <w:sz w:val="17"/>
                <w:szCs w:val="17"/>
                <w:color w:val="auto"/>
              </w:rPr>
              <w:t>1,646</w:t>
            </w:r>
          </w:p>
        </w:tc>
        <w:tc>
          <w:tcPr>
            <w:tcW w:w="15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1,612</w:t>
            </w: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4,630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4,957</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Minority interest in consolidated subsidiary</w:t>
            </w:r>
          </w:p>
        </w:tc>
        <w:tc>
          <w:tcPr>
            <w:tcW w:w="1820" w:type="dxa"/>
            <w:vAlign w:val="bottom"/>
          </w:tcPr>
          <w:p>
            <w:pPr>
              <w:jc w:val="right"/>
              <w:ind w:right="42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555</w:t>
            </w: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675</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2,010</w:t>
            </w:r>
          </w:p>
        </w:tc>
        <w:tc>
          <w:tcPr>
            <w:tcW w:w="0" w:type="dxa"/>
            <w:vAlign w:val="bottom"/>
          </w:tcPr>
          <w:p>
            <w:pPr>
              <w:spacing w:after="0"/>
              <w:rPr>
                <w:sz w:val="1"/>
                <w:szCs w:val="1"/>
                <w:color w:val="auto"/>
              </w:rPr>
            </w:pPr>
          </w:p>
        </w:tc>
      </w:tr>
      <w:tr>
        <w:trPr>
          <w:trHeight w:val="194"/>
        </w:trPr>
        <w:tc>
          <w:tcPr>
            <w:tcW w:w="486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1820" w:type="dxa"/>
            <w:vAlign w:val="bottom"/>
            <w:vMerge w:val="restart"/>
          </w:tcPr>
          <w:p>
            <w:pPr>
              <w:ind w:left="200"/>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$3,164</w:t>
            </w:r>
          </w:p>
        </w:tc>
        <w:tc>
          <w:tcPr>
            <w:tcW w:w="1520" w:type="dxa"/>
            <w:vAlign w:val="bottom"/>
            <w:vMerge w:val="restart"/>
          </w:tcPr>
          <w:p>
            <w:pPr>
              <w:jc w:val="right"/>
              <w:ind w:right="636"/>
              <w:spacing w:after="0"/>
              <w:rPr>
                <w:sz w:val="20"/>
                <w:szCs w:val="20"/>
                <w:color w:val="auto"/>
              </w:rPr>
            </w:pPr>
            <w:r>
              <w:rPr>
                <w:rFonts w:ascii="Courier New" w:cs="Courier New" w:eastAsia="Courier New" w:hAnsi="Courier New"/>
                <w:sz w:val="17"/>
                <w:szCs w:val="17"/>
                <w:color w:val="auto"/>
              </w:rPr>
              <w:t>$ 2,119</w:t>
            </w:r>
          </w:p>
        </w:tc>
        <w:tc>
          <w:tcPr>
            <w:tcW w:w="3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4"/>
        </w:trPr>
        <w:tc>
          <w:tcPr>
            <w:tcW w:w="486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$ 14,104</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$ 6,375</w:t>
            </w:r>
          </w:p>
        </w:tc>
        <w:tc>
          <w:tcPr>
            <w:tcW w:w="0" w:type="dxa"/>
            <w:vAlign w:val="bottom"/>
          </w:tcPr>
          <w:p>
            <w:pPr>
              <w:spacing w:after="0"/>
              <w:rPr>
                <w:sz w:val="1"/>
                <w:szCs w:val="1"/>
                <w:color w:val="auto"/>
              </w:rPr>
            </w:pPr>
          </w:p>
        </w:tc>
      </w:tr>
      <w:tr>
        <w:trPr>
          <w:trHeight w:val="284"/>
        </w:trPr>
        <w:tc>
          <w:tcPr>
            <w:tcW w:w="4860" w:type="dxa"/>
            <w:vAlign w:val="bottom"/>
          </w:tcPr>
          <w:p>
            <w:pPr>
              <w:spacing w:after="0"/>
              <w:rPr>
                <w:sz w:val="24"/>
                <w:szCs w:val="24"/>
                <w:color w:val="auto"/>
              </w:rPr>
            </w:pPr>
          </w:p>
        </w:tc>
        <w:tc>
          <w:tcPr>
            <w:tcW w:w="3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3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9"/>
        </w:trPr>
        <w:tc>
          <w:tcPr>
            <w:tcW w:w="4860" w:type="dxa"/>
            <w:vAlign w:val="bottom"/>
          </w:tcPr>
          <w:p>
            <w:pPr>
              <w:spacing w:after="0"/>
              <w:rPr>
                <w:sz w:val="20"/>
                <w:szCs w:val="20"/>
                <w:color w:val="auto"/>
              </w:rPr>
            </w:pPr>
            <w:r>
              <w:rPr>
                <w:rFonts w:ascii="Courier New" w:cs="Courier New" w:eastAsia="Courier New" w:hAnsi="Courier New"/>
                <w:sz w:val="17"/>
                <w:szCs w:val="17"/>
                <w:color w:val="auto"/>
              </w:rPr>
              <w:t>Diluted income per common share</w:t>
            </w:r>
          </w:p>
        </w:tc>
        <w:tc>
          <w:tcPr>
            <w:tcW w:w="1820" w:type="dxa"/>
            <w:vAlign w:val="bottom"/>
          </w:tcPr>
          <w:p>
            <w:pPr>
              <w:jc w:val="right"/>
              <w:ind w:right="420"/>
              <w:spacing w:after="0"/>
              <w:rPr>
                <w:sz w:val="20"/>
                <w:szCs w:val="20"/>
                <w:color w:val="auto"/>
              </w:rPr>
            </w:pPr>
            <w:r>
              <w:rPr>
                <w:rFonts w:ascii="Courier New" w:cs="Courier New" w:eastAsia="Courier New" w:hAnsi="Courier New"/>
                <w:sz w:val="17"/>
                <w:szCs w:val="17"/>
                <w:color w:val="auto"/>
              </w:rPr>
              <w:t>$ 0.18</w:t>
            </w:r>
          </w:p>
        </w:tc>
        <w:tc>
          <w:tcPr>
            <w:tcW w:w="15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$ 0.14</w:t>
            </w: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$ 0.87</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$ 0.40</w:t>
            </w:r>
          </w:p>
        </w:tc>
        <w:tc>
          <w:tcPr>
            <w:tcW w:w="0" w:type="dxa"/>
            <w:vAlign w:val="bottom"/>
          </w:tcPr>
          <w:p>
            <w:pPr>
              <w:spacing w:after="0"/>
              <w:rPr>
                <w:sz w:val="1"/>
                <w:szCs w:val="1"/>
                <w:color w:val="auto"/>
              </w:rPr>
            </w:pPr>
          </w:p>
        </w:tc>
      </w:tr>
      <w:tr>
        <w:trPr>
          <w:trHeight w:val="284"/>
        </w:trPr>
        <w:tc>
          <w:tcPr>
            <w:tcW w:w="4860" w:type="dxa"/>
            <w:vAlign w:val="bottom"/>
          </w:tcPr>
          <w:p>
            <w:pPr>
              <w:spacing w:after="0"/>
              <w:rPr>
                <w:sz w:val="24"/>
                <w:szCs w:val="24"/>
                <w:color w:val="auto"/>
              </w:rPr>
            </w:pPr>
          </w:p>
        </w:tc>
        <w:tc>
          <w:tcPr>
            <w:tcW w:w="3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3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9"/>
        </w:trPr>
        <w:tc>
          <w:tcPr>
            <w:tcW w:w="486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1820" w:type="dxa"/>
            <w:vAlign w:val="bottom"/>
          </w:tcPr>
          <w:p>
            <w:pPr>
              <w:jc w:val="right"/>
              <w:ind w:right="420"/>
              <w:spacing w:after="0"/>
              <w:rPr>
                <w:sz w:val="20"/>
                <w:szCs w:val="20"/>
                <w:color w:val="auto"/>
              </w:rPr>
            </w:pPr>
            <w:r>
              <w:rPr>
                <w:rFonts w:ascii="Courier New" w:cs="Courier New" w:eastAsia="Courier New" w:hAnsi="Courier New"/>
                <w:sz w:val="17"/>
                <w:szCs w:val="17"/>
                <w:color w:val="auto"/>
              </w:rPr>
              <w:t>17,167</w:t>
            </w:r>
          </w:p>
        </w:tc>
        <w:tc>
          <w:tcPr>
            <w:tcW w:w="15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15,584</w:t>
            </w:r>
          </w:p>
        </w:tc>
        <w:tc>
          <w:tcPr>
            <w:tcW w:w="2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16,194</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15,505</w:t>
            </w:r>
          </w:p>
        </w:tc>
        <w:tc>
          <w:tcPr>
            <w:tcW w:w="0" w:type="dxa"/>
            <w:vAlign w:val="bottom"/>
          </w:tcPr>
          <w:p>
            <w:pPr>
              <w:spacing w:after="0"/>
              <w:rPr>
                <w:sz w:val="1"/>
                <w:szCs w:val="1"/>
                <w:color w:val="auto"/>
              </w:rPr>
            </w:pPr>
          </w:p>
        </w:tc>
      </w:tr>
      <w:tr>
        <w:trPr>
          <w:trHeight w:val="284"/>
        </w:trPr>
        <w:tc>
          <w:tcPr>
            <w:tcW w:w="4860" w:type="dxa"/>
            <w:vAlign w:val="bottom"/>
          </w:tcPr>
          <w:p>
            <w:pPr>
              <w:spacing w:after="0"/>
              <w:rPr>
                <w:sz w:val="24"/>
                <w:szCs w:val="24"/>
                <w:color w:val="auto"/>
              </w:rPr>
            </w:pPr>
          </w:p>
        </w:tc>
        <w:tc>
          <w:tcPr>
            <w:tcW w:w="3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3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301625</wp:posOffset>
            </wp:positionV>
            <wp:extent cx="72777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b w:val="1"/>
          <w:bCs w:val="1"/>
          <w:color w:val="auto"/>
        </w:rPr>
        <w:t>NN, Inc.</w:t>
      </w:r>
    </w:p>
    <w:p>
      <w:pPr>
        <w:spacing w:after="0" w:line="6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b w:val="1"/>
          <w:bCs w:val="1"/>
          <w:color w:val="auto"/>
        </w:rPr>
        <w:t>Condensed Balance Sheet</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b w:val="1"/>
          <w:bCs w:val="1"/>
          <w:color w:val="auto"/>
        </w:rPr>
        <w:t>(In Thousands,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3500" w:type="dxa"/>
            <w:vAlign w:val="bottom"/>
          </w:tcPr>
          <w:p>
            <w:pPr>
              <w:spacing w:after="0"/>
              <w:rPr>
                <w:sz w:val="24"/>
                <w:szCs w:val="24"/>
                <w:color w:val="auto"/>
              </w:rPr>
            </w:pPr>
          </w:p>
        </w:tc>
        <w:tc>
          <w:tcPr>
            <w:tcW w:w="3880" w:type="dxa"/>
            <w:vAlign w:val="bottom"/>
          </w:tcPr>
          <w:p>
            <w:pPr>
              <w:jc w:val="right"/>
              <w:ind w:right="2636"/>
              <w:spacing w:after="0"/>
              <w:rPr>
                <w:sz w:val="20"/>
                <w:szCs w:val="20"/>
                <w:color w:val="auto"/>
              </w:rPr>
            </w:pPr>
            <w:r>
              <w:rPr>
                <w:rFonts w:ascii="Courier New" w:cs="Courier New" w:eastAsia="Courier New" w:hAnsi="Courier New"/>
                <w:sz w:val="17"/>
                <w:szCs w:val="17"/>
                <w:b w:val="1"/>
                <w:bCs w:val="1"/>
                <w:color w:val="auto"/>
              </w:rPr>
              <w:t>(Unaudited)</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20"/>
                <w:szCs w:val="20"/>
                <w:color w:val="auto"/>
              </w:rPr>
            </w:pPr>
            <w:r>
              <w:rPr>
                <w:rFonts w:ascii="Courier New" w:cs="Courier New" w:eastAsia="Courier New" w:hAnsi="Courier New"/>
                <w:sz w:val="17"/>
                <w:szCs w:val="17"/>
                <w:b w:val="1"/>
                <w:bCs w:val="1"/>
                <w:color w:val="auto"/>
              </w:rPr>
              <w:t>Assets</w:t>
            </w:r>
          </w:p>
        </w:tc>
        <w:tc>
          <w:tcPr>
            <w:tcW w:w="3880" w:type="dxa"/>
            <w:vAlign w:val="bottom"/>
          </w:tcPr>
          <w:p>
            <w:pPr>
              <w:ind w:left="1860"/>
              <w:spacing w:after="0"/>
              <w:rPr>
                <w:sz w:val="20"/>
                <w:szCs w:val="20"/>
                <w:color w:val="auto"/>
              </w:rPr>
            </w:pPr>
            <w:r>
              <w:rPr>
                <w:rFonts w:ascii="Courier New" w:cs="Courier New" w:eastAsia="Courier New" w:hAnsi="Courier New"/>
                <w:sz w:val="17"/>
                <w:szCs w:val="17"/>
                <w:b w:val="1"/>
                <w:bCs w:val="1"/>
                <w:color w:val="auto"/>
              </w:rPr>
              <w:t>Consolidated</w:t>
            </w:r>
          </w:p>
        </w:tc>
        <w:tc>
          <w:tcPr>
            <w:tcW w:w="2220" w:type="dxa"/>
            <w:vAlign w:val="bottom"/>
          </w:tcPr>
          <w:p>
            <w:pPr>
              <w:ind w:left="620"/>
              <w:spacing w:after="0"/>
              <w:rPr>
                <w:sz w:val="20"/>
                <w:szCs w:val="20"/>
                <w:color w:val="auto"/>
              </w:rPr>
            </w:pPr>
            <w:r>
              <w:rPr>
                <w:rFonts w:ascii="Courier New" w:cs="Courier New" w:eastAsia="Courier New" w:hAnsi="Courier New"/>
                <w:sz w:val="17"/>
                <w:szCs w:val="17"/>
                <w:b w:val="1"/>
                <w:bCs w:val="1"/>
                <w:color w:val="auto"/>
              </w:rPr>
              <w:t>Consolidated</w:t>
            </w:r>
          </w:p>
        </w:tc>
        <w:tc>
          <w:tcPr>
            <w:tcW w:w="0" w:type="dxa"/>
            <w:vAlign w:val="bottom"/>
          </w:tcPr>
          <w:p>
            <w:pPr>
              <w:spacing w:after="0"/>
              <w:rPr>
                <w:sz w:val="1"/>
                <w:szCs w:val="1"/>
                <w:color w:val="auto"/>
              </w:rPr>
            </w:pPr>
          </w:p>
        </w:tc>
      </w:tr>
      <w:tr>
        <w:trPr>
          <w:trHeight w:val="219"/>
        </w:trPr>
        <w:tc>
          <w:tcPr>
            <w:tcW w:w="3500" w:type="dxa"/>
            <w:vAlign w:val="bottom"/>
          </w:tcPr>
          <w:p>
            <w:pPr>
              <w:spacing w:after="0"/>
              <w:rPr>
                <w:sz w:val="19"/>
                <w:szCs w:val="19"/>
                <w:color w:val="auto"/>
              </w:rPr>
            </w:pPr>
          </w:p>
        </w:tc>
        <w:tc>
          <w:tcPr>
            <w:tcW w:w="3880" w:type="dxa"/>
            <w:vAlign w:val="bottom"/>
          </w:tcPr>
          <w:p>
            <w:pPr>
              <w:jc w:val="right"/>
              <w:ind w:right="916"/>
              <w:spacing w:after="0"/>
              <w:rPr>
                <w:sz w:val="20"/>
                <w:szCs w:val="20"/>
                <w:color w:val="auto"/>
              </w:rPr>
            </w:pPr>
            <w:r>
              <w:rPr>
                <w:rFonts w:ascii="Courier New" w:cs="Courier New" w:eastAsia="Courier New" w:hAnsi="Courier New"/>
                <w:sz w:val="17"/>
                <w:szCs w:val="17"/>
                <w:b w:val="1"/>
                <w:bCs w:val="1"/>
                <w:color w:val="auto"/>
              </w:rPr>
              <w:t>09/30/03</w:t>
            </w:r>
          </w:p>
        </w:tc>
        <w:tc>
          <w:tcPr>
            <w:tcW w:w="2220" w:type="dxa"/>
            <w:vAlign w:val="bottom"/>
          </w:tcPr>
          <w:p>
            <w:pPr>
              <w:jc w:val="right"/>
              <w:ind w:right="416"/>
              <w:spacing w:after="0"/>
              <w:rPr>
                <w:sz w:val="20"/>
                <w:szCs w:val="20"/>
                <w:color w:val="auto"/>
              </w:rPr>
            </w:pPr>
            <w:r>
              <w:rPr>
                <w:rFonts w:ascii="Courier New" w:cs="Courier New" w:eastAsia="Courier New" w:hAnsi="Courier New"/>
                <w:sz w:val="17"/>
                <w:szCs w:val="17"/>
                <w:b w:val="1"/>
                <w:bCs w:val="1"/>
                <w:color w:val="auto"/>
              </w:rPr>
              <w:t>12/31/02</w:t>
            </w:r>
          </w:p>
        </w:tc>
        <w:tc>
          <w:tcPr>
            <w:tcW w:w="0" w:type="dxa"/>
            <w:vAlign w:val="bottom"/>
          </w:tcPr>
          <w:p>
            <w:pPr>
              <w:spacing w:after="0"/>
              <w:rPr>
                <w:sz w:val="1"/>
                <w:szCs w:val="1"/>
                <w:color w:val="auto"/>
              </w:rPr>
            </w:pPr>
          </w:p>
        </w:tc>
      </w:tr>
      <w:tr>
        <w:trPr>
          <w:trHeight w:val="284"/>
        </w:trPr>
        <w:tc>
          <w:tcPr>
            <w:tcW w:w="3500" w:type="dxa"/>
            <w:vAlign w:val="bottom"/>
            <w:vMerge w:val="restart"/>
          </w:tcPr>
          <w:p>
            <w:pPr>
              <w:spacing w:after="0"/>
              <w:rPr>
                <w:sz w:val="20"/>
                <w:szCs w:val="20"/>
                <w:color w:val="auto"/>
              </w:rPr>
            </w:pPr>
            <w:r>
              <w:rPr>
                <w:rFonts w:ascii="Courier New" w:cs="Courier New" w:eastAsia="Courier New" w:hAnsi="Courier New"/>
                <w:sz w:val="17"/>
                <w:szCs w:val="17"/>
                <w:color w:val="auto"/>
              </w:rPr>
              <w:t>Current assets:</w:t>
            </w:r>
          </w:p>
        </w:tc>
        <w:tc>
          <w:tcPr>
            <w:tcW w:w="3880" w:type="dxa"/>
            <w:vAlign w:val="bottom"/>
          </w:tcPr>
          <w:p>
            <w:pPr>
              <w:ind w:left="1860"/>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ind w:left="620"/>
              <w:spacing w:after="0"/>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105"/>
        </w:trPr>
        <w:tc>
          <w:tcPr>
            <w:tcW w:w="3500" w:type="dxa"/>
            <w:vAlign w:val="bottom"/>
            <w:vMerge w:val="continue"/>
          </w:tcPr>
          <w:p>
            <w:pPr>
              <w:spacing w:after="0"/>
              <w:rPr>
                <w:sz w:val="9"/>
                <w:szCs w:val="9"/>
                <w:color w:val="auto"/>
              </w:rPr>
            </w:pPr>
          </w:p>
        </w:tc>
        <w:tc>
          <w:tcPr>
            <w:tcW w:w="3880" w:type="dxa"/>
            <w:vAlign w:val="bottom"/>
            <w:vMerge w:val="restart"/>
          </w:tcPr>
          <w:p>
            <w:pPr>
              <w:jc w:val="right"/>
              <w:ind w:right="616"/>
              <w:spacing w:after="0"/>
              <w:rPr>
                <w:sz w:val="20"/>
                <w:szCs w:val="20"/>
                <w:color w:val="auto"/>
              </w:rPr>
            </w:pPr>
            <w:r>
              <w:rPr>
                <w:rFonts w:ascii="Courier New" w:cs="Courier New" w:eastAsia="Courier New" w:hAnsi="Courier New"/>
                <w:sz w:val="17"/>
                <w:szCs w:val="17"/>
                <w:color w:val="auto"/>
              </w:rPr>
              <w:t>$ 4,790</w:t>
            </w:r>
          </w:p>
        </w:tc>
        <w:tc>
          <w:tcPr>
            <w:tcW w:w="222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$ 5,144</w:t>
            </w:r>
          </w:p>
        </w:tc>
        <w:tc>
          <w:tcPr>
            <w:tcW w:w="0" w:type="dxa"/>
            <w:vAlign w:val="bottom"/>
          </w:tcPr>
          <w:p>
            <w:pPr>
              <w:spacing w:after="0"/>
              <w:rPr>
                <w:sz w:val="1"/>
                <w:szCs w:val="1"/>
                <w:color w:val="auto"/>
              </w:rPr>
            </w:pPr>
          </w:p>
        </w:tc>
      </w:tr>
      <w:tr>
        <w:trPr>
          <w:trHeight w:val="194"/>
        </w:trPr>
        <w:tc>
          <w:tcPr>
            <w:tcW w:w="350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w:t>
            </w:r>
          </w:p>
        </w:tc>
        <w:tc>
          <w:tcPr>
            <w:tcW w:w="38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0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net</w:t>
            </w:r>
          </w:p>
        </w:tc>
        <w:tc>
          <w:tcPr>
            <w:tcW w:w="388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45,431</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28,965</w:t>
            </w:r>
          </w:p>
        </w:tc>
        <w:tc>
          <w:tcPr>
            <w:tcW w:w="0" w:type="dxa"/>
            <w:vAlign w:val="bottom"/>
          </w:tcPr>
          <w:p>
            <w:pPr>
              <w:spacing w:after="0"/>
              <w:rPr>
                <w:sz w:val="1"/>
                <w:szCs w:val="1"/>
                <w:color w:val="auto"/>
              </w:rPr>
            </w:pPr>
          </w:p>
        </w:tc>
      </w:tr>
      <w:tr>
        <w:trPr>
          <w:trHeight w:val="194"/>
        </w:trPr>
        <w:tc>
          <w:tcPr>
            <w:tcW w:w="3500" w:type="dxa"/>
            <w:vAlign w:val="bottom"/>
          </w:tcPr>
          <w:p>
            <w:pPr>
              <w:ind w:left="200"/>
              <w:spacing w:after="0"/>
              <w:rPr>
                <w:sz w:val="20"/>
                <w:szCs w:val="20"/>
                <w:color w:val="auto"/>
              </w:rPr>
            </w:pPr>
            <w:r>
              <w:rPr>
                <w:rFonts w:ascii="Courier New" w:cs="Courier New" w:eastAsia="Courier New" w:hAnsi="Courier New"/>
                <w:sz w:val="17"/>
                <w:szCs w:val="17"/>
                <w:color w:val="auto"/>
              </w:rPr>
              <w:t>Inventories, net</w:t>
            </w:r>
          </w:p>
        </w:tc>
        <w:tc>
          <w:tcPr>
            <w:tcW w:w="388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34,391</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23,402</w:t>
            </w:r>
          </w:p>
        </w:tc>
        <w:tc>
          <w:tcPr>
            <w:tcW w:w="0" w:type="dxa"/>
            <w:vAlign w:val="bottom"/>
          </w:tcPr>
          <w:p>
            <w:pPr>
              <w:spacing w:after="0"/>
              <w:rPr>
                <w:sz w:val="1"/>
                <w:szCs w:val="1"/>
                <w:color w:val="auto"/>
              </w:rPr>
            </w:pPr>
          </w:p>
        </w:tc>
      </w:tr>
      <w:tr>
        <w:trPr>
          <w:trHeight w:val="194"/>
        </w:trPr>
        <w:tc>
          <w:tcPr>
            <w:tcW w:w="3500" w:type="dxa"/>
            <w:vAlign w:val="bottom"/>
          </w:tcPr>
          <w:p>
            <w:pPr>
              <w:ind w:left="200"/>
              <w:spacing w:after="0"/>
              <w:rPr>
                <w:sz w:val="20"/>
                <w:szCs w:val="20"/>
                <w:color w:val="auto"/>
              </w:rPr>
            </w:pPr>
            <w:r>
              <w:rPr>
                <w:rFonts w:ascii="Courier New" w:cs="Courier New" w:eastAsia="Courier New" w:hAnsi="Courier New"/>
                <w:sz w:val="17"/>
                <w:szCs w:val="17"/>
                <w:color w:val="auto"/>
              </w:rPr>
              <w:t>Other current assets</w:t>
            </w:r>
          </w:p>
        </w:tc>
        <w:tc>
          <w:tcPr>
            <w:tcW w:w="388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5,860</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3,901</w:t>
            </w:r>
          </w:p>
        </w:tc>
        <w:tc>
          <w:tcPr>
            <w:tcW w:w="0" w:type="dxa"/>
            <w:vAlign w:val="bottom"/>
          </w:tcPr>
          <w:p>
            <w:pPr>
              <w:spacing w:after="0"/>
              <w:rPr>
                <w:sz w:val="1"/>
                <w:szCs w:val="1"/>
                <w:color w:val="auto"/>
              </w:rPr>
            </w:pPr>
          </w:p>
        </w:tc>
      </w:tr>
      <w:tr>
        <w:trPr>
          <w:trHeight w:val="194"/>
        </w:trPr>
        <w:tc>
          <w:tcPr>
            <w:tcW w:w="350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Total current assets</w:t>
            </w:r>
          </w:p>
        </w:tc>
        <w:tc>
          <w:tcPr>
            <w:tcW w:w="3880" w:type="dxa"/>
            <w:vAlign w:val="bottom"/>
          </w:tcPr>
          <w:p>
            <w:pPr>
              <w:ind w:left="1860"/>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ind w:left="620"/>
              <w:spacing w:after="0"/>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284"/>
        </w:trPr>
        <w:tc>
          <w:tcPr>
            <w:tcW w:w="3500" w:type="dxa"/>
            <w:vAlign w:val="bottom"/>
            <w:vMerge w:val="continue"/>
          </w:tcPr>
          <w:p>
            <w:pPr>
              <w:spacing w:after="0"/>
              <w:rPr>
                <w:sz w:val="24"/>
                <w:szCs w:val="24"/>
                <w:color w:val="auto"/>
              </w:rPr>
            </w:pPr>
          </w:p>
        </w:tc>
        <w:tc>
          <w:tcPr>
            <w:tcW w:w="388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90,472</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61,412</w:t>
            </w:r>
          </w:p>
        </w:tc>
        <w:tc>
          <w:tcPr>
            <w:tcW w:w="0" w:type="dxa"/>
            <w:vAlign w:val="bottom"/>
          </w:tcPr>
          <w:p>
            <w:pPr>
              <w:spacing w:after="0"/>
              <w:rPr>
                <w:sz w:val="1"/>
                <w:szCs w:val="1"/>
                <w:color w:val="auto"/>
              </w:rPr>
            </w:pPr>
          </w:p>
        </w:tc>
      </w:tr>
      <w:tr>
        <w:trPr>
          <w:trHeight w:val="299"/>
        </w:trPr>
        <w:tc>
          <w:tcPr>
            <w:tcW w:w="350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388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105,621</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88,199</w:t>
            </w:r>
          </w:p>
        </w:tc>
        <w:tc>
          <w:tcPr>
            <w:tcW w:w="0" w:type="dxa"/>
            <w:vAlign w:val="bottom"/>
          </w:tcPr>
          <w:p>
            <w:pPr>
              <w:spacing w:after="0"/>
              <w:rPr>
                <w:sz w:val="1"/>
                <w:szCs w:val="1"/>
                <w:color w:val="auto"/>
              </w:rPr>
            </w:pPr>
          </w:p>
        </w:tc>
      </w:tr>
      <w:tr>
        <w:trPr>
          <w:trHeight w:val="194"/>
        </w:trPr>
        <w:tc>
          <w:tcPr>
            <w:tcW w:w="3500" w:type="dxa"/>
            <w:vAlign w:val="bottom"/>
          </w:tcPr>
          <w:p>
            <w:pPr>
              <w:spacing w:after="0"/>
              <w:rPr>
                <w:sz w:val="20"/>
                <w:szCs w:val="20"/>
                <w:color w:val="auto"/>
              </w:rPr>
            </w:pPr>
            <w:r>
              <w:rPr>
                <w:rFonts w:ascii="Courier New" w:cs="Courier New" w:eastAsia="Courier New" w:hAnsi="Courier New"/>
                <w:sz w:val="17"/>
                <w:szCs w:val="17"/>
                <w:color w:val="auto"/>
              </w:rPr>
              <w:t>Assets held for sale</w:t>
            </w:r>
          </w:p>
        </w:tc>
        <w:tc>
          <w:tcPr>
            <w:tcW w:w="388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1,805</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2,214</w:t>
            </w:r>
          </w:p>
        </w:tc>
        <w:tc>
          <w:tcPr>
            <w:tcW w:w="0" w:type="dxa"/>
            <w:vAlign w:val="bottom"/>
          </w:tcPr>
          <w:p>
            <w:pPr>
              <w:spacing w:after="0"/>
              <w:rPr>
                <w:sz w:val="1"/>
                <w:szCs w:val="1"/>
                <w:color w:val="auto"/>
              </w:rPr>
            </w:pPr>
          </w:p>
        </w:tc>
      </w:tr>
      <w:tr>
        <w:trPr>
          <w:trHeight w:val="194"/>
        </w:trPr>
        <w:tc>
          <w:tcPr>
            <w:tcW w:w="3500" w:type="dxa"/>
            <w:vAlign w:val="bottom"/>
          </w:tcPr>
          <w:p>
            <w:pPr>
              <w:spacing w:after="0"/>
              <w:rPr>
                <w:sz w:val="20"/>
                <w:szCs w:val="20"/>
                <w:color w:val="auto"/>
              </w:rPr>
            </w:pPr>
            <w:r>
              <w:rPr>
                <w:rFonts w:ascii="Courier New" w:cs="Courier New" w:eastAsia="Courier New" w:hAnsi="Courier New"/>
                <w:sz w:val="17"/>
                <w:szCs w:val="17"/>
                <w:color w:val="auto"/>
              </w:rPr>
              <w:t>Goodwill, net</w:t>
            </w:r>
          </w:p>
        </w:tc>
        <w:tc>
          <w:tcPr>
            <w:tcW w:w="388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54,090</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42,166</w:t>
            </w:r>
          </w:p>
        </w:tc>
        <w:tc>
          <w:tcPr>
            <w:tcW w:w="0" w:type="dxa"/>
            <w:vAlign w:val="bottom"/>
          </w:tcPr>
          <w:p>
            <w:pPr>
              <w:spacing w:after="0"/>
              <w:rPr>
                <w:sz w:val="1"/>
                <w:szCs w:val="1"/>
                <w:color w:val="auto"/>
              </w:rPr>
            </w:pPr>
          </w:p>
        </w:tc>
      </w:tr>
      <w:tr>
        <w:trPr>
          <w:trHeight w:val="194"/>
        </w:trPr>
        <w:tc>
          <w:tcPr>
            <w:tcW w:w="350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388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4,667</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4,016</w:t>
            </w:r>
          </w:p>
        </w:tc>
        <w:tc>
          <w:tcPr>
            <w:tcW w:w="0" w:type="dxa"/>
            <w:vAlign w:val="bottom"/>
          </w:tcPr>
          <w:p>
            <w:pPr>
              <w:spacing w:after="0"/>
              <w:rPr>
                <w:sz w:val="1"/>
                <w:szCs w:val="1"/>
                <w:color w:val="auto"/>
              </w:rPr>
            </w:pPr>
          </w:p>
        </w:tc>
      </w:tr>
      <w:tr>
        <w:trPr>
          <w:trHeight w:val="194"/>
        </w:trPr>
        <w:tc>
          <w:tcPr>
            <w:tcW w:w="350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Total assets</w:t>
            </w:r>
          </w:p>
        </w:tc>
        <w:tc>
          <w:tcPr>
            <w:tcW w:w="3880" w:type="dxa"/>
            <w:vAlign w:val="bottom"/>
          </w:tcPr>
          <w:p>
            <w:pPr>
              <w:ind w:left="1860"/>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ind w:left="620"/>
              <w:spacing w:after="0"/>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194"/>
        </w:trPr>
        <w:tc>
          <w:tcPr>
            <w:tcW w:w="3500" w:type="dxa"/>
            <w:vAlign w:val="bottom"/>
            <w:vMerge w:val="continue"/>
          </w:tcPr>
          <w:p>
            <w:pPr>
              <w:spacing w:after="0"/>
              <w:rPr>
                <w:sz w:val="16"/>
                <w:szCs w:val="16"/>
                <w:color w:val="auto"/>
              </w:rPr>
            </w:pPr>
          </w:p>
        </w:tc>
        <w:tc>
          <w:tcPr>
            <w:tcW w:w="388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$ 256,655</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$ 198,007</w:t>
            </w:r>
          </w:p>
        </w:tc>
        <w:tc>
          <w:tcPr>
            <w:tcW w:w="0" w:type="dxa"/>
            <w:vAlign w:val="bottom"/>
          </w:tcPr>
          <w:p>
            <w:pPr>
              <w:spacing w:after="0"/>
              <w:rPr>
                <w:sz w:val="1"/>
                <w:szCs w:val="1"/>
                <w:color w:val="auto"/>
              </w:rPr>
            </w:pPr>
          </w:p>
        </w:tc>
      </w:tr>
      <w:tr>
        <w:trPr>
          <w:trHeight w:val="284"/>
        </w:trPr>
        <w:tc>
          <w:tcPr>
            <w:tcW w:w="3500" w:type="dxa"/>
            <w:vAlign w:val="bottom"/>
          </w:tcPr>
          <w:p>
            <w:pPr>
              <w:spacing w:after="0"/>
              <w:rPr>
                <w:sz w:val="24"/>
                <w:szCs w:val="24"/>
                <w:color w:val="auto"/>
              </w:rPr>
            </w:pPr>
          </w:p>
        </w:tc>
        <w:tc>
          <w:tcPr>
            <w:tcW w:w="3880" w:type="dxa"/>
            <w:vAlign w:val="bottom"/>
          </w:tcPr>
          <w:p>
            <w:pPr>
              <w:ind w:left="1860"/>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ind w:left="620"/>
              <w:spacing w:after="0"/>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bl>
    <w:p>
      <w:pPr>
        <w:sectPr>
          <w:pgSz w:w="11900" w:h="16852" w:orient="portrait"/>
          <w:cols w:equalWidth="0" w:num="1">
            <w:col w:w="11520"/>
          </w:cols>
          <w:pgMar w:left="240" w:top="114" w:right="1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3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320" w:type="dxa"/>
            <w:vAlign w:val="bottom"/>
            <w:vMerge w:val="restart"/>
          </w:tcPr>
          <w:p>
            <w:pPr>
              <w:jc w:val="right"/>
              <w:ind w:right="616"/>
              <w:spacing w:after="0"/>
              <w:rPr>
                <w:sz w:val="20"/>
                <w:szCs w:val="20"/>
                <w:color w:val="auto"/>
              </w:rPr>
            </w:pPr>
            <w:r>
              <w:rPr>
                <w:rFonts w:ascii="Courier New" w:cs="Courier New" w:eastAsia="Courier New" w:hAnsi="Courier New"/>
                <w:sz w:val="17"/>
                <w:szCs w:val="17"/>
                <w:color w:val="auto"/>
              </w:rPr>
              <w:t>$ 32,139</w:t>
            </w:r>
          </w:p>
        </w:tc>
        <w:tc>
          <w:tcPr>
            <w:tcW w:w="222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$ 23,020</w:t>
            </w:r>
          </w:p>
        </w:tc>
        <w:tc>
          <w:tcPr>
            <w:tcW w:w="0" w:type="dxa"/>
            <w:vAlign w:val="bottom"/>
          </w:tcPr>
          <w:p>
            <w:pPr>
              <w:spacing w:after="0"/>
              <w:rPr>
                <w:sz w:val="1"/>
                <w:szCs w:val="1"/>
                <w:color w:val="auto"/>
              </w:rPr>
            </w:pPr>
          </w:p>
        </w:tc>
      </w:tr>
      <w:tr>
        <w:trPr>
          <w:trHeight w:val="194"/>
        </w:trPr>
        <w:tc>
          <w:tcPr>
            <w:tcW w:w="506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w:t>
            </w:r>
          </w:p>
        </w:tc>
        <w:tc>
          <w:tcPr>
            <w:tcW w:w="232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60" w:type="dxa"/>
            <w:vAlign w:val="bottom"/>
          </w:tcPr>
          <w:p>
            <w:pPr>
              <w:ind w:left="200"/>
              <w:spacing w:after="0"/>
              <w:rPr>
                <w:sz w:val="20"/>
                <w:szCs w:val="20"/>
                <w:color w:val="auto"/>
              </w:rPr>
            </w:pPr>
            <w:r>
              <w:rPr>
                <w:rFonts w:ascii="Courier New" w:cs="Courier New" w:eastAsia="Courier New" w:hAnsi="Courier New"/>
                <w:sz w:val="17"/>
                <w:szCs w:val="17"/>
                <w:color w:val="auto"/>
              </w:rPr>
              <w:t>Accrued wages</w:t>
            </w: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11,453</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6,354</w:t>
            </w:r>
          </w:p>
        </w:tc>
        <w:tc>
          <w:tcPr>
            <w:tcW w:w="0" w:type="dxa"/>
            <w:vAlign w:val="bottom"/>
          </w:tcPr>
          <w:p>
            <w:pPr>
              <w:spacing w:after="0"/>
              <w:rPr>
                <w:sz w:val="1"/>
                <w:szCs w:val="1"/>
                <w:color w:val="auto"/>
              </w:rPr>
            </w:pPr>
          </w:p>
        </w:tc>
      </w:tr>
      <w:tr>
        <w:trPr>
          <w:trHeight w:val="194"/>
        </w:trPr>
        <w:tc>
          <w:tcPr>
            <w:tcW w:w="5060" w:type="dxa"/>
            <w:vAlign w:val="bottom"/>
          </w:tcPr>
          <w:p>
            <w:pPr>
              <w:ind w:left="200"/>
              <w:spacing w:after="0"/>
              <w:rPr>
                <w:sz w:val="20"/>
                <w:szCs w:val="20"/>
                <w:color w:val="auto"/>
              </w:rPr>
            </w:pPr>
            <w:r>
              <w:rPr>
                <w:rFonts w:ascii="Courier New" w:cs="Courier New" w:eastAsia="Courier New" w:hAnsi="Courier New"/>
                <w:sz w:val="17"/>
                <w:szCs w:val="17"/>
                <w:color w:val="auto"/>
              </w:rPr>
              <w:t>Income taxes payable</w:t>
            </w: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1,755</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620</w:t>
            </w:r>
          </w:p>
        </w:tc>
        <w:tc>
          <w:tcPr>
            <w:tcW w:w="0" w:type="dxa"/>
            <w:vAlign w:val="bottom"/>
          </w:tcPr>
          <w:p>
            <w:pPr>
              <w:spacing w:after="0"/>
              <w:rPr>
                <w:sz w:val="1"/>
                <w:szCs w:val="1"/>
                <w:color w:val="auto"/>
              </w:rPr>
            </w:pPr>
          </w:p>
        </w:tc>
      </w:tr>
      <w:tr>
        <w:trPr>
          <w:trHeight w:val="194"/>
        </w:trPr>
        <w:tc>
          <w:tcPr>
            <w:tcW w:w="5060" w:type="dxa"/>
            <w:vAlign w:val="bottom"/>
          </w:tcPr>
          <w:p>
            <w:pPr>
              <w:ind w:left="200"/>
              <w:spacing w:after="0"/>
              <w:rPr>
                <w:sz w:val="20"/>
                <w:szCs w:val="20"/>
                <w:color w:val="auto"/>
              </w:rPr>
            </w:pPr>
            <w:r>
              <w:rPr>
                <w:rFonts w:ascii="Courier New" w:cs="Courier New" w:eastAsia="Courier New" w:hAnsi="Courier New"/>
                <w:sz w:val="17"/>
                <w:szCs w:val="17"/>
                <w:color w:val="auto"/>
              </w:rPr>
              <w:t>Short term portion of long term debt</w:t>
            </w: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12,206</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7,000</w:t>
            </w:r>
          </w:p>
        </w:tc>
        <w:tc>
          <w:tcPr>
            <w:tcW w:w="0" w:type="dxa"/>
            <w:vAlign w:val="bottom"/>
          </w:tcPr>
          <w:p>
            <w:pPr>
              <w:spacing w:after="0"/>
              <w:rPr>
                <w:sz w:val="1"/>
                <w:szCs w:val="1"/>
                <w:color w:val="auto"/>
              </w:rPr>
            </w:pPr>
          </w:p>
        </w:tc>
      </w:tr>
      <w:tr>
        <w:trPr>
          <w:trHeight w:val="194"/>
        </w:trPr>
        <w:tc>
          <w:tcPr>
            <w:tcW w:w="5060" w:type="dxa"/>
            <w:vAlign w:val="bottom"/>
          </w:tcPr>
          <w:p>
            <w:pPr>
              <w:ind w:left="200"/>
              <w:spacing w:after="0"/>
              <w:rPr>
                <w:sz w:val="20"/>
                <w:szCs w:val="20"/>
                <w:color w:val="auto"/>
              </w:rPr>
            </w:pPr>
            <w:r>
              <w:rPr>
                <w:rFonts w:ascii="Courier New" w:cs="Courier New" w:eastAsia="Courier New" w:hAnsi="Courier New"/>
                <w:sz w:val="17"/>
                <w:szCs w:val="17"/>
                <w:color w:val="auto"/>
              </w:rPr>
              <w:t>Other liabilities</w:t>
            </w: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4,270</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3,240</w:t>
            </w:r>
          </w:p>
        </w:tc>
        <w:tc>
          <w:tcPr>
            <w:tcW w:w="0" w:type="dxa"/>
            <w:vAlign w:val="bottom"/>
          </w:tcPr>
          <w:p>
            <w:pPr>
              <w:spacing w:after="0"/>
              <w:rPr>
                <w:sz w:val="1"/>
                <w:szCs w:val="1"/>
                <w:color w:val="auto"/>
              </w:rPr>
            </w:pPr>
          </w:p>
        </w:tc>
      </w:tr>
      <w:tr>
        <w:trPr>
          <w:trHeight w:val="194"/>
        </w:trPr>
        <w:tc>
          <w:tcPr>
            <w:tcW w:w="506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Total current liabilities</w:t>
            </w:r>
          </w:p>
        </w:tc>
        <w:tc>
          <w:tcPr>
            <w:tcW w:w="23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4"/>
        </w:trPr>
        <w:tc>
          <w:tcPr>
            <w:tcW w:w="5060" w:type="dxa"/>
            <w:vAlign w:val="bottom"/>
            <w:vMerge w:val="continue"/>
          </w:tcPr>
          <w:p>
            <w:pPr>
              <w:spacing w:after="0"/>
              <w:rPr>
                <w:sz w:val="24"/>
                <w:szCs w:val="24"/>
                <w:color w:val="auto"/>
              </w:rPr>
            </w:pP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61,823</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40,234</w:t>
            </w:r>
          </w:p>
        </w:tc>
        <w:tc>
          <w:tcPr>
            <w:tcW w:w="0" w:type="dxa"/>
            <w:vAlign w:val="bottom"/>
          </w:tcPr>
          <w:p>
            <w:pPr>
              <w:spacing w:after="0"/>
              <w:rPr>
                <w:sz w:val="1"/>
                <w:szCs w:val="1"/>
                <w:color w:val="auto"/>
              </w:rPr>
            </w:pPr>
          </w:p>
        </w:tc>
      </w:tr>
      <w:tr>
        <w:trPr>
          <w:trHeight w:val="299"/>
        </w:trPr>
        <w:tc>
          <w:tcPr>
            <w:tcW w:w="5060" w:type="dxa"/>
            <w:vAlign w:val="bottom"/>
          </w:tcPr>
          <w:p>
            <w:pPr>
              <w:spacing w:after="0"/>
              <w:rPr>
                <w:sz w:val="20"/>
                <w:szCs w:val="20"/>
                <w:color w:val="auto"/>
              </w:rPr>
            </w:pPr>
            <w:r>
              <w:rPr>
                <w:rFonts w:ascii="Courier New" w:cs="Courier New" w:eastAsia="Courier New" w:hAnsi="Courier New"/>
                <w:sz w:val="17"/>
                <w:szCs w:val="17"/>
                <w:color w:val="auto"/>
              </w:rPr>
              <w:t>Minority interest in consolidated subsidiaries</w:t>
            </w: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19,706</w:t>
            </w:r>
          </w:p>
        </w:tc>
        <w:tc>
          <w:tcPr>
            <w:tcW w:w="0" w:type="dxa"/>
            <w:vAlign w:val="bottom"/>
          </w:tcPr>
          <w:p>
            <w:pPr>
              <w:spacing w:after="0"/>
              <w:rPr>
                <w:sz w:val="1"/>
                <w:szCs w:val="1"/>
                <w:color w:val="auto"/>
              </w:rPr>
            </w:pPr>
          </w:p>
        </w:tc>
      </w:tr>
      <w:tr>
        <w:trPr>
          <w:trHeight w:val="194"/>
        </w:trPr>
        <w:tc>
          <w:tcPr>
            <w:tcW w:w="50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10,732</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9,334</w:t>
            </w:r>
          </w:p>
        </w:tc>
        <w:tc>
          <w:tcPr>
            <w:tcW w:w="0" w:type="dxa"/>
            <w:vAlign w:val="bottom"/>
          </w:tcPr>
          <w:p>
            <w:pPr>
              <w:spacing w:after="0"/>
              <w:rPr>
                <w:sz w:val="1"/>
                <w:szCs w:val="1"/>
                <w:color w:val="auto"/>
              </w:rPr>
            </w:pPr>
          </w:p>
        </w:tc>
      </w:tr>
      <w:tr>
        <w:trPr>
          <w:trHeight w:val="194"/>
        </w:trPr>
        <w:tc>
          <w:tcPr>
            <w:tcW w:w="506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73,191</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46,135</w:t>
            </w:r>
          </w:p>
        </w:tc>
        <w:tc>
          <w:tcPr>
            <w:tcW w:w="0" w:type="dxa"/>
            <w:vAlign w:val="bottom"/>
          </w:tcPr>
          <w:p>
            <w:pPr>
              <w:spacing w:after="0"/>
              <w:rPr>
                <w:sz w:val="1"/>
                <w:szCs w:val="1"/>
                <w:color w:val="auto"/>
              </w:rPr>
            </w:pPr>
          </w:p>
        </w:tc>
      </w:tr>
      <w:tr>
        <w:trPr>
          <w:trHeight w:val="194"/>
        </w:trPr>
        <w:tc>
          <w:tcPr>
            <w:tcW w:w="50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10,468</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9,319</w:t>
            </w:r>
          </w:p>
        </w:tc>
        <w:tc>
          <w:tcPr>
            <w:tcW w:w="0" w:type="dxa"/>
            <w:vAlign w:val="bottom"/>
          </w:tcPr>
          <w:p>
            <w:pPr>
              <w:spacing w:after="0"/>
              <w:rPr>
                <w:sz w:val="1"/>
                <w:szCs w:val="1"/>
                <w:color w:val="auto"/>
              </w:rPr>
            </w:pPr>
          </w:p>
        </w:tc>
      </w:tr>
      <w:tr>
        <w:trPr>
          <w:trHeight w:val="194"/>
        </w:trPr>
        <w:tc>
          <w:tcPr>
            <w:tcW w:w="506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Total liabilites</w:t>
            </w:r>
          </w:p>
        </w:tc>
        <w:tc>
          <w:tcPr>
            <w:tcW w:w="23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4"/>
        </w:trPr>
        <w:tc>
          <w:tcPr>
            <w:tcW w:w="5060" w:type="dxa"/>
            <w:vAlign w:val="bottom"/>
            <w:vMerge w:val="continue"/>
          </w:tcPr>
          <w:p>
            <w:pPr>
              <w:spacing w:after="0"/>
              <w:rPr>
                <w:sz w:val="24"/>
                <w:szCs w:val="24"/>
                <w:color w:val="auto"/>
              </w:rPr>
            </w:pP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156,214</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124,728</w:t>
            </w:r>
          </w:p>
        </w:tc>
        <w:tc>
          <w:tcPr>
            <w:tcW w:w="0" w:type="dxa"/>
            <w:vAlign w:val="bottom"/>
          </w:tcPr>
          <w:p>
            <w:pPr>
              <w:spacing w:after="0"/>
              <w:rPr>
                <w:sz w:val="1"/>
                <w:szCs w:val="1"/>
                <w:color w:val="auto"/>
              </w:rPr>
            </w:pPr>
          </w:p>
        </w:tc>
      </w:tr>
      <w:tr>
        <w:trPr>
          <w:trHeight w:val="299"/>
        </w:trPr>
        <w:tc>
          <w:tcPr>
            <w:tcW w:w="5060" w:type="dxa"/>
            <w:vAlign w:val="bottom"/>
          </w:tcPr>
          <w:p>
            <w:pPr>
              <w:ind w:left="500"/>
              <w:spacing w:after="0"/>
              <w:rPr>
                <w:sz w:val="20"/>
                <w:szCs w:val="20"/>
                <w:color w:val="auto"/>
              </w:rPr>
            </w:pPr>
            <w:r>
              <w:rPr>
                <w:rFonts w:ascii="Courier New" w:cs="Courier New" w:eastAsia="Courier New" w:hAnsi="Courier New"/>
                <w:sz w:val="17"/>
                <w:szCs w:val="17"/>
                <w:color w:val="auto"/>
              </w:rPr>
              <w:t>Total stockholders' equity</w:t>
            </w: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100,441</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73,279</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4"/>
                <w:szCs w:val="24"/>
                <w:color w:val="auto"/>
              </w:rPr>
            </w:pPr>
          </w:p>
        </w:tc>
        <w:tc>
          <w:tcPr>
            <w:tcW w:w="23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9"/>
        </w:trPr>
        <w:tc>
          <w:tcPr>
            <w:tcW w:w="5060" w:type="dxa"/>
            <w:vAlign w:val="bottom"/>
          </w:tcPr>
          <w:p>
            <w:pPr>
              <w:ind w:left="50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$ 256,655</w:t>
            </w:r>
          </w:p>
        </w:tc>
        <w:tc>
          <w:tcPr>
            <w:tcW w:w="2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$ 198,007</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4"/>
                <w:szCs w:val="24"/>
                <w:color w:val="auto"/>
              </w:rPr>
            </w:pPr>
          </w:p>
        </w:tc>
        <w:tc>
          <w:tcPr>
            <w:tcW w:w="23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2019-12-14T02:35:48Z</dcterms:created>
  <dcterms:modified xsi:type="dcterms:W3CDTF">2019-12-14T02:35:48Z</dcterms:modified>
</cp:coreProperties>
</file>