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color w:val="auto"/>
        </w:rPr>
        <w:t xml:space="preserve">As Filed with the Securities and Exchange Commission on </w:t>
      </w:r>
      <w:r>
        <w:rPr>
          <w:rFonts w:ascii="Times New Roman" w:cs="Times New Roman" w:eastAsia="Times New Roman" w:hAnsi="Times New Roman"/>
          <w:sz w:val="17"/>
          <w:szCs w:val="17"/>
          <w:color w:val="auto"/>
        </w:rPr>
        <w:t>May 17, 2024</w:t>
      </w:r>
    </w:p>
    <w:p>
      <w:pPr>
        <w:spacing w:after="0" w:line="3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-54610</wp:posOffset>
            </wp:positionH>
            <wp:positionV relativeFrom="paragraph">
              <wp:posOffset>30480</wp:posOffset>
            </wp:positionV>
            <wp:extent cx="59404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40425" cy="17145"/>
                    </a:xfrm>
                    <a:prstGeom prst="rect">
                      <a:avLst/>
                    </a:prstGeom>
                    <a:noFill/>
                  </pic:spPr>
                </pic:pic>
              </a:graphicData>
            </a:graphic>
          </wp:anchor>
        </w:drawing>
      </w:r>
    </w:p>
    <w:p>
      <w:pPr>
        <w:spacing w:after="0" w:line="37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-54610</wp:posOffset>
            </wp:positionH>
            <wp:positionV relativeFrom="paragraph">
              <wp:posOffset>117475</wp:posOffset>
            </wp:positionV>
            <wp:extent cx="59404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40425" cy="17145"/>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502920</wp:posOffset>
            </wp:positionV>
            <wp:extent cx="80581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200"/>
          </w:cols>
          <w:pgMar w:left="1360" w:top="877" w:right="13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62-1096725</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33" w:lineRule="exact"/>
        <w:rPr>
          <w:sz w:val="24"/>
          <w:szCs w:val="24"/>
          <w:color w:val="auto"/>
        </w:rPr>
      </w:pPr>
    </w:p>
    <w:p>
      <w:pPr>
        <w:sectPr>
          <w:pgSz w:w="11900" w:h="16838" w:orient="portrait"/>
          <w:cols w:equalWidth="0" w:num="2">
            <w:col w:w="4980" w:space="720"/>
            <w:col w:w="3500"/>
          </w:cols>
          <w:pgMar w:left="1360" w:top="877" w:right="133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ind w:left="3340"/>
        <w:spacing w:after="0" w:line="219" w:lineRule="auto"/>
        <w:rPr>
          <w:sz w:val="20"/>
          <w:szCs w:val="20"/>
          <w:color w:val="auto"/>
        </w:rPr>
      </w:pPr>
      <w:r>
        <w:rPr>
          <w:rFonts w:ascii="Times New Roman" w:cs="Times New Roman" w:eastAsia="Times New Roman" w:hAnsi="Times New Roman"/>
          <w:sz w:val="18"/>
          <w:szCs w:val="18"/>
          <w:b w:val="1"/>
          <w:bCs w:val="1"/>
          <w:color w:val="auto"/>
        </w:rPr>
        <w:t>Charlotte, North Carolina 28277</w:t>
      </w:r>
    </w:p>
    <w:p>
      <w:pPr>
        <w:jc w:val="center"/>
        <w:ind w:right="40"/>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11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NN, INC. AMENDED AND RESTATED 2022 OMNIBUS INCENTIVE PLAN</w:t>
      </w:r>
    </w:p>
    <w:p>
      <w:pPr>
        <w:spacing w:after="0" w:line="4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Michael C. Felcher</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Vice President and Chief Financial Officer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6210 Ardrey Kell Road, Suite 120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Charlotte, North Carolina 28277</w:t>
      </w:r>
    </w:p>
    <w:p>
      <w:pPr>
        <w:spacing w:after="0" w:line="4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and address of agent for service)</w:t>
      </w:r>
    </w:p>
    <w:p>
      <w:pPr>
        <w:spacing w:after="0" w:line="16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(Telephone number, including area code, of agent for service)</w:t>
      </w:r>
    </w:p>
    <w:p>
      <w:pPr>
        <w:spacing w:after="0" w:line="2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Copy to:</w:t>
      </w:r>
    </w:p>
    <w:p>
      <w:pPr>
        <w:spacing w:after="0" w:line="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Richard F. Mattern, Esq.</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Bass, Berry &amp; Sims PLC</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100 Peabody Place, Suite 1300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Memphis, Tennessee 38103</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(901) 543-5933</w:t>
      </w:r>
    </w:p>
    <w:p>
      <w:pPr>
        <w:spacing w:after="0" w:line="153" w:lineRule="exact"/>
        <w:rPr>
          <w:sz w:val="24"/>
          <w:szCs w:val="24"/>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2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9"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9200"/>
          </w:cols>
          <w:pgMar w:left="1360" w:top="877" w:right="1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Registration Statement relates solely to the registration of additional securities of the same class as other securities for which a registration statement on this form relating to an employee benefit plan is effective. Pursuant to General Instruction E of Form S-8, this Registration Statement hereby incorporates by reference the contents of the registration statement on Form S-8 filed by the Registrant with the Securities and Exchange Commission (the “Commission”) on June 29, 2022 (Registration No. 333- 265893) with respect to the NN, Inc. 2022 Omnibus Incentive Plan, as amended and restated.</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56" w:lineRule="exact"/>
        <w:rPr>
          <w:sz w:val="20"/>
          <w:szCs w:val="20"/>
          <w:color w:val="auto"/>
        </w:rPr>
      </w:pPr>
    </w:p>
    <w:p>
      <w:pPr>
        <w:ind w:right="20" w:firstLine="180"/>
        <w:spacing w:after="0" w:line="258" w:lineRule="auto"/>
        <w:rPr>
          <w:sz w:val="20"/>
          <w:szCs w:val="20"/>
          <w:color w:val="auto"/>
        </w:rPr>
      </w:pPr>
      <w:r>
        <w:rPr>
          <w:rFonts w:ascii="Times New Roman" w:cs="Times New Roman" w:eastAsia="Times New Roman" w:hAnsi="Times New Roman"/>
          <w:sz w:val="18"/>
          <w:szCs w:val="18"/>
          <w:color w:val="auto"/>
        </w:rPr>
        <w:t>NN, Inc. (the “Registrant”) has sent or given or will send or give documents containing the information specified by Part I of this Registration Statement on Form S-8 (the “Registration Statement”) to participants in the plan to which this Registration Statement relates, as specified in Rule 428(b)(1) promulgated by the Securities and Exchange Commission (the “Commission”) under the Securities Act of 1933, as amended (the “Securities Act”). The Registrant is not filing such documents with the Commission, but these documents constitute (along with the documents incorporated by reference into the Registration Statement pursuant to Item 3 of Part II hereof) a prospectus that meets the requirements of Section 10(a) of the Securities Act.</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Incorporation of Documents by Reference.</w:t>
      </w:r>
    </w:p>
    <w:p>
      <w:pPr>
        <w:spacing w:after="0" w:line="256" w:lineRule="exact"/>
        <w:rPr>
          <w:sz w:val="20"/>
          <w:szCs w:val="20"/>
          <w:color w:val="auto"/>
        </w:rPr>
      </w:pPr>
    </w:p>
    <w:p>
      <w:pPr>
        <w:ind w:right="340" w:firstLine="177"/>
        <w:spacing w:after="0" w:line="312" w:lineRule="auto"/>
        <w:rPr>
          <w:sz w:val="20"/>
          <w:szCs w:val="20"/>
          <w:color w:val="auto"/>
        </w:rPr>
      </w:pPr>
      <w:r>
        <w:rPr>
          <w:rFonts w:ascii="Times New Roman" w:cs="Times New Roman" w:eastAsia="Times New Roman" w:hAnsi="Times New Roman"/>
          <w:sz w:val="17"/>
          <w:szCs w:val="17"/>
          <w:color w:val="auto"/>
        </w:rPr>
        <w:t>The following documents filed by the Registrant with the Commission, pursuant to the Securities Act or the Securities Exchange Act of 1934, as amended (the “Exchange Act”), are hereby incorporated by reference and shall be deemed to be a part hereof from the date of filing of such document:</w:t>
      </w:r>
    </w:p>
    <w:p>
      <w:pPr>
        <w:spacing w:after="0" w:line="167" w:lineRule="exact"/>
        <w:rPr>
          <w:sz w:val="20"/>
          <w:szCs w:val="20"/>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1">
        <w:r>
          <w:rPr>
            <w:rFonts w:ascii="Times New Roman" w:cs="Times New Roman" w:eastAsia="Times New Roman" w:hAnsi="Times New Roman"/>
            <w:sz w:val="18"/>
            <w:szCs w:val="18"/>
            <w:u w:val="single" w:color="auto"/>
            <w:color w:val="0000FF"/>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Commission on March 12, 2024;</w:t>
      </w:r>
    </w:p>
    <w:p>
      <w:pPr>
        <w:spacing w:after="0" w:line="103"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hyperlink r:id="rId12">
        <w:r>
          <w:rPr>
            <w:rFonts w:ascii="Times New Roman" w:cs="Times New Roman" w:eastAsia="Times New Roman" w:hAnsi="Times New Roman"/>
            <w:sz w:val="18"/>
            <w:szCs w:val="18"/>
            <w:u w:val="single" w:color="auto"/>
            <w:color w:val="0000FF"/>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Commission on May 7, 2024;</w:t>
      </w:r>
    </w:p>
    <w:p>
      <w:pPr>
        <w:spacing w:after="0" w:line="76" w:lineRule="exact"/>
        <w:rPr>
          <w:rFonts w:ascii="Times New Roman" w:cs="Times New Roman" w:eastAsia="Times New Roman" w:hAnsi="Times New Roman"/>
          <w:sz w:val="18"/>
          <w:szCs w:val="18"/>
          <w:color w:val="auto"/>
        </w:rPr>
      </w:pPr>
    </w:p>
    <w:p>
      <w:pPr>
        <w:ind w:left="820" w:hanging="488"/>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13">
        <w:r>
          <w:rPr>
            <w:rFonts w:ascii="Times New Roman" w:cs="Times New Roman" w:eastAsia="Times New Roman" w:hAnsi="Times New Roman"/>
            <w:sz w:val="18"/>
            <w:szCs w:val="18"/>
            <w:u w:val="single" w:color="auto"/>
            <w:color w:val="0000FF"/>
          </w:rPr>
          <w:t>March 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4">
        <w:r>
          <w:rPr>
            <w:rFonts w:ascii="Times New Roman" w:cs="Times New Roman" w:eastAsia="Times New Roman" w:hAnsi="Times New Roman"/>
            <w:sz w:val="18"/>
            <w:szCs w:val="18"/>
            <w:u w:val="single" w:color="auto"/>
            <w:color w:val="0000FF"/>
          </w:rPr>
          <w:t>March 15, 2024</w:t>
        </w:r>
      </w:hyperlink>
      <w:r>
        <w:rPr>
          <w:rFonts w:ascii="Times New Roman" w:cs="Times New Roman" w:eastAsia="Times New Roman" w:hAnsi="Times New Roman"/>
          <w:sz w:val="18"/>
          <w:szCs w:val="18"/>
          <w:color w:val="auto"/>
        </w:rPr>
        <w:t>; and</w:t>
      </w:r>
    </w:p>
    <w:p>
      <w:pPr>
        <w:spacing w:after="0" w:line="103" w:lineRule="exact"/>
        <w:rPr>
          <w:rFonts w:ascii="Times New Roman" w:cs="Times New Roman" w:eastAsia="Times New Roman" w:hAnsi="Times New Roman"/>
          <w:sz w:val="18"/>
          <w:szCs w:val="18"/>
          <w:color w:val="auto"/>
        </w:rPr>
      </w:pPr>
    </w:p>
    <w:p>
      <w:pPr>
        <w:ind w:left="820" w:right="240" w:hanging="488"/>
        <w:spacing w:after="0" w:line="312" w:lineRule="auto"/>
        <w:tabs>
          <w:tab w:leader="none" w:pos="814" w:val="left"/>
        </w:tabs>
        <w:numPr>
          <w:ilvl w:val="0"/>
          <w:numId w:val="1"/>
        </w:numPr>
        <w:rPr>
          <w:rFonts w:ascii="Times New Roman" w:cs="Times New Roman" w:eastAsia="Times New Roman" w:hAnsi="Times New Roman"/>
          <w:sz w:val="17"/>
          <w:szCs w:val="17"/>
          <w:color w:val="0000FF"/>
        </w:rPr>
      </w:pPr>
      <w:hyperlink r:id="rId15">
        <w:r>
          <w:rPr>
            <w:rFonts w:ascii="Times New Roman" w:cs="Times New Roman" w:eastAsia="Times New Roman" w:hAnsi="Times New Roman"/>
            <w:sz w:val="17"/>
            <w:szCs w:val="17"/>
            <w:color w:val="auto"/>
          </w:rPr>
          <w:t xml:space="preserve">The description of the Registrant’s common stock contained in the </w:t>
        </w:r>
        <w:r>
          <w:rPr>
            <w:rFonts w:ascii="Times New Roman" w:cs="Times New Roman" w:eastAsia="Times New Roman" w:hAnsi="Times New Roman"/>
            <w:sz w:val="17"/>
            <w:szCs w:val="17"/>
            <w:u w:val="single" w:color="auto"/>
            <w:color w:val="0000FF"/>
          </w:rPr>
          <w:t>Registrant’s Amendment No. 1 to Registration Statement on Form 8-A/A,</w:t>
        </w:r>
      </w:hyperlink>
      <w:r>
        <w:rPr>
          <w:rFonts w:ascii="Times New Roman" w:cs="Times New Roman" w:eastAsia="Times New Roman" w:hAnsi="Times New Roman"/>
          <w:sz w:val="17"/>
          <w:szCs w:val="17"/>
          <w:color w:val="auto"/>
        </w:rPr>
        <w:t xml:space="preserve"> </w:t>
      </w:r>
      <w:hyperlink r:id="rId15">
        <w:r>
          <w:rPr>
            <w:rFonts w:ascii="Times New Roman" w:cs="Times New Roman" w:eastAsia="Times New Roman" w:hAnsi="Times New Roman"/>
            <w:sz w:val="17"/>
            <w:szCs w:val="17"/>
            <w:u w:val="single" w:color="auto"/>
            <w:color w:val="0000FF"/>
          </w:rPr>
          <w:t>filed with the Commission on November 22, 2002</w:t>
        </w:r>
        <w:r>
          <w:rPr>
            <w:rFonts w:ascii="Times New Roman" w:cs="Times New Roman" w:eastAsia="Times New Roman" w:hAnsi="Times New Roman"/>
            <w:sz w:val="17"/>
            <w:szCs w:val="17"/>
            <w:color w:val="000000"/>
          </w:rPr>
          <w:t>, including any amendment or report filed for the purpose of updating such description.</w:t>
        </w:r>
      </w:hyperlink>
    </w:p>
    <w:p>
      <w:pPr>
        <w:spacing w:after="0" w:line="248" w:lineRule="exact"/>
        <w:rPr>
          <w:rFonts w:ascii="Times New Roman" w:cs="Times New Roman" w:eastAsia="Times New Roman" w:hAnsi="Times New Roman"/>
          <w:sz w:val="17"/>
          <w:szCs w:val="17"/>
          <w:color w:val="auto"/>
        </w:rPr>
      </w:pPr>
    </w:p>
    <w:p>
      <w:pPr>
        <w:ind w:firstLine="180"/>
        <w:spacing w:after="0" w:line="273" w:lineRule="auto"/>
        <w:rPr>
          <w:sz w:val="20"/>
          <w:szCs w:val="20"/>
          <w:color w:val="auto"/>
        </w:rPr>
      </w:pPr>
      <w:r>
        <w:rPr>
          <w:rFonts w:ascii="Times New Roman" w:cs="Times New Roman" w:eastAsia="Times New Roman" w:hAnsi="Times New Roman"/>
          <w:sz w:val="17"/>
          <w:szCs w:val="17"/>
          <w:color w:val="auto"/>
        </w:rPr>
        <w:t>Except to the extent that information therein is deemed furnished and not filed pursuant to the Exchange Act, all documents filed by the Registrant pursuant to Sections 13(a), 13(c), 14 and 15(d) of the Exchange Act after the date hereof and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date of filing of such documents. Any statements contained in a document incorporated or deemed to be incorporated by reference herein shall be deemed to be modified or replaced for purposes hereof to the extent that a statement contained herein (or in any other subsequently filed document which also is incorporated or deemed to be incorporated by reference herein) modifies or replaces such statement. Any statement so modified or replaced shall not be deemed, except as so modified or replaced, to constitute a part hereof.</w:t>
      </w:r>
    </w:p>
    <w:p>
      <w:pPr>
        <w:spacing w:after="0" w:line="198" w:lineRule="exact"/>
        <w:rPr>
          <w:rFonts w:ascii="Times New Roman" w:cs="Times New Roman" w:eastAsia="Times New Roman" w:hAnsi="Times New Roman"/>
          <w:sz w:val="17"/>
          <w:szCs w:val="17"/>
          <w:color w:val="auto"/>
        </w:rPr>
      </w:pPr>
    </w:p>
    <w:p>
      <w:pPr>
        <w:ind w:right="200" w:firstLine="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is not incorporated by reference in this Registration Statement or the related prospectus.</w:t>
      </w:r>
    </w:p>
    <w:p>
      <w:pPr>
        <w:sectPr>
          <w:pgSz w:w="11900" w:h="16838" w:orient="portrait"/>
          <w:cols w:equalWidth="0" w:num="1">
            <w:col w:w="11200"/>
          </w:cols>
          <w:pgMar w:left="320" w:top="765" w:right="37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Exhibits.</w:t>
      </w:r>
    </w:p>
    <w:p>
      <w:pPr>
        <w:spacing w:after="0" w:line="256" w:lineRule="exact"/>
        <w:rPr>
          <w:sz w:val="20"/>
          <w:szCs w:val="20"/>
          <w:color w:val="auto"/>
        </w:rPr>
      </w:pPr>
    </w:p>
    <w:p>
      <w:pPr>
        <w:ind w:left="420" w:right="200" w:hanging="647"/>
        <w:spacing w:after="0" w:line="261" w:lineRule="auto"/>
        <w:tabs>
          <w:tab w:leader="none" w:pos="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hyperlink r:id="rId16">
        <w:r>
          <w:rPr>
            <w:rFonts w:ascii="Times New Roman" w:cs="Times New Roman" w:eastAsia="Times New Roman" w:hAnsi="Times New Roman"/>
            <w:sz w:val="18"/>
            <w:szCs w:val="18"/>
            <w:u w:val="single" w:color="auto"/>
            <w:color w:val="0000FF"/>
          </w:rPr>
          <w:t xml:space="preserve">Restated Certificate of Incorporation of NN,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Exhibit 3.1 of NN, Inc.’s Registration Statement No. 333-89950 on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Form S-3 filed June 6, 2002).</w:t>
      </w:r>
    </w:p>
    <w:p>
      <w:pPr>
        <w:ind w:left="420" w:right="20" w:hanging="647"/>
        <w:spacing w:after="0" w:line="260" w:lineRule="auto"/>
        <w:tabs>
          <w:tab w:leader="none" w:pos="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17">
        <w:r>
          <w:rPr>
            <w:rFonts w:ascii="Times New Roman" w:cs="Times New Roman" w:eastAsia="Times New Roman" w:hAnsi="Times New Roman"/>
            <w:sz w:val="18"/>
            <w:szCs w:val="18"/>
            <w:u w:val="single" w:color="auto"/>
            <w:color w:val="0000FF"/>
          </w:rPr>
          <w:t xml:space="preserve">Certificate of Amendment to Restated Certificate of Incorporation of NN,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Exhibit 3.1 to NN, Inc.’s Current Report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on Form 8-K filed on May 20, 2019).</w:t>
      </w:r>
    </w:p>
    <w:p>
      <w:pPr>
        <w:spacing w:after="0" w:line="208" w:lineRule="exact"/>
        <w:rPr>
          <w:sz w:val="20"/>
          <w:szCs w:val="20"/>
          <w:color w:val="auto"/>
        </w:rPr>
      </w:pPr>
    </w:p>
    <w:p>
      <w:pPr>
        <w:ind w:left="420" w:hanging="647"/>
        <w:spacing w:after="0" w:line="282" w:lineRule="auto"/>
        <w:tabs>
          <w:tab w:leader="none" w:pos="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8">
        <w:r>
          <w:rPr>
            <w:rFonts w:ascii="Times New Roman" w:cs="Times New Roman" w:eastAsia="Times New Roman" w:hAnsi="Times New Roman"/>
            <w:sz w:val="18"/>
            <w:szCs w:val="18"/>
            <w:u w:val="single" w:color="auto"/>
            <w:color w:val="0000FF"/>
          </w:rPr>
          <w:t xml:space="preserve">Certificate of Amendment of Restated Certificate of Incorporation of NN,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Exhibit 3.2 to NN, Inc.’s Current Report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on Form 8-K filed on May 20, 2019).</w:t>
      </w:r>
    </w:p>
    <w:p>
      <w:pPr>
        <w:spacing w:after="0" w:line="189" w:lineRule="exact"/>
        <w:rPr>
          <w:sz w:val="20"/>
          <w:szCs w:val="20"/>
          <w:color w:val="auto"/>
        </w:rPr>
      </w:pPr>
    </w:p>
    <w:p>
      <w:pPr>
        <w:spacing w:after="0"/>
        <w:tabs>
          <w:tab w:leader="none" w:pos="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19">
        <w:r>
          <w:rPr>
            <w:rFonts w:ascii="Times New Roman" w:cs="Times New Roman" w:eastAsia="Times New Roman" w:hAnsi="Times New Roman"/>
            <w:sz w:val="17"/>
            <w:szCs w:val="17"/>
            <w:u w:val="single" w:color="auto"/>
            <w:color w:val="0000FF"/>
          </w:rPr>
          <w:t xml:space="preserve">Amended and Restated Bylaws of NN,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by reference to Exhibit 3.1 to NN, Inc.’s Current Report on Form 8-K filed on January 20,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2023).</w:t>
      </w:r>
    </w:p>
    <w:p>
      <w:pPr>
        <w:spacing w:after="0" w:line="234" w:lineRule="exact"/>
        <w:rPr>
          <w:sz w:val="20"/>
          <w:szCs w:val="20"/>
          <w:color w:val="auto"/>
        </w:rPr>
      </w:pPr>
    </w:p>
    <w:p>
      <w:pPr>
        <w:ind w:left="420" w:right="200" w:hanging="647"/>
        <w:spacing w:after="0" w:line="282" w:lineRule="auto"/>
        <w:tabs>
          <w:tab w:leader="none" w:pos="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20">
        <w:r>
          <w:rPr>
            <w:rFonts w:ascii="Times New Roman" w:cs="Times New Roman" w:eastAsia="Times New Roman" w:hAnsi="Times New Roman"/>
            <w:sz w:val="18"/>
            <w:szCs w:val="18"/>
            <w:u w:val="single" w:color="auto"/>
            <w:color w:val="0000FF"/>
          </w:rPr>
          <w:t xml:space="preserve">The specimen stock certificate representing NN, Inc.’s Common Stock, par value $0.01 per share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Exhibit 4.1 of NN,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Inc.’s Registration Statement No. 333-89950 on Form S-3 filed on June 6, 2002).</w:t>
      </w:r>
    </w:p>
    <w:p>
      <w:pPr>
        <w:spacing w:after="0" w:line="18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FF"/>
        </w:rPr>
        <w:t>Opinion of Bass, Berry &amp; Sims PLC.</w:t>
      </w:r>
    </w:p>
    <w:p>
      <w:pPr>
        <w:spacing w:after="0" w:line="2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FF"/>
        </w:rPr>
        <w:t>Consent of Grant Thornton LLP, Independent Registered Public Accounting Firm.</w:t>
      </w:r>
    </w:p>
    <w:p>
      <w:pPr>
        <w:spacing w:after="0" w:line="2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FF"/>
        </w:rPr>
        <w:t>Consent of Bass, Berry &amp; Sims PLC (included in Exhibit 5.1).</w:t>
      </w:r>
    </w:p>
    <w:p>
      <w:pPr>
        <w:spacing w:after="0" w:line="2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FF"/>
        </w:rPr>
        <w:t>Power of Attorney (included on signature page hereto).</w:t>
      </w:r>
    </w:p>
    <w:p>
      <w:pPr>
        <w:spacing w:after="0" w:line="252" w:lineRule="exact"/>
        <w:rPr>
          <w:sz w:val="20"/>
          <w:szCs w:val="20"/>
          <w:color w:val="auto"/>
        </w:rPr>
      </w:pPr>
    </w:p>
    <w:p>
      <w:pPr>
        <w:ind w:left="500" w:right="60" w:hanging="647"/>
        <w:spacing w:after="0" w:line="282" w:lineRule="auto"/>
        <w:tabs>
          <w:tab w:leader="none" w:pos="4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r:id="rId21">
        <w:r>
          <w:rPr>
            <w:rFonts w:ascii="Times New Roman" w:cs="Times New Roman" w:eastAsia="Times New Roman" w:hAnsi="Times New Roman"/>
            <w:sz w:val="18"/>
            <w:szCs w:val="18"/>
            <w:u w:val="single" w:color="auto"/>
            <w:color w:val="0000FF"/>
          </w:rPr>
          <w:t xml:space="preserve">NN, Inc. Amended and Restated 2022 Omnibus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by reference to Appendix A to NN, Inc.’s Definitive Proxy Statement</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color w:val="000000"/>
        </w:rPr>
        <w:t>on Schedule 14A filed with the Securities and Exchange Commission on April 4, 2024).</w:t>
      </w:r>
    </w:p>
    <w:p>
      <w:pPr>
        <w:spacing w:after="0" w:line="18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u w:val="single" w:color="auto"/>
          <w:color w:val="0000FF"/>
        </w:rPr>
        <w:t>Filing Fee Table.</w:t>
      </w:r>
    </w:p>
    <w:p>
      <w:pPr>
        <w:spacing w:after="0" w:line="25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ectPr>
          <w:pgSz w:w="11900" w:h="16838" w:orient="portrait"/>
          <w:cols w:equalWidth="0" w:num="1">
            <w:col w:w="11140"/>
          </w:cols>
          <w:pgMar w:left="320" w:top="765"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w:t>
      </w:r>
    </w:p>
    <w:p>
      <w:pPr>
        <w:spacing w:after="0" w:line="14" w:lineRule="exact"/>
        <w:rPr>
          <w:sz w:val="20"/>
          <w:szCs w:val="20"/>
          <w:color w:val="auto"/>
        </w:rPr>
      </w:pPr>
    </w:p>
    <w:p>
      <w:pPr>
        <w:jc w:val="both"/>
        <w:ind w:right="399"/>
        <w:spacing w:after="0" w:line="218" w:lineRule="auto"/>
        <w:rPr>
          <w:sz w:val="20"/>
          <w:szCs w:val="20"/>
          <w:color w:val="auto"/>
        </w:rPr>
      </w:pPr>
      <w:r>
        <w:rPr>
          <w:rFonts w:ascii="Times New Roman" w:cs="Times New Roman" w:eastAsia="Times New Roman" w:hAnsi="Times New Roman"/>
          <w:sz w:val="18"/>
          <w:szCs w:val="18"/>
          <w:color w:val="auto"/>
        </w:rPr>
        <w:t>believe that it meets all of the requirements for filing on Form S-8 and has duly caused this Registration Statement to be signed on its behalf by the undersigned, thereunto duly authorized, in the City of Charlotte, State of North Carolina, on May 17, 2024.</w:t>
      </w:r>
    </w:p>
    <w:p>
      <w:pPr>
        <w:spacing w:after="0" w:line="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324" w:lineRule="exact"/>
        <w:rPr>
          <w:sz w:val="20"/>
          <w:szCs w:val="20"/>
          <w:color w:val="auto"/>
        </w:rPr>
      </w:pPr>
    </w:p>
    <w:p>
      <w:pPr>
        <w:ind w:left="4540"/>
        <w:spacing w:after="0"/>
        <w:tabs>
          <w:tab w:leader="none" w:pos="5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17145</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Harold C. Bevis</w:t>
      </w:r>
    </w:p>
    <w:p>
      <w:pPr>
        <w:spacing w:after="0" w:line="5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83" w:lineRule="exact"/>
        <w:rPr>
          <w:sz w:val="20"/>
          <w:szCs w:val="20"/>
          <w:color w:val="auto"/>
        </w:rPr>
      </w:pPr>
    </w:p>
    <w:p>
      <w:pPr>
        <w:ind w:right="119" w:firstLine="648"/>
        <w:spacing w:after="0" w:line="225" w:lineRule="auto"/>
        <w:rPr>
          <w:sz w:val="20"/>
          <w:szCs w:val="20"/>
          <w:color w:val="auto"/>
        </w:rPr>
      </w:pPr>
      <w:r>
        <w:rPr>
          <w:rFonts w:ascii="Times New Roman" w:cs="Times New Roman" w:eastAsia="Times New Roman" w:hAnsi="Times New Roman"/>
          <w:sz w:val="18"/>
          <w:szCs w:val="18"/>
          <w:b w:val="1"/>
          <w:bCs w:val="1"/>
          <w:color w:val="auto"/>
        </w:rPr>
        <w:t xml:space="preserve">KNOW ALL MEN BY THESE PRESENTS, </w:t>
      </w:r>
      <w:r>
        <w:rPr>
          <w:rFonts w:ascii="Times New Roman" w:cs="Times New Roman" w:eastAsia="Times New Roman" w:hAnsi="Times New Roman"/>
          <w:sz w:val="18"/>
          <w:szCs w:val="18"/>
          <w:color w:val="auto"/>
        </w:rPr>
        <w:t>each person whose signature appears below hereby constitutes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appoints Harold C. Bevis and Michael C. Felcher, and each of them, as his or her true and lawful attorneys-in-fact and</w:t>
      </w:r>
    </w:p>
    <w:p>
      <w:pPr>
        <w:jc w:val="both"/>
        <w:ind w:right="139"/>
        <w:spacing w:after="0" w:line="208" w:lineRule="auto"/>
        <w:rPr>
          <w:sz w:val="20"/>
          <w:szCs w:val="20"/>
          <w:color w:val="auto"/>
        </w:rPr>
      </w:pPr>
      <w:r>
        <w:rPr>
          <w:rFonts w:ascii="Times New Roman" w:cs="Times New Roman" w:eastAsia="Times New Roman" w:hAnsi="Times New Roman"/>
          <w:sz w:val="18"/>
          <w:szCs w:val="18"/>
          <w:color w:val="auto"/>
        </w:rPr>
        <w:t>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w:t>
      </w:r>
    </w:p>
    <w:p>
      <w:pPr>
        <w:spacing w:after="0" w:line="2" w:lineRule="exact"/>
        <w:rPr>
          <w:sz w:val="20"/>
          <w:szCs w:val="20"/>
          <w:color w:val="auto"/>
        </w:rPr>
      </w:pPr>
    </w:p>
    <w:p>
      <w:pPr>
        <w:ind w:right="179"/>
        <w:spacing w:after="0" w:line="208" w:lineRule="auto"/>
        <w:rPr>
          <w:sz w:val="20"/>
          <w:szCs w:val="20"/>
          <w:color w:val="auto"/>
        </w:rPr>
      </w:pPr>
      <w:r>
        <w:rPr>
          <w:rFonts w:ascii="Times New Roman" w:cs="Times New Roman" w:eastAsia="Times New Roman" w:hAnsi="Times New Roman"/>
          <w:sz w:val="18"/>
          <w:szCs w:val="18"/>
          <w:color w:val="auto"/>
        </w:rPr>
        <w:t>Commission, granting unto said attorneys-in-fact and agents, and each of them, full power and authority to do and perform each and every act and thing requisite and necessary, as fully to all intents and purposes as he or she might or could do in person, hereby ratifying and confirming all that said attorneys-in-fact and agents or his or her substitute or substitutes, may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lawfully do or cause to be done by virtue hereof.</w:t>
      </w:r>
    </w:p>
    <w:p>
      <w:pPr>
        <w:spacing w:after="0" w:line="273" w:lineRule="exact"/>
        <w:rPr>
          <w:sz w:val="20"/>
          <w:szCs w:val="20"/>
          <w:color w:val="auto"/>
        </w:rPr>
      </w:pPr>
    </w:p>
    <w:p>
      <w:pPr>
        <w:ind w:right="499"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9039"/>
          </w:cols>
          <w:pgMar w:left="1420" w:top="752" w:right="1440" w:bottom="1440" w:gutter="0" w:footer="0" w:header="0"/>
        </w:sectPr>
      </w:pPr>
    </w:p>
    <w:p>
      <w:pPr>
        <w:spacing w:after="0" w:line="384"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Name and Signature</w:t>
      </w:r>
    </w:p>
    <w:p>
      <w:pPr>
        <w:spacing w:after="0" w:line="22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Harold C. Bevis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Harold C. Bevis</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Michael C. Felcher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Michael C. Felcher</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Jeri J.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Jeri J. Harman</w:t>
      </w:r>
    </w:p>
    <w:p>
      <w:pPr>
        <w:spacing w:after="0" w:line="21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/s/ Raynard D. Benvenuti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4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Raynard D. Benvenuti</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Christina E.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Christina E. Carroll</w:t>
      </w:r>
    </w:p>
    <w:p>
      <w:pPr>
        <w:spacing w:after="0" w:line="279"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João Faria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João Faria</w:t>
      </w:r>
    </w:p>
    <w:p>
      <w:pPr>
        <w:spacing w:after="0" w:line="21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/s/ Rajeev Gautam,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24765</wp:posOffset>
            </wp:positionV>
            <wp:extent cx="1577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41"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Rajeev Gautam, Ph.D.</w:t>
      </w:r>
    </w:p>
    <w:p>
      <w:pPr>
        <w:spacing w:after="0" w:line="212"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/s/ Tom H. Wilson,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577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30"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Tom H. Wilson, Jr.</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u w:val="single" w:color="auto"/>
          <w:color w:val="auto"/>
        </w:rPr>
        <w:t>Title</w:t>
      </w:r>
    </w:p>
    <w:p>
      <w:pPr>
        <w:spacing w:after="0" w:line="297"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p>
      <w:pPr>
        <w:spacing w:after="0" w:line="334"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7"/>
          <w:szCs w:val="17"/>
          <w:color w:val="auto"/>
        </w:rPr>
        <w:t>Senior Vice President and Chief Financial Officer (Principal Financial Officer and Accounting Officer)</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Chairman, 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u w:val="single" w:color="auto"/>
          <w:color w:val="auto"/>
        </w:rPr>
        <w:t>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17,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17,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17,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17,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17, 2024</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17,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17, 2024</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17, 2024</w:t>
      </w:r>
    </w:p>
    <w:p>
      <w:pPr>
        <w:sectPr>
          <w:pgSz w:w="11900" w:h="16838" w:orient="portrait"/>
          <w:cols w:equalWidth="0" w:num="3">
            <w:col w:w="2140" w:space="560"/>
            <w:col w:w="4240" w:space="720"/>
            <w:col w:w="1379"/>
          </w:cols>
          <w:pgMar w:left="1420" w:top="752" w:right="1440" w:bottom="144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19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b w:val="1"/>
          <w:bCs w:val="1"/>
          <w:color w:val="auto"/>
        </w:rPr>
        <w:t>Form S-8</w:t>
      </w:r>
    </w:p>
    <w:p>
      <w:pPr>
        <w:ind w:left="5060"/>
        <w:spacing w:after="0"/>
        <w:rPr>
          <w:sz w:val="20"/>
          <w:szCs w:val="20"/>
          <w:color w:val="auto"/>
        </w:rPr>
      </w:pPr>
      <w:r>
        <w:rPr>
          <w:rFonts w:ascii="Times New Roman" w:cs="Times New Roman" w:eastAsia="Times New Roman" w:hAnsi="Times New Roman"/>
          <w:sz w:val="22"/>
          <w:szCs w:val="22"/>
          <w:color w:val="auto"/>
        </w:rPr>
        <w:t>(Form Type)</w:t>
      </w:r>
    </w:p>
    <w:p>
      <w:pPr>
        <w:spacing w:after="0" w:line="16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NN, Inc.</w:t>
      </w:r>
    </w:p>
    <w:p>
      <w:pPr>
        <w:jc w:val="center"/>
        <w:ind w:right="2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Table 1: Newly Registered Securities</w:t>
      </w:r>
    </w:p>
    <w:p>
      <w:pPr>
        <w:spacing w:after="0" w:line="254" w:lineRule="exact"/>
        <w:rPr>
          <w:sz w:val="20"/>
          <w:szCs w:val="20"/>
          <w:color w:val="auto"/>
        </w:rPr>
      </w:pPr>
    </w:p>
    <w:tbl>
      <w:tblPr>
        <w:tblLayout w:type="fixed"/>
        <w:tblInd w:w="130" w:type="dxa"/>
        <w:tblCellMar>
          <w:top w:w="0" w:type="dxa"/>
          <w:left w:w="0" w:type="dxa"/>
          <w:bottom w:w="0" w:type="dxa"/>
          <w:right w:w="0" w:type="dxa"/>
        </w:tblCellMar>
      </w:tblPr>
      <w:tr>
        <w:trPr>
          <w:trHeight w:val="252"/>
        </w:trPr>
        <w:tc>
          <w:tcPr>
            <w:tcW w:w="1000" w:type="dxa"/>
            <w:vAlign w:val="bottom"/>
            <w:tcBorders>
              <w:top w:val="single" w:sz="8" w:color="auto"/>
              <w:left w:val="single" w:sz="8" w:color="auto"/>
              <w:right w:val="single" w:sz="8" w:color="auto"/>
            </w:tcBorders>
          </w:tcPr>
          <w:p>
            <w:pPr>
              <w:spacing w:after="0"/>
              <w:rPr>
                <w:sz w:val="21"/>
                <w:szCs w:val="21"/>
                <w:color w:val="auto"/>
              </w:rPr>
            </w:pPr>
          </w:p>
        </w:tc>
        <w:tc>
          <w:tcPr>
            <w:tcW w:w="2780" w:type="dxa"/>
            <w:vAlign w:val="bottom"/>
            <w:tcBorders>
              <w:top w:val="single" w:sz="8" w:color="auto"/>
              <w:right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w:t>
            </w:r>
          </w:p>
        </w:tc>
        <w:tc>
          <w:tcPr>
            <w:tcW w:w="1400" w:type="dxa"/>
            <w:vAlign w:val="bottom"/>
            <w:tcBorders>
              <w:top w:val="single" w:sz="8" w:color="auto"/>
              <w:right w:val="single" w:sz="8" w:color="auto"/>
            </w:tcBorders>
          </w:tcPr>
          <w:p>
            <w:pPr>
              <w:spacing w:after="0"/>
              <w:rPr>
                <w:sz w:val="21"/>
                <w:szCs w:val="21"/>
                <w:color w:val="auto"/>
              </w:rPr>
            </w:pPr>
          </w:p>
        </w:tc>
        <w:tc>
          <w:tcPr>
            <w:tcW w:w="108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00" w:type="dxa"/>
            <w:vAlign w:val="bottom"/>
            <w:tcBorders>
              <w:left w:val="single" w:sz="8" w:color="auto"/>
              <w:right w:val="single" w:sz="8" w:color="auto"/>
            </w:tcBorders>
          </w:tcPr>
          <w:p>
            <w:pPr>
              <w:spacing w:after="0"/>
              <w:rPr>
                <w:sz w:val="19"/>
                <w:szCs w:val="19"/>
                <w:color w:val="auto"/>
              </w:rPr>
            </w:pPr>
          </w:p>
        </w:tc>
        <w:tc>
          <w:tcPr>
            <w:tcW w:w="278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Fee</w:t>
            </w:r>
          </w:p>
        </w:tc>
        <w:tc>
          <w:tcPr>
            <w:tcW w:w="126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Maximum</w:t>
            </w:r>
          </w:p>
        </w:tc>
        <w:tc>
          <w:tcPr>
            <w:tcW w:w="108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Security</w:t>
            </w:r>
          </w:p>
        </w:tc>
        <w:tc>
          <w:tcPr>
            <w:tcW w:w="27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Calculation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Offering Price</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Aggregate</w:t>
            </w:r>
          </w:p>
        </w:tc>
        <w:tc>
          <w:tcPr>
            <w:tcW w:w="108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75"/>
        </w:trPr>
        <w:tc>
          <w:tcPr>
            <w:tcW w:w="1000" w:type="dxa"/>
            <w:vAlign w:val="bottom"/>
            <w:tcBorders>
              <w:left w:val="single" w:sz="8" w:color="auto"/>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Type</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 Class Title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Registered</w:t>
            </w:r>
            <w:r>
              <w:rPr>
                <w:rFonts w:ascii="Times New Roman" w:cs="Times New Roman" w:eastAsia="Times New Roman" w:hAnsi="Times New Roman"/>
                <w:sz w:val="23"/>
                <w:szCs w:val="23"/>
                <w:color w:val="auto"/>
                <w:w w:val="94"/>
                <w:vertAlign w:val="superscript"/>
              </w:rPr>
              <w:t>(1)</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Per Unit</w:t>
            </w:r>
            <w:r>
              <w:rPr>
                <w:rFonts w:ascii="Times New Roman" w:cs="Times New Roman" w:eastAsia="Times New Roman" w:hAnsi="Times New Roman"/>
                <w:sz w:val="23"/>
                <w:szCs w:val="23"/>
                <w:color w:val="auto"/>
                <w:w w:val="94"/>
                <w:vertAlign w:val="superscript"/>
              </w:rPr>
              <w:t>(3)</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Offering 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Fee Rate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318"/>
        </w:trPr>
        <w:tc>
          <w:tcPr>
            <w:tcW w:w="10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Other</w:t>
            </w:r>
            <w:r>
              <w:rPr>
                <w:rFonts w:ascii="Times New Roman" w:cs="Times New Roman" w:eastAsia="Times New Roman" w:hAnsi="Times New Roman"/>
                <w:sz w:val="23"/>
                <w:szCs w:val="23"/>
                <w:color w:val="auto"/>
                <w:w w:val="91"/>
                <w:vertAlign w:val="superscript"/>
              </w:rPr>
              <w:t>(3)</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1,500,000</w:t>
            </w:r>
            <w:r>
              <w:rPr>
                <w:rFonts w:ascii="Times New Roman" w:cs="Times New Roman" w:eastAsia="Times New Roman" w:hAnsi="Times New Roman"/>
                <w:sz w:val="23"/>
                <w:szCs w:val="23"/>
                <w:color w:val="auto"/>
                <w:w w:val="95"/>
                <w:vertAlign w:val="superscript"/>
              </w:rPr>
              <w:t>(2)</w:t>
            </w: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$3.41</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$5,115,000.00</w:t>
            </w:r>
          </w:p>
        </w:tc>
        <w:tc>
          <w:tcPr>
            <w:tcW w:w="108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.00014760</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$754.97</w:t>
            </w: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000" w:type="dxa"/>
            <w:vAlign w:val="bottom"/>
            <w:tcBorders>
              <w:bottom w:val="single" w:sz="8" w:color="auto"/>
              <w:right w:val="single" w:sz="8" w:color="auto"/>
            </w:tcBorders>
            <w:vMerge w:val="continue"/>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000" w:type="dxa"/>
            <w:vAlign w:val="bottom"/>
            <w:tcBorders>
              <w:left w:val="single" w:sz="8" w:color="auto"/>
            </w:tcBorders>
          </w:tcPr>
          <w:p>
            <w:pPr>
              <w:spacing w:after="0"/>
              <w:rPr>
                <w:sz w:val="24"/>
                <w:szCs w:val="24"/>
                <w:color w:val="auto"/>
              </w:rPr>
            </w:pPr>
          </w:p>
        </w:tc>
        <w:tc>
          <w:tcPr>
            <w:tcW w:w="37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2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$5,115,000.00</w:t>
            </w:r>
          </w:p>
        </w:tc>
        <w:tc>
          <w:tcPr>
            <w:tcW w:w="10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$754.97</w:t>
            </w:r>
          </w:p>
        </w:tc>
        <w:tc>
          <w:tcPr>
            <w:tcW w:w="0" w:type="dxa"/>
            <w:vAlign w:val="bottom"/>
          </w:tcPr>
          <w:p>
            <w:pPr>
              <w:spacing w:after="0"/>
              <w:rPr>
                <w:sz w:val="1"/>
                <w:szCs w:val="1"/>
                <w:color w:val="auto"/>
              </w:rPr>
            </w:pPr>
          </w:p>
        </w:tc>
      </w:tr>
      <w:tr>
        <w:trPr>
          <w:trHeight w:val="81"/>
        </w:trPr>
        <w:tc>
          <w:tcPr>
            <w:tcW w:w="1000" w:type="dxa"/>
            <w:vAlign w:val="bottom"/>
            <w:tcBorders>
              <w:left w:val="single" w:sz="8" w:color="auto"/>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1000" w:type="dxa"/>
            <w:vAlign w:val="bottom"/>
            <w:tcBorders>
              <w:left w:val="single" w:sz="8" w:color="auto"/>
            </w:tcBorders>
          </w:tcPr>
          <w:p>
            <w:pPr>
              <w:spacing w:after="0"/>
              <w:rPr>
                <w:sz w:val="24"/>
                <w:szCs w:val="24"/>
                <w:color w:val="auto"/>
              </w:rPr>
            </w:pPr>
          </w:p>
        </w:tc>
        <w:tc>
          <w:tcPr>
            <w:tcW w:w="27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Total Fee Offsets</w:t>
            </w:r>
          </w:p>
        </w:tc>
        <w:tc>
          <w:tcPr>
            <w:tcW w:w="10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81"/>
        </w:trPr>
        <w:tc>
          <w:tcPr>
            <w:tcW w:w="1000" w:type="dxa"/>
            <w:vAlign w:val="bottom"/>
            <w:tcBorders>
              <w:left w:val="single" w:sz="8" w:color="auto"/>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000" w:type="dxa"/>
            <w:vAlign w:val="bottom"/>
            <w:tcBorders>
              <w:left w:val="single" w:sz="8" w:color="auto"/>
            </w:tcBorders>
          </w:tcPr>
          <w:p>
            <w:pPr>
              <w:spacing w:after="0"/>
              <w:rPr>
                <w:sz w:val="24"/>
                <w:szCs w:val="24"/>
                <w:color w:val="auto"/>
              </w:rPr>
            </w:pPr>
          </w:p>
        </w:tc>
        <w:tc>
          <w:tcPr>
            <w:tcW w:w="27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Net Fee Due</w:t>
            </w:r>
          </w:p>
        </w:tc>
        <w:tc>
          <w:tcPr>
            <w:tcW w:w="1000" w:type="dxa"/>
            <w:vAlign w:val="bottom"/>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$754.97</w:t>
            </w:r>
          </w:p>
        </w:tc>
        <w:tc>
          <w:tcPr>
            <w:tcW w:w="0" w:type="dxa"/>
            <w:vAlign w:val="bottom"/>
          </w:tcPr>
          <w:p>
            <w:pPr>
              <w:spacing w:after="0"/>
              <w:rPr>
                <w:sz w:val="1"/>
                <w:szCs w:val="1"/>
                <w:color w:val="auto"/>
              </w:rPr>
            </w:pPr>
          </w:p>
        </w:tc>
      </w:tr>
      <w:tr>
        <w:trPr>
          <w:trHeight w:val="81"/>
        </w:trPr>
        <w:tc>
          <w:tcPr>
            <w:tcW w:w="1000" w:type="dxa"/>
            <w:vAlign w:val="bottom"/>
            <w:tcBorders>
              <w:left w:val="single" w:sz="8" w:color="auto"/>
              <w:bottom w:val="single" w:sz="8" w:color="auto"/>
            </w:tcBorders>
          </w:tcPr>
          <w:p>
            <w:pPr>
              <w:spacing w:after="0"/>
              <w:rPr>
                <w:sz w:val="7"/>
                <w:szCs w:val="7"/>
                <w:color w:val="auto"/>
              </w:rPr>
            </w:pPr>
          </w:p>
        </w:tc>
        <w:tc>
          <w:tcPr>
            <w:tcW w:w="27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6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08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40" w:right="120" w:hanging="334"/>
        <w:spacing w:after="0" w:line="220"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this Registration Statement shall also cover any additional shares of common stock, $0.01 par value (the “Common Stock”) of NN, Inc. (the “Registrant”), which become issuable under the NN, Inc. Amended and Restated 2022 Omnibus Incentive Plan (the “A&amp;R 2022 Plan”) by reason of any stock dividend, stock split, recapitalization or any other similar transaction effected without receipt of consideration which results in an increase in the number of the Registrant’s outstanding shares of Common Stock.</w:t>
      </w:r>
    </w:p>
    <w:p>
      <w:pPr>
        <w:spacing w:after="0" w:line="23" w:lineRule="exact"/>
        <w:rPr>
          <w:rFonts w:ascii="Times New Roman" w:cs="Times New Roman" w:eastAsia="Times New Roman" w:hAnsi="Times New Roman"/>
          <w:sz w:val="18"/>
          <w:szCs w:val="18"/>
          <w:color w:val="auto"/>
        </w:rPr>
      </w:pPr>
    </w:p>
    <w:p>
      <w:pPr>
        <w:ind w:left="340" w:hanging="334"/>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additional 1,500,000 shares of Common Stock of the Registrant issuable under the A&amp;R 2022 Plan.</w:t>
      </w:r>
    </w:p>
    <w:p>
      <w:pPr>
        <w:spacing w:after="0" w:line="171" w:lineRule="exact"/>
        <w:rPr>
          <w:rFonts w:ascii="Times New Roman" w:cs="Times New Roman" w:eastAsia="Times New Roman" w:hAnsi="Times New Roman"/>
          <w:sz w:val="18"/>
          <w:szCs w:val="18"/>
          <w:color w:val="auto"/>
        </w:rPr>
      </w:pPr>
    </w:p>
    <w:p>
      <w:pPr>
        <w:jc w:val="both"/>
        <w:ind w:left="340" w:right="100" w:hanging="334"/>
        <w:spacing w:after="0" w:line="312" w:lineRule="auto"/>
        <w:tabs>
          <w:tab w:leader="none" w:pos="3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Rules 457(c) and 457(h) under the Securities Act, based on the average of the high and low sales prices of the Common Stock as reported on The Nasdaq Global Select Market on May 10, 2024, which was $3.41 per share.</w:t>
      </w:r>
    </w:p>
    <w:p>
      <w:pPr>
        <w:sectPr>
          <w:pgSz w:w="11900" w:h="16838" w:orient="portrait"/>
          <w:cols w:equalWidth="0" w:num="1">
            <w:col w:w="11220"/>
          </w:cols>
          <w:pgMar w:left="340" w:top="10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560070</wp:posOffset>
            </wp:positionV>
            <wp:extent cx="202311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202311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4"/>
          <w:szCs w:val="14"/>
          <w:color w:val="auto"/>
        </w:rPr>
        <w:t>The Tower at Peabody Place</w:t>
      </w:r>
    </w:p>
    <w:p>
      <w:pPr>
        <w:spacing w:after="0" w:line="2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color w:val="auto"/>
        </w:rPr>
        <w:t>100 Peabody Place, Suite 1300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Memphis, Tennessee 38103</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(901) 543-5900</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17,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6210 Ardrey Kell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24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Re:</w:t>
        <w:tab/>
        <w:t>Registration Statement on Form S-8 relating to the NN, Inc. Amended and Restated 2022 Omnibus Incentive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acted as counsel to NN,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relating to an additional 1,500,000 shares of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available for issuance pursuant to the NN, Inc. Amended and Restated 2022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such records, documents, certificates, and other instruments as we have deemed necessary or appropriate in order to express the opinions hereinafter set forth. We have also assumed the legal capacity of all natural persons, the genuineness of all signatures, the authenticity of all documents submitted to us as originals, the conformity to original documents of all documents submitted to us as copies, the authenticity of the originals of such latter documents, the legal competence of all signatories to such documents, and, except to the extent we express an opinion as to due authorization in the next paragraph of this letter, the due authorization, execution and delivery of all documents by the parties thereto. As to various questions of fact relevant to the opinion expressed herein, we have relied upon, and assume the accuracy of, certificates and oral or written statements and other information of or from public officials and officers and representatives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upon and subject to the qualifications, assumptions and limitations set forth herein, we are of the opinion that:</w:t>
      </w:r>
    </w:p>
    <w:p>
      <w:pPr>
        <w:spacing w:after="0" w:line="185" w:lineRule="exact"/>
        <w:rPr>
          <w:sz w:val="20"/>
          <w:szCs w:val="20"/>
          <w:color w:val="auto"/>
        </w:rPr>
      </w:pPr>
    </w:p>
    <w:p>
      <w:pPr>
        <w:ind w:right="540" w:firstLine="656"/>
        <w:spacing w:after="0" w:line="282" w:lineRule="auto"/>
        <w:tabs>
          <w:tab w:leader="none" w:pos="12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existing under and by virtue of the laws of the State of Delaware and in good standing with the Secretary of State of the State of Delaware; and</w:t>
      </w:r>
    </w:p>
    <w:p>
      <w:pPr>
        <w:spacing w:after="0" w:line="121" w:lineRule="exact"/>
        <w:rPr>
          <w:rFonts w:ascii="Times New Roman" w:cs="Times New Roman" w:eastAsia="Times New Roman" w:hAnsi="Times New Roman"/>
          <w:sz w:val="18"/>
          <w:szCs w:val="18"/>
          <w:color w:val="auto"/>
        </w:rPr>
      </w:pPr>
    </w:p>
    <w:p>
      <w:pPr>
        <w:ind w:right="280" w:firstLine="656"/>
        <w:spacing w:after="0" w:line="282" w:lineRule="auto"/>
        <w:tabs>
          <w:tab w:leader="none" w:pos="12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issuable in connection with the Plan have been duly authorized and, when issued in accordance with the terms of the Plan, will be validly issued, fully paid and non-assessable.</w:t>
      </w:r>
    </w:p>
    <w:p>
      <w:pPr>
        <w:spacing w:after="0" w:line="1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limited to the General Corporation Law of the State of Delaware (which includes applicable provisions of the Delaware Constitution and reported judicial decisions interpreting the General Corporation Law of the State of Delaware and the Delaware Constitution).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as Exhibit 5.1 to the Registration Statement. In giving this consent, we do not thereby admit that we are in the category of persons whose consent is required under Section 7 of the Securities Act of 1933, as amended, or the rules and regulations of the Commission.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is limited to the specific issues addressed herein, and no opinion may be inferred or implied beyond that expressly stated herein.</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furnished to you in connection with the filing of the Registration Statement. Our opinion is rendered as of the date hereof, and we assume no obligation to advise you of changes in law or fact (or the effect thereof on the opinions expressed herein) that hereafter may come to our attention.</w:t>
      </w: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Sincerely,</w:t>
      </w:r>
    </w:p>
    <w:p>
      <w:pPr>
        <w:spacing w:after="0" w:line="18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Bass, Berry &amp; Sims PLC</w:t>
      </w:r>
    </w:p>
    <w:p>
      <w:pPr>
        <w:sectPr>
          <w:pgSz w:w="11900" w:h="16838" w:orient="portrait"/>
          <w:cols w:equalWidth="0" w:num="1">
            <w:col w:w="11240"/>
          </w:cols>
          <w:pgMar w:left="320" w:top="104"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5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We have issued our reports dated March 12, 2024 with respect to the consolidated financial statements and internal control over financial reporting of NN, Inc. included in the Annual Report on Form 10-K for the year ended December 31, 2023, which are incorporated by reference in this Registration Statement. We consent to the incorporation by reference of the aforementioned reports in this Registration Statement.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GRANT THORNTON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Charlotte, North Carolina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17, 2024</w:t>
      </w:r>
    </w:p>
    <w:sectPr>
      <w:pgSz w:w="11900" w:h="16838" w:orient="portrait"/>
      <w:cols w:equalWidth="0" w:num="1">
        <w:col w:w="11240"/>
      </w:cols>
      <w:pgMar w:left="320" w:top="7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jpeg"/><Relationship Id="rId11" Type="http://schemas.openxmlformats.org/officeDocument/2006/relationships/hyperlink" Target="https://www.sec.gov/ix?doc=/Archives/edgar/data/0000918541/000091854124000020/nnbr-20231231.htm" TargetMode="External"/><Relationship Id="rId12" Type="http://schemas.openxmlformats.org/officeDocument/2006/relationships/hyperlink" Target="https://www.sec.gov/ix?doc=/Archives/edgar/data/0000918541/000091854124000066/nnbr-20240331.htm" TargetMode="External"/><Relationship Id="rId13" Type="http://schemas.openxmlformats.org/officeDocument/2006/relationships/hyperlink" Target="https://www.sec.gov/ix?doc=/Archives/edgar/data/0000918541/000091854124000012/nnbr-20240305.htm" TargetMode="External"/><Relationship Id="rId14" Type="http://schemas.openxmlformats.org/officeDocument/2006/relationships/hyperlink" Target="https://www.sec.gov/ix?doc=/Archives/edgar/data/918541/000119312524069193/d105983d8k.htm" TargetMode="External"/><Relationship Id="rId15" Type="http://schemas.openxmlformats.org/officeDocument/2006/relationships/hyperlink" Target="https://www.sec.gov/Archives/edgar/data/918541/000092290702000376/form8a12ga_111402.htm" TargetMode="External"/><Relationship Id="rId16" Type="http://schemas.openxmlformats.org/officeDocument/2006/relationships/hyperlink" Target="https://www.sec.gov/Archives/edgar/data/918541/000095016802001631/dex31.txt" TargetMode="External"/><Relationship Id="rId17" Type="http://schemas.openxmlformats.org/officeDocument/2006/relationships/hyperlink" Target="https://www.sec.gov/Archives/edgar/data/918541/000119312519151712/d750456dex31.htm" TargetMode="External"/><Relationship Id="rId18" Type="http://schemas.openxmlformats.org/officeDocument/2006/relationships/hyperlink" Target="https://www.sec.gov/Archives/edgar/data/918541/000119312519151712/d750456dex32.htm" TargetMode="External"/><Relationship Id="rId19" Type="http://schemas.openxmlformats.org/officeDocument/2006/relationships/hyperlink" Target="https://www.sec.gov/Archives/edgar/data/918541/000119312515383841/d73953dex31.htm" TargetMode="External"/><Relationship Id="rId20" Type="http://schemas.openxmlformats.org/officeDocument/2006/relationships/hyperlink" Target="https://www.sec.gov/Archives/edgar/data/918541/000095016802001631/dex41.txt" TargetMode="External"/><Relationship Id="rId21" Type="http://schemas.openxmlformats.org/officeDocument/2006/relationships/hyperlink" Target="https://www.sec.gov/Archives/edgar/data/0000918541/000091854122000072/proxystatement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2024-05-17T15:31:10Z</dcterms:created>
  <dcterms:modified xsi:type="dcterms:W3CDTF">2024-05-17T15:31:10Z</dcterms:modified>
</cp:coreProperties>
</file>