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16"/>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156845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345440</wp:posOffset>
            </wp:positionV>
            <wp:extent cx="762635" cy="728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63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8"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916"/>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916"/>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28277</w:t>
      </w:r>
    </w:p>
    <w:p>
      <w:pPr>
        <w:spacing w:after="0" w:line="50" w:lineRule="exact"/>
        <w:rPr>
          <w:sz w:val="24"/>
          <w:szCs w:val="24"/>
          <w:color w:val="auto"/>
        </w:rPr>
      </w:pPr>
    </w:p>
    <w:p>
      <w:pPr>
        <w:sectPr>
          <w:pgSz w:w="11900" w:h="16838" w:orient="portrait"/>
          <w:cols w:equalWidth="0" w:num="2">
            <w:col w:w="8304" w:space="720"/>
            <w:col w:w="2000"/>
          </w:cols>
          <w:pgMar w:left="436" w:top="368" w:right="439" w:bottom="1440" w:gutter="0" w:footer="0" w:header="0"/>
          <w:type w:val="continuous"/>
        </w:sectPr>
      </w:pPr>
    </w:p>
    <w:p>
      <w:pPr>
        <w:ind w:left="250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2" w:lineRule="exact"/>
        <w:rPr>
          <w:sz w:val="24"/>
          <w:szCs w:val="24"/>
          <w:color w:val="auto"/>
        </w:rPr>
      </w:pPr>
    </w:p>
    <w:p>
      <w:pPr>
        <w:sectPr>
          <w:pgSz w:w="11900" w:h="16838" w:orient="portrait"/>
          <w:cols w:equalWidth="0" w:num="2">
            <w:col w:w="8204" w:space="720"/>
            <w:col w:w="210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4"/>
          <w:szCs w:val="14"/>
          <w:b w:val="1"/>
          <w:bCs w:val="1"/>
          <w:color w:val="auto"/>
        </w:rPr>
        <w:t>(980) 264-4300</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4"/>
          </w:cols>
          <w:pgMar w:left="436" w:top="368" w:right="439" w:bottom="1440" w:gutter="0" w:footer="0" w:header="0"/>
          <w:type w:val="continuous"/>
        </w:sectPr>
      </w:pPr>
    </w:p>
    <w:p>
      <w:pPr>
        <w:spacing w:after="0" w:line="238"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152400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4"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4" w:type="dxa"/>
        <w:tblCellMar>
          <w:top w:w="0" w:type="dxa"/>
          <w:left w:w="0" w:type="dxa"/>
          <w:bottom w:w="0" w:type="dxa"/>
          <w:right w:w="0" w:type="dxa"/>
        </w:tblCellMar>
      </w:tblPr>
      <w:tr>
        <w:trPr>
          <w:trHeight w:val="185"/>
        </w:trPr>
        <w:tc>
          <w:tcPr>
            <w:tcW w:w="3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Trading symbol</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4"/>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NNBR</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79"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684"/>
        <w:spacing w:after="0" w:line="207" w:lineRule="exact"/>
        <w:tabs>
          <w:tab w:leader="none" w:pos="10844"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4" w:right="54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2.03.</w:t>
      </w:r>
      <w:r>
        <w:rPr>
          <w:sz w:val="20"/>
          <w:szCs w:val="20"/>
          <w:color w:val="auto"/>
        </w:rPr>
        <w:tab/>
      </w:r>
      <w:r>
        <w:rPr>
          <w:rFonts w:ascii="Arial" w:cs="Arial" w:eastAsia="Arial" w:hAnsi="Arial"/>
          <w:sz w:val="18"/>
          <w:szCs w:val="18"/>
          <w:b w:val="1"/>
          <w:bCs w:val="1"/>
          <w:color w:val="auto"/>
        </w:rPr>
        <w:t>CREATION OF A DIRECT FINANCIAL OBLIGATION OR AN OBLIGATION UNDER AN OFF-BALANCE SHEET ARRANGEMENT OF A REGISTRANT.</w:t>
      </w:r>
    </w:p>
    <w:p>
      <w:pPr>
        <w:spacing w:after="0" w:line="58"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As previously disclosed, NN, Inc. (the “Company”) has a Senior Secured Revolver (the “Revolver”), and as of December 31, 2019, there was total available capacity of $75.0 million under the Revolver, with $63.9 million available for future borrowings. As of December 31, the Company had no outstanding borrowing under the Revolver. In light of uncertainty associated with the ongoing coronavirus (COVID-19) pandemic and to increase liquidity, in March 2020, the Company drew down $60 million under its Revolver. As of April 3, 2020 the outstanding borrowings under the Revolver totaled $60 million. The Revolver matures on July 20, 2022.</w:t>
      </w:r>
    </w:p>
    <w:p>
      <w:pPr>
        <w:spacing w:after="0" w:line="332"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7.01.</w:t>
        <w:tab/>
        <w:t>REGULATION FD.</w:t>
      </w:r>
    </w:p>
    <w:p>
      <w:pPr>
        <w:spacing w:after="0" w:line="121" w:lineRule="exact"/>
        <w:rPr>
          <w:sz w:val="20"/>
          <w:szCs w:val="20"/>
          <w:color w:val="auto"/>
        </w:rPr>
      </w:pPr>
    </w:p>
    <w:p>
      <w:pPr>
        <w:ind w:left="4" w:right="200" w:firstLine="440"/>
        <w:spacing w:after="0" w:line="308" w:lineRule="auto"/>
        <w:rPr>
          <w:sz w:val="20"/>
          <w:szCs w:val="20"/>
          <w:color w:val="auto"/>
        </w:rPr>
      </w:pPr>
      <w:r>
        <w:rPr>
          <w:rFonts w:ascii="Arial" w:cs="Arial" w:eastAsia="Arial" w:hAnsi="Arial"/>
          <w:sz w:val="17"/>
          <w:szCs w:val="17"/>
          <w:color w:val="auto"/>
        </w:rPr>
        <w:t>On April 6, 2020, the Company issued a press release regarding the impact of the ongoing coronavirus (COVID-19) pandemic and announced a withdrawal of its previously provided full-year 2020 financial guidance. The press release is furnished herewith as Exhibit 99.1.</w:t>
      </w:r>
    </w:p>
    <w:p>
      <w:pPr>
        <w:spacing w:after="0" w:line="291"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1"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NN, Inc., dated April 6, 2020</w:t>
        </w:r>
      </w:hyperlink>
    </w:p>
    <w:p>
      <w:pPr>
        <w:sectPr>
          <w:pgSz w:w="11900" w:h="16838" w:orient="portrait"/>
          <w:cols w:equalWidth="0" w:num="1">
            <w:col w:w="11004"/>
          </w:cols>
          <w:pgMar w:left="436" w:top="27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April 6,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Thomas D. Debyle</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Thomas D. Debyle</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w w:val="97"/>
              </w:rPr>
              <w:t>Senior Vice President and Chief Financial Officer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5149215</wp:posOffset>
            </wp:positionH>
            <wp:positionV relativeFrom="paragraph">
              <wp:posOffset>17145</wp:posOffset>
            </wp:positionV>
            <wp:extent cx="1843405" cy="685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43405" cy="6858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702945</wp:posOffset>
            </wp:positionV>
            <wp:extent cx="916940" cy="968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1694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April 6, 2020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Withdraws Full-Year 2020 Financial Guidance Due to COVID-19 Impact</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CHARLOTTE, N.C., April 6, 2020 — NN, Inc. (NASDAQ: NNBR), a diversified industrial company, today announced that due to heightened macroeconomic uncertainty as a result of the COVID-19 outbreak, the Company is withdrawing full-year 2020 financial guidance, previously issued on March 12, 2020, as the relative stability in the North American and European markets on that date has now deteriorated and continues to rapidly change. NN is maintaining its previously announced Q1 guidance with current forecasts indicating results to be at the low end of the range.</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effects of COVID-19 on the global economy are evolving at a rapid pace and we are currently unable to predict the duration of the situation nor the full impact on our business,” said Warren Veltman, President and Chief Executive Officer. “Given this uncertainty, we are withdrawing our full-year guidance for 2020. Our focus remains on securing the health of our employees, mitigating any supply chain disruption, and striving to meet our customers’ volume requirements.”</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Tom DeByle, Senior Vice President and Chief Financial Officer, said, “Our Life Sciences and Power Solutions facilities operated normally through the majority of the first quarter despite the current environment and most of the Mobile Solutions facilities are currently serving demand from select customers that have been deemed essential manufacturers.”</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light of the uncertainty due to COVID-19, NN drew down $60M under its credit facility to strengthen its near-term cash position. The Company remains committed to reducing overall leverage and identifying additional avenues for increasing its financial flexibility and liquidity. NN’s previously disclosed strategic review remains ongoing.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NN, Inc.</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w:t>
      </w:r>
    </w:p>
    <w:p>
      <w:pPr>
        <w:sectPr>
          <w:pgSz w:w="11900" w:h="16838" w:orient="portrait"/>
          <w:cols w:equalWidth="0" w:num="1">
            <w:col w:w="11020"/>
          </w:cols>
          <w:pgMar w:left="440" w:top="121" w:right="4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assemblies for a variety of markets on a global basis. Headquartered in Charlotte, North Carolina, NN has 50 facilities in North America, Europe, South America and China.</w:t>
      </w:r>
    </w:p>
    <w:p>
      <w:pPr>
        <w:spacing w:after="0" w:line="27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disruptions in the Company’s businesses and global economies and other impacts from further spread of the coronavirus outbreak,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strategic review and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29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2019.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2020-04-06T08:04:13Z</dcterms:created>
  <dcterms:modified xsi:type="dcterms:W3CDTF">2020-04-06T08:04:13Z</dcterms:modified>
</cp:coreProperties>
</file>