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116840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74295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Date of Report (Date of earliest event reported): May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99695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168275</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NN, Inc.</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45085</wp:posOffset>
            </wp:positionV>
            <wp:extent cx="2597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86" w:lineRule="exact"/>
        <w:rPr>
          <w:sz w:val="24"/>
          <w:szCs w:val="24"/>
          <w:color w:val="auto"/>
        </w:rPr>
      </w:pPr>
    </w:p>
    <w:tbl>
      <w:tblPr>
        <w:tblLayout w:type="fixed"/>
        <w:tblInd w:w="960" w:type="dxa"/>
        <w:tblCellMar>
          <w:top w:w="0" w:type="dxa"/>
          <w:left w:w="0" w:type="dxa"/>
          <w:bottom w:w="0" w:type="dxa"/>
          <w:right w:w="0" w:type="dxa"/>
        </w:tblCellMar>
      </w:tblPr>
      <w:tr>
        <w:trPr>
          <w:trHeight w:val="251"/>
        </w:trPr>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36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000-23486</w:t>
            </w:r>
          </w:p>
        </w:tc>
        <w:tc>
          <w:tcPr>
            <w:tcW w:w="1400" w:type="dxa"/>
            <w:vAlign w:val="bottom"/>
          </w:tcPr>
          <w:p>
            <w:pPr>
              <w:jc w:val="center"/>
              <w:ind w:left="139"/>
              <w:spacing w:after="0"/>
              <w:rPr>
                <w:sz w:val="20"/>
                <w:szCs w:val="20"/>
                <w:color w:val="auto"/>
              </w:rPr>
            </w:pPr>
            <w:r>
              <w:rPr>
                <w:rFonts w:ascii="Arial" w:cs="Arial" w:eastAsia="Arial" w:hAnsi="Arial"/>
                <w:sz w:val="16"/>
                <w:szCs w:val="16"/>
                <w:b w:val="1"/>
                <w:bCs w:val="1"/>
                <w:color w:val="auto"/>
                <w:w w:val="91"/>
              </w:rPr>
              <w:t>62-1096725</w:t>
            </w:r>
          </w:p>
        </w:tc>
      </w:tr>
      <w:tr>
        <w:trPr>
          <w:trHeight w:val="172"/>
        </w:trPr>
        <w:tc>
          <w:tcPr>
            <w:tcW w:w="190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3640" w:type="dxa"/>
            <w:vAlign w:val="bottom"/>
          </w:tcPr>
          <w:p>
            <w:pPr>
              <w:jc w:val="center"/>
              <w:ind w:right="59"/>
              <w:spacing w:after="0" w:line="171" w:lineRule="exact"/>
              <w:rPr>
                <w:sz w:val="20"/>
                <w:szCs w:val="20"/>
                <w:color w:val="auto"/>
              </w:rPr>
            </w:pPr>
            <w:r>
              <w:rPr>
                <w:rFonts w:ascii="Arial" w:cs="Arial" w:eastAsia="Arial" w:hAnsi="Arial"/>
                <w:sz w:val="16"/>
                <w:szCs w:val="16"/>
                <w:i w:val="1"/>
                <w:iCs w:val="1"/>
                <w:color w:val="auto"/>
                <w:w w:val="93"/>
              </w:rPr>
              <w:t>(Commission File Number)</w:t>
            </w:r>
          </w:p>
        </w:tc>
        <w:tc>
          <w:tcPr>
            <w:tcW w:w="1400" w:type="dxa"/>
            <w:vAlign w:val="bottom"/>
          </w:tcPr>
          <w:p>
            <w:pPr>
              <w:jc w:val="center"/>
              <w:ind w:left="119"/>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1900" w:type="dxa"/>
            <w:vAlign w:val="bottom"/>
          </w:tcPr>
          <w:p>
            <w:pPr>
              <w:jc w:val="center"/>
              <w:spacing w:after="0"/>
              <w:rPr>
                <w:sz w:val="20"/>
                <w:szCs w:val="20"/>
                <w:color w:val="auto"/>
              </w:rPr>
            </w:pPr>
            <w:r>
              <w:rPr>
                <w:rFonts w:ascii="Arial" w:cs="Arial" w:eastAsia="Arial" w:hAnsi="Arial"/>
                <w:sz w:val="16"/>
                <w:szCs w:val="16"/>
                <w:i w:val="1"/>
                <w:iCs w:val="1"/>
                <w:color w:val="auto"/>
                <w:w w:val="98"/>
              </w:rPr>
              <w:t>incorporation)</w:t>
            </w:r>
          </w:p>
        </w:tc>
        <w:tc>
          <w:tcPr>
            <w:tcW w:w="3640" w:type="dxa"/>
            <w:vAlign w:val="bottom"/>
          </w:tcPr>
          <w:p>
            <w:pPr>
              <w:spacing w:after="0"/>
              <w:rPr>
                <w:sz w:val="17"/>
                <w:szCs w:val="17"/>
                <w:color w:val="auto"/>
              </w:rPr>
            </w:pPr>
          </w:p>
        </w:tc>
        <w:tc>
          <w:tcPr>
            <w:tcW w:w="1400" w:type="dxa"/>
            <w:vAlign w:val="bottom"/>
          </w:tcPr>
          <w:p>
            <w:pPr>
              <w:jc w:val="center"/>
              <w:ind w:left="119"/>
              <w:spacing w:after="0"/>
              <w:rPr>
                <w:sz w:val="20"/>
                <w:szCs w:val="20"/>
                <w:color w:val="auto"/>
              </w:rPr>
            </w:pPr>
            <w:r>
              <w:rPr>
                <w:rFonts w:ascii="Arial" w:cs="Arial" w:eastAsia="Arial" w:hAnsi="Arial"/>
                <w:sz w:val="16"/>
                <w:szCs w:val="16"/>
                <w:i w:val="1"/>
                <w:iCs w:val="1"/>
                <w:color w:val="auto"/>
                <w:w w:val="96"/>
              </w:rPr>
              <w:t>Identification No.)</w:t>
            </w:r>
          </w:p>
        </w:tc>
      </w:tr>
      <w:tr>
        <w:trPr>
          <w:trHeight w:val="648"/>
        </w:trPr>
        <w:tc>
          <w:tcPr>
            <w:tcW w:w="5540" w:type="dxa"/>
            <w:vAlign w:val="bottom"/>
            <w:gridSpan w:val="2"/>
          </w:tcPr>
          <w:p>
            <w:pPr>
              <w:jc w:val="center"/>
              <w:ind w:right="1639"/>
              <w:spacing w:after="0"/>
              <w:rPr>
                <w:sz w:val="20"/>
                <w:szCs w:val="20"/>
                <w:color w:val="auto"/>
              </w:rPr>
            </w:pPr>
            <w:r>
              <w:rPr>
                <w:rFonts w:ascii="Arial" w:cs="Arial" w:eastAsia="Arial" w:hAnsi="Arial"/>
                <w:sz w:val="16"/>
                <w:szCs w:val="16"/>
                <w:b w:val="1"/>
                <w:bCs w:val="1"/>
                <w:color w:val="auto"/>
                <w:w w:val="92"/>
              </w:rPr>
              <w:t>6210 Ardrey Kell Road, Suite 600</w:t>
            </w:r>
          </w:p>
        </w:tc>
        <w:tc>
          <w:tcPr>
            <w:tcW w:w="1400" w:type="dxa"/>
            <w:vAlign w:val="bottom"/>
          </w:tcPr>
          <w:p>
            <w:pPr>
              <w:spacing w:after="0"/>
              <w:rPr>
                <w:sz w:val="24"/>
                <w:szCs w:val="24"/>
                <w:color w:val="auto"/>
              </w:rPr>
            </w:pPr>
          </w:p>
        </w:tc>
      </w:tr>
      <w:tr>
        <w:trPr>
          <w:trHeight w:val="243"/>
        </w:trPr>
        <w:tc>
          <w:tcPr>
            <w:tcW w:w="5540" w:type="dxa"/>
            <w:vAlign w:val="bottom"/>
            <w:gridSpan w:val="2"/>
          </w:tcPr>
          <w:p>
            <w:pPr>
              <w:jc w:val="center"/>
              <w:ind w:right="1639"/>
              <w:spacing w:after="0"/>
              <w:rPr>
                <w:sz w:val="20"/>
                <w:szCs w:val="20"/>
                <w:color w:val="auto"/>
              </w:rPr>
            </w:pPr>
            <w:r>
              <w:rPr>
                <w:rFonts w:ascii="Arial" w:cs="Arial" w:eastAsia="Arial" w:hAnsi="Arial"/>
                <w:sz w:val="16"/>
                <w:szCs w:val="16"/>
                <w:b w:val="1"/>
                <w:bCs w:val="1"/>
                <w:color w:val="auto"/>
                <w:w w:val="95"/>
              </w:rPr>
              <w:t>Charlotte, North Carolina</w:t>
            </w: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28277</w:t>
            </w:r>
          </w:p>
        </w:tc>
      </w:tr>
      <w:tr>
        <w:trPr>
          <w:trHeight w:val="270"/>
        </w:trPr>
        <w:tc>
          <w:tcPr>
            <w:tcW w:w="5540" w:type="dxa"/>
            <w:vAlign w:val="bottom"/>
            <w:gridSpan w:val="2"/>
          </w:tcPr>
          <w:p>
            <w:pPr>
              <w:jc w:val="center"/>
              <w:ind w:right="163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6"/>
                <w:szCs w:val="16"/>
                <w:i w:val="1"/>
                <w:iCs w:val="1"/>
                <w:color w:val="auto"/>
                <w:w w:val="92"/>
              </w:rPr>
              <w:t>(Zip Code)</w:t>
            </w:r>
          </w:p>
        </w:tc>
      </w:tr>
      <w:tr>
        <w:trPr>
          <w:trHeight w:val="577"/>
        </w:trPr>
        <w:tc>
          <w:tcPr>
            <w:tcW w:w="190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(980) 264-4300</w:t>
            </w:r>
          </w:p>
        </w:tc>
        <w:tc>
          <w:tcPr>
            <w:tcW w:w="1400" w:type="dxa"/>
            <w:vAlign w:val="bottom"/>
          </w:tcPr>
          <w:p>
            <w:pPr>
              <w:spacing w:after="0"/>
              <w:rPr>
                <w:sz w:val="24"/>
                <w:szCs w:val="24"/>
                <w:color w:val="auto"/>
              </w:rPr>
            </w:pPr>
          </w:p>
        </w:tc>
      </w:tr>
      <w:tr>
        <w:trPr>
          <w:trHeight w:val="206"/>
        </w:trPr>
        <w:tc>
          <w:tcPr>
            <w:tcW w:w="190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i w:val="1"/>
                <w:iCs w:val="1"/>
                <w:color w:val="auto"/>
                <w:w w:val="96"/>
              </w:rPr>
              <w:t>(Registrant’s telephone number, including area code)</w:t>
            </w:r>
          </w:p>
        </w:tc>
        <w:tc>
          <w:tcPr>
            <w:tcW w:w="1400" w:type="dxa"/>
            <w:vAlign w:val="bottom"/>
          </w:tcPr>
          <w:p>
            <w:pPr>
              <w:spacing w:after="0"/>
              <w:rPr>
                <w:sz w:val="17"/>
                <w:szCs w:val="17"/>
                <w:color w:val="auto"/>
              </w:rPr>
            </w:pPr>
          </w:p>
        </w:tc>
      </w:tr>
    </w:tbl>
    <w:p>
      <w:pPr>
        <w:spacing w:after="0" w:line="14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40640</wp:posOffset>
            </wp:positionV>
            <wp:extent cx="2125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40" w:lineRule="exact"/>
        <w:rPr>
          <w:sz w:val="24"/>
          <w:szCs w:val="24"/>
          <w:color w:val="auto"/>
        </w:rPr>
      </w:pPr>
    </w:p>
    <w:p>
      <w:pPr>
        <w:ind w:right="280"/>
        <w:spacing w:after="0" w:line="235"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40"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01"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0" w:lineRule="exact"/>
        <w:rPr>
          <w:sz w:val="24"/>
          <w:szCs w:val="24"/>
          <w:color w:val="auto"/>
        </w:rPr>
      </w:pP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9120"/>
          </w:cols>
          <w:pgMar w:left="1340" w:top="1295" w:right="1439" w:bottom="1440" w:gutter="0" w:footer="0" w:header="0"/>
        </w:sectPr>
      </w:pPr>
    </w:p>
    <w:p>
      <w:pPr>
        <w:spacing w:after="0" w:line="59" w:lineRule="exact"/>
        <w:rPr>
          <w:sz w:val="24"/>
          <w:szCs w:val="24"/>
          <w:color w:val="auto"/>
        </w:rPr>
      </w:pPr>
    </w:p>
    <w:p>
      <w:pPr>
        <w:ind w:left="122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74" w:lineRule="exact"/>
        <w:rPr>
          <w:sz w:val="24"/>
          <w:szCs w:val="24"/>
          <w:color w:val="auto"/>
        </w:rPr>
      </w:pPr>
    </w:p>
    <w:p>
      <w:pPr>
        <w:sectPr>
          <w:pgSz w:w="11900" w:h="16838" w:orient="portrait"/>
          <w:cols w:equalWidth="0" w:num="3">
            <w:col w:w="3440" w:space="720"/>
            <w:col w:w="1320" w:space="720"/>
            <w:col w:w="2920"/>
          </w:cols>
          <w:pgMar w:left="1340" w:top="1295" w:right="1439" w:bottom="1440" w:gutter="0" w:footer="0" w:header="0"/>
          <w:type w:val="continuous"/>
        </w:sectPr>
      </w:pPr>
    </w:p>
    <w:p>
      <w:pPr>
        <w:ind w:left="760"/>
        <w:spacing w:after="0"/>
        <w:rPr>
          <w:sz w:val="20"/>
          <w:szCs w:val="20"/>
          <w:color w:val="auto"/>
        </w:rPr>
      </w:pPr>
      <w:r>
        <w:rPr>
          <w:rFonts w:ascii="Arial" w:cs="Arial" w:eastAsia="Arial" w:hAnsi="Arial"/>
          <w:sz w:val="13"/>
          <w:szCs w:val="13"/>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3"/>
          <w:szCs w:val="13"/>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200" w:lineRule="exact"/>
        <w:rPr>
          <w:sz w:val="24"/>
          <w:szCs w:val="24"/>
          <w:color w:val="auto"/>
        </w:rPr>
      </w:pPr>
    </w:p>
    <w:p>
      <w:pPr>
        <w:sectPr>
          <w:pgSz w:w="11900" w:h="16838" w:orient="portrait"/>
          <w:cols w:equalWidth="0" w:num="3">
            <w:col w:w="3680" w:space="720"/>
            <w:col w:w="1380" w:space="720"/>
            <w:col w:w="2620"/>
          </w:cols>
          <w:pgMar w:left="1340" w:top="1295" w:right="1439" w:bottom="1440" w:gutter="0" w:footer="0" w:header="0"/>
          <w:type w:val="continuous"/>
        </w:sectPr>
      </w:pPr>
    </w:p>
    <w:p>
      <w:pPr>
        <w:spacing w:after="0" w:line="239" w:lineRule="exact"/>
        <w:rPr>
          <w:sz w:val="24"/>
          <w:szCs w:val="24"/>
          <w:color w:val="auto"/>
        </w:rPr>
      </w:pPr>
    </w:p>
    <w:p>
      <w:pPr>
        <w:ind w:right="80"/>
        <w:spacing w:after="0" w:line="26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w:t>
      </w:r>
    </w:p>
    <w:p>
      <w:pPr>
        <w:spacing w:after="0" w:line="21" w:lineRule="exact"/>
        <w:rPr>
          <w:sz w:val="24"/>
          <w:szCs w:val="24"/>
          <w:color w:val="auto"/>
        </w:rPr>
      </w:pPr>
    </w:p>
    <w:p>
      <w:pPr>
        <w:ind w:right="320"/>
        <w:spacing w:after="0" w:line="209" w:lineRule="exact"/>
        <w:rPr>
          <w:sz w:val="20"/>
          <w:szCs w:val="20"/>
          <w:color w:val="auto"/>
        </w:rPr>
      </w:pPr>
      <w:r>
        <w:rPr>
          <w:rFonts w:ascii="Arial" w:cs="Arial" w:eastAsia="Arial" w:hAnsi="Arial"/>
          <w:sz w:val="18"/>
          <w:szCs w:val="18"/>
          <w:color w:val="auto"/>
        </w:rPr>
        <w:t xml:space="preserve">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741045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616585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20"/>
          </w:cols>
          <w:pgMar w:left="1340" w:top="1295" w:right="1439" w:bottom="1440" w:gutter="0" w:footer="0" w:header="0"/>
          <w:type w:val="continuous"/>
        </w:sectPr>
      </w:pPr>
    </w:p>
    <w:bookmarkStart w:id="1" w:name="page2"/>
    <w:bookmarkEnd w:id="1"/>
    <w:p>
      <w:pPr>
        <w:ind w:left="1020" w:right="540" w:hanging="129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4"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On May 24, 2023, immediately following the conclusion of the 2023 Annual Meeting of the Stockholders (the “Annual Meeting”) of NN, Inc. (the “Company”), the Board of Directors (the “Board”) held a meeting during which it approved an increase in the size of the Board from eight to nine directors and appointed Harold Bevis, the Company’s President and Chief Executive Officer, to fill the newly-created directorship, effective immediately. Mr. Bevis will serve as a director with an initial term expiring at the Company’s 2024 annual meeting of the stockholders.</w:t>
      </w:r>
    </w:p>
    <w:p>
      <w:pPr>
        <w:spacing w:after="0" w:line="6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There are no arrangements or understandings between Mr. Bevis and any other person pursuant to which he was appointed as a director of the Company. There are no family relationships between Mr. Bevis and any director, executive officer, or any person nominated or chosen by the Company to become a director or executive officer. There are no related person transactions (within the meaning of Item 404(a) of Regulation S-K promulgated by the Securities and Exchange Commission) between Mr. Bevis and the Company.</w:t>
      </w:r>
    </w:p>
    <w:p>
      <w:pPr>
        <w:spacing w:after="0" w:line="200" w:lineRule="exact"/>
        <w:rPr>
          <w:sz w:val="20"/>
          <w:szCs w:val="20"/>
          <w:color w:val="auto"/>
        </w:rPr>
      </w:pPr>
    </w:p>
    <w:p>
      <w:pPr>
        <w:spacing w:after="0" w:line="2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6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Annual Meeting was held on May 24, 2023. As of March 31, 2023, the record date for the Annual Meeting, a total of 43,772,352 shares of the Company’s common stock were outstanding and entitled to vote on all matters presented to the Company’s stockholders at the Annual Meeting. At the Annual Meeting, the Company’s stockholders considered the following proposals:</w:t>
      </w:r>
    </w:p>
    <w:p>
      <w:pPr>
        <w:spacing w:after="0" w:line="76" w:lineRule="exact"/>
        <w:rPr>
          <w:sz w:val="20"/>
          <w:szCs w:val="20"/>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eight directors to serve for a term of one year;</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cast an advisory (non-binding) vote to approve the compensation of the Company’s named executive officers;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cast an advisory (non-binding) vote to set the frequency of future advisory votes on executive compensation; and</w:t>
      </w:r>
    </w:p>
    <w:p>
      <w:pPr>
        <w:spacing w:after="0" w:line="117" w:lineRule="exact"/>
        <w:rPr>
          <w:rFonts w:ascii="Arial" w:cs="Arial" w:eastAsia="Arial" w:hAnsi="Arial"/>
          <w:sz w:val="18"/>
          <w:szCs w:val="18"/>
          <w:color w:val="auto"/>
        </w:rPr>
      </w:pPr>
    </w:p>
    <w:p>
      <w:pPr>
        <w:ind w:left="1140" w:right="520" w:hanging="484"/>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cast an advisory (non-binding) vote to ratify the selection of Grant Thornton LLP as the Company’s registered independent public accounting firm for the fiscal year ending December 31, 2023.</w:t>
      </w:r>
    </w:p>
    <w:p>
      <w:pPr>
        <w:spacing w:after="0" w:line="6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final voting results for each proposal are described below. For beneficial owners holding the Company’s common stock at a bank or brokerage institution, a “broker non-vote” occurred if the owner failed to give voting instructions, and the bank or broker was otherwise restricted from voting on the owner’s behalf.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Eight directors were elected to serve for a term of one year. The results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8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For</w:t>
            </w:r>
          </w:p>
        </w:tc>
        <w:tc>
          <w:tcPr>
            <w:tcW w:w="220" w:type="dxa"/>
            <w:vAlign w:val="bottom"/>
          </w:tcPr>
          <w:p>
            <w:pPr>
              <w:spacing w:after="0"/>
              <w:rPr>
                <w:sz w:val="20"/>
                <w:szCs w:val="20"/>
                <w:color w:val="auto"/>
              </w:rPr>
            </w:pP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Withheld</w:t>
            </w:r>
          </w:p>
        </w:tc>
        <w:tc>
          <w:tcPr>
            <w:tcW w:w="220" w:type="dxa"/>
            <w:vAlign w:val="bottom"/>
          </w:tcPr>
          <w:p>
            <w:pPr>
              <w:spacing w:after="0"/>
              <w:rPr>
                <w:sz w:val="20"/>
                <w:szCs w:val="20"/>
                <w:color w:val="auto"/>
              </w:rPr>
            </w:pPr>
          </w:p>
        </w:tc>
        <w:tc>
          <w:tcPr>
            <w:tcW w:w="1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Broker Non-Votes</w:t>
            </w:r>
          </w:p>
        </w:tc>
      </w:tr>
      <w:tr>
        <w:trPr>
          <w:trHeight w:val="23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Raynard D. Benvenuti</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26,503,581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692,688</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10,891,025</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Robert E. Brunner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15,226,694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11,969,575</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10,891,025</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Christina E. Carroll</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26,211,957</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984,312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10,891,025</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João Faria</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26,356,332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839,937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10,891,025</w:t>
            </w:r>
          </w:p>
        </w:tc>
      </w:tr>
      <w:tr>
        <w:trPr>
          <w:trHeight w:val="23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Rajeev Gautam</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26,498,031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698,238</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10,891,025</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Jeri J. Harman</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26,225,346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970,923</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10,891,025</w:t>
            </w:r>
          </w:p>
        </w:tc>
      </w:tr>
      <w:tr>
        <w:trPr>
          <w:trHeight w:val="24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Shihab Kuran</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15,597,184</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11,599,085</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10,891,025</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Thomas H. Wilson, Jr.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24,310,493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2,885,776</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10,891,025</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117" w:lineRule="exact"/>
        <w:rPr>
          <w:sz w:val="20"/>
          <w:szCs w:val="20"/>
          <w:color w:val="auto"/>
        </w:rPr>
      </w:pPr>
    </w:p>
    <w:p>
      <w:pPr>
        <w:ind w:right="940" w:firstLine="648"/>
        <w:spacing w:after="0" w:line="271" w:lineRule="auto"/>
        <w:rPr>
          <w:sz w:val="20"/>
          <w:szCs w:val="20"/>
          <w:color w:val="auto"/>
        </w:rPr>
      </w:pPr>
      <w:r>
        <w:rPr>
          <w:rFonts w:ascii="Arial" w:cs="Arial" w:eastAsia="Arial" w:hAnsi="Arial"/>
          <w:sz w:val="18"/>
          <w:szCs w:val="18"/>
          <w:color w:val="auto"/>
        </w:rPr>
        <w:t>The advisory (non-binding) vote on the executive compensation of the Company’s named executive officers was in favor of executive compensation. The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22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2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220" w:type="dxa"/>
            <w:vAlign w:val="bottom"/>
          </w:tcPr>
          <w:p>
            <w:pPr>
              <w:spacing w:after="0"/>
              <w:rPr>
                <w:sz w:val="20"/>
                <w:szCs w:val="20"/>
                <w:color w:val="auto"/>
              </w:rPr>
            </w:pPr>
          </w:p>
        </w:tc>
        <w:tc>
          <w:tcPr>
            <w:tcW w:w="26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64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18,531,622</w:t>
            </w:r>
          </w:p>
        </w:tc>
        <w:tc>
          <w:tcPr>
            <w:tcW w:w="22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8,187,459</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477,188</w:t>
            </w:r>
          </w:p>
        </w:tc>
        <w:tc>
          <w:tcPr>
            <w:tcW w:w="22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10,891,025</w:t>
            </w:r>
          </w:p>
        </w:tc>
        <w:tc>
          <w:tcPr>
            <w:tcW w:w="60" w:type="dxa"/>
            <w:vAlign w:val="bottom"/>
          </w:tcPr>
          <w:p>
            <w:pPr>
              <w:spacing w:after="0"/>
              <w:rPr>
                <w:sz w:val="19"/>
                <w:szCs w:val="19"/>
                <w:color w:val="auto"/>
              </w:rPr>
            </w:pPr>
          </w:p>
        </w:tc>
      </w:tr>
      <w:tr>
        <w:trPr>
          <w:trHeight w:val="1141"/>
        </w:trPr>
        <w:tc>
          <w:tcPr>
            <w:tcW w:w="2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Proposal 3</w:t>
      </w:r>
    </w:p>
    <w:p>
      <w:pPr>
        <w:spacing w:after="0" w:line="117" w:lineRule="exact"/>
        <w:rPr>
          <w:sz w:val="20"/>
          <w:szCs w:val="20"/>
          <w:color w:val="auto"/>
        </w:rPr>
      </w:pPr>
    </w:p>
    <w:p>
      <w:pPr>
        <w:ind w:right="420" w:firstLine="648"/>
        <w:spacing w:after="0" w:line="287" w:lineRule="auto"/>
        <w:rPr>
          <w:sz w:val="20"/>
          <w:szCs w:val="20"/>
          <w:color w:val="auto"/>
        </w:rPr>
      </w:pPr>
      <w:r>
        <w:rPr>
          <w:rFonts w:ascii="Arial" w:cs="Arial" w:eastAsia="Arial" w:hAnsi="Arial"/>
          <w:sz w:val="17"/>
          <w:szCs w:val="17"/>
          <w:color w:val="auto"/>
        </w:rPr>
        <w:t>The advisory (non-binding) vote on the frequency of votes on the executive compensation of the Company’s named executive officers was in favor of holding a vote on executive compensation of the nature reflected in Proposal II above every year. The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One Year</w:t>
            </w:r>
          </w:p>
        </w:tc>
        <w:tc>
          <w:tcPr>
            <w:tcW w:w="22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Two Years</w:t>
            </w:r>
          </w:p>
        </w:tc>
        <w:tc>
          <w:tcPr>
            <w:tcW w:w="22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Three Years</w:t>
            </w:r>
          </w:p>
        </w:tc>
        <w:tc>
          <w:tcPr>
            <w:tcW w:w="20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22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7"/>
        </w:trPr>
        <w:tc>
          <w:tcPr>
            <w:tcW w:w="20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25,638,551</w:t>
            </w:r>
          </w:p>
        </w:tc>
        <w:tc>
          <w:tcPr>
            <w:tcW w:w="22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31,029</w:t>
            </w:r>
          </w:p>
        </w:tc>
        <w:tc>
          <w:tcPr>
            <w:tcW w:w="23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1,044,424</w:t>
            </w:r>
          </w:p>
        </w:tc>
        <w:tc>
          <w:tcPr>
            <w:tcW w:w="22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482,265</w:t>
            </w:r>
          </w:p>
        </w:tc>
        <w:tc>
          <w:tcPr>
            <w:tcW w:w="230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10,891,025</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4</w:t>
      </w:r>
    </w:p>
    <w:p>
      <w:pPr>
        <w:spacing w:after="0" w:line="117"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The Audit Committee’s selection of Grant Thornton LLP as the Company’s registered independent public accounting firm for the fiscal year ending December 31, 2023 was ratified. The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00" w:type="dxa"/>
            <w:vAlign w:val="bottom"/>
            <w:tcBorders>
              <w:bottom w:val="single" w:sz="8" w:color="CCEEFF"/>
            </w:tcBorders>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220" w:type="dxa"/>
            <w:vAlign w:val="bottom"/>
            <w:tcBorders>
              <w:bottom w:val="single" w:sz="8" w:color="CCEEFF"/>
            </w:tcBorders>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200" w:type="dxa"/>
            <w:vAlign w:val="bottom"/>
            <w:tcBorders>
              <w:bottom w:val="single" w:sz="8" w:color="CCEEFF"/>
            </w:tcBorders>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9"/>
        </w:trPr>
        <w:tc>
          <w:tcPr>
            <w:tcW w:w="26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38,027,933</w:t>
            </w:r>
          </w:p>
        </w:tc>
        <w:tc>
          <w:tcPr>
            <w:tcW w:w="200" w:type="dxa"/>
            <w:vAlign w:val="bottom"/>
            <w:shd w:val="clear" w:color="auto" w:fill="CCEEFF"/>
          </w:tcPr>
          <w:p>
            <w:pPr>
              <w:spacing w:after="0"/>
              <w:rPr>
                <w:sz w:val="19"/>
                <w:szCs w:val="19"/>
                <w:color w:val="auto"/>
              </w:rPr>
            </w:pPr>
          </w:p>
        </w:tc>
        <w:tc>
          <w:tcPr>
            <w:tcW w:w="26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54,807</w:t>
            </w:r>
          </w:p>
        </w:tc>
        <w:tc>
          <w:tcPr>
            <w:tcW w:w="220" w:type="dxa"/>
            <w:vAlign w:val="bottom"/>
            <w:shd w:val="clear" w:color="auto" w:fill="CCEEFF"/>
          </w:tcPr>
          <w:p>
            <w:pPr>
              <w:spacing w:after="0"/>
              <w:rPr>
                <w:sz w:val="19"/>
                <w:szCs w:val="19"/>
                <w:color w:val="auto"/>
              </w:rPr>
            </w:pPr>
          </w:p>
        </w:tc>
        <w:tc>
          <w:tcPr>
            <w:tcW w:w="26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4,554</w:t>
            </w: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67" w:lineRule="exact"/>
        <w:rPr>
          <w:sz w:val="20"/>
          <w:szCs w:val="20"/>
          <w:color w:val="auto"/>
        </w:rPr>
      </w:pPr>
    </w:p>
    <w:p>
      <w:pPr>
        <w:ind w:left="440" w:hanging="387"/>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gridSpan w:val="4"/>
          </w:tcPr>
          <w:p>
            <w:pPr>
              <w:jc w:val="center"/>
              <w:ind w:left="59"/>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10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No.</w:t>
            </w:r>
          </w:p>
        </w:tc>
        <w:tc>
          <w:tcPr>
            <w:tcW w:w="1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gridSpan w:val="4"/>
          </w:tcPr>
          <w:p>
            <w:pPr>
              <w:jc w:val="center"/>
              <w:ind w:left="59"/>
              <w:spacing w:after="0"/>
              <w:rPr>
                <w:sz w:val="20"/>
                <w:szCs w:val="20"/>
                <w:color w:val="auto"/>
              </w:rPr>
            </w:pPr>
            <w:r>
              <w:rPr>
                <w:rFonts w:ascii="Arial" w:cs="Arial" w:eastAsia="Arial" w:hAnsi="Arial"/>
                <w:sz w:val="18"/>
                <w:szCs w:val="18"/>
                <w:color w:val="auto"/>
                <w:w w:val="86"/>
              </w:rPr>
              <w:t>104</w:t>
            </w:r>
          </w:p>
        </w:tc>
        <w:tc>
          <w:tcPr>
            <w:tcW w:w="360" w:type="dxa"/>
            <w:vAlign w:val="bottom"/>
          </w:tcPr>
          <w:p>
            <w:pPr>
              <w:spacing w:after="0"/>
              <w:rPr>
                <w:sz w:val="22"/>
                <w:szCs w:val="22"/>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330"/>
        </w:trPr>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May 24, 2023</w:t>
      </w:r>
    </w:p>
    <w:p>
      <w:pPr>
        <w:spacing w:after="0" w:line="200" w:lineRule="exact"/>
        <w:rPr>
          <w:sz w:val="20"/>
          <w:szCs w:val="20"/>
          <w:color w:val="auto"/>
        </w:rPr>
      </w:pPr>
    </w:p>
    <w:p>
      <w:pPr>
        <w:spacing w:after="0" w:line="278" w:lineRule="exact"/>
        <w:rPr>
          <w:sz w:val="20"/>
          <w:szCs w:val="20"/>
          <w:color w:val="auto"/>
        </w:rPr>
      </w:pPr>
    </w:p>
    <w:tbl>
      <w:tblPr>
        <w:tblLayout w:type="fixed"/>
        <w:tblInd w:w="44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3900" w:type="dxa"/>
            <w:vAlign w:val="bottom"/>
          </w:tcPr>
          <w:p>
            <w:pPr>
              <w:spacing w:after="0"/>
              <w:rPr>
                <w:sz w:val="20"/>
                <w:szCs w:val="20"/>
                <w:color w:val="auto"/>
              </w:rPr>
            </w:pPr>
          </w:p>
        </w:tc>
      </w:tr>
      <w:tr>
        <w:trPr>
          <w:trHeight w:val="51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bl>
    <w:p>
      <w:pPr>
        <w:spacing w:after="0" w:line="1" w:lineRule="exact"/>
        <w:rPr>
          <w:sz w:val="20"/>
          <w:szCs w:val="20"/>
          <w:color w:val="auto"/>
        </w:rPr>
      </w:pPr>
    </w:p>
    <w:sectPr>
      <w:pgSz w:w="11900" w:h="16838" w:orient="portrait"/>
      <w:cols w:equalWidth="0" w:num="1">
        <w:col w:w="9220"/>
      </w:cols>
      <w:pgMar w:left="1340" w:top="891"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2023-05-25T05:13:36Z</dcterms:created>
  <dcterms:modified xsi:type="dcterms:W3CDTF">2023-05-25T05:13:36Z</dcterms:modified>
</cp:coreProperties>
</file>