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May 22, 2017 (May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12b-2 under the Exchange Act (17 CFR 240.12b-2).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tab/>
        <w:t>SUBMISSION OF MATTERS TO A VOTE OF SECURITY HOLDERS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2017 annual meeting of the stockholders (the “Annual Meeting”) of NN, Inc. (the “Corporation”) was held on May 19, 2017. At the Annual Meeting, the following proposals were considered:</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 directors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(non-binding) vote to approve the compensation of the Corporation’s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(non-binding) vote to set the frequency of future advisory votes on executive compensation; and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selection of PricewaterhouseCoopers LLP as the Corporation’s registered independent public accounting firm for the fiscal year ending December 31, 2017.</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Corporation’s common stock at a bank or brokerage institution, a “broker non-vote” occurred if the owner failed to give voting instructions, and the bank or broker was otherwise restricted from voting on the owner’s behalf.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 Class I directors were elected. The results of the election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For</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Against</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Withheld</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Carey A. Smith</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23,829,445</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436,371</w:t>
            </w: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1,973,860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color w:val="auto"/>
              </w:rPr>
              <w:t>Steven T. Warshaw</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23,788,886</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476,930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1,973,860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advisory (non-binding) vote on the executive compensation of the Corporation’s named executive officers was in favor of executive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2740" w:type="dxa"/>
            <w:vAlign w:val="bottom"/>
          </w:tcPr>
          <w:p>
            <w:pPr>
              <w:spacing w:after="0"/>
              <w:rPr>
                <w:sz w:val="16"/>
                <w:szCs w:val="16"/>
                <w:color w:val="auto"/>
              </w:rPr>
            </w:pPr>
          </w:p>
        </w:tc>
        <w:tc>
          <w:tcPr>
            <w:tcW w:w="240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9"/>
              </w:rPr>
              <w:t>Against</w:t>
            </w:r>
          </w:p>
        </w:tc>
        <w:tc>
          <w:tcPr>
            <w:tcW w:w="2540" w:type="dxa"/>
            <w:vAlign w:val="bottom"/>
            <w:gridSpan w:val="2"/>
          </w:tcPr>
          <w:p>
            <w:pPr>
              <w:jc w:val="center"/>
              <w:ind w:right="1820"/>
              <w:spacing w:after="0"/>
              <w:rPr>
                <w:sz w:val="20"/>
                <w:szCs w:val="20"/>
                <w:color w:val="auto"/>
              </w:rPr>
            </w:pPr>
            <w:r>
              <w:rPr>
                <w:rFonts w:ascii="Arial" w:cs="Arial" w:eastAsia="Arial" w:hAnsi="Arial"/>
                <w:sz w:val="14"/>
                <w:szCs w:val="14"/>
                <w:b w:val="1"/>
                <w:bCs w:val="1"/>
                <w:color w:val="auto"/>
                <w:w w:val="88"/>
              </w:rPr>
              <w:t>Abstentions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Broker Non-Votes</w:t>
            </w:r>
          </w:p>
        </w:tc>
      </w:tr>
      <w:tr>
        <w:trPr>
          <w:trHeight w:val="203"/>
        </w:trPr>
        <w:tc>
          <w:tcPr>
            <w:tcW w:w="4460" w:type="dxa"/>
            <w:vAlign w:val="bottom"/>
            <w:tcBorders>
              <w:top w:val="single" w:sz="8" w:color="CCEEFF"/>
            </w:tcBorders>
            <w:gridSpan w:val="3"/>
            <w:shd w:val="clear" w:color="auto" w:fill="CCEEFF"/>
          </w:tcPr>
          <w:p>
            <w:pPr>
              <w:jc w:val="right"/>
              <w:ind w:right="2740"/>
              <w:spacing w:after="0" w:line="203" w:lineRule="exact"/>
              <w:rPr>
                <w:sz w:val="20"/>
                <w:szCs w:val="20"/>
                <w:color w:val="auto"/>
              </w:rPr>
            </w:pPr>
            <w:r>
              <w:rPr>
                <w:rFonts w:ascii="Arial" w:cs="Arial" w:eastAsia="Arial" w:hAnsi="Arial"/>
                <w:sz w:val="18"/>
                <w:szCs w:val="18"/>
                <w:color w:val="auto"/>
              </w:rPr>
              <w:t>23,565,398</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387,715</w:t>
            </w:r>
          </w:p>
        </w:tc>
        <w:tc>
          <w:tcPr>
            <w:tcW w:w="18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312,703</w:t>
            </w:r>
          </w:p>
        </w:tc>
        <w:tc>
          <w:tcPr>
            <w:tcW w:w="18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1,973,860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advisory (non-binding) vote to set the frequency of future advisory votes on executive compensation was in favor of one year. The results of the vote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One Year</w:t>
            </w:r>
          </w:p>
        </w:tc>
        <w:tc>
          <w:tcPr>
            <w:tcW w:w="2840" w:type="dxa"/>
            <w:vAlign w:val="bottom"/>
          </w:tcPr>
          <w:p>
            <w:pPr>
              <w:spacing w:after="0"/>
              <w:rPr>
                <w:sz w:val="16"/>
                <w:szCs w:val="16"/>
                <w:color w:val="auto"/>
              </w:rPr>
            </w:pPr>
          </w:p>
        </w:tc>
        <w:tc>
          <w:tcPr>
            <w:tcW w:w="254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1"/>
              </w:rPr>
              <w:t>Two Years</w:t>
            </w:r>
          </w:p>
        </w:tc>
        <w:tc>
          <w:tcPr>
            <w:tcW w:w="266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Years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03"/>
        </w:trPr>
        <w:tc>
          <w:tcPr>
            <w:tcW w:w="186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21,090,973</w:t>
            </w:r>
          </w:p>
        </w:tc>
        <w:tc>
          <w:tcPr>
            <w:tcW w:w="2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16,356</w:t>
            </w:r>
          </w:p>
        </w:tc>
        <w:tc>
          <w:tcPr>
            <w:tcW w:w="18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9"/>
              </w:rPr>
              <w:t>2,956,368</w:t>
            </w:r>
          </w:p>
        </w:tc>
        <w:tc>
          <w:tcPr>
            <w:tcW w:w="18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202,119</w:t>
            </w:r>
          </w:p>
        </w:tc>
      </w:tr>
    </w:tbl>
    <w:p>
      <w:pPr>
        <w:spacing w:after="0" w:line="202"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In light of the above results, on May 19, 2017, the Board of Directors voted to include a stockholder vote on the compensation of executives in the proxy materials every year until the next required vote on the frequency of stockholder votes on the compensation of executives.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Audit Committee’s selection of PricewaterhouseCoopers LLP as the Corporation’s registered independent public accounting firm for the fiscal year ending December 31, 2016 was ratified. The results of the vote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12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3740" w:type="dxa"/>
            <w:vAlign w:val="bottom"/>
          </w:tcPr>
          <w:p>
            <w:pPr>
              <w:spacing w:after="0"/>
              <w:rPr>
                <w:sz w:val="16"/>
                <w:szCs w:val="16"/>
                <w:color w:val="auto"/>
              </w:rPr>
            </w:pPr>
          </w:p>
        </w:tc>
        <w:tc>
          <w:tcPr>
            <w:tcW w:w="3120" w:type="dxa"/>
            <w:vAlign w:val="bottom"/>
            <w:gridSpan w:val="2"/>
          </w:tcPr>
          <w:p>
            <w:pPr>
              <w:jc w:val="center"/>
              <w:ind w:right="2540"/>
              <w:spacing w:after="0"/>
              <w:rPr>
                <w:sz w:val="20"/>
                <w:szCs w:val="20"/>
                <w:color w:val="auto"/>
              </w:rPr>
            </w:pPr>
            <w:r>
              <w:rPr>
                <w:rFonts w:ascii="Arial" w:cs="Arial" w:eastAsia="Arial" w:hAnsi="Arial"/>
                <w:sz w:val="14"/>
                <w:szCs w:val="14"/>
                <w:b w:val="1"/>
                <w:bCs w:val="1"/>
                <w:color w:val="auto"/>
                <w:w w:val="89"/>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203"/>
        </w:trPr>
        <w:tc>
          <w:tcPr>
            <w:tcW w:w="5740" w:type="dxa"/>
            <w:vAlign w:val="bottom"/>
            <w:tcBorders>
              <w:top w:val="single" w:sz="8" w:color="CCEEFF"/>
            </w:tcBorders>
            <w:gridSpan w:val="3"/>
            <w:shd w:val="clear" w:color="auto" w:fill="CCEEFF"/>
          </w:tcPr>
          <w:p>
            <w:pPr>
              <w:jc w:val="right"/>
              <w:ind w:right="3720"/>
              <w:spacing w:after="0" w:line="203" w:lineRule="exact"/>
              <w:rPr>
                <w:sz w:val="20"/>
                <w:szCs w:val="20"/>
                <w:color w:val="auto"/>
              </w:rPr>
            </w:pPr>
            <w:r>
              <w:rPr>
                <w:rFonts w:ascii="Arial" w:cs="Arial" w:eastAsia="Arial" w:hAnsi="Arial"/>
                <w:sz w:val="18"/>
                <w:szCs w:val="18"/>
                <w:color w:val="auto"/>
              </w:rPr>
              <w:t>26,066,656</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162,305</w:t>
            </w:r>
          </w:p>
        </w:tc>
        <w:tc>
          <w:tcPr>
            <w:tcW w:w="25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Arial" w:cs="Arial" w:eastAsia="Arial" w:hAnsi="Arial"/>
                <w:sz w:val="18"/>
                <w:szCs w:val="18"/>
                <w:color w:val="auto"/>
              </w:rPr>
              <w:t>10,715</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22,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2019-12-05T23:12:49Z</dcterms:created>
  <dcterms:modified xsi:type="dcterms:W3CDTF">2019-12-05T23:12:49Z</dcterms:modified>
</cp:coreProperties>
</file>