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77"/>
        <w:spacing w:after="0"/>
        <w:rPr>
          <w:sz w:val="20"/>
          <w:szCs w:val="20"/>
          <w:color w:val="auto"/>
        </w:rPr>
      </w:pPr>
      <w:r>
        <w:rPr>
          <w:rFonts w:ascii="Courier New" w:cs="Courier New" w:eastAsia="Courier New" w:hAnsi="Courier New"/>
          <w:sz w:val="16"/>
          <w:szCs w:val="16"/>
          <w:color w:val="auto"/>
        </w:rPr>
        <w:t>UNITED STATES</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WASHINGTON, DC 20549</w:t>
      </w:r>
    </w:p>
    <w:p>
      <w:pPr>
        <w:spacing w:after="0" w:line="186"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FORM 8-K</w:t>
      </w:r>
    </w:p>
    <w:p>
      <w:pPr>
        <w:spacing w:after="0" w:line="186" w:lineRule="exact"/>
        <w:rPr>
          <w:sz w:val="24"/>
          <w:szCs w:val="24"/>
          <w:color w:val="auto"/>
        </w:rPr>
      </w:pPr>
    </w:p>
    <w:p>
      <w:pPr>
        <w:ind w:left="3142"/>
        <w:spacing w:after="0"/>
        <w:rPr>
          <w:sz w:val="20"/>
          <w:szCs w:val="20"/>
          <w:color w:val="auto"/>
        </w:rPr>
      </w:pPr>
      <w:r>
        <w:rPr>
          <w:rFonts w:ascii="Courier New" w:cs="Courier New" w:eastAsia="Courier New" w:hAnsi="Courier New"/>
          <w:sz w:val="16"/>
          <w:szCs w:val="16"/>
          <w:color w:val="auto"/>
        </w:rPr>
        <w:t>CURRENT REPORT</w:t>
      </w:r>
    </w:p>
    <w:p>
      <w:pPr>
        <w:spacing w:after="0" w:line="369" w:lineRule="exact"/>
        <w:rPr>
          <w:sz w:val="24"/>
          <w:szCs w:val="24"/>
          <w:color w:val="auto"/>
        </w:rPr>
      </w:pPr>
    </w:p>
    <w:p>
      <w:pPr>
        <w:ind w:left="482"/>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369" w:lineRule="exact"/>
        <w:rPr>
          <w:sz w:val="24"/>
          <w:szCs w:val="24"/>
          <w:color w:val="auto"/>
        </w:rPr>
      </w:pPr>
    </w:p>
    <w:p>
      <w:pPr>
        <w:ind w:left="662"/>
        <w:spacing w:after="0"/>
        <w:rPr>
          <w:sz w:val="20"/>
          <w:szCs w:val="20"/>
          <w:color w:val="auto"/>
        </w:rPr>
      </w:pPr>
      <w:r>
        <w:rPr>
          <w:rFonts w:ascii="Courier New" w:cs="Courier New" w:eastAsia="Courier New" w:hAnsi="Courier New"/>
          <w:sz w:val="16"/>
          <w:szCs w:val="16"/>
          <w:color w:val="auto"/>
        </w:rPr>
        <w:t>Date of Report (Date of earliest event reported): April 28, 2005</w:t>
      </w:r>
    </w:p>
    <w:p>
      <w:pPr>
        <w:spacing w:after="0" w:line="2" w:lineRule="exact"/>
        <w:rPr>
          <w:sz w:val="24"/>
          <w:szCs w:val="24"/>
          <w:color w:val="auto"/>
        </w:rPr>
      </w:pPr>
    </w:p>
    <w:p>
      <w:pPr>
        <w:ind w:left="5442"/>
        <w:spacing w:after="0"/>
        <w:rPr>
          <w:sz w:val="20"/>
          <w:szCs w:val="20"/>
          <w:color w:val="auto"/>
        </w:rPr>
      </w:pPr>
      <w:r>
        <w:rPr>
          <w:rFonts w:ascii="Courier New" w:cs="Courier New" w:eastAsia="Courier New" w:hAnsi="Courier New"/>
          <w:sz w:val="16"/>
          <w:szCs w:val="16"/>
          <w:color w:val="auto"/>
        </w:rPr>
        <w:t>--------------</w:t>
      </w:r>
    </w:p>
    <w:p>
      <w:pPr>
        <w:spacing w:after="0" w:line="369"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NN, INC.</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(Exact Name of Registrant as Specified in Charter)</w:t>
      </w:r>
    </w:p>
    <w:p>
      <w:pPr>
        <w:spacing w:after="0" w:line="369" w:lineRule="exact"/>
        <w:rPr>
          <w:sz w:val="24"/>
          <w:szCs w:val="24"/>
          <w:color w:val="auto"/>
        </w:rPr>
      </w:pPr>
    </w:p>
    <w:tbl>
      <w:tblPr>
        <w:tblLayout w:type="fixed"/>
        <w:tblInd w:w="582" w:type="dxa"/>
        <w:tblCellMar>
          <w:top w:w="0" w:type="dxa"/>
          <w:left w:w="0" w:type="dxa"/>
          <w:bottom w:w="0" w:type="dxa"/>
          <w:right w:w="0" w:type="dxa"/>
        </w:tblCellMar>
      </w:tblPr>
      <w:tr>
        <w:trPr>
          <w:trHeight w:val="181"/>
        </w:trPr>
        <w:tc>
          <w:tcPr>
            <w:tcW w:w="2040" w:type="dxa"/>
            <w:vAlign w:val="bottom"/>
          </w:tcPr>
          <w:p>
            <w:pPr>
              <w:spacing w:after="0"/>
              <w:rPr>
                <w:sz w:val="20"/>
                <w:szCs w:val="20"/>
                <w:color w:val="auto"/>
              </w:rPr>
            </w:pPr>
            <w:r>
              <w:rPr>
                <w:rFonts w:ascii="Courier New" w:cs="Courier New" w:eastAsia="Courier New" w:hAnsi="Courier New"/>
                <w:sz w:val="16"/>
                <w:szCs w:val="16"/>
                <w:color w:val="auto"/>
              </w:rPr>
              <w:t>Delaware</w:t>
            </w:r>
          </w:p>
        </w:tc>
        <w:tc>
          <w:tcPr>
            <w:tcW w:w="276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0-23486</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62-1096725</w:t>
            </w:r>
          </w:p>
        </w:tc>
      </w:tr>
    </w:tbl>
    <w:p>
      <w:pPr>
        <w:spacing w:after="0" w:line="5"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353" w:lineRule="exact"/>
        <w:rPr>
          <w:sz w:val="24"/>
          <w:szCs w:val="24"/>
          <w:color w:val="auto"/>
        </w:rPr>
      </w:pPr>
    </w:p>
    <w:p>
      <w:pPr>
        <w:ind w:left="282" w:right="2599" w:hanging="285"/>
        <w:spacing w:after="0" w:line="239" w:lineRule="auto"/>
        <w:rPr>
          <w:sz w:val="20"/>
          <w:szCs w:val="20"/>
          <w:color w:val="auto"/>
        </w:rPr>
      </w:pPr>
      <w:r>
        <w:rPr>
          <w:rFonts w:ascii="Courier New" w:cs="Courier New" w:eastAsia="Courier New" w:hAnsi="Courier New"/>
          <w:sz w:val="16"/>
          <w:szCs w:val="16"/>
          <w:color w:val="auto"/>
        </w:rPr>
        <w:t>(State or Other Jurisdiction of</w:t>
      </w:r>
      <w:r>
        <w:rPr>
          <w:sz w:val="20"/>
          <w:szCs w:val="20"/>
          <w:color w:val="auto"/>
        </w:rPr>
        <w:t xml:space="preserve"> </w:t>
      </w:r>
      <w:r>
        <w:rPr>
          <w:rFonts w:ascii="Courier New" w:cs="Courier New" w:eastAsia="Courier New" w:hAnsi="Courier New"/>
          <w:sz w:val="16"/>
          <w:szCs w:val="16"/>
          <w:color w:val="auto"/>
        </w:rPr>
        <w:t>(Commission (I.R.S. Employer Incorporation or Organization) File Number) Identification Number)</w:t>
      </w:r>
    </w:p>
    <w:p>
      <w:pPr>
        <w:spacing w:after="0" w:line="186" w:lineRule="exact"/>
        <w:rPr>
          <w:sz w:val="24"/>
          <w:szCs w:val="24"/>
          <w:color w:val="auto"/>
        </w:rPr>
      </w:pPr>
    </w:p>
    <w:p>
      <w:pPr>
        <w:ind w:left="1342"/>
        <w:spacing w:after="0"/>
        <w:rPr>
          <w:sz w:val="20"/>
          <w:szCs w:val="20"/>
          <w:color w:val="auto"/>
        </w:rPr>
      </w:pPr>
      <w:r>
        <w:rPr>
          <w:rFonts w:ascii="Courier New" w:cs="Courier New" w:eastAsia="Courier New" w:hAnsi="Courier New"/>
          <w:sz w:val="16"/>
          <w:szCs w:val="16"/>
          <w:color w:val="auto"/>
        </w:rPr>
        <w:t>2000 Waters Edge Drive, Johnson City, Tennessee 37604</w:t>
      </w:r>
    </w:p>
    <w:p>
      <w:pPr>
        <w:spacing w:after="0" w:line="5" w:lineRule="exact"/>
        <w:rPr>
          <w:sz w:val="24"/>
          <w:szCs w:val="24"/>
          <w:color w:val="auto"/>
        </w:rPr>
      </w:pPr>
    </w:p>
    <w:p>
      <w:pPr>
        <w:ind w:left="182" w:hanging="182"/>
        <w:spacing w:after="0"/>
        <w:tabs>
          <w:tab w:leader="none" w:pos="18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142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(Address of Principal Executive Offices) (Zip Code)</w:t>
      </w:r>
    </w:p>
    <w:p>
      <w:pPr>
        <w:sectPr>
          <w:pgSz w:w="11900" w:h="16838" w:orient="portrait"/>
          <w:cols w:equalWidth="0" w:num="1">
            <w:col w:w="10221"/>
          </w:cols>
          <w:pgMar w:left="238" w:top="237" w:right="1440" w:bottom="1440" w:gutter="0" w:footer="0" w:header="0"/>
        </w:sectPr>
      </w:pPr>
    </w:p>
    <w:p>
      <w:pPr>
        <w:spacing w:after="0" w:line="188"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ind w:left="760"/>
        <w:spacing w:after="0"/>
        <w:rPr>
          <w:sz w:val="20"/>
          <w:szCs w:val="20"/>
          <w:color w:val="auto"/>
        </w:rPr>
      </w:pPr>
      <w:r>
        <w:rPr>
          <w:rFonts w:ascii="Courier New" w:cs="Courier New" w:eastAsia="Courier New" w:hAnsi="Courier New"/>
          <w:sz w:val="16"/>
          <w:szCs w:val="16"/>
          <w:color w:val="auto"/>
        </w:rPr>
        <w:t>(423) 743-9151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4"/>
          <w:szCs w:val="24"/>
          <w:color w:val="auto"/>
        </w:rPr>
      </w:pPr>
    </w:p>
    <w:p>
      <w:pPr>
        <w:sectPr>
          <w:pgSz w:w="11900" w:h="16838" w:orient="portrait"/>
          <w:cols w:equalWidth="0" w:num="2">
            <w:col w:w="4862" w:space="380"/>
            <w:col w:w="4979"/>
          </w:cols>
          <w:pgMar w:left="238" w:top="237" w:right="1440" w:bottom="1440" w:gutter="0" w:footer="0" w:header="0"/>
          <w:type w:val="continuous"/>
        </w:sectPr>
      </w:pPr>
    </w:p>
    <w:p>
      <w:pPr>
        <w:ind w:left="3142"/>
        <w:spacing w:after="0"/>
        <w:rPr>
          <w:sz w:val="20"/>
          <w:szCs w:val="20"/>
          <w:color w:val="auto"/>
        </w:rPr>
      </w:pPr>
      <w:r>
        <w:rPr>
          <w:rFonts w:ascii="Courier New" w:cs="Courier New" w:eastAsia="Courier New" w:hAnsi="Courier New"/>
          <w:sz w:val="16"/>
          <w:szCs w:val="16"/>
          <w:color w:val="auto"/>
        </w:rPr>
        <w:t>Not Applicable</w:t>
      </w:r>
    </w:p>
    <w:p>
      <w:pPr>
        <w:spacing w:after="0" w:line="5" w:lineRule="exact"/>
        <w:rPr>
          <w:sz w:val="24"/>
          <w:szCs w:val="24"/>
          <w:color w:val="auto"/>
        </w:rPr>
      </w:pPr>
    </w:p>
    <w:p>
      <w:pPr>
        <w:ind w:left="182" w:hanging="182"/>
        <w:spacing w:after="0"/>
        <w:tabs>
          <w:tab w:leader="none" w:pos="18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96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(Former Name or Former Address, if Changed Since Last Report)</w:t>
      </w:r>
    </w:p>
    <w:p>
      <w:pPr>
        <w:spacing w:after="0" w:line="200" w:lineRule="exact"/>
        <w:rPr>
          <w:sz w:val="24"/>
          <w:szCs w:val="24"/>
          <w:color w:val="auto"/>
        </w:rPr>
      </w:pPr>
    </w:p>
    <w:p>
      <w:pPr>
        <w:spacing w:after="0" w:line="355" w:lineRule="exact"/>
        <w:rPr>
          <w:sz w:val="24"/>
          <w:szCs w:val="24"/>
          <w:color w:val="auto"/>
        </w:rPr>
      </w:pPr>
    </w:p>
    <w:p>
      <w:pPr>
        <w:jc w:val="both"/>
        <w:ind w:left="2" w:right="2599"/>
        <w:spacing w:after="0"/>
        <w:rPr>
          <w:sz w:val="20"/>
          <w:szCs w:val="20"/>
          <w:color w:val="auto"/>
        </w:rPr>
      </w:pPr>
      <w:r>
        <w:rPr>
          <w:rFonts w:ascii="Courier New" w:cs="Courier New" w:eastAsia="Courier New" w:hAnsi="Courier New"/>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90" w:lineRule="exact"/>
        <w:rPr>
          <w:sz w:val="24"/>
          <w:szCs w:val="24"/>
          <w:color w:val="auto"/>
        </w:rPr>
      </w:pPr>
    </w:p>
    <w:p>
      <w:pPr>
        <w:ind w:left="482" w:right="2599" w:hanging="482"/>
        <w:spacing w:after="0" w:line="239" w:lineRule="auto"/>
        <w:tabs>
          <w:tab w:leader="none" w:pos="19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Written communications pursuant to Rule 425 under the Securities Act (17 CFR 230.425)</w:t>
      </w:r>
    </w:p>
    <w:p>
      <w:pPr>
        <w:spacing w:after="0" w:line="189" w:lineRule="exact"/>
        <w:rPr>
          <w:sz w:val="24"/>
          <w:szCs w:val="24"/>
          <w:color w:val="auto"/>
        </w:rPr>
      </w:pPr>
    </w:p>
    <w:p>
      <w:pPr>
        <w:ind w:left="482" w:right="2599" w:hanging="476"/>
        <w:spacing w:after="0" w:line="239" w:lineRule="auto"/>
        <w:tabs>
          <w:tab w:leader="none" w:pos="462" w:val="left"/>
        </w:tabs>
        <w:rPr>
          <w:sz w:val="20"/>
          <w:szCs w:val="20"/>
          <w:color w:val="auto"/>
        </w:rPr>
      </w:pPr>
      <w:r>
        <w:rPr>
          <w:rFonts w:ascii="Courier New" w:cs="Courier New" w:eastAsia="Courier New" w:hAnsi="Courier New"/>
          <w:sz w:val="16"/>
          <w:szCs w:val="16"/>
          <w:color w:val="auto"/>
        </w:rPr>
        <w:t>[ ]</w:t>
        <w:tab/>
        <w:t>Soliciting material pursuant to Rule 14a-12 under the Exchange Act (17 CFR 240.14a-12)</w:t>
      </w:r>
    </w:p>
    <w:p>
      <w:pPr>
        <w:spacing w:after="0" w:line="189" w:lineRule="exact"/>
        <w:rPr>
          <w:sz w:val="24"/>
          <w:szCs w:val="24"/>
          <w:color w:val="auto"/>
        </w:rPr>
      </w:pPr>
    </w:p>
    <w:p>
      <w:pPr>
        <w:ind w:left="482" w:right="2599" w:hanging="482"/>
        <w:spacing w:after="0" w:line="239" w:lineRule="auto"/>
        <w:tabs>
          <w:tab w:leader="none" w:pos="19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Pre-commencement communications pursuant to Rule 14d-2(b) under the Exchange Act (17 CFR 240.14d-2(b))</w:t>
      </w:r>
    </w:p>
    <w:p>
      <w:pPr>
        <w:spacing w:after="0" w:line="189" w:lineRule="exact"/>
        <w:rPr>
          <w:sz w:val="24"/>
          <w:szCs w:val="24"/>
          <w:color w:val="auto"/>
        </w:rPr>
      </w:pPr>
    </w:p>
    <w:p>
      <w:pPr>
        <w:ind w:left="482" w:right="2599" w:hanging="482"/>
        <w:spacing w:after="0" w:line="239" w:lineRule="auto"/>
        <w:tabs>
          <w:tab w:leader="none" w:pos="19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Item 2.02. Results of Operations and Financial Condition</w:t>
      </w:r>
    </w:p>
    <w:p>
      <w:pPr>
        <w:spacing w:after="0" w:line="188" w:lineRule="exact"/>
        <w:rPr>
          <w:sz w:val="24"/>
          <w:szCs w:val="24"/>
          <w:color w:val="auto"/>
        </w:rPr>
      </w:pPr>
    </w:p>
    <w:p>
      <w:pPr>
        <w:jc w:val="both"/>
        <w:ind w:left="2" w:right="2599"/>
        <w:spacing w:after="0"/>
        <w:rPr>
          <w:sz w:val="20"/>
          <w:szCs w:val="20"/>
          <w:color w:val="auto"/>
        </w:rPr>
      </w:pPr>
      <w:r>
        <w:rPr>
          <w:rFonts w:ascii="Courier New" w:cs="Courier New" w:eastAsia="Courier New" w:hAnsi="Courier New"/>
          <w:sz w:val="16"/>
          <w:szCs w:val="16"/>
          <w:color w:val="auto"/>
        </w:rPr>
        <w:t>Furnished as Exhibit 99.1 is a copy of the earnings release of NN, Inc. reporting results for the first quarter of 2005, which was issued on April 28, 2005.</w:t>
      </w:r>
    </w:p>
    <w:p>
      <w:pPr>
        <w:spacing w:after="0" w:line="187"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Item 9.01. Financial Statements and Exhibits</w:t>
      </w:r>
    </w:p>
    <w:p>
      <w:pPr>
        <w:spacing w:after="0" w:line="186" w:lineRule="exact"/>
        <w:rPr>
          <w:sz w:val="24"/>
          <w:szCs w:val="24"/>
          <w:color w:val="auto"/>
        </w:rPr>
      </w:pPr>
    </w:p>
    <w:p>
      <w:pPr>
        <w:ind w:left="762"/>
        <w:spacing w:after="0"/>
        <w:rPr>
          <w:sz w:val="20"/>
          <w:szCs w:val="20"/>
          <w:color w:val="auto"/>
        </w:rPr>
      </w:pPr>
      <w:r>
        <w:rPr>
          <w:rFonts w:ascii="Courier New" w:cs="Courier New" w:eastAsia="Courier New" w:hAnsi="Courier New"/>
          <w:sz w:val="16"/>
          <w:szCs w:val="16"/>
          <w:color w:val="auto"/>
        </w:rPr>
        <w:t>(c) Exhibits.</w:t>
      </w:r>
    </w:p>
    <w:p>
      <w:pPr>
        <w:spacing w:after="0" w:line="188" w:lineRule="exact"/>
        <w:rPr>
          <w:sz w:val="24"/>
          <w:szCs w:val="24"/>
          <w:color w:val="auto"/>
        </w:rPr>
      </w:pPr>
    </w:p>
    <w:p>
      <w:pPr>
        <w:jc w:val="both"/>
        <w:ind w:left="2" w:right="2599" w:firstLine="477"/>
        <w:spacing w:after="0" w:line="263" w:lineRule="auto"/>
        <w:rPr>
          <w:sz w:val="20"/>
          <w:szCs w:val="20"/>
          <w:color w:val="auto"/>
        </w:rPr>
      </w:pPr>
      <w:r>
        <w:rPr>
          <w:rFonts w:ascii="Courier New" w:cs="Courier New" w:eastAsia="Courier New" w:hAnsi="Courier New"/>
          <w:sz w:val="15"/>
          <w:szCs w:val="15"/>
          <w:color w:val="auto"/>
        </w:rPr>
        <w:t>The following exhibit is furnished pursuant to Item 2.02, is not considered "filed" under the Securities Exchange Act of 1934, as amended, and shall not be incorporated by reference into any of the previous or future filings of NN, Inc. under the Securities Act of 1933, as amended, or the Exchange Act:</w:t>
      </w:r>
    </w:p>
    <w:p>
      <w:pPr>
        <w:spacing w:after="0" w:line="169"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Exhibits:</w:t>
      </w:r>
    </w:p>
    <w:p>
      <w:pPr>
        <w:sectPr>
          <w:pgSz w:w="11900" w:h="16838" w:orient="portrait"/>
          <w:cols w:equalWidth="0" w:num="1">
            <w:col w:w="10221"/>
          </w:cols>
          <w:pgMar w:left="238" w:top="237" w:right="1440" w:bottom="1440" w:gutter="0" w:footer="0" w:header="0"/>
          <w:type w:val="continuous"/>
        </w:sectPr>
      </w:pPr>
    </w:p>
    <w:p>
      <w:pPr>
        <w:spacing w:after="0" w:line="188" w:lineRule="exact"/>
        <w:rPr>
          <w:sz w:val="24"/>
          <w:szCs w:val="24"/>
          <w:color w:val="auto"/>
        </w:rPr>
      </w:pPr>
    </w:p>
    <w:p>
      <w:pPr>
        <w:ind w:left="762"/>
        <w:spacing w:after="0"/>
        <w:rPr>
          <w:sz w:val="20"/>
          <w:szCs w:val="20"/>
          <w:color w:val="auto"/>
        </w:rPr>
      </w:pPr>
      <w:r>
        <w:rPr>
          <w:rFonts w:ascii="Courier New" w:cs="Courier New" w:eastAsia="Courier New" w:hAnsi="Courier New"/>
          <w:sz w:val="15"/>
          <w:szCs w:val="15"/>
          <w:color w:val="auto"/>
        </w:rPr>
        <w:t>Exhibit</w:t>
      </w:r>
    </w:p>
    <w:p>
      <w:pPr>
        <w:spacing w:after="0" w:line="11" w:lineRule="exact"/>
        <w:rPr>
          <w:sz w:val="24"/>
          <w:szCs w:val="24"/>
          <w:color w:val="auto"/>
        </w:rPr>
      </w:pPr>
    </w:p>
    <w:p>
      <w:pPr>
        <w:ind w:left="762"/>
        <w:spacing w:after="0"/>
        <w:rPr>
          <w:sz w:val="20"/>
          <w:szCs w:val="20"/>
          <w:color w:val="auto"/>
        </w:rPr>
      </w:pPr>
      <w:r>
        <w:rPr>
          <w:rFonts w:ascii="Courier New" w:cs="Courier New" w:eastAsia="Courier New" w:hAnsi="Courier New"/>
          <w:sz w:val="16"/>
          <w:szCs w:val="16"/>
          <w:color w:val="auto"/>
        </w:rPr>
        <w:t>Number</w:t>
      </w:r>
    </w:p>
    <w:p>
      <w:pPr>
        <w:spacing w:after="0" w:line="5" w:lineRule="exact"/>
        <w:rPr>
          <w:sz w:val="24"/>
          <w:szCs w:val="24"/>
          <w:color w:val="auto"/>
        </w:rPr>
      </w:pPr>
    </w:p>
    <w:p>
      <w:pPr>
        <w:ind w:left="762"/>
        <w:spacing w:after="0"/>
        <w:rPr>
          <w:sz w:val="20"/>
          <w:szCs w:val="20"/>
          <w:color w:val="auto"/>
        </w:rPr>
      </w:pPr>
      <w:r>
        <w:rPr>
          <w:rFonts w:ascii="Courier New" w:cs="Courier New" w:eastAsia="Courier New" w:hAnsi="Courier New"/>
          <w:sz w:val="15"/>
          <w:szCs w:val="15"/>
          <w:color w:val="auto"/>
        </w:rPr>
        <w:t>-------</w:t>
      </w:r>
    </w:p>
    <w:p>
      <w:pPr>
        <w:spacing w:after="0" w:line="11" w:lineRule="exact"/>
        <w:rPr>
          <w:sz w:val="24"/>
          <w:szCs w:val="24"/>
          <w:color w:val="auto"/>
        </w:rPr>
      </w:pPr>
    </w:p>
    <w:p>
      <w:pPr>
        <w:ind w:left="762"/>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ind w:left="1040"/>
        <w:spacing w:after="0"/>
        <w:rPr>
          <w:sz w:val="20"/>
          <w:szCs w:val="20"/>
          <w:color w:val="auto"/>
        </w:rPr>
      </w:pPr>
      <w:r>
        <w:rPr>
          <w:rFonts w:ascii="Courier New" w:cs="Courier New" w:eastAsia="Courier New" w:hAnsi="Courier New"/>
          <w:sz w:val="16"/>
          <w:szCs w:val="16"/>
          <w:color w:val="auto"/>
        </w:rPr>
        <w:t>Description of Exhibit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Press Release of NN, Inc. dated April 28, 2005</w:t>
      </w:r>
    </w:p>
    <w:p>
      <w:pPr>
        <w:sectPr>
          <w:pgSz w:w="11900" w:h="16838" w:orient="portrait"/>
          <w:cols w:equalWidth="0" w:num="2">
            <w:col w:w="1422" w:space="300"/>
            <w:col w:w="8499"/>
          </w:cols>
          <w:pgMar w:left="238" w:top="237" w:right="1440" w:bottom="1440" w:gutter="0" w:footer="0" w:header="0"/>
          <w:type w:val="continuous"/>
        </w:sectPr>
      </w:pPr>
    </w:p>
    <w:bookmarkStart w:id="1" w:name="page2"/>
    <w:bookmarkEnd w:id="1"/>
    <w:p>
      <w:pPr>
        <w:ind w:left="3340"/>
        <w:spacing w:after="0"/>
        <w:rPr>
          <w:sz w:val="20"/>
          <w:szCs w:val="20"/>
          <w:color w:val="auto"/>
        </w:rPr>
      </w:pPr>
      <w:r>
        <w:rPr>
          <w:rFonts w:ascii="Courier New" w:cs="Courier New" w:eastAsia="Courier New" w:hAnsi="Courier New"/>
          <w:sz w:val="16"/>
          <w:szCs w:val="16"/>
          <w:color w:val="auto"/>
        </w:rPr>
        <w:t>Signatures</w:t>
      </w:r>
    </w:p>
    <w:p>
      <w:pPr>
        <w:spacing w:after="0" w:line="188" w:lineRule="exact"/>
        <w:rPr>
          <w:sz w:val="20"/>
          <w:szCs w:val="20"/>
          <w:color w:val="auto"/>
        </w:rPr>
      </w:pPr>
    </w:p>
    <w:p>
      <w:pPr>
        <w:jc w:val="both"/>
        <w:ind w:right="2599" w:firstLine="477"/>
        <w:spacing w:after="0"/>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hereunto duly authorized.</w:t>
      </w:r>
    </w:p>
    <w:p>
      <w:pPr>
        <w:spacing w:after="0" w:line="37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NN, Inc.</w:t>
      </w:r>
    </w:p>
    <w:p>
      <w:pPr>
        <w:sectPr>
          <w:pgSz w:w="11900" w:h="16838" w:orient="portrait"/>
          <w:cols w:equalWidth="0" w:num="1">
            <w:col w:w="10219"/>
          </w:cols>
          <w:pgMar w:left="240" w:top="848" w:right="1440" w:bottom="1440" w:gutter="0" w:footer="0" w:header="0"/>
        </w:sect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28, 2005</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 William C. Kelly, Jr.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C. Kelly, Jr.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Secretary, Treasurer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Administrative Officer</w:t>
      </w:r>
    </w:p>
    <w:p>
      <w:pPr>
        <w:sectPr>
          <w:pgSz w:w="11900" w:h="16838" w:orient="portrait"/>
          <w:cols w:equalWidth="0" w:num="4">
            <w:col w:w="580" w:space="280"/>
            <w:col w:w="1760" w:space="720"/>
            <w:col w:w="280" w:space="0"/>
            <w:col w:w="6599"/>
          </w:cols>
          <w:pgMar w:left="240" w:top="848" w:right="1440" w:bottom="1440" w:gutter="0" w:footer="0" w:header="0"/>
          <w:type w:val="continuous"/>
        </w:sectPr>
      </w:pPr>
    </w:p>
    <w:bookmarkStart w:id="2" w:name="page3"/>
    <w:bookmarkEnd w:id="2"/>
    <w:p>
      <w:pPr>
        <w:jc w:val="right"/>
        <w:ind w:right="2599"/>
        <w:spacing w:after="0"/>
        <w:rPr>
          <w:sz w:val="20"/>
          <w:szCs w:val="20"/>
          <w:color w:val="auto"/>
        </w:rPr>
      </w:pPr>
      <w:r>
        <w:rPr>
          <w:rFonts w:ascii="Courier New" w:cs="Courier New" w:eastAsia="Courier New" w:hAnsi="Courier New"/>
          <w:sz w:val="16"/>
          <w:szCs w:val="16"/>
          <w:color w:val="auto"/>
        </w:rPr>
        <w:t>EXHIBIT 99.1</w:t>
      </w:r>
    </w:p>
    <w:p>
      <w:pPr>
        <w:spacing w:after="0" w:line="5" w:lineRule="exact"/>
        <w:rPr>
          <w:sz w:val="20"/>
          <w:szCs w:val="20"/>
          <w:color w:val="auto"/>
        </w:rPr>
      </w:pPr>
    </w:p>
    <w:p>
      <w:pPr>
        <w:ind w:left="64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NEWS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RELATIONS BOARD</w:t>
      </w:r>
    </w:p>
    <w:p>
      <w:pPr>
        <w:spacing w:after="0" w:line="186" w:lineRule="exact"/>
        <w:rPr>
          <w:sz w:val="20"/>
          <w:szCs w:val="20"/>
          <w:color w:val="auto"/>
        </w:rPr>
      </w:pPr>
    </w:p>
    <w:p>
      <w:pPr>
        <w:ind w:left="5440"/>
        <w:spacing w:after="0"/>
        <w:rPr>
          <w:sz w:val="20"/>
          <w:szCs w:val="20"/>
          <w:color w:val="auto"/>
        </w:rPr>
      </w:pPr>
      <w:r>
        <w:rPr>
          <w:rFonts w:ascii="Courier New" w:cs="Courier New" w:eastAsia="Courier New" w:hAnsi="Courier New"/>
          <w:sz w:val="16"/>
          <w:szCs w:val="16"/>
          <w:color w:val="auto"/>
        </w:rPr>
        <w:t>RE: NN, Inc.</w:t>
      </w:r>
    </w:p>
    <w:p>
      <w:pPr>
        <w:spacing w:after="0" w:line="2" w:lineRule="exact"/>
        <w:rPr>
          <w:sz w:val="20"/>
          <w:szCs w:val="20"/>
          <w:color w:val="auto"/>
        </w:rPr>
      </w:pPr>
    </w:p>
    <w:p>
      <w:pPr>
        <w:ind w:left="5440"/>
        <w:spacing w:after="0"/>
        <w:rPr>
          <w:sz w:val="20"/>
          <w:szCs w:val="20"/>
          <w:color w:val="auto"/>
        </w:rPr>
      </w:pPr>
      <w:r>
        <w:rPr>
          <w:rFonts w:ascii="Courier New" w:cs="Courier New" w:eastAsia="Courier New" w:hAnsi="Courier New"/>
          <w:sz w:val="16"/>
          <w:szCs w:val="16"/>
          <w:color w:val="auto"/>
        </w:rPr>
        <w:t>2000 Waters Edge Drive</w:t>
      </w:r>
    </w:p>
    <w:p>
      <w:pPr>
        <w:spacing w:after="0" w:line="2" w:lineRule="exact"/>
        <w:rPr>
          <w:sz w:val="20"/>
          <w:szCs w:val="20"/>
          <w:color w:val="auto"/>
        </w:rPr>
      </w:pPr>
    </w:p>
    <w:p>
      <w:pPr>
        <w:ind w:left="5440"/>
        <w:spacing w:after="0"/>
        <w:tabs>
          <w:tab w:leader="none" w:pos="7140" w:val="left"/>
        </w:tabs>
        <w:rPr>
          <w:sz w:val="20"/>
          <w:szCs w:val="20"/>
          <w:color w:val="auto"/>
        </w:rPr>
      </w:pPr>
      <w:r>
        <w:rPr>
          <w:rFonts w:ascii="Courier New" w:cs="Courier New" w:eastAsia="Courier New" w:hAnsi="Courier New"/>
          <w:sz w:val="16"/>
          <w:szCs w:val="16"/>
          <w:color w:val="auto"/>
        </w:rPr>
        <w:t>Johnson City, TN</w:t>
      </w:r>
      <w:r>
        <w:rPr>
          <w:sz w:val="20"/>
          <w:szCs w:val="20"/>
          <w:color w:val="auto"/>
        </w:rPr>
        <w:tab/>
      </w:r>
      <w:r>
        <w:rPr>
          <w:rFonts w:ascii="Courier New" w:cs="Courier New" w:eastAsia="Courier New" w:hAnsi="Courier New"/>
          <w:sz w:val="15"/>
          <w:szCs w:val="15"/>
          <w:color w:val="auto"/>
        </w:rPr>
        <w:t>37604</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FURTHER INFORMATION:</w:t>
      </w:r>
    </w:p>
    <w:p>
      <w:pPr>
        <w:sectPr>
          <w:pgSz w:w="11900" w:h="16838" w:orient="portrait"/>
          <w:cols w:equalWidth="0" w:num="1">
            <w:col w:w="10219"/>
          </w:cols>
          <w:pgMar w:left="240" w:top="139" w:right="1440" w:bottom="0" w:gutter="0" w:footer="0" w:header="0"/>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 THE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 Kelly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Treasurer &amp; Manager of Investor Relations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(423) 743-9151</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AT FINANCIAL RELATIONS BOARD</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6"/>
          <w:szCs w:val="16"/>
          <w:color w:val="auto"/>
        </w:rPr>
        <w:t>Marilynn Meek</w:t>
      </w:r>
      <w:r>
        <w:rPr>
          <w:sz w:val="20"/>
          <w:szCs w:val="20"/>
          <w:color w:val="auto"/>
        </w:rPr>
        <w:tab/>
      </w:r>
      <w:r>
        <w:rPr>
          <w:rFonts w:ascii="Courier New" w:cs="Courier New" w:eastAsia="Courier New" w:hAnsi="Courier New"/>
          <w:sz w:val="15"/>
          <w:szCs w:val="15"/>
          <w:color w:val="auto"/>
        </w:rPr>
        <w:t>Susan Garland</w:t>
      </w:r>
    </w:p>
    <w:p>
      <w:pPr>
        <w:spacing w:after="0" w:line="2"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6"/>
          <w:szCs w:val="16"/>
          <w:color w:val="auto"/>
        </w:rPr>
        <w:t>(General info)</w:t>
      </w:r>
      <w:r>
        <w:rPr>
          <w:sz w:val="20"/>
          <w:szCs w:val="20"/>
          <w:color w:val="auto"/>
        </w:rPr>
        <w:tab/>
      </w:r>
      <w:r>
        <w:rPr>
          <w:rFonts w:ascii="Courier New" w:cs="Courier New" w:eastAsia="Courier New" w:hAnsi="Courier New"/>
          <w:sz w:val="15"/>
          <w:szCs w:val="15"/>
          <w:color w:val="auto"/>
        </w:rPr>
        <w:t>(Analyst info)</w:t>
      </w:r>
    </w:p>
    <w:p>
      <w:pPr>
        <w:spacing w:after="0" w:line="2"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6"/>
          <w:szCs w:val="16"/>
          <w:color w:val="auto"/>
        </w:rPr>
        <w:t>212-827-3773</w:t>
      </w:r>
      <w:r>
        <w:rPr>
          <w:sz w:val="20"/>
          <w:szCs w:val="20"/>
          <w:color w:val="auto"/>
        </w:rPr>
        <w:tab/>
      </w:r>
      <w:r>
        <w:rPr>
          <w:rFonts w:ascii="Courier New" w:cs="Courier New" w:eastAsia="Courier New" w:hAnsi="Courier New"/>
          <w:sz w:val="15"/>
          <w:szCs w:val="15"/>
          <w:color w:val="auto"/>
        </w:rPr>
        <w:t>212-827-3775</w:t>
      </w:r>
    </w:p>
    <w:p>
      <w:pPr>
        <w:spacing w:after="0" w:line="186" w:lineRule="exact"/>
        <w:rPr>
          <w:sz w:val="20"/>
          <w:szCs w:val="20"/>
          <w:color w:val="auto"/>
        </w:rPr>
      </w:pPr>
    </w:p>
    <w:p>
      <w:pPr>
        <w:sectPr>
          <w:pgSz w:w="11900" w:h="16838" w:orient="portrait"/>
          <w:cols w:equalWidth="0" w:num="2">
            <w:col w:w="3900" w:space="580"/>
            <w:col w:w="5739"/>
          </w:cols>
          <w:pgMar w:left="240" w:top="139"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FOR IMMEDIATE RELEASE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28, 2005</w:t>
      </w:r>
    </w:p>
    <w:p>
      <w:pPr>
        <w:spacing w:after="0" w:line="186"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NN, INC. REPORTS FIRST QUARTER 2005 RESULTS</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Revenues Up 12%, Earnings Per Share Up 21%</w:t>
      </w:r>
    </w:p>
    <w:p>
      <w:pPr>
        <w:spacing w:after="0" w:line="188"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Johnson City, Tenn, April 28, 2005 - NN, Inc. (Nasdaq: NNBR) today reported its financial results for the first quarter ended March 31, 2005. Net sales for the first quarter of 2005 were $86.7 million, an increase of 11.7% from $77.6 million for the same period of 2004. Net income for the first quarter of 2005 totaled $4.0 million, or $0.23 per diluted share, compared to $3.2 million, or $0.19 per diluted share for the first quarter of 2004, an increase of 25% and 21% respectively.</w:t>
      </w:r>
    </w:p>
    <w:p>
      <w:pPr>
        <w:spacing w:after="0" w:line="188" w:lineRule="exact"/>
        <w:rPr>
          <w:sz w:val="20"/>
          <w:szCs w:val="20"/>
          <w:color w:val="auto"/>
        </w:rPr>
      </w:pPr>
    </w:p>
    <w:p>
      <w:pPr>
        <w:jc w:val="both"/>
        <w:ind w:right="2599"/>
        <w:spacing w:after="0" w:line="260" w:lineRule="auto"/>
        <w:rPr>
          <w:sz w:val="20"/>
          <w:szCs w:val="20"/>
          <w:color w:val="auto"/>
        </w:rPr>
      </w:pPr>
      <w:r>
        <w:rPr>
          <w:rFonts w:ascii="Courier New" w:cs="Courier New" w:eastAsia="Courier New" w:hAnsi="Courier New"/>
          <w:sz w:val="15"/>
          <w:szCs w:val="15"/>
          <w:color w:val="auto"/>
        </w:rPr>
        <w:t>Roderick R. Baty, Chairman and Chief Executive Officer, commented, "Of the total revenue growth of $9.1 million in the first quarter, the impact of foreign currency translation accounted for $3.4 million, price increases associated with raw material pass through accounted for $3.1 million and market share/volume improvements accounted for $2.6 million. Our 2005 first quarter revenues reflect flat demand in both the North American and European automotive sectors and strong industrial demand in both markets. As a result, our first quarter revenue of $86.7 million was slightly lower than anticipated, but we remain on track with the previously announced 2005 full year revenue guidance of $337.0 million.</w:t>
      </w:r>
    </w:p>
    <w:p>
      <w:pPr>
        <w:spacing w:after="0" w:line="177"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"As a percentage of net sales, 2005 first quarter cost of goods sold of 78.0% was essentially flat to the 2004 first quarter cost of goods sold of 77.8%. However, cost of goods sold in the first quarter of 2005 was 3.8% and 1.1% lower than our 2004 fourth quarter and 2004 full year levels, respectively. As a percentage of sales, selling, general and administrative expenses for the first quarter of 2005 was on plan at 8.6% as compared to 9.2% for the same period in 2004 and 9.8% for the full year of 2004.</w:t>
      </w:r>
    </w:p>
    <w:p>
      <w:pPr>
        <w:spacing w:after="0" w:line="188" w:lineRule="exact"/>
        <w:rPr>
          <w:sz w:val="20"/>
          <w:szCs w:val="20"/>
          <w:color w:val="auto"/>
        </w:rPr>
      </w:pPr>
    </w:p>
    <w:p>
      <w:pPr>
        <w:jc w:val="both"/>
        <w:ind w:right="2599"/>
        <w:spacing w:after="0" w:line="241" w:lineRule="auto"/>
        <w:rPr>
          <w:sz w:val="20"/>
          <w:szCs w:val="20"/>
          <w:color w:val="auto"/>
        </w:rPr>
      </w:pPr>
      <w:r>
        <w:rPr>
          <w:rFonts w:ascii="Courier New" w:cs="Courier New" w:eastAsia="Courier New" w:hAnsi="Courier New"/>
          <w:sz w:val="16"/>
          <w:szCs w:val="16"/>
          <w:color w:val="auto"/>
        </w:rPr>
        <w:t>"Although debt decreased by $2.4 million during the first quarter, total debt minus cash increased by $3.9 million, reflecting traditionally higher working capital needs of the first quarter. We anticipate a debt reduction of approximately $12.0 million to $13.0 million for the full year 2005.</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2599"/>
        <w:spacing w:after="0" w:line="241" w:lineRule="auto"/>
        <w:rPr>
          <w:sz w:val="20"/>
          <w:szCs w:val="20"/>
          <w:color w:val="auto"/>
        </w:rPr>
      </w:pPr>
      <w:r>
        <w:rPr>
          <w:rFonts w:ascii="Courier New" w:cs="Courier New" w:eastAsia="Courier New" w:hAnsi="Courier New"/>
          <w:sz w:val="16"/>
          <w:szCs w:val="16"/>
          <w:color w:val="auto"/>
        </w:rPr>
        <w:t>"Mr. Baty continued, "While we continue to have concerns regarding the overall volatility of steel and raw material inflation, we do expect to recover the impact of any future inflation in the form of price increases to our customers. With the overall competitiveness of the markets our customers serve, this obviously creates a difficult environment for both our customers and NN.</w:t>
      </w:r>
    </w:p>
    <w:p>
      <w:pPr>
        <w:spacing w:after="0" w:line="190" w:lineRule="exact"/>
        <w:rPr>
          <w:sz w:val="20"/>
          <w:szCs w:val="20"/>
          <w:color w:val="auto"/>
        </w:rPr>
      </w:pPr>
    </w:p>
    <w:p>
      <w:pPr>
        <w:jc w:val="both"/>
        <w:ind w:right="2599"/>
        <w:spacing w:after="0" w:line="242" w:lineRule="auto"/>
        <w:rPr>
          <w:sz w:val="20"/>
          <w:szCs w:val="20"/>
          <w:color w:val="auto"/>
        </w:rPr>
      </w:pPr>
      <w:r>
        <w:rPr>
          <w:rFonts w:ascii="Courier New" w:cs="Courier New" w:eastAsia="Courier New" w:hAnsi="Courier New"/>
          <w:sz w:val="16"/>
          <w:szCs w:val="16"/>
          <w:color w:val="auto"/>
        </w:rPr>
        <w:t>Mr. Baty concluded, "Overall, we are pleased with the progress we have made during the first quarter of 2005. Several actions we implemented in 2004 have positioned the company well for ongoing improved financial performance. This included the start-up investment in both our Slovakian and Chinese facilities as well as strategic restructuring initiatives in Europe and North America which were previously announced in the fourth quarter of 2004. Additionally, our Level 3 initiative is playing an increasingly major role in achieving significant improvements in cost, quality and customer service. The combination of these actions continue to have a positive impact on our global manufacturing operations."</w:t>
      </w:r>
    </w:p>
    <w:p>
      <w:pPr>
        <w:spacing w:after="0" w:line="190" w:lineRule="exact"/>
        <w:rPr>
          <w:sz w:val="20"/>
          <w:szCs w:val="20"/>
          <w:color w:val="auto"/>
        </w:rPr>
      </w:pPr>
    </w:p>
    <w:p>
      <w:pPr>
        <w:jc w:val="both"/>
        <w:ind w:right="2599"/>
        <w:spacing w:after="0" w:line="263" w:lineRule="auto"/>
        <w:rPr>
          <w:sz w:val="20"/>
          <w:szCs w:val="20"/>
          <w:color w:val="auto"/>
        </w:rPr>
      </w:pPr>
      <w:r>
        <w:rPr>
          <w:rFonts w:ascii="Courier New" w:cs="Courier New" w:eastAsia="Courier New" w:hAnsi="Courier New"/>
          <w:sz w:val="15"/>
          <w:szCs w:val="15"/>
          <w:color w:val="auto"/>
        </w:rPr>
        <w:t>NN, Inc. manufacturers and supplies high precision bearing components consisting of balls, rollers, seals, and retainers for leading bearing manufacturers on a global basis. In addition, the company manufactures a variety of other plastic components. NN, Inc. had sales of US $304 million in 2004.</w:t>
      </w:r>
    </w:p>
    <w:p>
      <w:pPr>
        <w:spacing w:after="0" w:line="172" w:lineRule="exact"/>
        <w:rPr>
          <w:sz w:val="20"/>
          <w:szCs w:val="20"/>
          <w:color w:val="auto"/>
        </w:rPr>
      </w:pPr>
    </w:p>
    <w:p>
      <w:pPr>
        <w:jc w:val="both"/>
        <w:ind w:right="2599"/>
        <w:spacing w:after="0" w:line="260" w:lineRule="auto"/>
        <w:rPr>
          <w:sz w:val="20"/>
          <w:szCs w:val="20"/>
          <w:color w:val="auto"/>
        </w:rPr>
      </w:pPr>
      <w:r>
        <w:rPr>
          <w:rFonts w:ascii="Courier New" w:cs="Courier New" w:eastAsia="Courier New" w:hAnsi="Courier New"/>
          <w:sz w:val="15"/>
          <w:szCs w:val="15"/>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w:t>
      </w:r>
    </w:p>
    <w:p>
      <w:pPr>
        <w:sectPr>
          <w:pgSz w:w="11900" w:h="16838" w:orient="portrait"/>
          <w:cols w:equalWidth="0" w:num="1">
            <w:col w:w="10219"/>
          </w:cols>
          <w:pgMar w:left="240" w:top="139" w:right="1440" w:bottom="0" w:gutter="0" w:footer="0" w:header="0"/>
          <w:type w:val="continuous"/>
        </w:sectPr>
      </w:pPr>
    </w:p>
    <w:bookmarkStart w:id="3" w:name="page4"/>
    <w:bookmarkEnd w:id="3"/>
    <w:p>
      <w:pPr>
        <w:jc w:val="both"/>
        <w:ind w:right="2599"/>
        <w:spacing w:after="0" w:line="259" w:lineRule="auto"/>
        <w:rPr>
          <w:sz w:val="20"/>
          <w:szCs w:val="20"/>
          <w:color w:val="auto"/>
        </w:rPr>
      </w:pPr>
      <w:r>
        <w:rPr>
          <w:rFonts w:ascii="Courier New" w:cs="Courier New" w:eastAsia="Courier New" w:hAnsi="Courier New"/>
          <w:sz w:val="15"/>
          <w:szCs w:val="15"/>
          <w:color w:val="auto"/>
        </w:rPr>
        <w:t>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other risk factors and cautionary statements listed from time to time in the Company's periodic reports filed with the Securities and Exchange Commission, including, but not limited to, the Company's Annual Report on 10-K for the fiscal year ended December 31, 2004.</w:t>
      </w:r>
    </w:p>
    <w:p>
      <w:pPr>
        <w:spacing w:after="0" w:line="181"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Financial Tables Follow</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42"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1"/>
        </w:trPr>
        <w:tc>
          <w:tcPr>
            <w:tcW w:w="7100" w:type="dxa"/>
            <w:vAlign w:val="bottom"/>
          </w:tcPr>
          <w:p>
            <w:pPr>
              <w:ind w:left="3440"/>
              <w:spacing w:after="0"/>
              <w:rPr>
                <w:sz w:val="20"/>
                <w:szCs w:val="20"/>
                <w:color w:val="auto"/>
              </w:rPr>
            </w:pPr>
            <w:r>
              <w:rPr>
                <w:rFonts w:ascii="Courier New" w:cs="Courier New" w:eastAsia="Courier New" w:hAnsi="Courier New"/>
                <w:sz w:val="16"/>
                <w:szCs w:val="16"/>
                <w:color w:val="auto"/>
              </w:rPr>
              <w:t>NN, Inc.</w:t>
            </w:r>
          </w:p>
        </w:tc>
        <w:tc>
          <w:tcPr>
            <w:tcW w:w="1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3"/>
        </w:trPr>
        <w:tc>
          <w:tcPr>
            <w:tcW w:w="7100" w:type="dxa"/>
            <w:vAlign w:val="bottom"/>
          </w:tcPr>
          <w:p>
            <w:pPr>
              <w:ind w:left="2280"/>
              <w:spacing w:after="0"/>
              <w:rPr>
                <w:sz w:val="20"/>
                <w:szCs w:val="20"/>
                <w:color w:val="auto"/>
              </w:rPr>
            </w:pPr>
            <w:r>
              <w:rPr>
                <w:rFonts w:ascii="Courier New" w:cs="Courier New" w:eastAsia="Courier New" w:hAnsi="Courier New"/>
                <w:sz w:val="16"/>
                <w:szCs w:val="16"/>
                <w:color w:val="auto"/>
              </w:rPr>
              <w:t>Consolidated Statements of Income</w:t>
            </w:r>
          </w:p>
        </w:tc>
        <w:tc>
          <w:tcPr>
            <w:tcW w:w="1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3"/>
        </w:trPr>
        <w:tc>
          <w:tcPr>
            <w:tcW w:w="7100" w:type="dxa"/>
            <w:vAlign w:val="bottom"/>
          </w:tcPr>
          <w:p>
            <w:pPr>
              <w:ind w:left="1900"/>
              <w:spacing w:after="0"/>
              <w:rPr>
                <w:sz w:val="20"/>
                <w:szCs w:val="20"/>
                <w:color w:val="auto"/>
              </w:rPr>
            </w:pPr>
            <w:r>
              <w:rPr>
                <w:rFonts w:ascii="Courier New" w:cs="Courier New" w:eastAsia="Courier New" w:hAnsi="Courier New"/>
                <w:sz w:val="16"/>
                <w:szCs w:val="16"/>
                <w:color w:val="auto"/>
              </w:rPr>
              <w:t>(In thousands, except per share amounts)</w:t>
            </w:r>
          </w:p>
        </w:tc>
        <w:tc>
          <w:tcPr>
            <w:tcW w:w="1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3"/>
        </w:trPr>
        <w:tc>
          <w:tcPr>
            <w:tcW w:w="7100" w:type="dxa"/>
            <w:vAlign w:val="bottom"/>
          </w:tcPr>
          <w:p>
            <w:pPr>
              <w:ind w:left="3340"/>
              <w:spacing w:after="0"/>
              <w:rPr>
                <w:sz w:val="20"/>
                <w:szCs w:val="20"/>
                <w:color w:val="auto"/>
              </w:rPr>
            </w:pPr>
            <w:r>
              <w:rPr>
                <w:rFonts w:ascii="Courier New" w:cs="Courier New" w:eastAsia="Courier New" w:hAnsi="Courier New"/>
                <w:sz w:val="16"/>
                <w:szCs w:val="16"/>
                <w:color w:val="auto"/>
              </w:rPr>
              <w:t>(Unaudited)</w:t>
            </w:r>
          </w:p>
        </w:tc>
        <w:tc>
          <w:tcPr>
            <w:tcW w:w="1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3"/>
        </w:trPr>
        <w:tc>
          <w:tcPr>
            <w:tcW w:w="7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560" w:type="dxa"/>
            <w:vAlign w:val="bottom"/>
            <w:gridSpan w:val="3"/>
          </w:tcPr>
          <w:p>
            <w:pPr>
              <w:jc w:val="right"/>
              <w:ind w:right="381"/>
              <w:spacing w:after="0"/>
              <w:rPr>
                <w:sz w:val="20"/>
                <w:szCs w:val="20"/>
                <w:color w:val="auto"/>
              </w:rPr>
            </w:pPr>
            <w:r>
              <w:rPr>
                <w:rFonts w:ascii="Courier New" w:cs="Courier New" w:eastAsia="Courier New" w:hAnsi="Courier New"/>
                <w:sz w:val="16"/>
                <w:szCs w:val="16"/>
                <w:color w:val="auto"/>
              </w:rPr>
              <w:t>Three Months Ended</w:t>
            </w:r>
          </w:p>
        </w:tc>
      </w:tr>
      <w:tr>
        <w:trPr>
          <w:trHeight w:val="183"/>
        </w:trPr>
        <w:tc>
          <w:tcPr>
            <w:tcW w:w="7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March 31,</w:t>
            </w:r>
          </w:p>
        </w:tc>
        <w:tc>
          <w:tcPr>
            <w:tcW w:w="740" w:type="dxa"/>
            <w:vAlign w:val="bottom"/>
          </w:tcPr>
          <w:p>
            <w:pPr>
              <w:spacing w:after="0"/>
              <w:rPr>
                <w:sz w:val="15"/>
                <w:szCs w:val="15"/>
                <w:color w:val="auto"/>
              </w:rPr>
            </w:pPr>
          </w:p>
        </w:tc>
      </w:tr>
      <w:tr>
        <w:trPr>
          <w:trHeight w:val="183"/>
        </w:trPr>
        <w:tc>
          <w:tcPr>
            <w:tcW w:w="7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3"/>
              </w:rPr>
              <w:t>2005</w:t>
            </w:r>
          </w:p>
        </w:tc>
        <w:tc>
          <w:tcPr>
            <w:tcW w:w="960" w:type="dxa"/>
            <w:vAlign w:val="bottom"/>
          </w:tcPr>
          <w:p>
            <w:pPr>
              <w:spacing w:after="0"/>
              <w:rPr>
                <w:sz w:val="15"/>
                <w:szCs w:val="15"/>
                <w:color w:val="auto"/>
              </w:rPr>
            </w:pPr>
          </w:p>
        </w:tc>
        <w:tc>
          <w:tcPr>
            <w:tcW w:w="740" w:type="dxa"/>
            <w:vAlign w:val="bottom"/>
          </w:tcPr>
          <w:p>
            <w:pPr>
              <w:jc w:val="right"/>
              <w:ind w:right="281"/>
              <w:spacing w:after="0"/>
              <w:rPr>
                <w:sz w:val="20"/>
                <w:szCs w:val="20"/>
                <w:color w:val="auto"/>
              </w:rPr>
            </w:pPr>
            <w:r>
              <w:rPr>
                <w:rFonts w:ascii="Courier New" w:cs="Courier New" w:eastAsia="Courier New" w:hAnsi="Courier New"/>
                <w:sz w:val="16"/>
                <w:szCs w:val="16"/>
                <w:color w:val="auto"/>
                <w:w w:val="93"/>
              </w:rPr>
              <w:t>2004</w:t>
            </w:r>
          </w:p>
        </w:tc>
      </w:tr>
      <w:tr>
        <w:trPr>
          <w:trHeight w:val="183"/>
        </w:trPr>
        <w:tc>
          <w:tcPr>
            <w:tcW w:w="7100" w:type="dxa"/>
            <w:vAlign w:val="bottom"/>
          </w:tcPr>
          <w:p>
            <w:pPr>
              <w:spacing w:after="0"/>
              <w:rPr>
                <w:sz w:val="15"/>
                <w:szCs w:val="15"/>
                <w:color w:val="auto"/>
              </w:rPr>
            </w:pPr>
          </w:p>
        </w:tc>
        <w:tc>
          <w:tcPr>
            <w:tcW w:w="27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710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27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$ 86,715</w:t>
            </w:r>
          </w:p>
        </w:tc>
        <w:tc>
          <w:tcPr>
            <w:tcW w:w="17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$ 77,632</w:t>
            </w:r>
          </w:p>
        </w:tc>
      </w:tr>
      <w:tr>
        <w:trPr>
          <w:trHeight w:val="183"/>
        </w:trPr>
        <w:tc>
          <w:tcPr>
            <w:tcW w:w="7100" w:type="dxa"/>
            <w:vAlign w:val="bottom"/>
          </w:tcPr>
          <w:p>
            <w:pPr>
              <w:spacing w:after="0"/>
              <w:rPr>
                <w:sz w:val="20"/>
                <w:szCs w:val="20"/>
                <w:color w:val="auto"/>
              </w:rPr>
            </w:pPr>
            <w:r>
              <w:rPr>
                <w:rFonts w:ascii="Courier New" w:cs="Courier New" w:eastAsia="Courier New" w:hAnsi="Courier New"/>
                <w:sz w:val="16"/>
                <w:szCs w:val="16"/>
                <w:color w:val="auto"/>
              </w:rPr>
              <w:t>Cost of goods sold (exclusive of depreciation</w:t>
            </w:r>
          </w:p>
        </w:tc>
        <w:tc>
          <w:tcPr>
            <w:tcW w:w="1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3"/>
        </w:trPr>
        <w:tc>
          <w:tcPr>
            <w:tcW w:w="7100" w:type="dxa"/>
            <w:vAlign w:val="bottom"/>
          </w:tcPr>
          <w:p>
            <w:pPr>
              <w:ind w:left="280"/>
              <w:spacing w:after="0"/>
              <w:rPr>
                <w:sz w:val="20"/>
                <w:szCs w:val="20"/>
                <w:color w:val="auto"/>
              </w:rPr>
            </w:pPr>
            <w:r>
              <w:rPr>
                <w:rFonts w:ascii="Courier New" w:cs="Courier New" w:eastAsia="Courier New" w:hAnsi="Courier New"/>
                <w:sz w:val="16"/>
                <w:szCs w:val="16"/>
                <w:color w:val="auto"/>
              </w:rPr>
              <w:t>shown separately below)</w:t>
            </w:r>
          </w:p>
        </w:tc>
        <w:tc>
          <w:tcPr>
            <w:tcW w:w="186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67,666</w:t>
            </w:r>
          </w:p>
        </w:tc>
        <w:tc>
          <w:tcPr>
            <w:tcW w:w="96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60,390</w:t>
            </w:r>
          </w:p>
        </w:tc>
      </w:tr>
      <w:tr>
        <w:trPr>
          <w:trHeight w:val="183"/>
        </w:trPr>
        <w:tc>
          <w:tcPr>
            <w:tcW w:w="710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186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7,484</w:t>
            </w:r>
          </w:p>
        </w:tc>
        <w:tc>
          <w:tcPr>
            <w:tcW w:w="96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7,143</w:t>
            </w:r>
          </w:p>
        </w:tc>
      </w:tr>
      <w:tr>
        <w:trPr>
          <w:trHeight w:val="183"/>
        </w:trPr>
        <w:tc>
          <w:tcPr>
            <w:tcW w:w="710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86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4,174</w:t>
            </w:r>
          </w:p>
        </w:tc>
        <w:tc>
          <w:tcPr>
            <w:tcW w:w="96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3,999</w:t>
            </w:r>
          </w:p>
        </w:tc>
      </w:tr>
      <w:tr>
        <w:trPr>
          <w:trHeight w:val="183"/>
        </w:trPr>
        <w:tc>
          <w:tcPr>
            <w:tcW w:w="7100" w:type="dxa"/>
            <w:vAlign w:val="bottom"/>
          </w:tcPr>
          <w:p>
            <w:pPr>
              <w:spacing w:after="0"/>
              <w:rPr>
                <w:sz w:val="20"/>
                <w:szCs w:val="20"/>
                <w:color w:val="auto"/>
              </w:rPr>
            </w:pPr>
            <w:r>
              <w:rPr>
                <w:rFonts w:ascii="Courier New" w:cs="Courier New" w:eastAsia="Courier New" w:hAnsi="Courier New"/>
                <w:sz w:val="16"/>
                <w:szCs w:val="16"/>
                <w:color w:val="auto"/>
              </w:rPr>
              <w:t>(Gain) loss on disposal of assets</w:t>
            </w:r>
          </w:p>
        </w:tc>
        <w:tc>
          <w:tcPr>
            <w:tcW w:w="186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w:t>
            </w:r>
          </w:p>
        </w:tc>
        <w:tc>
          <w:tcPr>
            <w:tcW w:w="9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3"/>
        </w:trPr>
        <w:tc>
          <w:tcPr>
            <w:tcW w:w="7100" w:type="dxa"/>
            <w:vAlign w:val="bottom"/>
          </w:tcPr>
          <w:p>
            <w:pPr>
              <w:spacing w:after="0"/>
              <w:rPr>
                <w:sz w:val="15"/>
                <w:szCs w:val="15"/>
                <w:color w:val="auto"/>
              </w:rPr>
            </w:pPr>
          </w:p>
        </w:tc>
        <w:tc>
          <w:tcPr>
            <w:tcW w:w="27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710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186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7,387</w:t>
            </w:r>
          </w:p>
        </w:tc>
        <w:tc>
          <w:tcPr>
            <w:tcW w:w="96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6,108</w:t>
            </w:r>
          </w:p>
        </w:tc>
      </w:tr>
      <w:tr>
        <w:trPr>
          <w:trHeight w:val="183"/>
        </w:trPr>
        <w:tc>
          <w:tcPr>
            <w:tcW w:w="7100" w:type="dxa"/>
            <w:vAlign w:val="bottom"/>
          </w:tcPr>
          <w:p>
            <w:pPr>
              <w:spacing w:after="0"/>
              <w:rPr>
                <w:sz w:val="20"/>
                <w:szCs w:val="20"/>
                <w:color w:val="auto"/>
              </w:rPr>
            </w:pPr>
            <w:r>
              <w:rPr>
                <w:rFonts w:ascii="Courier New" w:cs="Courier New" w:eastAsia="Courier New" w:hAnsi="Courier New"/>
                <w:sz w:val="16"/>
                <w:szCs w:val="16"/>
                <w:color w:val="auto"/>
              </w:rPr>
              <w:t>Interest expense, net</w:t>
            </w:r>
          </w:p>
        </w:tc>
        <w:tc>
          <w:tcPr>
            <w:tcW w:w="186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984</w:t>
            </w:r>
          </w:p>
        </w:tc>
        <w:tc>
          <w:tcPr>
            <w:tcW w:w="96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841</w:t>
            </w:r>
          </w:p>
        </w:tc>
      </w:tr>
      <w:tr>
        <w:trPr>
          <w:trHeight w:val="183"/>
        </w:trPr>
        <w:tc>
          <w:tcPr>
            <w:tcW w:w="7100" w:type="dxa"/>
            <w:vAlign w:val="bottom"/>
          </w:tcPr>
          <w:p>
            <w:pPr>
              <w:spacing w:after="0"/>
              <w:rPr>
                <w:sz w:val="20"/>
                <w:szCs w:val="20"/>
                <w:color w:val="auto"/>
              </w:rPr>
            </w:pPr>
            <w:r>
              <w:rPr>
                <w:rFonts w:ascii="Courier New" w:cs="Courier New" w:eastAsia="Courier New" w:hAnsi="Courier New"/>
                <w:sz w:val="16"/>
                <w:szCs w:val="16"/>
                <w:color w:val="auto"/>
              </w:rPr>
              <w:t>Other income</w:t>
            </w:r>
          </w:p>
        </w:tc>
        <w:tc>
          <w:tcPr>
            <w:tcW w:w="18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(171)</w:t>
            </w:r>
          </w:p>
        </w:tc>
        <w:tc>
          <w:tcPr>
            <w:tcW w:w="9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r>
      <w:tr>
        <w:trPr>
          <w:trHeight w:val="183"/>
        </w:trPr>
        <w:tc>
          <w:tcPr>
            <w:tcW w:w="7100" w:type="dxa"/>
            <w:vAlign w:val="bottom"/>
          </w:tcPr>
          <w:p>
            <w:pPr>
              <w:spacing w:after="0"/>
              <w:rPr>
                <w:sz w:val="15"/>
                <w:szCs w:val="15"/>
                <w:color w:val="auto"/>
              </w:rPr>
            </w:pPr>
          </w:p>
        </w:tc>
        <w:tc>
          <w:tcPr>
            <w:tcW w:w="27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7100" w:type="dxa"/>
            <w:vAlign w:val="bottom"/>
          </w:tcPr>
          <w:p>
            <w:pPr>
              <w:spacing w:after="0"/>
              <w:rPr>
                <w:sz w:val="20"/>
                <w:szCs w:val="20"/>
                <w:color w:val="auto"/>
              </w:rPr>
            </w:pPr>
            <w:r>
              <w:rPr>
                <w:rFonts w:ascii="Courier New" w:cs="Courier New" w:eastAsia="Courier New" w:hAnsi="Courier New"/>
                <w:sz w:val="16"/>
                <w:szCs w:val="16"/>
                <w:color w:val="auto"/>
              </w:rPr>
              <w:t>Income before provision for income taxes</w:t>
            </w:r>
          </w:p>
        </w:tc>
        <w:tc>
          <w:tcPr>
            <w:tcW w:w="186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6,574</w:t>
            </w:r>
          </w:p>
        </w:tc>
        <w:tc>
          <w:tcPr>
            <w:tcW w:w="96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5,315</w:t>
            </w:r>
          </w:p>
        </w:tc>
      </w:tr>
      <w:tr>
        <w:trPr>
          <w:trHeight w:val="183"/>
        </w:trPr>
        <w:tc>
          <w:tcPr>
            <w:tcW w:w="710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186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2,551</w:t>
            </w:r>
          </w:p>
        </w:tc>
        <w:tc>
          <w:tcPr>
            <w:tcW w:w="96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2,097</w:t>
            </w:r>
          </w:p>
        </w:tc>
      </w:tr>
      <w:tr>
        <w:trPr>
          <w:trHeight w:val="183"/>
        </w:trPr>
        <w:tc>
          <w:tcPr>
            <w:tcW w:w="7100" w:type="dxa"/>
            <w:vAlign w:val="bottom"/>
          </w:tcPr>
          <w:p>
            <w:pPr>
              <w:spacing w:after="0"/>
              <w:rPr>
                <w:sz w:val="15"/>
                <w:szCs w:val="15"/>
                <w:color w:val="auto"/>
              </w:rPr>
            </w:pPr>
          </w:p>
        </w:tc>
        <w:tc>
          <w:tcPr>
            <w:tcW w:w="27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710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4,023</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3,218</w:t>
            </w:r>
          </w:p>
        </w:tc>
      </w:tr>
      <w:tr>
        <w:trPr>
          <w:trHeight w:val="183"/>
        </w:trPr>
        <w:tc>
          <w:tcPr>
            <w:tcW w:w="7100" w:type="dxa"/>
            <w:vAlign w:val="bottom"/>
          </w:tcPr>
          <w:p>
            <w:pPr>
              <w:spacing w:after="0"/>
              <w:rPr>
                <w:sz w:val="15"/>
                <w:szCs w:val="15"/>
                <w:color w:val="auto"/>
              </w:rPr>
            </w:pPr>
          </w:p>
        </w:tc>
        <w:tc>
          <w:tcPr>
            <w:tcW w:w="27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7100" w:type="dxa"/>
            <w:vAlign w:val="bottom"/>
          </w:tcPr>
          <w:p>
            <w:pPr>
              <w:spacing w:after="0"/>
              <w:rPr>
                <w:sz w:val="20"/>
                <w:szCs w:val="20"/>
                <w:color w:val="auto"/>
              </w:rPr>
            </w:pPr>
            <w:r>
              <w:rPr>
                <w:rFonts w:ascii="Courier New" w:cs="Courier New" w:eastAsia="Courier New" w:hAnsi="Courier New"/>
                <w:sz w:val="16"/>
                <w:szCs w:val="16"/>
                <w:color w:val="auto"/>
              </w:rPr>
              <w:t>Diluted income per common share</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0.23</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0.19</w:t>
            </w:r>
          </w:p>
        </w:tc>
      </w:tr>
      <w:tr>
        <w:trPr>
          <w:trHeight w:val="183"/>
        </w:trPr>
        <w:tc>
          <w:tcPr>
            <w:tcW w:w="7100" w:type="dxa"/>
            <w:vAlign w:val="bottom"/>
          </w:tcPr>
          <w:p>
            <w:pPr>
              <w:spacing w:after="0"/>
              <w:rPr>
                <w:sz w:val="15"/>
                <w:szCs w:val="15"/>
                <w:color w:val="auto"/>
              </w:rPr>
            </w:pPr>
          </w:p>
        </w:tc>
        <w:tc>
          <w:tcPr>
            <w:tcW w:w="27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7100" w:type="dxa"/>
            <w:vAlign w:val="bottom"/>
          </w:tcPr>
          <w:p>
            <w:pPr>
              <w:spacing w:after="0"/>
              <w:rPr>
                <w:sz w:val="20"/>
                <w:szCs w:val="20"/>
                <w:color w:val="auto"/>
              </w:rPr>
            </w:pPr>
            <w:r>
              <w:rPr>
                <w:rFonts w:ascii="Courier New" w:cs="Courier New" w:eastAsia="Courier New" w:hAnsi="Courier New"/>
                <w:sz w:val="16"/>
                <w:szCs w:val="16"/>
                <w:color w:val="auto"/>
              </w:rPr>
              <w:t>Weighted average diluted shares</w:t>
            </w:r>
          </w:p>
        </w:tc>
        <w:tc>
          <w:tcPr>
            <w:tcW w:w="186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17,261</w:t>
            </w:r>
          </w:p>
        </w:tc>
        <w:tc>
          <w:tcPr>
            <w:tcW w:w="96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17,189</w:t>
            </w:r>
          </w:p>
        </w:tc>
      </w:tr>
      <w:tr>
        <w:trPr>
          <w:trHeight w:val="183"/>
        </w:trPr>
        <w:tc>
          <w:tcPr>
            <w:tcW w:w="7100" w:type="dxa"/>
            <w:vAlign w:val="bottom"/>
          </w:tcPr>
          <w:p>
            <w:pPr>
              <w:spacing w:after="0"/>
              <w:rPr>
                <w:sz w:val="15"/>
                <w:szCs w:val="15"/>
                <w:color w:val="auto"/>
              </w:rPr>
            </w:pPr>
          </w:p>
        </w:tc>
        <w:tc>
          <w:tcPr>
            <w:tcW w:w="27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550"/>
        </w:trPr>
        <w:tc>
          <w:tcPr>
            <w:tcW w:w="7100" w:type="dxa"/>
            <w:vAlign w:val="bottom"/>
          </w:tcPr>
          <w:p>
            <w:pPr>
              <w:ind w:left="3720"/>
              <w:spacing w:after="0"/>
              <w:rPr>
                <w:sz w:val="20"/>
                <w:szCs w:val="20"/>
                <w:color w:val="auto"/>
              </w:rPr>
            </w:pPr>
            <w:r>
              <w:rPr>
                <w:rFonts w:ascii="Courier New" w:cs="Courier New" w:eastAsia="Courier New" w:hAnsi="Courier New"/>
                <w:sz w:val="16"/>
                <w:szCs w:val="16"/>
                <w:color w:val="auto"/>
              </w:rPr>
              <w:t>3</w:t>
            </w:r>
          </w:p>
        </w:tc>
        <w:tc>
          <w:tcPr>
            <w:tcW w:w="1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520"/>
          </w:cols>
          <w:pgMar w:left="240" w:top="1398" w:right="139" w:bottom="1440" w:gutter="0" w:footer="0" w:header="0"/>
        </w:sectPr>
      </w:pPr>
    </w:p>
    <w:bookmarkStart w:id="5" w:name="page6"/>
    <w:bookmarkEnd w:id="5"/>
    <w:p>
      <w:pPr>
        <w:jc w:val="center"/>
        <w:ind w:right="3340"/>
        <w:spacing w:after="0"/>
        <w:rPr>
          <w:sz w:val="20"/>
          <w:szCs w:val="20"/>
          <w:color w:val="auto"/>
        </w:rPr>
      </w:pPr>
      <w:r>
        <w:rPr>
          <w:rFonts w:ascii="Courier New" w:cs="Courier New" w:eastAsia="Courier New" w:hAnsi="Courier New"/>
          <w:sz w:val="16"/>
          <w:szCs w:val="16"/>
          <w:color w:val="auto"/>
        </w:rPr>
        <w:t>NN, Inc.</w:t>
      </w:r>
    </w:p>
    <w:p>
      <w:pPr>
        <w:spacing w:after="0" w:line="2" w:lineRule="exact"/>
        <w:rPr>
          <w:sz w:val="20"/>
          <w:szCs w:val="20"/>
          <w:color w:val="auto"/>
        </w:rPr>
      </w:pPr>
    </w:p>
    <w:p>
      <w:pPr>
        <w:jc w:val="center"/>
        <w:ind w:right="3340"/>
        <w:spacing w:after="0"/>
        <w:rPr>
          <w:sz w:val="20"/>
          <w:szCs w:val="20"/>
          <w:color w:val="auto"/>
        </w:rPr>
      </w:pPr>
      <w:r>
        <w:rPr>
          <w:rFonts w:ascii="Courier New" w:cs="Courier New" w:eastAsia="Courier New" w:hAnsi="Courier New"/>
          <w:sz w:val="16"/>
          <w:szCs w:val="16"/>
          <w:color w:val="auto"/>
        </w:rPr>
        <w:t>Condensed Balance Sheets</w:t>
      </w:r>
    </w:p>
    <w:p>
      <w:pPr>
        <w:spacing w:after="0" w:line="2" w:lineRule="exact"/>
        <w:rPr>
          <w:sz w:val="20"/>
          <w:szCs w:val="20"/>
          <w:color w:val="auto"/>
        </w:rPr>
      </w:pPr>
    </w:p>
    <w:p>
      <w:pPr>
        <w:jc w:val="center"/>
        <w:ind w:right="3340"/>
        <w:spacing w:after="0"/>
        <w:rPr>
          <w:sz w:val="20"/>
          <w:szCs w:val="20"/>
          <w:color w:val="auto"/>
        </w:rPr>
      </w:pPr>
      <w:r>
        <w:rPr>
          <w:rFonts w:ascii="Courier New" w:cs="Courier New" w:eastAsia="Courier New" w:hAnsi="Courier New"/>
          <w:sz w:val="16"/>
          <w:szCs w:val="16"/>
          <w:color w:val="auto"/>
        </w:rPr>
        <w:t>(In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20" w:type="dxa"/>
            <w:vAlign w:val="bottom"/>
          </w:tcPr>
          <w:p>
            <w:pPr>
              <w:ind w:left="3340"/>
              <w:spacing w:after="0"/>
              <w:rPr>
                <w:sz w:val="20"/>
                <w:szCs w:val="20"/>
                <w:color w:val="auto"/>
              </w:rPr>
            </w:pPr>
            <w:r>
              <w:rPr>
                <w:rFonts w:ascii="Courier New" w:cs="Courier New" w:eastAsia="Courier New" w:hAnsi="Courier New"/>
                <w:sz w:val="16"/>
                <w:szCs w:val="16"/>
                <w:color w:val="auto"/>
              </w:rPr>
              <w:t>(Unaudited)</w:t>
            </w:r>
          </w:p>
        </w:tc>
        <w:tc>
          <w:tcPr>
            <w:tcW w:w="3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734"/>
        </w:trPr>
        <w:tc>
          <w:tcPr>
            <w:tcW w:w="5620" w:type="dxa"/>
            <w:vAlign w:val="bottom"/>
          </w:tcPr>
          <w:p>
            <w:pPr>
              <w:spacing w:after="0"/>
              <w:rPr>
                <w:sz w:val="24"/>
                <w:szCs w:val="24"/>
                <w:color w:val="auto"/>
              </w:rPr>
            </w:pPr>
          </w:p>
        </w:tc>
        <w:tc>
          <w:tcPr>
            <w:tcW w:w="33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March 31,</w:t>
            </w:r>
          </w:p>
        </w:tc>
        <w:tc>
          <w:tcPr>
            <w:tcW w:w="20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December 31,</w:t>
            </w:r>
          </w:p>
        </w:tc>
      </w:tr>
      <w:tr>
        <w:trPr>
          <w:trHeight w:val="183"/>
        </w:trPr>
        <w:tc>
          <w:tcPr>
            <w:tcW w:w="5620" w:type="dxa"/>
            <w:vAlign w:val="bottom"/>
          </w:tcPr>
          <w:p>
            <w:pPr>
              <w:spacing w:after="0"/>
              <w:rPr>
                <w:sz w:val="15"/>
                <w:szCs w:val="15"/>
                <w:color w:val="auto"/>
              </w:rPr>
            </w:pPr>
          </w:p>
        </w:tc>
        <w:tc>
          <w:tcPr>
            <w:tcW w:w="334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2005</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2004</w:t>
            </w:r>
          </w:p>
        </w:tc>
        <w:tc>
          <w:tcPr>
            <w:tcW w:w="660" w:type="dxa"/>
            <w:vAlign w:val="bottom"/>
          </w:tcPr>
          <w:p>
            <w:pPr>
              <w:spacing w:after="0"/>
              <w:rPr>
                <w:sz w:val="15"/>
                <w:szCs w:val="15"/>
                <w:color w:val="auto"/>
              </w:rPr>
            </w:pPr>
          </w:p>
        </w:tc>
      </w:tr>
      <w:tr>
        <w:trPr>
          <w:trHeight w:val="183"/>
        </w:trPr>
        <w:tc>
          <w:tcPr>
            <w:tcW w:w="5620" w:type="dxa"/>
            <w:vAlign w:val="bottom"/>
          </w:tcPr>
          <w:p>
            <w:pPr>
              <w:spacing w:after="0"/>
              <w:rPr>
                <w:sz w:val="15"/>
                <w:szCs w:val="15"/>
                <w:color w:val="auto"/>
              </w:rPr>
            </w:pPr>
          </w:p>
        </w:tc>
        <w:tc>
          <w:tcPr>
            <w:tcW w:w="3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562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3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3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Cash</w:t>
            </w:r>
          </w:p>
        </w:tc>
        <w:tc>
          <w:tcPr>
            <w:tcW w:w="3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4,445</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10,772</w:t>
            </w: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Accounts receivable, net</w:t>
            </w:r>
          </w:p>
        </w:tc>
        <w:tc>
          <w:tcPr>
            <w:tcW w:w="3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60,110</w:t>
            </w:r>
          </w:p>
        </w:tc>
        <w:tc>
          <w:tcPr>
            <w:tcW w:w="1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51,597</w:t>
            </w: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Inventories, net</w:t>
            </w:r>
          </w:p>
        </w:tc>
        <w:tc>
          <w:tcPr>
            <w:tcW w:w="3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34,272</w:t>
            </w:r>
          </w:p>
        </w:tc>
        <w:tc>
          <w:tcPr>
            <w:tcW w:w="1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35,629</w:t>
            </w: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Other current assets</w:t>
            </w:r>
          </w:p>
        </w:tc>
        <w:tc>
          <w:tcPr>
            <w:tcW w:w="3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13,122</w:t>
            </w:r>
          </w:p>
        </w:tc>
        <w:tc>
          <w:tcPr>
            <w:tcW w:w="1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10,340</w:t>
            </w:r>
          </w:p>
        </w:tc>
      </w:tr>
      <w:tr>
        <w:trPr>
          <w:trHeight w:val="183"/>
        </w:trPr>
        <w:tc>
          <w:tcPr>
            <w:tcW w:w="5620" w:type="dxa"/>
            <w:vAlign w:val="bottom"/>
          </w:tcPr>
          <w:p>
            <w:pPr>
              <w:spacing w:after="0"/>
              <w:rPr>
                <w:sz w:val="15"/>
                <w:szCs w:val="15"/>
                <w:color w:val="auto"/>
              </w:rPr>
            </w:pPr>
          </w:p>
        </w:tc>
        <w:tc>
          <w:tcPr>
            <w:tcW w:w="3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620" w:type="dxa"/>
            <w:vAlign w:val="bottom"/>
          </w:tcPr>
          <w:p>
            <w:pPr>
              <w:ind w:left="280"/>
              <w:spacing w:after="0"/>
              <w:rPr>
                <w:sz w:val="20"/>
                <w:szCs w:val="20"/>
                <w:color w:val="auto"/>
              </w:rPr>
            </w:pPr>
            <w:r>
              <w:rPr>
                <w:rFonts w:ascii="Courier New" w:cs="Courier New" w:eastAsia="Courier New" w:hAnsi="Courier New"/>
                <w:sz w:val="16"/>
                <w:szCs w:val="16"/>
                <w:color w:val="auto"/>
              </w:rPr>
              <w:t>Total current assets</w:t>
            </w:r>
          </w:p>
        </w:tc>
        <w:tc>
          <w:tcPr>
            <w:tcW w:w="3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111,949</w:t>
            </w:r>
          </w:p>
        </w:tc>
        <w:tc>
          <w:tcPr>
            <w:tcW w:w="1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108,338</w:t>
            </w:r>
          </w:p>
        </w:tc>
      </w:tr>
      <w:tr>
        <w:trPr>
          <w:trHeight w:val="367"/>
        </w:trPr>
        <w:tc>
          <w:tcPr>
            <w:tcW w:w="562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3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123,232</w:t>
            </w:r>
          </w:p>
        </w:tc>
        <w:tc>
          <w:tcPr>
            <w:tcW w:w="1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131,169</w:t>
            </w: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Goodwill, net</w:t>
            </w:r>
          </w:p>
        </w:tc>
        <w:tc>
          <w:tcPr>
            <w:tcW w:w="3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43,420</w:t>
            </w:r>
          </w:p>
        </w:tc>
        <w:tc>
          <w:tcPr>
            <w:tcW w:w="1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44,457</w:t>
            </w: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3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5,983</w:t>
            </w:r>
          </w:p>
        </w:tc>
        <w:tc>
          <w:tcPr>
            <w:tcW w:w="1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5,905</w:t>
            </w:r>
          </w:p>
        </w:tc>
      </w:tr>
      <w:tr>
        <w:trPr>
          <w:trHeight w:val="183"/>
        </w:trPr>
        <w:tc>
          <w:tcPr>
            <w:tcW w:w="5620" w:type="dxa"/>
            <w:vAlign w:val="bottom"/>
          </w:tcPr>
          <w:p>
            <w:pPr>
              <w:spacing w:after="0"/>
              <w:rPr>
                <w:sz w:val="15"/>
                <w:szCs w:val="15"/>
                <w:color w:val="auto"/>
              </w:rPr>
            </w:pPr>
          </w:p>
        </w:tc>
        <w:tc>
          <w:tcPr>
            <w:tcW w:w="3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620" w:type="dxa"/>
            <w:vAlign w:val="bottom"/>
          </w:tcPr>
          <w:p>
            <w:pPr>
              <w:ind w:left="280"/>
              <w:spacing w:after="0"/>
              <w:rPr>
                <w:sz w:val="20"/>
                <w:szCs w:val="20"/>
                <w:color w:val="auto"/>
              </w:rPr>
            </w:pPr>
            <w:r>
              <w:rPr>
                <w:rFonts w:ascii="Courier New" w:cs="Courier New" w:eastAsia="Courier New" w:hAnsi="Courier New"/>
                <w:sz w:val="16"/>
                <w:szCs w:val="16"/>
                <w:color w:val="auto"/>
              </w:rPr>
              <w:t>Total assets</w:t>
            </w:r>
          </w:p>
        </w:tc>
        <w:tc>
          <w:tcPr>
            <w:tcW w:w="3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$284,584</w:t>
            </w:r>
          </w:p>
        </w:tc>
        <w:tc>
          <w:tcPr>
            <w:tcW w:w="2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$ 289,869</w:t>
            </w:r>
          </w:p>
        </w:tc>
      </w:tr>
      <w:tr>
        <w:trPr>
          <w:trHeight w:val="183"/>
        </w:trPr>
        <w:tc>
          <w:tcPr>
            <w:tcW w:w="5620" w:type="dxa"/>
            <w:vAlign w:val="bottom"/>
          </w:tcPr>
          <w:p>
            <w:pPr>
              <w:spacing w:after="0"/>
              <w:rPr>
                <w:sz w:val="15"/>
                <w:szCs w:val="15"/>
                <w:color w:val="auto"/>
              </w:rPr>
            </w:pPr>
          </w:p>
        </w:tc>
        <w:tc>
          <w:tcPr>
            <w:tcW w:w="3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3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3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Accounts payable</w:t>
            </w:r>
          </w:p>
        </w:tc>
        <w:tc>
          <w:tcPr>
            <w:tcW w:w="3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$ 42,012</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45,217</w:t>
            </w: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Dividends payable</w:t>
            </w:r>
          </w:p>
        </w:tc>
        <w:tc>
          <w:tcPr>
            <w:tcW w:w="3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1,351</w:t>
            </w:r>
          </w:p>
        </w:tc>
        <w:tc>
          <w:tcPr>
            <w:tcW w:w="1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Accrued salaries and wages</w:t>
            </w:r>
          </w:p>
        </w:tc>
        <w:tc>
          <w:tcPr>
            <w:tcW w:w="3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14,285</w:t>
            </w:r>
          </w:p>
        </w:tc>
        <w:tc>
          <w:tcPr>
            <w:tcW w:w="1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16,332</w:t>
            </w: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Income tax payable</w:t>
            </w:r>
          </w:p>
        </w:tc>
        <w:tc>
          <w:tcPr>
            <w:tcW w:w="3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3,229</w:t>
            </w:r>
          </w:p>
        </w:tc>
        <w:tc>
          <w:tcPr>
            <w:tcW w:w="1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1,599</w:t>
            </w: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Short-term portion of long-term notes payable</w:t>
            </w:r>
          </w:p>
        </w:tc>
        <w:tc>
          <w:tcPr>
            <w:tcW w:w="3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7,240</w:t>
            </w:r>
          </w:p>
        </w:tc>
        <w:tc>
          <w:tcPr>
            <w:tcW w:w="1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7,160</w:t>
            </w: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3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5,040</w:t>
            </w:r>
          </w:p>
        </w:tc>
        <w:tc>
          <w:tcPr>
            <w:tcW w:w="1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4,123</w:t>
            </w:r>
          </w:p>
        </w:tc>
      </w:tr>
      <w:tr>
        <w:trPr>
          <w:trHeight w:val="183"/>
        </w:trPr>
        <w:tc>
          <w:tcPr>
            <w:tcW w:w="5620" w:type="dxa"/>
            <w:vAlign w:val="bottom"/>
          </w:tcPr>
          <w:p>
            <w:pPr>
              <w:spacing w:after="0"/>
              <w:rPr>
                <w:sz w:val="15"/>
                <w:szCs w:val="15"/>
                <w:color w:val="auto"/>
              </w:rPr>
            </w:pPr>
          </w:p>
        </w:tc>
        <w:tc>
          <w:tcPr>
            <w:tcW w:w="3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620" w:type="dxa"/>
            <w:vAlign w:val="bottom"/>
          </w:tcPr>
          <w:p>
            <w:pPr>
              <w:ind w:left="280"/>
              <w:spacing w:after="0"/>
              <w:rPr>
                <w:sz w:val="20"/>
                <w:szCs w:val="20"/>
                <w:color w:val="auto"/>
              </w:rPr>
            </w:pPr>
            <w:r>
              <w:rPr>
                <w:rFonts w:ascii="Courier New" w:cs="Courier New" w:eastAsia="Courier New" w:hAnsi="Courier New"/>
                <w:sz w:val="16"/>
                <w:szCs w:val="16"/>
                <w:color w:val="auto"/>
              </w:rPr>
              <w:t>Total current liabilities</w:t>
            </w:r>
          </w:p>
        </w:tc>
        <w:tc>
          <w:tcPr>
            <w:tcW w:w="3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73,157</w:t>
            </w:r>
          </w:p>
        </w:tc>
        <w:tc>
          <w:tcPr>
            <w:tcW w:w="1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74,431</w:t>
            </w:r>
          </w:p>
        </w:tc>
      </w:tr>
      <w:tr>
        <w:trPr>
          <w:trHeight w:val="367"/>
        </w:trPr>
        <w:tc>
          <w:tcPr>
            <w:tcW w:w="562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3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17,432</w:t>
            </w:r>
          </w:p>
        </w:tc>
        <w:tc>
          <w:tcPr>
            <w:tcW w:w="1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17,857</w:t>
            </w: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Long-term notes payable</w:t>
            </w:r>
          </w:p>
        </w:tc>
        <w:tc>
          <w:tcPr>
            <w:tcW w:w="3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65,031</w:t>
            </w:r>
          </w:p>
        </w:tc>
        <w:tc>
          <w:tcPr>
            <w:tcW w:w="1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67,510</w:t>
            </w: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Accrued Pension and Other</w:t>
            </w:r>
          </w:p>
        </w:tc>
        <w:tc>
          <w:tcPr>
            <w:tcW w:w="3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14,306</w:t>
            </w:r>
          </w:p>
        </w:tc>
        <w:tc>
          <w:tcPr>
            <w:tcW w:w="1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14,931</w:t>
            </w:r>
          </w:p>
        </w:tc>
      </w:tr>
      <w:tr>
        <w:trPr>
          <w:trHeight w:val="183"/>
        </w:trPr>
        <w:tc>
          <w:tcPr>
            <w:tcW w:w="5620" w:type="dxa"/>
            <w:vAlign w:val="bottom"/>
          </w:tcPr>
          <w:p>
            <w:pPr>
              <w:spacing w:after="0"/>
              <w:rPr>
                <w:sz w:val="15"/>
                <w:szCs w:val="15"/>
                <w:color w:val="auto"/>
              </w:rPr>
            </w:pPr>
          </w:p>
        </w:tc>
        <w:tc>
          <w:tcPr>
            <w:tcW w:w="3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Total liabilities</w:t>
            </w:r>
          </w:p>
        </w:tc>
        <w:tc>
          <w:tcPr>
            <w:tcW w:w="3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169,926</w:t>
            </w:r>
          </w:p>
        </w:tc>
        <w:tc>
          <w:tcPr>
            <w:tcW w:w="1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174,729</w:t>
            </w:r>
          </w:p>
        </w:tc>
      </w:tr>
      <w:tr>
        <w:trPr>
          <w:trHeight w:val="367"/>
        </w:trPr>
        <w:tc>
          <w:tcPr>
            <w:tcW w:w="5620" w:type="dxa"/>
            <w:vAlign w:val="bottom"/>
          </w:tcPr>
          <w:p>
            <w:pPr>
              <w:spacing w:after="0"/>
              <w:rPr>
                <w:sz w:val="20"/>
                <w:szCs w:val="20"/>
                <w:color w:val="auto"/>
              </w:rPr>
            </w:pPr>
            <w:r>
              <w:rPr>
                <w:rFonts w:ascii="Courier New" w:cs="Courier New" w:eastAsia="Courier New" w:hAnsi="Courier New"/>
                <w:sz w:val="16"/>
                <w:szCs w:val="16"/>
                <w:color w:val="auto"/>
              </w:rPr>
              <w:t>Total stockholders' equity</w:t>
            </w:r>
          </w:p>
        </w:tc>
        <w:tc>
          <w:tcPr>
            <w:tcW w:w="3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114,658</w:t>
            </w:r>
          </w:p>
        </w:tc>
        <w:tc>
          <w:tcPr>
            <w:tcW w:w="1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115,140</w:t>
            </w:r>
          </w:p>
        </w:tc>
      </w:tr>
      <w:tr>
        <w:trPr>
          <w:trHeight w:val="183"/>
        </w:trPr>
        <w:tc>
          <w:tcPr>
            <w:tcW w:w="5620" w:type="dxa"/>
            <w:vAlign w:val="bottom"/>
          </w:tcPr>
          <w:p>
            <w:pPr>
              <w:spacing w:after="0"/>
              <w:rPr>
                <w:sz w:val="15"/>
                <w:szCs w:val="15"/>
                <w:color w:val="auto"/>
              </w:rPr>
            </w:pPr>
          </w:p>
        </w:tc>
        <w:tc>
          <w:tcPr>
            <w:tcW w:w="3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5620" w:type="dxa"/>
            <w:vAlign w:val="bottom"/>
          </w:tcPr>
          <w:p>
            <w:pPr>
              <w:spacing w:after="0"/>
              <w:rPr>
                <w:sz w:val="20"/>
                <w:szCs w:val="20"/>
                <w:color w:val="auto"/>
              </w:rPr>
            </w:pPr>
            <w:r>
              <w:rPr>
                <w:rFonts w:ascii="Courier New" w:cs="Courier New" w:eastAsia="Courier New" w:hAnsi="Courier New"/>
                <w:sz w:val="16"/>
                <w:szCs w:val="16"/>
                <w:color w:val="auto"/>
              </w:rPr>
              <w:t>Total liabilities and stockholders' equity</w:t>
            </w:r>
          </w:p>
        </w:tc>
        <w:tc>
          <w:tcPr>
            <w:tcW w:w="3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$284,584</w:t>
            </w:r>
          </w:p>
        </w:tc>
        <w:tc>
          <w:tcPr>
            <w:tcW w:w="2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$ 289,869</w:t>
            </w:r>
          </w:p>
        </w:tc>
      </w:tr>
      <w:tr>
        <w:trPr>
          <w:trHeight w:val="183"/>
        </w:trPr>
        <w:tc>
          <w:tcPr>
            <w:tcW w:w="5620" w:type="dxa"/>
            <w:vAlign w:val="bottom"/>
          </w:tcPr>
          <w:p>
            <w:pPr>
              <w:spacing w:after="0"/>
              <w:rPr>
                <w:sz w:val="15"/>
                <w:szCs w:val="15"/>
                <w:color w:val="auto"/>
              </w:rPr>
            </w:pPr>
          </w:p>
        </w:tc>
        <w:tc>
          <w:tcPr>
            <w:tcW w:w="3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50"/>
        </w:trPr>
        <w:tc>
          <w:tcPr>
            <w:tcW w:w="5620" w:type="dxa"/>
            <w:vAlign w:val="bottom"/>
          </w:tcPr>
          <w:p>
            <w:pPr>
              <w:ind w:left="3720"/>
              <w:spacing w:after="0"/>
              <w:rPr>
                <w:sz w:val="20"/>
                <w:szCs w:val="20"/>
                <w:color w:val="auto"/>
              </w:rPr>
            </w:pPr>
            <w:r>
              <w:rPr>
                <w:rFonts w:ascii="Courier New" w:cs="Courier New" w:eastAsia="Courier New" w:hAnsi="Courier New"/>
                <w:sz w:val="16"/>
                <w:szCs w:val="16"/>
                <w:color w:val="auto"/>
              </w:rPr>
              <w:t>4</w:t>
            </w:r>
          </w:p>
        </w:tc>
        <w:tc>
          <w:tcPr>
            <w:tcW w:w="3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60"/>
      </w:cols>
      <w:pgMar w:left="240" w:top="848"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2019-12-11T23:31:12Z</dcterms:created>
  <dcterms:modified xsi:type="dcterms:W3CDTF">2019-12-11T23:31:12Z</dcterms:modified>
</cp:coreProperties>
</file>